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濉溪县财政投资评审中心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color w:val="auto"/>
          <w:szCs w:val="32"/>
          <w:lang w:eastAsia="zh-CN"/>
        </w:rPr>
        <w:t>树立过紧日子思想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人次）。经费使用严格贯彻中央八项规定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辆。（如没有安排公务用车购置数，可表述为202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年没有安排公务用车购置费）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万元。公务用车运行维护费，包括车辆燃料费、维修费、过路过桥费、保险费等支出。截至202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WRjMjRlMzFjZWQxZTI1OTE5YjgyZTgyNWQwNz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9F22F23"/>
    <w:rsid w:val="18242EF9"/>
    <w:rsid w:val="1F5F1CED"/>
    <w:rsid w:val="2EE144CD"/>
    <w:rsid w:val="31DE2F46"/>
    <w:rsid w:val="36E31BA0"/>
    <w:rsid w:val="40E66817"/>
    <w:rsid w:val="424045A7"/>
    <w:rsid w:val="429C0B17"/>
    <w:rsid w:val="4AC00D84"/>
    <w:rsid w:val="4F1F1B83"/>
    <w:rsid w:val="5CFB2CAD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920</Characters>
  <Lines>8</Lines>
  <Paragraphs>2</Paragraphs>
  <TotalTime>4</TotalTime>
  <ScaleCrop>false</ScaleCrop>
  <LinksUpToDate>false</LinksUpToDate>
  <CharactersWithSpaces>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2023-08-24T07:30:11Z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95B7D7A6868D44358BC8FEE951F652F5</vt:lpwstr>
  </property>
</Properties>
</file>