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濉溪县残疾人联合会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0.83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32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0.9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1.1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1.1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0.63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濉溪县残疾人联合会2021年度一般公共预算财政拨款“三公”经费支出预算为</w:t>
      </w:r>
      <w:r>
        <w:rPr>
          <w:rFonts w:ascii="仿宋_GB2312" w:hAnsi="仿宋"/>
          <w:szCs w:val="32"/>
        </w:rPr>
        <w:t>2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ascii="仿宋_GB2312" w:hAnsi="仿宋"/>
          <w:szCs w:val="32"/>
        </w:rPr>
        <w:t>0.83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ascii="仿宋_GB2312" w:hAnsi="仿宋"/>
          <w:szCs w:val="32"/>
        </w:rPr>
        <w:t>41.5</w:t>
      </w:r>
      <w:r>
        <w:rPr>
          <w:rFonts w:hint="eastAsia" w:ascii="仿宋_GB2312" w:hAnsi="仿宋"/>
          <w:szCs w:val="32"/>
        </w:rPr>
        <w:t>%，决算数小于预算数的主要原因是严格执行中央八项规定，厉行节约。为全面反映“三公”经费支出，本次公布的“三公”经费决算为部门汇总数，包含会本级和所属单位。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濉溪县残疾人联合会2021年度一般公共预算财政拨款“三公”经费支出决算中，因公出国（境）费支出决算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ascii="仿宋_GB2312" w:hAnsi="仿宋"/>
          <w:szCs w:val="32"/>
        </w:rPr>
        <w:t>0.2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24.1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ascii="仿宋_GB2312" w:hAnsi="仿宋"/>
          <w:szCs w:val="32"/>
        </w:rPr>
        <w:t>0.63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75.9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万元，与2021年度预算相比，增加0万元，增长0%，增长的原因无。2020年濉溪县残疾人联合会因公出国（境）团组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人次。该项经费根据县外办批准的因公临时出国（境）计划，按照规定标准安排。主要是用于党委政府组织的业务培训、调研考察等外事活动。经费使用严格相关规定执行。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ascii="仿宋_GB2312" w:hAnsi="仿宋"/>
          <w:szCs w:val="32"/>
        </w:rPr>
        <w:t>0.2</w:t>
      </w:r>
      <w:r>
        <w:rPr>
          <w:rFonts w:hint="eastAsia" w:ascii="仿宋_GB2312" w:hAnsi="仿宋"/>
          <w:szCs w:val="32"/>
        </w:rPr>
        <w:t>万元, 与2021年度预算相比，减少</w:t>
      </w:r>
      <w:r>
        <w:rPr>
          <w:rFonts w:ascii="仿宋_GB2312" w:hAnsi="仿宋"/>
          <w:szCs w:val="32"/>
        </w:rPr>
        <w:t>0.7</w:t>
      </w:r>
      <w:r>
        <w:rPr>
          <w:rFonts w:hint="eastAsia" w:ascii="仿宋_GB2312" w:hAnsi="仿宋"/>
          <w:szCs w:val="32"/>
        </w:rPr>
        <w:t>万元，下降</w:t>
      </w:r>
      <w:r>
        <w:rPr>
          <w:rFonts w:ascii="仿宋_GB2312" w:hAnsi="仿宋"/>
          <w:szCs w:val="32"/>
        </w:rPr>
        <w:t>77.8</w:t>
      </w:r>
      <w:r>
        <w:rPr>
          <w:rFonts w:hint="eastAsia" w:ascii="仿宋_GB2312" w:hAnsi="仿宋"/>
          <w:szCs w:val="32"/>
        </w:rPr>
        <w:t>%，下降的原因是压缩招待标准，降低招待档次，严格控制来人招待。2021年濉溪县残疾人联合会国内公务接待共</w:t>
      </w:r>
      <w:r>
        <w:rPr>
          <w:rFonts w:ascii="仿宋_GB2312" w:hAnsi="仿宋"/>
          <w:szCs w:val="32"/>
        </w:rPr>
        <w:t>4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ascii="仿宋_GB2312" w:hAnsi="仿宋"/>
          <w:szCs w:val="32"/>
        </w:rPr>
        <w:t>40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人次）。主要是用于接待上级、外地单位业务指导和工作调研等公务往来支出等。经费使用严格贯彻中央八项规定要求，严格执行《党政机关厉行节约反对浪费条例》、濉溪县公务接待相关规定等。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ascii="仿宋_GB2312" w:hAnsi="仿宋"/>
          <w:szCs w:val="32"/>
        </w:rPr>
        <w:t>0.63</w:t>
      </w:r>
      <w:r>
        <w:rPr>
          <w:rFonts w:hint="eastAsia" w:ascii="仿宋_GB2312" w:hAnsi="仿宋"/>
          <w:szCs w:val="32"/>
        </w:rPr>
        <w:t>万元，与2021年度预算相比，减少0.47万元，下降4</w:t>
      </w:r>
      <w:r>
        <w:rPr>
          <w:rFonts w:ascii="仿宋_GB2312" w:hAnsi="仿宋"/>
          <w:szCs w:val="32"/>
        </w:rPr>
        <w:t>2.7</w:t>
      </w:r>
      <w:r>
        <w:rPr>
          <w:rFonts w:hint="eastAsia" w:ascii="仿宋_GB2312" w:hAnsi="仿宋"/>
          <w:szCs w:val="32"/>
        </w:rPr>
        <w:t>%，下降的原因是严格执行中央八项规定及公务用车规定。其中，公务用车购置费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 202</w:t>
      </w:r>
      <w:r>
        <w:rPr>
          <w:rFonts w:ascii="仿宋_GB2312" w:hAnsi="仿宋"/>
          <w:szCs w:val="32"/>
        </w:rPr>
        <w:t>1</w:t>
      </w:r>
      <w:r>
        <w:rPr>
          <w:rFonts w:hint="eastAsia" w:ascii="仿宋_GB2312" w:hAnsi="仿宋"/>
          <w:szCs w:val="32"/>
        </w:rPr>
        <w:t>年没有安排公务用车购置费。公务用车运行维护费</w:t>
      </w:r>
      <w:r>
        <w:rPr>
          <w:rFonts w:ascii="仿宋_GB2312" w:hAnsi="仿宋"/>
          <w:szCs w:val="32"/>
        </w:rPr>
        <w:t>0.63</w:t>
      </w:r>
      <w:r>
        <w:rPr>
          <w:rFonts w:hint="eastAsia" w:ascii="仿宋_GB2312" w:hAnsi="仿宋"/>
          <w:szCs w:val="32"/>
        </w:rPr>
        <w:t>万元，与2021年度预算相比，减少0</w:t>
      </w:r>
      <w:r>
        <w:rPr>
          <w:rFonts w:ascii="仿宋_GB2312" w:hAnsi="仿宋"/>
          <w:szCs w:val="32"/>
        </w:rPr>
        <w:t>.47</w:t>
      </w:r>
      <w:r>
        <w:rPr>
          <w:rFonts w:hint="eastAsia" w:ascii="仿宋_GB2312" w:hAnsi="仿宋"/>
          <w:szCs w:val="32"/>
        </w:rPr>
        <w:t>万元，下降4</w:t>
      </w:r>
      <w:r>
        <w:rPr>
          <w:rFonts w:ascii="仿宋_GB2312" w:hAnsi="仿宋"/>
          <w:szCs w:val="32"/>
        </w:rPr>
        <w:t>2.7</w:t>
      </w:r>
      <w:r>
        <w:rPr>
          <w:rFonts w:hint="eastAsia" w:ascii="仿宋_GB2312" w:hAnsi="仿宋"/>
          <w:szCs w:val="32"/>
        </w:rPr>
        <w:t>%，下降（增长）的原因是严格执行中央</w:t>
      </w:r>
      <w:bookmarkStart w:id="0" w:name="_GoBack"/>
      <w:r>
        <w:rPr>
          <w:rFonts w:hint="eastAsia" w:ascii="仿宋_GB2312" w:hAnsi="仿宋"/>
          <w:szCs w:val="32"/>
        </w:rPr>
        <w:t>八项规定</w:t>
      </w:r>
      <w:bookmarkEnd w:id="0"/>
      <w:r>
        <w:rPr>
          <w:rFonts w:hint="eastAsia" w:ascii="仿宋_GB2312" w:hAnsi="仿宋"/>
          <w:szCs w:val="32"/>
        </w:rPr>
        <w:t>及公务用车规定。公务用车运行维护费，包括车辆燃料费、维修费、过路过桥费、保险费等支出，主要用于日常公务、下乡办证、辅助器具发放等。截至202</w:t>
      </w:r>
      <w:r>
        <w:rPr>
          <w:rFonts w:ascii="仿宋_GB2312" w:hAnsi="仿宋"/>
          <w:szCs w:val="32"/>
        </w:rPr>
        <w:t>1</w:t>
      </w:r>
      <w:r>
        <w:rPr>
          <w:rFonts w:hint="eastAsia" w:ascii="仿宋_GB2312" w:hAnsi="仿宋"/>
          <w:szCs w:val="32"/>
        </w:rPr>
        <w:t>年12月31日，濉溪县残疾人联合会开支财政拨款的公务用车保有量无。</w:t>
      </w:r>
    </w:p>
    <w:p>
      <w:pPr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4OTMyYzkwOGFhNjY2ZTJlOWY5NjQ4ZDE1M2E0NGEifQ=="/>
  </w:docVars>
  <w:rsids>
    <w:rsidRoot w:val="00D303BC"/>
    <w:rsid w:val="00017F63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6D1458"/>
    <w:rsid w:val="00711362"/>
    <w:rsid w:val="007719A9"/>
    <w:rsid w:val="008A3C6F"/>
    <w:rsid w:val="008F766C"/>
    <w:rsid w:val="009770F9"/>
    <w:rsid w:val="009D2B9A"/>
    <w:rsid w:val="00A00C09"/>
    <w:rsid w:val="00A92496"/>
    <w:rsid w:val="00AB0278"/>
    <w:rsid w:val="00B14CD1"/>
    <w:rsid w:val="00B2159B"/>
    <w:rsid w:val="00B72524"/>
    <w:rsid w:val="00C77143"/>
    <w:rsid w:val="00CE25D9"/>
    <w:rsid w:val="00D2629D"/>
    <w:rsid w:val="00D303BC"/>
    <w:rsid w:val="00D42D95"/>
    <w:rsid w:val="00D9784E"/>
    <w:rsid w:val="00DB321D"/>
    <w:rsid w:val="00E02B6D"/>
    <w:rsid w:val="00F14940"/>
    <w:rsid w:val="00FC29F2"/>
    <w:rsid w:val="169B1DCD"/>
    <w:rsid w:val="18242EF9"/>
    <w:rsid w:val="73AB6E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192</Words>
  <Characters>1100</Characters>
  <Lines>9</Lines>
  <Paragraphs>2</Paragraphs>
  <TotalTime>0</TotalTime>
  <ScaleCrop>false</ScaleCrop>
  <LinksUpToDate>false</LinksUpToDate>
  <CharactersWithSpaces>1290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郝朝荣</cp:lastModifiedBy>
  <cp:lastPrinted>2020-09-14T08:17:00Z</cp:lastPrinted>
  <dcterms:modified xsi:type="dcterms:W3CDTF">2023-10-07T08:30:03Z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95B7D7A6868D44358BC8FEE951F652F5</vt:lpwstr>
  </property>
</Properties>
</file>