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附件2</w:t>
      </w:r>
    </w:p>
    <w:p>
      <w:pPr>
        <w:adjustRightInd w:val="0"/>
        <w:snapToGrid w:val="0"/>
        <w:spacing w:line="360" w:lineRule="auto"/>
        <w:rPr>
          <w:rFonts w:ascii="宋体" w:hAnsi="宋体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52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52"/>
          <w:szCs w:val="84"/>
          <w:lang w:eastAsia="zh-CN"/>
        </w:rPr>
        <w:t>濉溪县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52"/>
          <w:szCs w:val="84"/>
          <w:lang w:val="en-US"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52"/>
          <w:szCs w:val="8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52"/>
          <w:szCs w:val="8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52"/>
          <w:szCs w:val="84"/>
        </w:rPr>
        <w:t>年部门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52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52"/>
          <w:szCs w:val="84"/>
        </w:rPr>
        <w:t>“三公”经费预算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color w:val="auto"/>
          <w:sz w:val="36"/>
          <w:szCs w:val="36"/>
        </w:rPr>
      </w:pPr>
    </w:p>
    <w:p>
      <w:pPr>
        <w:pStyle w:val="3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color w:val="auto"/>
          <w:sz w:val="36"/>
          <w:szCs w:val="36"/>
        </w:rPr>
      </w:pPr>
    </w:p>
    <w:p>
      <w:pPr>
        <w:pStyle w:val="3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color w:val="auto"/>
          <w:sz w:val="36"/>
          <w:szCs w:val="36"/>
        </w:rPr>
      </w:pPr>
    </w:p>
    <w:p>
      <w:pPr>
        <w:pStyle w:val="3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color w:val="auto"/>
          <w:sz w:val="36"/>
          <w:szCs w:val="36"/>
        </w:rPr>
      </w:pPr>
    </w:p>
    <w:p>
      <w:pPr>
        <w:pStyle w:val="3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color w:val="auto"/>
          <w:sz w:val="36"/>
          <w:szCs w:val="36"/>
        </w:rPr>
      </w:pPr>
    </w:p>
    <w:p>
      <w:pPr>
        <w:pStyle w:val="3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color w:val="auto"/>
          <w:sz w:val="36"/>
          <w:szCs w:val="36"/>
        </w:rPr>
      </w:pPr>
    </w:p>
    <w:p>
      <w:pPr>
        <w:pStyle w:val="3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color w:val="auto"/>
          <w:sz w:val="36"/>
          <w:szCs w:val="36"/>
        </w:rPr>
      </w:pPr>
    </w:p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Fonts w:hint="eastAsia" w:ascii="黑体" w:hAnsi="黑体" w:eastAsia="黑体"/>
          <w:bCs/>
          <w:color w:val="auto"/>
          <w:sz w:val="36"/>
          <w:szCs w:val="36"/>
        </w:rPr>
      </w:pPr>
    </w:p>
    <w:p>
      <w:pPr>
        <w:pStyle w:val="3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Cs/>
          <w:color w:val="auto"/>
          <w:sz w:val="44"/>
          <w:szCs w:val="44"/>
          <w:lang w:eastAsia="zh-CN"/>
        </w:rPr>
        <w:t>2024</w:t>
      </w:r>
      <w:r>
        <w:rPr>
          <w:rFonts w:hint="eastAsia" w:ascii="黑体" w:hAnsi="黑体" w:eastAsia="黑体"/>
          <w:bCs/>
          <w:color w:val="auto"/>
          <w:sz w:val="44"/>
          <w:szCs w:val="44"/>
        </w:rPr>
        <w:t>年</w:t>
      </w:r>
      <w:r>
        <w:rPr>
          <w:rFonts w:hint="eastAsia" w:ascii="黑体" w:hAnsi="黑体" w:eastAsia="黑体"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bCs/>
          <w:color w:val="auto"/>
          <w:sz w:val="44"/>
          <w:szCs w:val="44"/>
        </w:rPr>
        <w:t>月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color w:val="auto"/>
          <w:sz w:val="44"/>
          <w:szCs w:val="44"/>
        </w:rPr>
      </w:pPr>
    </w:p>
    <w:p>
      <w:pPr>
        <w:pStyle w:val="3"/>
        <w:adjustRightInd w:val="0"/>
        <w:snapToGrid w:val="0"/>
        <w:spacing w:before="0" w:beforeAutospacing="0" w:after="0" w:afterAutospacing="0" w:line="5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4"/>
          <w:szCs w:val="44"/>
        </w:rPr>
      </w:pPr>
    </w:p>
    <w:p>
      <w:pPr>
        <w:pStyle w:val="3"/>
        <w:adjustRightInd w:val="0"/>
        <w:snapToGrid w:val="0"/>
        <w:spacing w:before="0" w:beforeAutospacing="0" w:after="0" w:afterAutospacing="0" w:line="50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4"/>
          <w:szCs w:val="44"/>
        </w:rPr>
        <w:t xml:space="preserve">目 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z w:val="44"/>
          <w:szCs w:val="44"/>
        </w:rPr>
        <w:t>录</w:t>
      </w:r>
    </w:p>
    <w:p>
      <w:pPr>
        <w:pStyle w:val="3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hint="eastAsia" w:ascii="仿宋_GB2312" w:hAnsi="仿宋" w:eastAsia="仿宋_GB2312" w:cs="仿宋"/>
          <w:b/>
          <w:color w:val="auto"/>
          <w:sz w:val="32"/>
          <w:szCs w:val="32"/>
        </w:rPr>
      </w:pPr>
    </w:p>
    <w:p>
      <w:pPr>
        <w:pStyle w:val="3"/>
        <w:adjustRightInd w:val="0"/>
        <w:snapToGrid w:val="0"/>
        <w:spacing w:line="500" w:lineRule="exact"/>
        <w:ind w:firstLine="643" w:firstLineChars="200"/>
        <w:jc w:val="both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第一部分 部门“三公”经费预算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 xml:space="preserve">1. 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  <w:lang w:eastAsia="zh-CN"/>
        </w:rPr>
        <w:t>濉溪县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  <w:lang w:val="en-US" w:eastAsia="zh-CN"/>
        </w:rPr>
        <w:t>财政局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年“三公”经费支出预算表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仿宋_GB2312" w:hAnsi="仿宋" w:eastAsia="仿宋_GB2312" w:cs="仿宋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 xml:space="preserve">2. 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  <w:lang w:eastAsia="zh-CN"/>
        </w:rPr>
        <w:t>濉溪县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  <w:lang w:val="en-US" w:eastAsia="zh-CN"/>
        </w:rPr>
        <w:t>财政局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bCs/>
          <w:color w:val="auto"/>
          <w:sz w:val="32"/>
          <w:szCs w:val="32"/>
        </w:rPr>
        <w:t>年“三公”经费支出预算情况说明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after="0" w:afterAutospacing="0" w:line="500" w:lineRule="exact"/>
        <w:ind w:firstLine="721" w:firstLineChars="200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濉溪县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年“三公”经费预算</w:t>
      </w:r>
    </w:p>
    <w:p>
      <w:pPr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cs="Times New Roman"/>
          <w:color w:val="auto"/>
          <w:sz w:val="6"/>
          <w:szCs w:val="32"/>
        </w:rPr>
      </w:pPr>
    </w:p>
    <w:p>
      <w:pPr>
        <w:ind w:firstLine="640" w:firstLineChars="200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年“三公”经费支出预算表</w:t>
      </w:r>
    </w:p>
    <w:p>
      <w:pPr>
        <w:ind w:firstLine="640" w:firstLineChars="200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ind w:firstLine="420" w:firstLineChars="200"/>
        <w:jc w:val="right"/>
        <w:outlineLvl w:val="0"/>
        <w:rPr>
          <w:rFonts w:hint="default" w:ascii="Times New Roman" w:hAnsi="Times New Roman" w:eastAsia="黑体" w:cs="Times New Roman"/>
          <w:color w:val="auto"/>
          <w:szCs w:val="21"/>
        </w:rPr>
      </w:pPr>
      <w:r>
        <w:rPr>
          <w:rFonts w:hint="default" w:ascii="Times New Roman" w:hAnsi="Times New Roman" w:eastAsia="黑体" w:cs="Times New Roman"/>
          <w:color w:val="auto"/>
          <w:szCs w:val="21"/>
        </w:rPr>
        <w:t>单位：万元</w:t>
      </w:r>
    </w:p>
    <w:tbl>
      <w:tblPr>
        <w:tblStyle w:val="4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851"/>
        <w:gridCol w:w="1718"/>
        <w:gridCol w:w="1825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公务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小计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30" w:firstLineChars="15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5.8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5.8</w:t>
            </w:r>
          </w:p>
        </w:tc>
      </w:tr>
    </w:tbl>
    <w:p>
      <w:pPr>
        <w:spacing w:line="580" w:lineRule="exact"/>
        <w:ind w:firstLine="640" w:firstLineChars="200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年“三公”经费支出预算情况说明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濉溪县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财政局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年一般公共预算“三公”经费支出预算为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年预算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增加1.1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增长23.4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其中：因公出国（境）费支出预算为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万元，公务接待费支出预算为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万元，公务用车购置及运行费支出预算为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万元。具体情况如下：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643" w:firstLineChars="200"/>
        <w:textAlignment w:val="auto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（一）因公出国（境）费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支出预算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万元,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相比无变化</w:t>
      </w:r>
      <w:r>
        <w:rPr>
          <w:rFonts w:hint="eastAsia" w:ascii="仿宋_GB2312" w:hAnsi="仿宋" w:eastAsia="仿宋_GB2312"/>
          <w:sz w:val="32"/>
          <w:szCs w:val="32"/>
        </w:rPr>
        <w:t>，原因主要是厉行节约，严控因公出国（境）事项。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经费使用严格执行《安徽省省直党政机关因公临时出国经费管理办法》（财行〔2014〕104号）、《安徽省省直党政机关因公短期出国培训费用管理办法》（财行〔2014〕527号）等相关规定。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643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（二）公务用车购置及运行费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支出预算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相比无变化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。其中：公务用车运行费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相比无变化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，原因主要是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严格</w:t>
      </w:r>
      <w:r>
        <w:rPr>
          <w:rFonts w:hint="eastAsia" w:ascii="仿宋_GB2312" w:eastAsia="仿宋_GB2312"/>
          <w:sz w:val="32"/>
          <w:szCs w:val="32"/>
        </w:rPr>
        <w:t>落实公务用车制度改革的各项要求，部门不再保留车辆，实行公务交通补贴政策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公务用车购置费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相比无变化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，原因主要是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严格</w:t>
      </w:r>
      <w:r>
        <w:rPr>
          <w:rFonts w:hint="eastAsia" w:ascii="仿宋_GB2312" w:eastAsia="仿宋_GB2312"/>
          <w:sz w:val="32"/>
          <w:szCs w:val="32"/>
        </w:rPr>
        <w:t>落实公务用车制度改革政策要求，部门不再保留车辆，无需购置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车辆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（三）公务接待费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支出预算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万元，比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年预算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增加1.1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增长23.4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原因主要是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招商引资次数增加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。该项经费主要用于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招商引资支出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经费使用严格执行《党政机关厉行节约反对浪费条例》、《安徽省省直机关公务接待管理暂行办法》（财行〔2014〕2066号）、《安徽省财政厅关于调整省直机关公务接待费用餐标准的通知》（财行〔2018〕1096号）等相关规定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2Y1MzY1ZDczZTJkMTIzNTczZWQzODY3OTE2NWMifQ=="/>
  </w:docVars>
  <w:rsids>
    <w:rsidRoot w:val="5F955A5D"/>
    <w:rsid w:val="16DC5575"/>
    <w:rsid w:val="5F955A5D"/>
    <w:rsid w:val="7F3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2024-03-01T06:45:00Z</dcterms:created>
  <dc:creator>Administrator</dc:creator>
  <cp:lastModifiedBy>Administrator</cp:lastModifiedBy>
  <dcterms:modified xsi:type="dcterms:W3CDTF">2024-03-01T07:01:23Z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942345F3D9C04DC0AF816AD906D82BEF_11</vt:lpwstr>
  </property>
</Properties>
</file>