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permStart w:id="0" w:edGrp="everyone"/>
      <w:permEnd w:id="0"/>
      <w:bookmarkStart w:id="0" w:name="bookmark32"/>
      <w:bookmarkStart w:id="1" w:name="bookmark30"/>
      <w:bookmarkStart w:id="2" w:name="bookmark31"/>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r>
        <w:rPr>
          <w:rFonts w:hint="eastAsia" w:ascii="方正小标宋简体" w:hAnsi="方正小标宋简体" w:eastAsia="方正小标宋简体" w:cs="方正小标宋简体"/>
          <w:bCs/>
          <w:color w:val="000000"/>
          <w:kern w:val="2"/>
          <w:sz w:val="44"/>
          <w:szCs w:val="44"/>
          <w:lang w:eastAsia="zh-CN" w:bidi="ar-SA"/>
        </w:rPr>
        <w:t>表</w:t>
      </w:r>
      <w:r>
        <w:rPr>
          <w:rFonts w:hint="eastAsia" w:ascii="方正小标宋简体" w:hAnsi="方正小标宋简体" w:eastAsia="方正小标宋简体" w:cs="方正小标宋简体"/>
          <w:bCs/>
          <w:color w:val="000000"/>
          <w:kern w:val="2"/>
          <w:sz w:val="44"/>
          <w:szCs w:val="44"/>
          <w:lang w:val="en-US" w:eastAsia="zh-CN" w:bidi="ar-SA"/>
        </w:rPr>
        <w:t xml:space="preserve">1-3  </w:t>
      </w:r>
      <w:r>
        <w:rPr>
          <w:rFonts w:hint="eastAsia" w:ascii="方正小标宋简体" w:hAnsi="方正小标宋简体" w:eastAsia="方正小标宋简体" w:cs="方正小标宋简体"/>
          <w:bCs/>
          <w:color w:val="000000"/>
          <w:kern w:val="2"/>
          <w:sz w:val="44"/>
          <w:szCs w:val="44"/>
          <w:lang w:eastAsia="zh-CN" w:bidi="ar-SA"/>
        </w:rPr>
        <w:t>餐饮服务监督检查要点表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color w:val="000000"/>
          <w:kern w:val="2"/>
          <w:sz w:val="24"/>
          <w:szCs w:val="24"/>
          <w:lang w:eastAsia="zh-CN" w:bidi="ar-SA"/>
        </w:rPr>
      </w:pPr>
      <w:r>
        <w:rPr>
          <w:rFonts w:hint="eastAsia" w:ascii="宋体" w:hAnsi="宋体" w:eastAsia="宋体" w:cs="宋体"/>
          <w:kern w:val="2"/>
          <w:sz w:val="24"/>
          <w:szCs w:val="24"/>
          <w:lang w:eastAsia="zh-CN" w:bidi="ar-SA"/>
        </w:rPr>
        <w:t>检查项目：重点项（*）</w:t>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37</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56</w:t>
      </w:r>
      <w:r>
        <w:rPr>
          <w:rFonts w:hint="eastAsia" w:ascii="宋体" w:hAnsi="宋体" w:eastAsia="宋体" w:cs="宋体"/>
          <w:kern w:val="2"/>
          <w:sz w:val="24"/>
          <w:szCs w:val="24"/>
          <w:lang w:eastAsia="zh-CN" w:bidi="ar-SA"/>
        </w:rPr>
        <w:t>项</w:t>
      </w:r>
    </w:p>
    <w:tbl>
      <w:tblPr>
        <w:tblStyle w:val="6"/>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1236"/>
        <w:gridCol w:w="7246"/>
        <w:gridCol w:w="146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1"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检查项目</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序号</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检查内容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检查结果</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1330"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eastAsia="zh-CN" w:bidi="ar-SA"/>
              </w:rPr>
              <w:t>餐饮服务提供者资质</w:t>
            </w:r>
          </w:p>
        </w:tc>
        <w:tc>
          <w:tcPr>
            <w:tcW w:w="123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食品经营许可证合法有效、与经营场所（实体门店）地址一致。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未超出许可经营项目开展餐饮服务活动。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2.信息公示</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在经营场所的显著位置悬挂或者摆放食品经营许可证正本，或以电子形式公示。</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曾开展过日常监督检查的餐饮服务提供者，按规定在经营场所醒目位置张贴或者公开展示对消费者有重要影响的监督检查结果记录表。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公示从事接触直接入口食品工作的从业人员的有效健康证明。</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入网餐饮服务提供者</w:t>
            </w:r>
            <w:r>
              <w:rPr>
                <w:rFonts w:hint="eastAsia" w:ascii="宋体" w:hAnsi="宋体" w:eastAsia="宋体" w:cs="宋体"/>
                <w:color w:val="000000"/>
                <w:kern w:val="2"/>
                <w:sz w:val="24"/>
                <w:szCs w:val="24"/>
                <w:highlight w:val="none"/>
                <w:lang w:eastAsia="zh-CN" w:bidi="ar-SA"/>
              </w:rPr>
              <w:t>在线上经</w:t>
            </w:r>
            <w:r>
              <w:rPr>
                <w:rFonts w:hint="eastAsia" w:ascii="宋体" w:hAnsi="宋体" w:eastAsia="宋体" w:cs="宋体"/>
                <w:color w:val="000000"/>
                <w:kern w:val="2"/>
                <w:sz w:val="24"/>
                <w:szCs w:val="24"/>
                <w:lang w:eastAsia="zh-CN" w:bidi="ar-SA"/>
              </w:rPr>
              <w:t>营活动主页面公示餐饮服务提供者名称、地址、食品经营许可证等信息，公示信息真实，及时更新。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3.从业人员健康管理</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制定从业人员健康管理制度。</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餐饮服务企业对各岗位从业人员进行相应的食品安全知识培训，做好培训记录。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有每日健康检查（晨检）记录。从事接触直接入口食品工作的从业人员持有有效的健康证明，未患有碍食品安全病症或手部有伤口。</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在岗从业人员保持良好个人卫生，手部清洁，无留长指甲、涂指甲油、饰物外露等情形。</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在岗从业人员穿戴洁净的工作衣帽。专间、专用操作区和其他操作区的从业人员工作服有明显区分。</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专间及专用操作区内的从业人员操作时，佩戴清洁的口罩，口罩遮住口鼻。</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eastAsia="zh-CN" w:bidi="ar-SA"/>
              </w:rPr>
              <w:t>原料控制（含食品添加剂、食品相关产品）</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随机抽查的餐饮服务提供者的食品、食品添加剂、食品相关产品有进货查验记录和合格证明文件。</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食品贮存区不存在食品与非食品混放情形，未存放有毒有害物质；食品贮存符合分类、分架、离墙、离地、有标识等要求。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需冷冻（藏）的食品原料、半成品和成品及时按要求进行冷冻（藏）。冷冻（藏）设施中的食品不存在原料、半成品、成品混放等情形；冷冻（藏）设施设有可正确显示内部温度的测温装置，冷冻（藏）温度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*4.4</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现场未查见无标签标识、无法说明来源以及其他明令禁止生产经营的物质。</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特定餐饮服务提供者建立供货者评价和退出机制，自行或委托第三方机构定期对供货者食品安全状况进行现场评价。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在加工间和贮存设施内随机抽查的食品原料感官性状无异常、食品包装和标签标识符合要求。未采购、贮存、使用散装食盐。</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对变质、超过保质期或者回收的食品进行显著标示或者单独存放在有明确标志的场所，及时进行无害化处理、销毁等，并如实记录。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食品加工用水水质符合生活饮用水卫生标准。加工制作现榨果蔬汁和食用冰等直接入口食品的用水通过净水设施处理，或使用预包装饮用水、煮沸冷却后的生活饮用水。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5.</w:t>
            </w:r>
            <w:r>
              <w:rPr>
                <w:rFonts w:hint="eastAsia" w:ascii="宋体" w:hAnsi="宋体" w:eastAsia="宋体" w:cs="宋体"/>
                <w:bCs/>
                <w:color w:val="000000"/>
                <w:kern w:val="2"/>
                <w:sz w:val="24"/>
                <w:szCs w:val="24"/>
                <w:lang w:eastAsia="zh-CN" w:bidi="ar-SA"/>
              </w:rPr>
              <w:t>加工制作过程</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eastAsia="zh-CN" w:bidi="ar-SA"/>
              </w:rPr>
            </w:pPr>
            <w:r>
              <w:rPr>
                <w:rFonts w:hint="eastAsia" w:ascii="宋体" w:hAnsi="宋体" w:eastAsia="宋体" w:cs="宋体"/>
                <w:bCs/>
                <w:color w:val="000000"/>
                <w:kern w:val="2"/>
                <w:sz w:val="24"/>
                <w:szCs w:val="24"/>
                <w:lang w:eastAsia="zh-CN" w:bidi="ar-SA"/>
              </w:rPr>
              <w:t>具有与其加工制作的食品品种、数量相适应的加工场所及设施设备等。</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bCs/>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w:t>
            </w:r>
          </w:p>
        </w:tc>
        <w:tc>
          <w:tcPr>
            <w:tcW w:w="7246" w:type="dxa"/>
            <w:tcBorders>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原料、半成品、成品及其盛放容器和加工制作工具区分标识明显、分开放置和使用；防止食品交叉污染的措施有效。</w:t>
            </w:r>
          </w:p>
        </w:tc>
        <w:tc>
          <w:tcPr>
            <w:tcW w:w="1466" w:type="dxa"/>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w:t>
            </w:r>
          </w:p>
        </w:tc>
        <w:tc>
          <w:tcPr>
            <w:tcW w:w="7246" w:type="dxa"/>
            <w:tcBorders>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不存在《食品安全法》等法律、法规禁止的行为。</w:t>
            </w:r>
          </w:p>
        </w:tc>
        <w:tc>
          <w:tcPr>
            <w:tcW w:w="1466"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食品原料洗净后使用。各类水池有明显标识标明用途，分类清洗动物性食品、植物性食品和水产品。未经清洁的禽蛋使用前清洁外壳。</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盛放调味料的容器保持清洁，加盖存放。煎炸油的色泽、气味、状态无异常，必要时进行检测。油炸类食品、烧烤类食品、火锅类食品、糕点类食品、自制饮品等加工过程符合要求。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*5.6</w:t>
            </w:r>
          </w:p>
        </w:tc>
        <w:tc>
          <w:tcPr>
            <w:tcW w:w="7246" w:type="dxa"/>
            <w:tcBorders>
              <w:top w:val="nil"/>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专间及专用操作区的标识、设施、人员及操作符合要求。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中小学、幼儿园食堂未制售冷荤类食品、生食类食品、裱花蛋糕，未加工制作四季豆、鲜黄花菜、野生蘑菇、发芽土豆等高风险食品，未设置酒销售点。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6.食品添加剂使用管理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食品添加剂存放、使用、管理符合要求。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未采购、贮存、使用亚硝酸盐等国家禁止在餐饮业使用的品种。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kern w:val="2"/>
                <w:sz w:val="24"/>
                <w:szCs w:val="24"/>
                <w:lang w:eastAsia="zh-CN" w:bidi="ar-SA"/>
              </w:rPr>
              <w:t>备餐、供餐与配送</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备餐场所、备餐人员个人卫生、盛装食品成品的容器和分派菜肴整理造型的工具、菜肴围边和盘花符合要求。食品存放温度和时间符合要求。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采取有效措施，防止供餐过程中食品受到污染。学校食堂就餐区或者就餐区附近应当设置供用餐者清洗手部以及餐具、饮具的用水设施。</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具备符合贮存、运输要求的设施设备。食品的传送电梯、配送车辆、存放食品的车厢或配送箱（包）、与食品直接接触的配送容器符合要求。食品配送过程符合要求。</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中央厨房配送过程中，食品的包装或盛放符合要求，包装或盛放容器上标注的信息符合要求。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集体用餐配送单位配送过程中，食品的盛放容器密闭，食品容器上标注的信息符合要求。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7.6</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外卖送餐人员保持个人卫生、配送箱（包）保持清洁。配送箱（包）中，直接入口食品和非直接入口食品、需低温保存的食品和热食品分隔放置，并保证食品温度符合食品安全要求。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8.</w:t>
            </w:r>
            <w:r>
              <w:rPr>
                <w:rFonts w:hint="eastAsia" w:ascii="宋体" w:hAnsi="宋体" w:eastAsia="宋体" w:cs="宋体"/>
                <w:bCs/>
                <w:color w:val="000000"/>
                <w:kern w:val="2"/>
                <w:sz w:val="24"/>
                <w:szCs w:val="24"/>
                <w:lang w:eastAsia="zh-CN" w:bidi="ar-SA"/>
              </w:rPr>
              <w:t>场所和设备设施清洁维护</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未在餐饮经营场所内饲养、暂养和宰杀畜禽；场所及设施设备布局合理。</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w:t>
            </w:r>
          </w:p>
        </w:tc>
        <w:tc>
          <w:tcPr>
            <w:tcW w:w="7246" w:type="dxa"/>
            <w:tcBorders>
              <w:top w:val="single" w:color="auto" w:sz="4" w:space="0"/>
              <w:left w:val="single" w:color="auto" w:sz="4" w:space="0"/>
              <w:right w:val="single" w:color="auto" w:sz="4" w:space="0"/>
            </w:tcBorders>
            <w:shd w:val="clear" w:color="auto" w:fill="auto"/>
            <w:vAlign w:val="center"/>
          </w:tcPr>
          <w:p>
            <w:pPr>
              <w:widowControl/>
              <w:shd w:val="clear" w:color="auto" w:fill="auto"/>
              <w:overflowPunct w:val="0"/>
              <w:snapToGrid/>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lang w:eastAsia="zh-CN" w:bidi="ar-SA"/>
              </w:rPr>
              <w:t>保持餐饮经营场所环境清洁，墙壁、天花板、门窗、地面、排水沟、操作台、食品加工用具等无破损、霉斑、积油、积水、污垢等。</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冷冻（藏）、保温、陈列、采光、通风、洗手、消毒、三防等设施设备能正常使用。特定餐饮服务提供者具有设施设备维护记录。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有害生物防治措施有效，不存在明显的有害生物活动迹象。餐饮服务企业、中央厨房、集体用餐配送单位、学校（含托幼机构）食堂、养老机构食堂、医疗机构食堂有定期除虫灭害记录。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卫生间设置位置符合要求，能够保持清洁。</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餐厨废弃物的存放及清理符合要求。</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eastAsia="zh-CN" w:bidi="ar-SA"/>
              </w:rPr>
              <w:t>餐饮具清洗消毒</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w:t>
            </w:r>
          </w:p>
        </w:tc>
        <w:tc>
          <w:tcPr>
            <w:tcW w:w="7246" w:type="dxa"/>
            <w:tcBorders>
              <w:top w:val="single" w:color="auto" w:sz="4" w:space="0"/>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0"/>
                <w:kern w:val="2"/>
                <w:sz w:val="24"/>
                <w:szCs w:val="24"/>
                <w:lang w:eastAsia="zh-CN" w:bidi="ar-SA"/>
              </w:rPr>
              <w:t>餐用具清洗水池专用，标有明显标识，满足清洗需要。使用的洗涤剂符合食品安全国家标准，包装标识齐全。</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采用物理消毒的，消毒设施（包括一体化洗碗消毒机）运转正常并能满足消毒需要。采用化学消毒的，使用的消毒剂为正规产品，消毒液使用、配制等符合要求。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保洁设施符合相关要求，保洁设施内存放的餐饮具保持清洁。</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使用集中清洗消毒餐饮具的，查验、留存集中消毒服务单位的营业执照复印件和消毒合格证明。餐饮具包装无破损、标识符合要求、在使用期限内。</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未发现使用未经清洗消毒的餐饮具、重复使用一次性餐饮具。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eastAsia="zh-CN" w:bidi="ar-SA"/>
              </w:rPr>
              <w:t>食品安全管理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0"/>
                <w:sz w:val="24"/>
                <w:szCs w:val="24"/>
                <w:lang w:eastAsia="zh-CN" w:bidi="ar-SA"/>
              </w:rPr>
              <w:t>建立并不断完善健全食品安全管理制度</w:t>
            </w:r>
            <w:r>
              <w:rPr>
                <w:rFonts w:hint="eastAsia" w:ascii="宋体" w:hAnsi="宋体" w:eastAsia="宋体" w:cs="宋体"/>
                <w:color w:val="000000"/>
                <w:spacing w:val="-11"/>
                <w:kern w:val="2"/>
                <w:sz w:val="24"/>
                <w:szCs w:val="24"/>
                <w:lang w:eastAsia="zh-CN" w:bidi="ar-SA"/>
              </w:rPr>
              <w:t>，特定餐饮服务提供者制定加工操作规程。中央厨房、集体用餐配送</w:t>
            </w:r>
            <w:r>
              <w:rPr>
                <w:rFonts w:hint="eastAsia" w:ascii="宋体" w:hAnsi="宋体" w:eastAsia="宋体" w:cs="宋体"/>
                <w:color w:val="000000"/>
                <w:spacing w:val="-11"/>
                <w:kern w:val="0"/>
                <w:sz w:val="24"/>
                <w:szCs w:val="24"/>
                <w:lang w:eastAsia="zh-CN" w:bidi="ar-SA"/>
              </w:rPr>
              <w:t>单位、连锁餐饮企业总部、网络餐饮服务第三方平台提供者设立食品安全管理机构。</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餐饮服务企业、网络餐饮服务第三方平台提供者、学校（含托幼机构）食堂、养老机构食堂、医疗机构食堂配备专职或兼职食品安全管理人员，留存食品安全管理人员任职文件等证明资料。</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随机对食品安全管理人员抽查考核食品安全知识，结果符合要求。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2"/>
                <w:sz w:val="24"/>
                <w:szCs w:val="24"/>
                <w:lang w:eastAsia="zh-CN" w:bidi="ar-SA"/>
              </w:rPr>
              <w:t>餐饮服务企业、网络餐饮服务第三方平台提供者、学校（含托幼机构）食堂、养老机构食堂、医疗机构食堂有食品安全事故处置方案。</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建立食品安全自查制度，定期对食品安全状况进行检查评价，有食品安全自查记录，自查频次和内容符合相关规定。自查内容真实反映管理现状，及时整改发现的问题。</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sym w:font="Wingdings 2" w:char="00A3"/>
            </w: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0"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adjustRightInd/>
              <w:snapToGrid/>
              <w:jc w:val="left"/>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2"/>
                <w:sz w:val="24"/>
                <w:szCs w:val="24"/>
                <w:lang w:eastAsia="zh-CN" w:bidi="ar-SA"/>
              </w:rPr>
              <w:t>中央厨房和集体用餐配送单位自行或委托具有资质的第三方机构定期对大宗食品原料、加工制作环境进行检验检测，有检验检测结果记录。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sym w:font="Wingdings 2" w:char="00A3"/>
            </w:r>
            <w:r>
              <w:rPr>
                <w:rFonts w:hint="eastAsia" w:ascii="宋体" w:hAnsi="宋体" w:eastAsia="宋体" w:cs="宋体"/>
                <w:color w:val="000000"/>
                <w:kern w:val="2"/>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lang w:eastAsia="zh-CN" w:bidi="ar-SA"/>
              </w:rPr>
              <w:t>制止餐饮浪费</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主动对消费者进行防止食品浪费提示提醒。</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restart"/>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若地方人民政府指定市场监督管理部门作为上述工作的职责部门，开展此项检查。若地方人民政府未指定市场监督管理部门作为上述工作的职责部门，不开展此项检查。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未发现诱导、误导消费者超量点餐造成明显浪费。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未发现经营过程中存在严重浪费。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13382" w:type="dxa"/>
            <w:gridSpan w:val="5"/>
            <w:tcBorders>
              <w:left w:val="single" w:color="auto" w:sz="4" w:space="0"/>
              <w:right w:val="single" w:color="auto" w:sz="4" w:space="0"/>
            </w:tcBorders>
            <w:shd w:val="clear" w:color="auto" w:fill="auto"/>
            <w:vAlign w:val="center"/>
          </w:tcPr>
          <w:p>
            <w:pPr>
              <w:spacing w:before="156" w:beforeLines="50" w:after="156" w:afterLines="50" w:line="270" w:lineRule="exact"/>
              <w:jc w:val="left"/>
              <w:rPr>
                <w:rFonts w:hint="eastAsia" w:ascii="宋体" w:hAnsi="宋体" w:eastAsia="宋体" w:cs="宋体"/>
                <w:color w:val="000000"/>
                <w:kern w:val="0"/>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pPr>
        <w:spacing w:line="240" w:lineRule="auto"/>
        <w:ind w:firstLine="480" w:firstLineChars="200"/>
        <w:jc w:val="both"/>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说明：</w:t>
      </w:r>
      <w:r>
        <w:rPr>
          <w:rFonts w:hint="eastAsia" w:ascii="宋体" w:hAnsi="宋体" w:eastAsia="宋体" w:cs="宋体"/>
          <w:kern w:val="2"/>
          <w:sz w:val="24"/>
          <w:szCs w:val="24"/>
          <w:lang w:eastAsia="zh-CN" w:bidi="ar-SA"/>
        </w:rPr>
        <w:t>如果检查项目存在合理缺项，该项无需勾选“是”与“否”，并在备注中说明，不计入否项数。</w:t>
      </w: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spacing w:line="240" w:lineRule="auto"/>
        <w:ind w:firstLine="480" w:firstLineChars="200"/>
        <w:jc w:val="both"/>
        <w:rPr>
          <w:rFonts w:hint="eastAsia" w:ascii="宋体" w:hAnsi="宋体" w:eastAsia="宋体" w:cs="宋体"/>
          <w:kern w:val="2"/>
          <w:sz w:val="24"/>
          <w:szCs w:val="24"/>
          <w:lang w:eastAsia="zh-CN" w:bidi="ar-SA"/>
        </w:rPr>
      </w:pPr>
    </w:p>
    <w:p>
      <w:pPr>
        <w:adjustRightInd w:val="0"/>
        <w:snapToGrid w:val="0"/>
        <w:spacing w:line="520" w:lineRule="exact"/>
        <w:jc w:val="center"/>
        <w:rPr>
          <w:rFonts w:hint="eastAsia" w:ascii="方正小标宋简体" w:eastAsia="方正小标宋简体"/>
          <w:sz w:val="44"/>
          <w:szCs w:val="44"/>
          <w:lang w:eastAsia="zh-CN"/>
        </w:rPr>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 xml:space="preserve">2-2  </w:t>
      </w:r>
      <w:r>
        <w:rPr>
          <w:rFonts w:hint="eastAsia" w:ascii="方正小标宋简体" w:eastAsia="方正小标宋简体"/>
          <w:sz w:val="44"/>
          <w:szCs w:val="44"/>
        </w:rPr>
        <w:t>食品经营监督检查结果记录表</w:t>
      </w:r>
    </w:p>
    <w:p>
      <w:pPr>
        <w:spacing w:before="156" w:beforeLines="50"/>
        <w:jc w:val="center"/>
        <w:rPr>
          <w:rFonts w:hint="default" w:ascii="宋体" w:hAnsi="宋体" w:eastAsia="宋体"/>
          <w:sz w:val="24"/>
          <w:lang w:val="en-US" w:eastAsia="zh-CN"/>
        </w:rPr>
      </w:pPr>
      <w:r>
        <w:rPr>
          <w:rFonts w:hint="eastAsia" w:ascii="宋体" w:hAnsi="宋体"/>
          <w:sz w:val="24"/>
        </w:rPr>
        <w:t xml:space="preserve">                                          编号：</w:t>
      </w:r>
      <w:r>
        <w:rPr>
          <w:rFonts w:hint="eastAsia" w:ascii="宋体" w:hAnsi="宋体" w:eastAsia="宋体"/>
          <w:sz w:val="24"/>
          <w:lang w:val="en-US" w:eastAsia="zh-CN"/>
        </w:rPr>
        <w:t>2023-3-000001</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lang w:eastAsia="zh-CN"/>
              </w:rPr>
              <w:t>被检查单位</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rPr>
            </w:pPr>
            <w:r>
              <w:rPr>
                <w:rFonts w:hint="eastAsia" w:ascii="宋体" w:hAnsi="宋体"/>
                <w:szCs w:val="21"/>
              </w:rPr>
              <w:t>许可证编号</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或备案编号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《反食品浪费法》《未成年人保护法</w:t>
            </w:r>
            <w:r>
              <w:rPr>
                <w:rFonts w:hint="eastAsia" w:ascii="宋体" w:hAnsi="宋体" w:eastAsia="宋体"/>
                <w:szCs w:val="21"/>
                <w:lang w:eastAsia="zh-CN"/>
              </w:rPr>
              <w:t>》，</w:t>
            </w:r>
            <w:r>
              <w:rPr>
                <w:rFonts w:hint="eastAsia" w:ascii="宋体" w:hAnsi="宋体"/>
                <w:szCs w:val="21"/>
                <w:lang w:eastAsia="zh-CN"/>
              </w:rPr>
              <w:t>以及</w:t>
            </w:r>
            <w:r>
              <w:rPr>
                <w:rFonts w:hint="eastAsia" w:ascii="宋体" w:hAnsi="宋体"/>
                <w:szCs w:val="21"/>
              </w:rPr>
              <w:t>《食品生产经营监督检查管理办法》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w:t>
            </w:r>
            <w:r>
              <w:rPr>
                <w:rFonts w:hint="eastAsia" w:ascii="宋体" w:hAnsi="宋体"/>
                <w:szCs w:val="21"/>
                <w:lang w:eastAsia="zh-CN"/>
              </w:rPr>
              <w:t>系检查</w:t>
            </w:r>
            <w:r>
              <w:rPr>
                <w:rFonts w:hint="eastAsia" w:ascii="宋体" w:hAnsi="宋体" w:eastAsia="宋体" w:cs="Times New Roman"/>
                <w:sz w:val="21"/>
                <w:szCs w:val="21"/>
                <w:lang w:eastAsia="zh-CN"/>
              </w:rPr>
              <w:t>。</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rPr>
              <w:t>共检查了（    ）项内容</w:t>
            </w:r>
            <w:r>
              <w:rPr>
                <w:rFonts w:hint="eastAsia" w:ascii="宋体" w:hAnsi="宋体"/>
                <w:szCs w:val="21"/>
                <w:lang w:eastAsia="zh-CN"/>
              </w:rPr>
              <w:t>，</w:t>
            </w:r>
            <w:r>
              <w:rPr>
                <w:rFonts w:hint="eastAsia" w:ascii="宋体" w:hAnsi="宋体"/>
                <w:szCs w:val="21"/>
              </w:rPr>
              <w:t>其中</w:t>
            </w:r>
            <w:r>
              <w:rPr>
                <w:rFonts w:hint="eastAsia" w:ascii="宋体" w:hAnsi="宋体"/>
                <w:szCs w:val="21"/>
                <w:lang w:eastAsia="zh-CN"/>
              </w:rPr>
              <w:t>重点项（</w:t>
            </w:r>
            <w:r>
              <w:rPr>
                <w:rFonts w:hint="eastAsia" w:ascii="宋体" w:hAnsi="宋体"/>
                <w:szCs w:val="21"/>
                <w:lang w:val="en-US" w:eastAsia="zh-CN"/>
              </w:rPr>
              <w:t xml:space="preserve">  </w:t>
            </w:r>
            <w:r>
              <w:rPr>
                <w:rFonts w:hint="eastAsia" w:ascii="宋体" w:hAnsi="宋体"/>
                <w:szCs w:val="21"/>
                <w:lang w:eastAsia="zh-CN"/>
              </w:rPr>
              <w:t>）项，一般项（</w:t>
            </w:r>
            <w:r>
              <w:rPr>
                <w:rFonts w:hint="eastAsia" w:ascii="宋体" w:hAnsi="宋体"/>
                <w:szCs w:val="21"/>
                <w:lang w:val="en-US" w:eastAsia="zh-CN"/>
              </w:rPr>
              <w:t xml:space="preserve">  </w:t>
            </w:r>
            <w:r>
              <w:rPr>
                <w:rFonts w:hint="eastAsia" w:ascii="宋体" w:hAnsi="宋体"/>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8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80" w:leftChars="200"/>
              <w:jc w:val="left"/>
              <w:rPr>
                <w:rFonts w:hint="eastAsia" w:ascii="宋体" w:hAnsi="宋体"/>
                <w:szCs w:val="21"/>
                <w:lang w:eastAsia="zh-CN"/>
              </w:rPr>
            </w:pPr>
          </w:p>
          <w:p>
            <w:pPr>
              <w:spacing w:line="420" w:lineRule="atLeast"/>
              <w:ind w:left="48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4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80" w:leftChars="100" w:hanging="24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4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4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szCs w:val="21"/>
                <w:u w:val="single"/>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b/>
          <w:bCs/>
          <w:sz w:val="30"/>
          <w:szCs w:val="30"/>
        </w:rPr>
      </w:pPr>
      <w:r>
        <w:rPr>
          <w:rFonts w:hint="eastAsia" w:ascii="宋体" w:hAnsi="宋体"/>
          <w:b/>
          <w:bCs/>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7"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spacing w:line="240" w:lineRule="auto"/>
        <w:ind w:firstLine="480" w:firstLineChars="200"/>
        <w:jc w:val="both"/>
        <w:rPr>
          <w:rFonts w:hint="eastAsia" w:ascii="宋体" w:hAnsi="宋体" w:eastAsia="宋体" w:cs="宋体"/>
          <w:kern w:val="2"/>
          <w:sz w:val="24"/>
          <w:szCs w:val="24"/>
          <w:lang w:val="en-US" w:eastAsia="zh-CN" w:bidi="ar-SA"/>
        </w:rPr>
      </w:pPr>
    </w:p>
    <w:sectPr>
      <w:pgSz w:w="11900" w:h="16840"/>
      <w:pgMar w:top="2058" w:right="1626" w:bottom="1871" w:left="1619" w:header="0" w:footer="6" w:gutter="0"/>
      <w:pgBorders>
        <w:top w:val="none" w:sz="0" w:space="0"/>
        <w:left w:val="none" w:sz="0" w:space="0"/>
        <w:bottom w:val="none" w:sz="0" w:space="0"/>
        <w:right w:val="none" w:sz="0" w:space="0"/>
      </w:pgBorders>
      <w:pgNumType w:fmt="numberInDash"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MjM0NzVmNGY4NWVmODRjNjc4MzMwOTU0YjJjZTgifQ=="/>
  </w:docVars>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6F0A16"/>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5EB829"/>
    <w:rsid w:val="3877960A"/>
    <w:rsid w:val="38992B94"/>
    <w:rsid w:val="38EE736C"/>
    <w:rsid w:val="39986BBB"/>
    <w:rsid w:val="39BB0121"/>
    <w:rsid w:val="39D9436C"/>
    <w:rsid w:val="39DA0F22"/>
    <w:rsid w:val="3A705DCD"/>
    <w:rsid w:val="3B1615A7"/>
    <w:rsid w:val="3D356E4E"/>
    <w:rsid w:val="3DE42E62"/>
    <w:rsid w:val="3DEF5F11"/>
    <w:rsid w:val="3E36420B"/>
    <w:rsid w:val="3EC36EF2"/>
    <w:rsid w:val="3F4E3F53"/>
    <w:rsid w:val="3F560BF4"/>
    <w:rsid w:val="3F7B7E3A"/>
    <w:rsid w:val="3F8219C9"/>
    <w:rsid w:val="3FB9820A"/>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2E33CA"/>
    <w:rsid w:val="4F3713BF"/>
    <w:rsid w:val="4F445F9C"/>
    <w:rsid w:val="4F58373D"/>
    <w:rsid w:val="4F6DC22A"/>
    <w:rsid w:val="4F7277E8"/>
    <w:rsid w:val="4F7DD41D"/>
    <w:rsid w:val="51145923"/>
    <w:rsid w:val="523D116B"/>
    <w:rsid w:val="527C1283"/>
    <w:rsid w:val="52BE3ECA"/>
    <w:rsid w:val="53732C66"/>
    <w:rsid w:val="54065BA4"/>
    <w:rsid w:val="54907A8E"/>
    <w:rsid w:val="54E757B1"/>
    <w:rsid w:val="5587256E"/>
    <w:rsid w:val="55BC0137"/>
    <w:rsid w:val="55D466A2"/>
    <w:rsid w:val="55EE4C8B"/>
    <w:rsid w:val="55FBF798"/>
    <w:rsid w:val="56523291"/>
    <w:rsid w:val="57503E6A"/>
    <w:rsid w:val="579F921D"/>
    <w:rsid w:val="580707DB"/>
    <w:rsid w:val="5ACF4240"/>
    <w:rsid w:val="5AE634CA"/>
    <w:rsid w:val="5BAA01E7"/>
    <w:rsid w:val="5BBF3811"/>
    <w:rsid w:val="5BC5DD2E"/>
    <w:rsid w:val="5BDD4CD9"/>
    <w:rsid w:val="5C9C6B0B"/>
    <w:rsid w:val="5CC944CC"/>
    <w:rsid w:val="5CDF04A6"/>
    <w:rsid w:val="5CF54D8D"/>
    <w:rsid w:val="5DCE0396"/>
    <w:rsid w:val="5DF34452"/>
    <w:rsid w:val="5DFD6058"/>
    <w:rsid w:val="5EC60F3C"/>
    <w:rsid w:val="5F7F506E"/>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7D96C"/>
    <w:rsid w:val="6BFFF118"/>
    <w:rsid w:val="6C7A1DEF"/>
    <w:rsid w:val="6C9153D9"/>
    <w:rsid w:val="6C951D1D"/>
    <w:rsid w:val="6CA43E69"/>
    <w:rsid w:val="6DA0128D"/>
    <w:rsid w:val="6DD1034D"/>
    <w:rsid w:val="6E36488C"/>
    <w:rsid w:val="6E375267"/>
    <w:rsid w:val="6E661D1D"/>
    <w:rsid w:val="6E7FB923"/>
    <w:rsid w:val="6F496F9F"/>
    <w:rsid w:val="6F7A14C8"/>
    <w:rsid w:val="6FDF177B"/>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4D5ACEA"/>
    <w:rsid w:val="74F6DE40"/>
    <w:rsid w:val="750C577E"/>
    <w:rsid w:val="75F242CF"/>
    <w:rsid w:val="76DCBA54"/>
    <w:rsid w:val="770624CE"/>
    <w:rsid w:val="7728328B"/>
    <w:rsid w:val="773A0F51"/>
    <w:rsid w:val="77897DED"/>
    <w:rsid w:val="77BDFCE3"/>
    <w:rsid w:val="77FF33BB"/>
    <w:rsid w:val="786611E4"/>
    <w:rsid w:val="78973391"/>
    <w:rsid w:val="79785CC1"/>
    <w:rsid w:val="79A56F8F"/>
    <w:rsid w:val="79AA2C5E"/>
    <w:rsid w:val="7AD95FCD"/>
    <w:rsid w:val="7BAE039F"/>
    <w:rsid w:val="7BEEF87A"/>
    <w:rsid w:val="7CB90BBF"/>
    <w:rsid w:val="7CFDC7CC"/>
    <w:rsid w:val="7CFE6813"/>
    <w:rsid w:val="7D7F16E7"/>
    <w:rsid w:val="7D9A0295"/>
    <w:rsid w:val="7DF341FB"/>
    <w:rsid w:val="7E555EB8"/>
    <w:rsid w:val="7E7121F0"/>
    <w:rsid w:val="7EC44BD1"/>
    <w:rsid w:val="7ED11DED"/>
    <w:rsid w:val="7ED970AE"/>
    <w:rsid w:val="7EFDF1B2"/>
    <w:rsid w:val="7EFFE652"/>
    <w:rsid w:val="7F6F144B"/>
    <w:rsid w:val="7F7E8976"/>
    <w:rsid w:val="7FCA7DF4"/>
    <w:rsid w:val="7FDA6DB3"/>
    <w:rsid w:val="7FE6C9A2"/>
    <w:rsid w:val="7FF9BA35"/>
    <w:rsid w:val="7FFB56F0"/>
    <w:rsid w:val="8FBF034B"/>
    <w:rsid w:val="8FBF3156"/>
    <w:rsid w:val="9B7332E7"/>
    <w:rsid w:val="9CBD5B73"/>
    <w:rsid w:val="9EFE0A97"/>
    <w:rsid w:val="9F6EF0F7"/>
    <w:rsid w:val="9FE95DDC"/>
    <w:rsid w:val="AE670FB9"/>
    <w:rsid w:val="AFF3C55A"/>
    <w:rsid w:val="B6FEF627"/>
    <w:rsid w:val="BA7B23C6"/>
    <w:rsid w:val="BB634D3D"/>
    <w:rsid w:val="BBBF0CFA"/>
    <w:rsid w:val="BBFEA4A3"/>
    <w:rsid w:val="BC9BE0EC"/>
    <w:rsid w:val="BD3B0D8A"/>
    <w:rsid w:val="BD434A1F"/>
    <w:rsid w:val="BE4E8399"/>
    <w:rsid w:val="BF2DE8C6"/>
    <w:rsid w:val="BFE75A2A"/>
    <w:rsid w:val="BFFB9D78"/>
    <w:rsid w:val="C6FED216"/>
    <w:rsid w:val="CFDDB7C8"/>
    <w:rsid w:val="D2E798A2"/>
    <w:rsid w:val="D8FF7499"/>
    <w:rsid w:val="DDFB835A"/>
    <w:rsid w:val="DEB5EF6B"/>
    <w:rsid w:val="DFAF2865"/>
    <w:rsid w:val="DFCE8D44"/>
    <w:rsid w:val="E7A78A74"/>
    <w:rsid w:val="EAFD8E78"/>
    <w:rsid w:val="ED2F72CF"/>
    <w:rsid w:val="ED7FA6E9"/>
    <w:rsid w:val="EFB4C461"/>
    <w:rsid w:val="EFBD4FE9"/>
    <w:rsid w:val="EFECFA9B"/>
    <w:rsid w:val="EFF7EA02"/>
    <w:rsid w:val="F36F31C5"/>
    <w:rsid w:val="F37FE375"/>
    <w:rsid w:val="F5C94031"/>
    <w:rsid w:val="F6FE2F54"/>
    <w:rsid w:val="F79B42C3"/>
    <w:rsid w:val="F7FBD06B"/>
    <w:rsid w:val="F7FF95D0"/>
    <w:rsid w:val="FAFF6042"/>
    <w:rsid w:val="FBB22203"/>
    <w:rsid w:val="FBB9C5A6"/>
    <w:rsid w:val="FBF39570"/>
    <w:rsid w:val="FC7CCD33"/>
    <w:rsid w:val="FD7F80AF"/>
    <w:rsid w:val="FEFF5429"/>
    <w:rsid w:val="FEFF5E5A"/>
    <w:rsid w:val="FEFFE9C3"/>
    <w:rsid w:val="FF732785"/>
    <w:rsid w:val="FF8784A9"/>
    <w:rsid w:val="FFAF53BD"/>
    <w:rsid w:val="FFBF718C"/>
    <w:rsid w:val="FFD72B12"/>
    <w:rsid w:val="FFE3D656"/>
    <w:rsid w:val="FFE705C6"/>
    <w:rsid w:val="FFEF2E5D"/>
    <w:rsid w:val="FFF3729E"/>
    <w:rsid w:val="FFFF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605</Words>
  <Characters>3449</Characters>
  <Lines>28</Lines>
  <Paragraphs>8</Paragraphs>
  <TotalTime>7</TotalTime>
  <ScaleCrop>false</ScaleCrop>
  <LinksUpToDate>false</LinksUpToDate>
  <CharactersWithSpaces>4046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2020-10-01T18:17:00Z</dcterms:created>
  <dc:creator>li_yoo</dc:creator>
  <cp:lastModifiedBy>哦吼吼</cp:lastModifiedBy>
  <cp:lastPrinted>2022-03-13T18:50:00Z</cp:lastPrinted>
  <dcterms:modified xsi:type="dcterms:W3CDTF">2023-10-08T01:18:12Z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19BF4673084D486DA369AB6E86825AF8_13</vt:lpwstr>
  </property>
</Properties>
</file>