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left="1243"/>
        <w:ind w:hanging="1243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>濉溪县卫生健康综合执法大队2023</w:t>
      </w:r>
      <w:r>
        <w:rPr>
          <w:b/>
          <w:rFonts w:ascii="宋体" w:hAnsi="宋体"/>
          <w:sz w:val="36"/>
          <w:szCs w:val="36"/>
        </w:rPr>
        <w:t>年</w:t>
      </w:r>
      <w:r>
        <w:rPr>
          <w:b/>
          <w:rFonts w:ascii="宋体" w:hAnsi="宋体"/>
          <w:sz w:val="36"/>
          <w:szCs w:val="36"/>
        </w:rPr>
        <w:t>度一般公共预算财政拨款</w:t>
      </w:r>
      <w:r>
        <w:rPr>
          <w:b/>
          <w:rFonts w:ascii="宋体" w:hAnsi="宋体"/>
          <w:sz w:val="36"/>
          <w:szCs w:val="36"/>
        </w:rPr>
        <w:t>“三公</w:t>
      </w:r>
      <w:r>
        <w:rPr>
          <w:b/>
          <w:rFonts w:ascii="宋体" w:hAnsi="宋体"/>
          <w:sz w:val="36"/>
          <w:szCs w:val="36"/>
        </w:rPr>
        <w:t>”</w:t>
      </w:r>
      <w:r>
        <w:rPr>
          <w:b/>
          <w:rFonts w:ascii="宋体" w:hAnsi="宋体"/>
          <w:sz w:val="36"/>
          <w:szCs w:val="36"/>
        </w:rPr>
        <w:t>经费</w:t>
      </w:r>
      <w:r>
        <w:rPr>
          <w:b/>
          <w:rFonts w:ascii="宋体" w:hAnsi="宋体"/>
          <w:sz w:val="36"/>
          <w:szCs w:val="36"/>
        </w:rPr>
        <w:t>支出决算情况说明</w:t>
      </w:r>
    </w:p>
    <w:p>
      <w:pPr>
        <w:pStyle w:val=""/>
        <w:jc w:val="center"/>
        <w:rPr>
          <w:rFonts w:ascii="楷体_GB2312"/>
          <w:szCs w:val="32"/>
        </w:rPr>
      </w:pPr>
    </w:p>
    <w:p>
      <w:pPr>
        <w:pStyle w:val=""/>
        <w:jc w:val="center"/>
        <w:spacing w:line="360" w:lineRule="auto"/>
        <w:rPr>
          <w:rFonts w:ascii="宋体" w:hAnsi="宋体"/>
          <w:sz w:val="6"/>
          <w:szCs w:val="32"/>
        </w:rPr>
      </w:pPr>
    </w:p>
    <w:p>
      <w:pPr>
        <w:pStyle w:val=""/>
        <w:rPr>
          <w:rFonts w:ascii="黑体" w:hAnsi="黑体"/>
          <w:szCs w:val="32"/>
        </w:rPr>
      </w:pPr>
      <w:r>
        <w:rPr>
          <w:rFonts w:ascii="黑体" w:hAnsi="黑体"/>
          <w:szCs w:val="32"/>
        </w:rPr>
        <w:t xml:space="preserve">    </w:t>
      </w:r>
      <w:r>
        <w:rPr>
          <w:rFonts w:ascii="黑体" w:hAnsi="黑体"/>
          <w:szCs w:val="32"/>
        </w:rPr>
        <w:t>一、2023年度一般公共预算财政拨款“三公”经费支出决算表</w:t>
      </w:r>
    </w:p>
    <w:p>
      <w:pPr>
        <w:pStyle w:val=""/>
        <w:ind w:firstLine="6590"/>
        <w:rPr>
          <w:rFonts w:ascii="黑体" w:hAnsi="黑体"/>
          <w:szCs w:val="32"/>
        </w:rPr>
      </w:pPr>
      <w:r>
        <w:rPr>
          <w:rFonts w:ascii="仿宋_GB2312" w:hAnsi="仿宋_GB2312"/>
          <w:szCs w:val="32"/>
        </w:rPr>
        <w:t>单位：万元</w:t>
      </w:r>
    </w:p>
    <w:tbl>
      <w:tblPr>
        <w:tblInd w:w="-108" w:type="dxa"/>
        <w:tblStyle w:val="普通表格"/>
        <w:tblLook w:val="1E0"/>
        <w:tblW w:w="0" w:type="auto"/>
      </w:tblPr>
      <w:tblGrid>
        <w:gridCol w:w="4379"/>
        <w:gridCol w:w="2157"/>
        <w:gridCol w:w="2220"/>
      </w:tblGrid>
      <w:tr>
        <w:trPr>
          <w:trHeight w:val="39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Cs w:val="21"/>
              </w:rPr>
              <w:t>项  目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157" w:type="dxa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Cs w:val="21"/>
              </w:rPr>
              <w:t>预 算 数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220" w:type="dxa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Cs w:val="21"/>
              </w:rPr>
              <w:t>决 算 数</w:t>
            </w:r>
          </w:p>
        </w:tc>
      </w:tr>
      <w:tr>
        <w:trPr>
          <w:trHeight w:val="397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Cs w:val="21"/>
              </w:rPr>
              <w:t>合  计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157" w:type="dxa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Cs w:val="21"/>
              </w:rPr>
              <w:t>10　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220" w:type="dxa"/>
          </w:tcPr>
          <w:p>
            <w:pPr>
              <w:pStyle w:val=""/>
              <w:jc w:val="center"/>
            </w:pPr>
            <w:r>
              <w:rPr>
                <w:b/>
                <w:rFonts w:ascii="宋体" w:hAnsi="宋体"/>
                <w:szCs w:val="21"/>
              </w:rPr>
              <w:t>33.1　</w:t>
            </w:r>
          </w:p>
        </w:tc>
      </w:tr>
      <w:tr>
        <w:trPr>
          <w:trHeight w:val="397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因公出国（境）费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1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220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</w:t>
            </w:r>
          </w:p>
        </w:tc>
      </w:tr>
      <w:tr>
        <w:trPr>
          <w:trHeight w:val="397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公务接待费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1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220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0.1</w:t>
            </w:r>
          </w:p>
        </w:tc>
      </w:tr>
      <w:tr>
        <w:trPr>
          <w:trHeight w:val="397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公务用车购置及运行维护费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1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220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33</w:t>
            </w:r>
          </w:p>
        </w:tc>
      </w:tr>
      <w:tr>
        <w:trPr>
          <w:trHeight w:val="397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 xml:space="preserve">  其中：公务用车购置费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1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220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25.76</w:t>
            </w:r>
          </w:p>
        </w:tc>
      </w:tr>
      <w:tr>
        <w:trPr>
          <w:trHeight w:val="397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379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 xml:space="preserve">        公务用车运行维护费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157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220" w:type="dxa"/>
          </w:tcPr>
          <w:p>
            <w:pPr>
              <w:pStyle w:val=""/>
              <w:jc w:val="left"/>
            </w:pPr>
            <w:r>
              <w:rPr>
                <w:rFonts w:ascii="宋体" w:hAnsi="宋体"/>
                <w:szCs w:val="21"/>
              </w:rPr>
              <w:t>　7.24</w:t>
            </w:r>
          </w:p>
        </w:tc>
      </w:tr>
    </w:tbl>
    <w:p>
      <w:pPr>
        <w:pStyle w:val=""/>
        <w:ind w:firstLine="628"/>
        <w:rPr>
          <w:rFonts w:ascii="黑体" w:hAnsi="黑体"/>
          <w:szCs w:val="32"/>
        </w:rPr>
      </w:pPr>
      <w:r>
        <w:rPr>
          <w:rFonts w:ascii="黑体" w:hAnsi="黑体"/>
          <w:szCs w:val="32"/>
        </w:rPr>
        <w:t xml:space="preserve">                                      </w:t>
      </w:r>
    </w:p>
    <w:p>
      <w:pPr>
        <w:pStyle w:val=""/>
      </w:pPr>
      <w:r>
        <w:rPr>
          <w:rFonts w:ascii="黑体" w:hAnsi="黑体"/>
          <w:szCs w:val="32"/>
        </w:rPr>
        <w:t xml:space="preserve">    </w:t>
      </w:r>
      <w:r>
        <w:rPr>
          <w:rFonts w:ascii="黑体" w:hAnsi="黑体"/>
          <w:szCs w:val="32"/>
        </w:rPr>
        <w:t>二</w:t>
      </w:r>
      <w:r>
        <w:rPr>
          <w:rFonts w:ascii="黑体" w:hAnsi="黑体"/>
          <w:szCs w:val="32"/>
        </w:rPr>
        <w:t>、</w:t>
      </w:r>
      <w:r>
        <w:rPr>
          <w:rFonts w:ascii="黑体" w:hAnsi="黑体"/>
          <w:szCs w:val="32"/>
        </w:rPr>
        <w:t>2023</w:t>
      </w:r>
      <w:r>
        <w:rPr>
          <w:rFonts w:ascii="黑体" w:hAnsi="黑体"/>
          <w:szCs w:val="32"/>
        </w:rPr>
        <w:t>年</w:t>
      </w:r>
      <w:r>
        <w:rPr>
          <w:rFonts w:ascii="黑体" w:hAnsi="黑体"/>
          <w:szCs w:val="32"/>
        </w:rPr>
        <w:t>度一般公共预算财政拨款“三公”经费支出</w:t>
      </w:r>
      <w:r>
        <w:rPr>
          <w:rFonts w:ascii="黑体" w:hAnsi="黑体"/>
          <w:szCs w:val="32"/>
        </w:rPr>
        <w:t>情况说明</w:t>
      </w:r>
    </w:p>
    <w:p>
      <w:pPr>
        <w:pStyle w:val=""/>
        <w:ind w:firstLine="630"/>
        <w:rPr>
          <w:b/>
          <w:rFonts w:ascii="仿宋_GB2312" w:hAnsi="仿宋"/>
          <w:szCs w:val="32"/>
        </w:rPr>
      </w:pPr>
      <w:r>
        <w:rPr>
          <w:b/>
          <w:rFonts w:ascii="仿宋_GB2312" w:hAnsi="仿宋"/>
          <w:szCs w:val="32"/>
        </w:rPr>
        <w:t>（一）一般公共预算财政拨款“三公”经费支出决算总体情况说明。</w:t>
      </w:r>
    </w:p>
    <w:p>
      <w:pPr>
        <w:pStyle w:val=""/>
        <w:ind w:firstLine="628"/>
        <w:rPr>
          <w:color w:val="FF0000"/>
          <w:rFonts w:ascii="仿宋_GB2312" w:hAnsi="仿宋"/>
          <w:szCs w:val="32"/>
        </w:rPr>
      </w:pPr>
      <w:r>
        <w:rPr>
          <w:rFonts w:ascii="仿宋_GB2312" w:hAnsi="仿宋"/>
          <w:szCs w:val="32"/>
        </w:rPr>
        <w:t>濉溪县卫生健康综合执法大队2023年度一般公共预算财政拨款“三公”经费支出预算为10万元，支出决算为33.1万元，完成预算的331%，决算数大于预算数的主要原因是</w:t>
      </w:r>
      <w:r>
        <w:rPr>
          <w:rFonts w:ascii="仿宋_GB2312" w:hAnsi="仿宋"/>
          <w:szCs w:val="32"/>
        </w:rPr>
        <w:t>购置了两辆执法车辆，近年来因为新冠疫情防控和各种卫生执法专项工作的深入开展，工作量成倍增加。由于现有两台执法车辆（皖F19619、皖F12555分别是2007年和2009年上级拨的，已行驶20余万公里）使用年限长，车况差，经常维修，已不能满足目前执法工作的需求，已申请报废。为进一步做好卫生监督综合执法工作，所以购置两辆执法车辆。</w:t>
      </w:r>
      <w:r>
        <w:rPr>
          <w:rFonts w:ascii="仿宋_GB2312" w:hAnsi="仿宋"/>
          <w:szCs w:val="32"/>
        </w:rPr>
        <w:t>较上年增加27.1万元，决算数较上年增加的主要原因是公务用车购置费增加，车辆运行维护费增加。</w:t>
      </w:r>
    </w:p>
    <w:p>
      <w:pPr>
        <w:pStyle w:val=""/>
        <w:ind w:firstLine="630"/>
        <w:rPr>
          <w:b/>
          <w:rFonts w:ascii="仿宋_GB2312" w:hAnsi="仿宋"/>
          <w:szCs w:val="32"/>
        </w:rPr>
      </w:pPr>
      <w:r>
        <w:rPr>
          <w:b/>
          <w:rFonts w:ascii="仿宋_GB2312" w:hAnsi="仿宋"/>
          <w:szCs w:val="32"/>
        </w:rPr>
        <w:t>（二）</w:t>
      </w:r>
      <w:r>
        <w:rPr>
          <w:b/>
          <w:rFonts w:ascii="仿宋_GB2312" w:hAnsi="仿宋"/>
          <w:szCs w:val="32"/>
        </w:rPr>
        <w:t>一般公共预算财政拨款“三公”经费支出决算具体情况说明。</w:t>
      </w:r>
    </w:p>
    <w:p>
      <w:pPr>
        <w:pStyle w:val=""/>
        <w:ind w:firstLine="628"/>
      </w:pPr>
      <w:r>
        <w:rPr>
          <w:rFonts w:ascii="仿宋_GB2312" w:hAnsi="仿宋"/>
          <w:szCs w:val="32"/>
        </w:rPr>
        <w:t>濉溪县卫生健康综合执法大队2023年度一般公共预算财政拨款“三公”经费支出决算中，因公出国（境）费支出决算0万元，占0%;公务接待费支出决算0.1万元，占0.3%；公务用车购置及运行维护费支出决算33万元，占99.7%。具体情况如下：</w:t>
      </w:r>
    </w:p>
    <w:p>
      <w:pPr>
        <w:pStyle w:val=""/>
        <w:ind w:firstLine="630"/>
        <w:rPr>
          <w:b/>
          <w:rFonts w:ascii="仿宋_GB2312" w:hAnsi="仿宋"/>
          <w:szCs w:val="32"/>
        </w:rPr>
      </w:pPr>
      <w:r>
        <w:rPr>
          <w:b/>
          <w:rFonts w:ascii="仿宋_GB2312" w:hAnsi="仿宋"/>
          <w:szCs w:val="32"/>
        </w:rPr>
        <w:t>1.因公出国（境）费</w:t>
      </w:r>
      <w:r>
        <w:rPr>
          <w:rFonts w:ascii="仿宋_GB2312" w:hAnsi="仿宋"/>
          <w:szCs w:val="32"/>
        </w:rPr>
        <w:t>预算为0万元，支出决算为0万元，决算数与预算数相同；较上年减少0万元，下降0%。原因是2022年度、2023年度均未安排因公出国（境）计划。故2023年濉溪县卫生健康综合执法大队因公出国（境）团组0次，累计出国（境）0人次。</w:t>
      </w:r>
    </w:p>
    <w:p>
      <w:pPr>
        <w:pStyle w:val=""/>
        <w:ind w:firstLine="630"/>
        <w:rPr>
          <w:rFonts w:ascii="仿宋_GB2312" w:hAnsi="仿宋"/>
          <w:szCs w:val="32"/>
        </w:rPr>
      </w:pPr>
      <w:r>
        <w:rPr>
          <w:b/>
          <w:rFonts w:ascii="仿宋_GB2312" w:hAnsi="仿宋"/>
          <w:szCs w:val="32"/>
        </w:rPr>
        <w:t>2.公务接待费</w:t>
      </w:r>
      <w:r>
        <w:rPr>
          <w:rFonts w:ascii="仿宋_GB2312" w:hAnsi="仿宋"/>
          <w:szCs w:val="32"/>
        </w:rPr>
        <w:t>预算为2万元，支出决算为0.1万元, 完成预算的5%，决算数小于预算数的主要原因是公务接待次数减少。决算数较上年增加0.1万元，增长100%，决算数较上年增加的主要原因是2022年公务接待次数0次,2023年公务接待1次。2023年濉溪县卫生健康综合执法大队国内公务接待共1批次（其中外事接待0批次），8人次（其中外事接待0人次）。主要是用于执法稽查工作。经费使用严格贯彻党中央八项规定要求，严格执行《党政机关厉行节约反对浪费条例》、濉溪县公务接待相关规定等。</w:t>
      </w:r>
    </w:p>
    <w:p>
      <w:pPr>
        <w:pStyle w:val=""/>
        <w:ind w:firstLine="630"/>
      </w:pPr>
      <w:r>
        <w:rPr>
          <w:b/>
          <w:rFonts w:ascii="仿宋_GB2312" w:hAnsi="仿宋"/>
          <w:szCs w:val="32"/>
        </w:rPr>
        <w:t>3.公务用车购置及运行维护费</w:t>
      </w:r>
      <w:r>
        <w:rPr>
          <w:rFonts w:ascii="仿宋_GB2312" w:hAnsi="仿宋"/>
          <w:szCs w:val="32"/>
        </w:rPr>
        <w:t>预算为8万元，支出决算为33万元，完成预算的412.5%，决算数大于预算数的主要原因是增加公务车辆购置费、公车运行费增加。较上年增加27万元，决算数较上年增加的主要原因是近年来，因为新冠疫情防控和各种卫生执法专项工作的深入开展，工作量成倍增加。由于现有两台执法车辆（皖F19619、皖F12555分别是2007年和2009年上级拨的，已行驶20余万公里）使用年限长，车况差，经常维修，已不能满足目前执法工作的需求，已申请报废。为进一步做好卫生监督综合执法工作，所以购置两辆执法车辆。2023年公务用车运行维护费预算为8万元，支出决算为7.24万元，完成预算的90.5%，较上年增加1.24万元，增长20.67%</w:t>
      </w:r>
      <w:r>
        <w:rPr>
          <w:rFonts w:ascii="仿宋_GB2312" w:hAnsi="仿宋"/>
          <w:szCs w:val="32"/>
        </w:rPr>
        <w:t>，决算数较上年增加的主要原因是购买两辆新车，保险费用增多。车辆运行费增多。</w:t>
      </w:r>
      <w:r>
        <w:rPr>
          <w:rFonts w:ascii="仿宋_GB2312" w:hAnsi="仿宋"/>
          <w:szCs w:val="32"/>
        </w:rPr>
        <w:t>公务用车运行维护费，包括车辆燃料费、维修费、过路过桥费、保险费等支出。截至2023年12月31日，濉溪县卫生健康综合执法大队开支财政拨款的公务用车保有量为6辆。</w:t>
      </w:r>
      <w:r>
        <w:rPr>
          <w:rFonts w:ascii="仿宋_GB2312" w:hAnsi="仿宋"/>
          <w:szCs w:val="32"/>
        </w:rPr>
        <w:t>部门决算车辆是9辆，差异的原因是截止2023年12月底两辆报废车辆未拍卖，</w:t>
      </w:r>
      <w:r>
        <w:rPr>
          <w:rFonts w:ascii="仿宋_GB2312" w:hAnsi="仿宋"/>
          <w:szCs w:val="32"/>
        </w:rPr>
        <w:t>固定资产系统未处置。</w:t>
      </w:r>
      <w:r>
        <w:rPr>
          <w:rFonts w:ascii="仿宋_GB2312" w:hAnsi="仿宋"/>
          <w:szCs w:val="32"/>
        </w:rPr>
        <w:t>在2024年5</w:t>
      </w:r>
      <w:r>
        <w:rPr>
          <w:rFonts w:ascii="仿宋_GB2312" w:hAnsi="仿宋"/>
          <w:szCs w:val="32"/>
        </w:rPr>
        <w:t>月由濉溪县机关事务局拍卖。</w:t>
      </w:r>
      <w:r>
        <w:rPr>
          <w:rFonts w:ascii="仿宋_GB2312" w:hAnsi="仿宋"/>
          <w:szCs w:val="32"/>
        </w:rPr>
        <w:t>1辆车无编制。</w:t>
      </w:r>
    </w:p>
    <w:p>
      <w:pPr>
        <w:pStyle w:val=""/>
      </w:pPr>
    </w:p>
    <w:sectPr>
      <w:footerReference r:id="rId8" w:type="default"/>
      <w:pgSz w:w="11906" w:h="16838"/>
      <w:pgMar w:left="1588" w:right="1531" w:top="2155" w:bottom="158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楷体_GB2312"/>
  <w:font w:name="黑体"/>
  <w:font w:name="仿宋_GB2312"/>
  <w:font w:name="仿宋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ind w:right="360"/>
      <w:rPr>
        <w:rFonts w:ascii="仿宋_GB2312"/>
        <w:sz w:val="28"/>
      </w:rPr>
    </w:pP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000000in;margin-top:0.000000in;z-index:1;mso-position-horizontal:center;mso-position-horizontal-relative:margin;mso-position-vertical:absolute;mso-position-vertical-relative:paragraph;height:2.000000in;width:2.000000in" filled="false">
          <v:textbox>
            <w:txbxContent>
              <w:p>
                <w:pPr>
                  <w:pStyle w:val=""/>
                </w:pPr>
                <w:r>
                  <w:rPr/>
                  <w:t>3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32"/>
    </w:rPr>
  </w:style>
  <w:style w:type="character" w:styleId="">
    <w:name w:val="默认段落字体"/>
    <w:qFormat/>
  </w:style>
  <w:style w:type="table" w:styleId="">
    <w:name w:val="普通表格"/>
    <w:qFormat/>
    <w:pPr/>
  </w:style>
  <w:style w:type="numbering" w:styleId="">
    <w:name w:val="无列表"/>
    <w:qFormat/>
  </w:style>
  <w:style w:type="paragraph" w:styleId="">
    <w:name w:val="页脚"/>
    <w:qFormat/>
    <w:basedOn w:val="正文"/>
    <w:pPr>
      <w:jc w:val="left"/>
    </w:pPr>
    <w:rPr>
      <w:sz w:val="18"/>
    </w:rPr>
  </w:style>
  <w:style w:type="paragraph" w:styleId="">
    <w:name w:val="正文文本"/>
    <w:qFormat/>
    <w:basedOn w:val="正文"/>
    <w:pPr>
      <w:spacing w:after="120"/>
    </w:p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