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421E01">
      <w:pPr>
        <w:widowControl/>
        <w:shd w:val="clear" w:color="auto" w:fill="FFFFFF"/>
        <w:spacing w:line="254" w:lineRule="atLeast"/>
        <w:jc w:val="center"/>
        <w:rPr>
          <w:rFonts w:hint="eastAsia" w:ascii="华文中宋" w:hAnsi="华文中宋" w:eastAsia="华文中宋" w:cs="Times New Roman"/>
          <w:b/>
          <w:bCs/>
          <w:color w:val="auto"/>
          <w:kern w:val="0"/>
          <w:sz w:val="52"/>
          <w:szCs w:val="52"/>
          <w:highlight w:val="none"/>
        </w:rPr>
      </w:pPr>
    </w:p>
    <w:p w14:paraId="2E8A304E">
      <w:pPr>
        <w:widowControl/>
        <w:shd w:val="clear" w:color="auto" w:fill="FFFFFF"/>
        <w:spacing w:line="254" w:lineRule="atLeast"/>
        <w:jc w:val="center"/>
        <w:rPr>
          <w:rFonts w:ascii="Times New Roman" w:hAnsi="Times New Roman" w:eastAsia="宋体" w:cs="Times New Roman"/>
          <w:color w:val="auto"/>
          <w:kern w:val="0"/>
          <w:szCs w:val="21"/>
          <w:highlight w:val="none"/>
        </w:rPr>
      </w:pPr>
      <w:r>
        <w:rPr>
          <w:rFonts w:hint="eastAsia" w:ascii="华文中宋" w:hAnsi="华文中宋" w:eastAsia="华文中宋" w:cs="Times New Roman"/>
          <w:b/>
          <w:bCs/>
          <w:color w:val="auto"/>
          <w:kern w:val="0"/>
          <w:sz w:val="52"/>
          <w:szCs w:val="52"/>
          <w:highlight w:val="none"/>
        </w:rPr>
        <w:t>濉溪县卫健委</w:t>
      </w:r>
      <w:r>
        <w:rPr>
          <w:rFonts w:hint="eastAsia" w:ascii="华文中宋" w:hAnsi="华文中宋" w:eastAsia="华文中宋" w:cs="Times New Roman"/>
          <w:b/>
          <w:bCs/>
          <w:color w:val="auto"/>
          <w:kern w:val="0"/>
          <w:sz w:val="52"/>
          <w:szCs w:val="52"/>
          <w:highlight w:val="none"/>
          <w:lang w:eastAsia="zh-CN"/>
        </w:rPr>
        <w:t>2023年</w:t>
      </w:r>
      <w:r>
        <w:rPr>
          <w:rFonts w:hint="eastAsia" w:ascii="华文中宋" w:hAnsi="华文中宋" w:eastAsia="华文中宋" w:cs="Times New Roman"/>
          <w:b/>
          <w:bCs/>
          <w:color w:val="auto"/>
          <w:kern w:val="0"/>
          <w:sz w:val="52"/>
          <w:szCs w:val="52"/>
          <w:highlight w:val="none"/>
        </w:rPr>
        <w:t>部门预算</w:t>
      </w:r>
    </w:p>
    <w:p w14:paraId="4347DD90">
      <w:pPr>
        <w:widowControl/>
        <w:shd w:val="clear" w:color="auto" w:fill="FFFFFF"/>
        <w:spacing w:line="290" w:lineRule="atLeas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p w14:paraId="39FE4334">
      <w:pPr>
        <w:widowControl/>
        <w:shd w:val="clear" w:color="auto" w:fill="FFFFFF"/>
        <w:spacing w:line="290" w:lineRule="atLeas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p w14:paraId="3B1E2A37">
      <w:pPr>
        <w:widowControl/>
        <w:shd w:val="clear" w:color="auto" w:fill="FFFFFF"/>
        <w:spacing w:line="290" w:lineRule="atLeas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p w14:paraId="090451B9">
      <w:pPr>
        <w:widowControl/>
        <w:shd w:val="clear" w:color="auto" w:fill="FFFFFF"/>
        <w:spacing w:line="290" w:lineRule="atLeas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p w14:paraId="50EBA3F4">
      <w:pPr>
        <w:widowControl/>
        <w:shd w:val="clear" w:color="auto" w:fill="FFFFFF"/>
        <w:spacing w:line="290" w:lineRule="atLeas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p w14:paraId="6A4E8EBD">
      <w:pPr>
        <w:widowControl/>
        <w:shd w:val="clear" w:color="auto" w:fill="FFFFFF"/>
        <w:spacing w:line="290" w:lineRule="atLeas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bookmarkStart w:id="0" w:name="_GoBack"/>
      <w:bookmarkEnd w:id="0"/>
    </w:p>
    <w:p w14:paraId="30E136DE">
      <w:pPr>
        <w:widowControl/>
        <w:shd w:val="clear" w:color="auto" w:fill="FFFFFF"/>
        <w:spacing w:line="290" w:lineRule="atLeas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p w14:paraId="632BFAC2">
      <w:pPr>
        <w:widowControl/>
        <w:shd w:val="clear" w:color="auto" w:fill="FFFFFF"/>
        <w:spacing w:line="290" w:lineRule="atLeas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p w14:paraId="249640AC">
      <w:pPr>
        <w:widowControl/>
        <w:shd w:val="clear" w:color="auto" w:fill="FFFFFF"/>
        <w:spacing w:line="290" w:lineRule="atLeas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p w14:paraId="1A96D333">
      <w:pPr>
        <w:widowControl/>
        <w:shd w:val="clear" w:color="auto" w:fill="FFFFFF"/>
        <w:spacing w:line="290" w:lineRule="atLeast"/>
        <w:jc w:val="center"/>
        <w:rPr>
          <w:rFonts w:hint="eastAsia" w:ascii="宋体" w:hAnsi="宋体" w:eastAsia="宋体" w:cs="宋体"/>
          <w:color w:val="auto"/>
          <w:kern w:val="0"/>
          <w:sz w:val="24"/>
          <w:szCs w:val="24"/>
          <w:highlight w:val="none"/>
        </w:rPr>
      </w:pPr>
    </w:p>
    <w:p w14:paraId="6BF1EF82">
      <w:pPr>
        <w:widowControl/>
        <w:shd w:val="clear" w:color="auto" w:fill="FFFFFF"/>
        <w:spacing w:line="290" w:lineRule="atLeast"/>
        <w:jc w:val="center"/>
        <w:rPr>
          <w:rFonts w:hint="eastAsia" w:ascii="宋体" w:hAnsi="宋体" w:eastAsia="宋体" w:cs="宋体"/>
          <w:color w:val="auto"/>
          <w:kern w:val="0"/>
          <w:sz w:val="24"/>
          <w:szCs w:val="24"/>
          <w:highlight w:val="none"/>
        </w:rPr>
      </w:pPr>
    </w:p>
    <w:p w14:paraId="0D08C031">
      <w:pPr>
        <w:widowControl/>
        <w:shd w:val="clear" w:color="auto" w:fill="FFFFFF"/>
        <w:spacing w:line="290" w:lineRule="atLeast"/>
        <w:jc w:val="center"/>
        <w:rPr>
          <w:rFonts w:hint="eastAsia" w:ascii="宋体" w:hAnsi="宋体" w:eastAsia="宋体" w:cs="宋体"/>
          <w:color w:val="auto"/>
          <w:kern w:val="0"/>
          <w:sz w:val="24"/>
          <w:szCs w:val="24"/>
          <w:highlight w:val="none"/>
        </w:rPr>
      </w:pPr>
    </w:p>
    <w:p w14:paraId="30DF691F">
      <w:pPr>
        <w:widowControl/>
        <w:shd w:val="clear" w:color="auto" w:fill="FFFFFF"/>
        <w:spacing w:line="290" w:lineRule="atLeast"/>
        <w:jc w:val="center"/>
        <w:rPr>
          <w:rFonts w:hint="eastAsia" w:ascii="宋体" w:hAnsi="宋体" w:eastAsia="宋体" w:cs="宋体"/>
          <w:color w:val="auto"/>
          <w:kern w:val="0"/>
          <w:sz w:val="24"/>
          <w:szCs w:val="24"/>
          <w:highlight w:val="none"/>
        </w:rPr>
      </w:pPr>
    </w:p>
    <w:p w14:paraId="514B8301">
      <w:pPr>
        <w:widowControl/>
        <w:shd w:val="clear" w:color="auto" w:fill="FFFFFF"/>
        <w:spacing w:line="290" w:lineRule="atLeast"/>
        <w:jc w:val="center"/>
        <w:rPr>
          <w:rFonts w:hint="eastAsia" w:ascii="宋体" w:hAnsi="宋体" w:eastAsia="宋体" w:cs="宋体"/>
          <w:color w:val="auto"/>
          <w:kern w:val="0"/>
          <w:sz w:val="24"/>
          <w:szCs w:val="24"/>
          <w:highlight w:val="none"/>
        </w:rPr>
      </w:pPr>
    </w:p>
    <w:p w14:paraId="235DC38B">
      <w:pPr>
        <w:widowControl/>
        <w:shd w:val="clear" w:color="auto" w:fill="FFFFFF"/>
        <w:spacing w:line="290" w:lineRule="atLeast"/>
        <w:jc w:val="center"/>
        <w:rPr>
          <w:rFonts w:hint="eastAsia" w:ascii="宋体" w:hAnsi="宋体" w:eastAsia="宋体" w:cs="宋体"/>
          <w:color w:val="auto"/>
          <w:kern w:val="0"/>
          <w:sz w:val="24"/>
          <w:szCs w:val="24"/>
          <w:highlight w:val="none"/>
        </w:rPr>
      </w:pPr>
    </w:p>
    <w:p w14:paraId="2A103535">
      <w:pPr>
        <w:widowControl/>
        <w:shd w:val="clear" w:color="auto" w:fill="FFFFFF"/>
        <w:spacing w:line="290" w:lineRule="atLeast"/>
        <w:jc w:val="center"/>
        <w:rPr>
          <w:rFonts w:hint="eastAsia" w:ascii="宋体" w:hAnsi="宋体" w:eastAsia="宋体" w:cs="宋体"/>
          <w:color w:val="auto"/>
          <w:kern w:val="0"/>
          <w:sz w:val="24"/>
          <w:szCs w:val="24"/>
          <w:highlight w:val="none"/>
        </w:rPr>
      </w:pPr>
    </w:p>
    <w:p w14:paraId="09079BE3">
      <w:pPr>
        <w:widowControl/>
        <w:shd w:val="clear" w:color="auto" w:fill="FFFFFF"/>
        <w:spacing w:line="290" w:lineRule="atLeast"/>
        <w:jc w:val="center"/>
        <w:rPr>
          <w:rFonts w:hint="eastAsia" w:ascii="宋体" w:hAnsi="宋体" w:eastAsia="宋体" w:cs="宋体"/>
          <w:color w:val="auto"/>
          <w:kern w:val="0"/>
          <w:sz w:val="24"/>
          <w:szCs w:val="24"/>
          <w:highlight w:val="none"/>
        </w:rPr>
      </w:pPr>
    </w:p>
    <w:p w14:paraId="6D231BBF">
      <w:pPr>
        <w:widowControl/>
        <w:shd w:val="clear" w:color="auto" w:fill="FFFFFF"/>
        <w:spacing w:line="290" w:lineRule="atLeast"/>
        <w:jc w:val="center"/>
        <w:rPr>
          <w:rFonts w:hint="eastAsia" w:ascii="宋体" w:hAnsi="宋体" w:eastAsia="宋体" w:cs="宋体"/>
          <w:color w:val="auto"/>
          <w:kern w:val="0"/>
          <w:sz w:val="24"/>
          <w:szCs w:val="24"/>
          <w:highlight w:val="none"/>
        </w:rPr>
      </w:pPr>
    </w:p>
    <w:p w14:paraId="79F43A7D">
      <w:pPr>
        <w:widowControl/>
        <w:shd w:val="clear" w:color="auto" w:fill="FFFFFF"/>
        <w:spacing w:line="290" w:lineRule="atLeast"/>
        <w:jc w:val="center"/>
        <w:rPr>
          <w:rFonts w:hint="eastAsia" w:ascii="宋体" w:hAnsi="宋体" w:eastAsia="宋体" w:cs="宋体"/>
          <w:color w:val="auto"/>
          <w:kern w:val="0"/>
          <w:sz w:val="24"/>
          <w:szCs w:val="24"/>
          <w:highlight w:val="none"/>
        </w:rPr>
      </w:pPr>
    </w:p>
    <w:p w14:paraId="082583FA">
      <w:pPr>
        <w:widowControl/>
        <w:shd w:val="clear" w:color="auto" w:fill="FFFFFF"/>
        <w:spacing w:line="290" w:lineRule="atLeast"/>
        <w:jc w:val="center"/>
        <w:rPr>
          <w:rFonts w:hint="eastAsia" w:ascii="宋体" w:hAnsi="宋体" w:eastAsia="宋体" w:cs="宋体"/>
          <w:color w:val="auto"/>
          <w:kern w:val="0"/>
          <w:sz w:val="24"/>
          <w:szCs w:val="24"/>
          <w:highlight w:val="none"/>
        </w:rPr>
      </w:pPr>
    </w:p>
    <w:p w14:paraId="7BCA2530">
      <w:pPr>
        <w:widowControl/>
        <w:shd w:val="clear" w:color="auto" w:fill="FFFFFF"/>
        <w:spacing w:line="290" w:lineRule="atLeast"/>
        <w:jc w:val="center"/>
        <w:rPr>
          <w:rFonts w:hint="eastAsia" w:ascii="宋体" w:hAnsi="宋体" w:eastAsia="宋体" w:cs="宋体"/>
          <w:color w:val="auto"/>
          <w:kern w:val="0"/>
          <w:sz w:val="24"/>
          <w:szCs w:val="24"/>
          <w:highlight w:val="none"/>
        </w:rPr>
      </w:pPr>
    </w:p>
    <w:p w14:paraId="5985E808">
      <w:pPr>
        <w:widowControl/>
        <w:shd w:val="clear" w:color="auto" w:fill="FFFFFF"/>
        <w:spacing w:line="290" w:lineRule="atLeast"/>
        <w:jc w:val="center"/>
        <w:rPr>
          <w:rFonts w:hint="eastAsia" w:ascii="宋体" w:hAnsi="宋体" w:eastAsia="宋体" w:cs="宋体"/>
          <w:color w:val="auto"/>
          <w:kern w:val="0"/>
          <w:sz w:val="24"/>
          <w:szCs w:val="24"/>
          <w:highlight w:val="none"/>
        </w:rPr>
      </w:pPr>
    </w:p>
    <w:p w14:paraId="504C2B64">
      <w:pPr>
        <w:widowControl/>
        <w:shd w:val="clear" w:color="auto" w:fill="FFFFFF"/>
        <w:spacing w:line="290" w:lineRule="atLeast"/>
        <w:jc w:val="center"/>
        <w:rPr>
          <w:rFonts w:hint="eastAsia" w:ascii="宋体" w:hAnsi="宋体" w:eastAsia="宋体" w:cs="宋体"/>
          <w:color w:val="auto"/>
          <w:kern w:val="0"/>
          <w:sz w:val="24"/>
          <w:szCs w:val="24"/>
          <w:highlight w:val="none"/>
        </w:rPr>
      </w:pPr>
    </w:p>
    <w:p w14:paraId="727F9377">
      <w:pPr>
        <w:widowControl/>
        <w:shd w:val="clear" w:color="auto" w:fill="FFFFFF"/>
        <w:spacing w:line="290" w:lineRule="atLeast"/>
        <w:jc w:val="center"/>
        <w:rPr>
          <w:rFonts w:hint="eastAsia" w:ascii="宋体" w:hAnsi="宋体" w:eastAsia="宋体" w:cs="宋体"/>
          <w:color w:val="auto"/>
          <w:kern w:val="0"/>
          <w:sz w:val="24"/>
          <w:szCs w:val="24"/>
          <w:highlight w:val="none"/>
        </w:rPr>
      </w:pPr>
    </w:p>
    <w:p w14:paraId="455EC7F3">
      <w:pPr>
        <w:widowControl/>
        <w:shd w:val="clear" w:color="auto" w:fill="FFFFFF"/>
        <w:spacing w:line="290" w:lineRule="atLeast"/>
        <w:jc w:val="center"/>
        <w:rPr>
          <w:rFonts w:hint="eastAsia" w:ascii="宋体" w:hAnsi="宋体" w:eastAsia="宋体" w:cs="宋体"/>
          <w:color w:val="auto"/>
          <w:kern w:val="0"/>
          <w:sz w:val="24"/>
          <w:szCs w:val="24"/>
          <w:highlight w:val="none"/>
        </w:rPr>
      </w:pPr>
    </w:p>
    <w:p w14:paraId="4A25CC83">
      <w:pPr>
        <w:widowControl/>
        <w:shd w:val="clear" w:color="auto" w:fill="FFFFFF"/>
        <w:spacing w:line="290" w:lineRule="atLeast"/>
        <w:jc w:val="center"/>
        <w:rPr>
          <w:rFonts w:hint="eastAsia" w:ascii="宋体" w:hAnsi="宋体" w:eastAsia="宋体" w:cs="宋体"/>
          <w:color w:val="auto"/>
          <w:kern w:val="0"/>
          <w:sz w:val="24"/>
          <w:szCs w:val="24"/>
          <w:highlight w:val="none"/>
        </w:rPr>
      </w:pPr>
    </w:p>
    <w:p w14:paraId="2DFB31EB">
      <w:pPr>
        <w:widowControl/>
        <w:shd w:val="clear" w:color="auto" w:fill="FFFFFF"/>
        <w:spacing w:line="290" w:lineRule="atLeas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p w14:paraId="48B1BDC9">
      <w:pPr>
        <w:widowControl/>
        <w:shd w:val="clear" w:color="auto" w:fill="FFFFFF"/>
        <w:spacing w:line="290" w:lineRule="atLeas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p w14:paraId="6CC6AEC6">
      <w:pPr>
        <w:widowControl/>
        <w:shd w:val="clear" w:color="auto" w:fill="FFFFFF"/>
        <w:spacing w:line="290" w:lineRule="atLeast"/>
        <w:jc w:val="center"/>
        <w:rPr>
          <w:rFonts w:ascii="宋体" w:hAnsi="宋体" w:eastAsia="宋体" w:cs="宋体"/>
          <w:color w:val="auto"/>
          <w:kern w:val="0"/>
          <w:sz w:val="24"/>
          <w:szCs w:val="24"/>
          <w:highlight w:val="none"/>
        </w:rPr>
      </w:pPr>
      <w:r>
        <w:rPr>
          <w:rFonts w:hint="eastAsia" w:ascii="黑体" w:hAnsi="黑体" w:eastAsia="黑体" w:cs="宋体"/>
          <w:color w:val="auto"/>
          <w:kern w:val="0"/>
          <w:sz w:val="44"/>
          <w:szCs w:val="44"/>
          <w:highlight w:val="none"/>
          <w:lang w:eastAsia="zh-CN"/>
        </w:rPr>
        <w:t>2023年</w:t>
      </w:r>
      <w:r>
        <w:rPr>
          <w:rFonts w:hint="eastAsia" w:ascii="黑体" w:hAnsi="黑体" w:eastAsia="黑体" w:cs="宋体"/>
          <w:color w:val="auto"/>
          <w:kern w:val="0"/>
          <w:sz w:val="44"/>
          <w:szCs w:val="44"/>
          <w:highlight w:val="none"/>
        </w:rPr>
        <w:t>1月</w:t>
      </w:r>
    </w:p>
    <w:p w14:paraId="1B24A145">
      <w:pPr>
        <w:widowControl/>
        <w:shd w:val="clear" w:color="auto" w:fill="FFFFFF"/>
        <w:spacing w:line="290" w:lineRule="atLeas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p w14:paraId="488C8D51">
      <w:pPr>
        <w:widowControl/>
        <w:shd w:val="clear" w:color="auto" w:fill="FFFFFF"/>
        <w:spacing w:line="500" w:lineRule="atLeas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p w14:paraId="455C5CCF">
      <w:pPr>
        <w:widowControl/>
        <w:shd w:val="clear" w:color="auto" w:fill="FFFFFF"/>
        <w:spacing w:line="500" w:lineRule="atLeast"/>
        <w:jc w:val="center"/>
        <w:rPr>
          <w:rFonts w:hint="eastAsia" w:ascii="宋体" w:hAnsi="宋体" w:eastAsia="宋体" w:cs="宋体"/>
          <w:color w:val="auto"/>
          <w:kern w:val="0"/>
          <w:sz w:val="24"/>
          <w:szCs w:val="24"/>
          <w:highlight w:val="none"/>
        </w:rPr>
      </w:pPr>
    </w:p>
    <w:p w14:paraId="495150C7">
      <w:pPr>
        <w:widowControl/>
        <w:shd w:val="clear" w:color="auto" w:fill="FFFFFF"/>
        <w:spacing w:line="500" w:lineRule="atLeast"/>
        <w:jc w:val="center"/>
        <w:rPr>
          <w:rFonts w:hint="eastAsia" w:ascii="宋体" w:hAnsi="宋体" w:eastAsia="宋体" w:cs="宋体"/>
          <w:color w:val="auto"/>
          <w:kern w:val="0"/>
          <w:sz w:val="24"/>
          <w:szCs w:val="24"/>
          <w:highlight w:val="none"/>
        </w:rPr>
      </w:pPr>
    </w:p>
    <w:p w14:paraId="7C23FBBF">
      <w:pPr>
        <w:widowControl/>
        <w:shd w:val="clear" w:color="auto" w:fill="FFFFFF"/>
        <w:spacing w:line="500" w:lineRule="atLeast"/>
        <w:jc w:val="center"/>
        <w:rPr>
          <w:rFonts w:hint="eastAsia" w:ascii="宋体" w:hAnsi="宋体" w:eastAsia="宋体" w:cs="宋体"/>
          <w:color w:val="auto"/>
          <w:kern w:val="0"/>
          <w:sz w:val="24"/>
          <w:szCs w:val="24"/>
          <w:highlight w:val="none"/>
        </w:rPr>
      </w:pPr>
    </w:p>
    <w:p w14:paraId="49984544">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br w:type="page"/>
      </w:r>
    </w:p>
    <w:p w14:paraId="3690A4A9">
      <w:pPr>
        <w:widowControl/>
        <w:shd w:val="clear" w:color="auto" w:fill="FFFFFF"/>
        <w:spacing w:line="500" w:lineRule="atLeast"/>
        <w:jc w:val="center"/>
        <w:rPr>
          <w:rFonts w:ascii="宋体" w:hAnsi="宋体" w:eastAsia="宋体" w:cs="宋体"/>
          <w:color w:val="auto"/>
          <w:kern w:val="0"/>
          <w:sz w:val="24"/>
          <w:szCs w:val="24"/>
          <w:highlight w:val="none"/>
        </w:rPr>
      </w:pPr>
      <w:r>
        <w:rPr>
          <w:rFonts w:hint="eastAsia" w:ascii="黑体" w:hAnsi="黑体" w:eastAsia="黑体" w:cs="宋体"/>
          <w:color w:val="auto"/>
          <w:kern w:val="0"/>
          <w:sz w:val="44"/>
          <w:szCs w:val="44"/>
          <w:highlight w:val="none"/>
        </w:rPr>
        <w:t>目</w:t>
      </w:r>
      <w:r>
        <w:rPr>
          <w:rFonts w:hint="eastAsia" w:ascii="宋体" w:hAnsi="宋体" w:eastAsia="宋体" w:cs="宋体"/>
          <w:color w:val="auto"/>
          <w:kern w:val="0"/>
          <w:sz w:val="44"/>
          <w:szCs w:val="44"/>
          <w:highlight w:val="none"/>
        </w:rPr>
        <w:t> </w:t>
      </w:r>
      <w:r>
        <w:rPr>
          <w:rFonts w:hint="eastAsia" w:ascii="黑体" w:hAnsi="黑体" w:eastAsia="黑体" w:cs="宋体"/>
          <w:color w:val="auto"/>
          <w:kern w:val="0"/>
          <w:sz w:val="44"/>
          <w:szCs w:val="44"/>
          <w:highlight w:val="none"/>
        </w:rPr>
        <w:t>录</w:t>
      </w:r>
    </w:p>
    <w:p w14:paraId="210FACA0">
      <w:pPr>
        <w:widowControl/>
        <w:shd w:val="clear" w:color="auto" w:fill="FFFFFF"/>
        <w:spacing w:line="500" w:lineRule="atLeas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p w14:paraId="7E36FFE8">
      <w:pPr>
        <w:widowControl/>
        <w:shd w:val="clear" w:color="auto" w:fill="FFFFFF"/>
        <w:spacing w:line="500" w:lineRule="atLeast"/>
        <w:rPr>
          <w:rFonts w:ascii="宋体" w:hAnsi="宋体" w:eastAsia="宋体" w:cs="宋体"/>
          <w:color w:val="auto"/>
          <w:kern w:val="0"/>
          <w:sz w:val="24"/>
          <w:szCs w:val="24"/>
          <w:highlight w:val="none"/>
        </w:rPr>
      </w:pPr>
      <w:r>
        <w:rPr>
          <w:rFonts w:hint="eastAsia" w:ascii="仿宋_GB2312" w:hAnsi="仿宋" w:eastAsia="仿宋_GB2312" w:cs="宋体"/>
          <w:b/>
          <w:bCs/>
          <w:color w:val="auto"/>
          <w:kern w:val="0"/>
          <w:sz w:val="32"/>
          <w:szCs w:val="32"/>
          <w:highlight w:val="none"/>
        </w:rPr>
        <w:t>第一部分</w:t>
      </w:r>
      <w:r>
        <w:rPr>
          <w:rFonts w:hint="eastAsia" w:ascii="宋体" w:hAnsi="宋体" w:eastAsia="宋体" w:cs="宋体"/>
          <w:b/>
          <w:bCs/>
          <w:color w:val="auto"/>
          <w:kern w:val="0"/>
          <w:sz w:val="32"/>
          <w:szCs w:val="32"/>
          <w:highlight w:val="none"/>
        </w:rPr>
        <w:t> </w:t>
      </w:r>
      <w:r>
        <w:rPr>
          <w:rFonts w:hint="eastAsia" w:ascii="仿宋_GB2312" w:hAnsi="仿宋" w:eastAsia="仿宋_GB2312" w:cs="宋体"/>
          <w:b/>
          <w:bCs/>
          <w:color w:val="auto"/>
          <w:kern w:val="0"/>
          <w:sz w:val="32"/>
          <w:szCs w:val="32"/>
          <w:highlight w:val="none"/>
        </w:rPr>
        <w:t>部门概况</w:t>
      </w:r>
    </w:p>
    <w:p w14:paraId="42F39365">
      <w:pPr>
        <w:widowControl/>
        <w:shd w:val="clear" w:color="auto" w:fill="FFFFFF"/>
        <w:spacing w:line="500" w:lineRule="atLeast"/>
        <w:rPr>
          <w:rFonts w:ascii="Times New Roman" w:hAnsi="Times New Roman" w:eastAsia="宋体" w:cs="Times New Roman"/>
          <w:color w:val="auto"/>
          <w:kern w:val="0"/>
          <w:szCs w:val="21"/>
          <w:highlight w:val="none"/>
        </w:rPr>
      </w:pPr>
      <w:r>
        <w:rPr>
          <w:rFonts w:hint="eastAsia" w:ascii="仿宋" w:hAnsi="仿宋" w:eastAsia="仿宋" w:cs="Times New Roman"/>
          <w:color w:val="auto"/>
          <w:kern w:val="0"/>
          <w:sz w:val="32"/>
          <w:szCs w:val="32"/>
          <w:highlight w:val="none"/>
        </w:rPr>
        <w:t>1.主要职责</w:t>
      </w:r>
      <w:r>
        <w:rPr>
          <w:rFonts w:hint="eastAsia" w:ascii="宋体" w:hAnsi="宋体" w:eastAsia="宋体" w:cs="宋体"/>
          <w:color w:val="auto"/>
          <w:kern w:val="0"/>
          <w:sz w:val="32"/>
          <w:szCs w:val="32"/>
          <w:highlight w:val="none"/>
        </w:rPr>
        <w:t>  </w:t>
      </w:r>
    </w:p>
    <w:p w14:paraId="16617331">
      <w:pPr>
        <w:widowControl/>
        <w:shd w:val="clear" w:color="auto" w:fill="FFFFFF"/>
        <w:spacing w:line="500" w:lineRule="atLeast"/>
        <w:jc w:val="left"/>
        <w:rPr>
          <w:rFonts w:ascii="宋体" w:hAnsi="宋体" w:eastAsia="宋体" w:cs="宋体"/>
          <w:color w:val="auto"/>
          <w:kern w:val="0"/>
          <w:sz w:val="24"/>
          <w:szCs w:val="24"/>
          <w:highlight w:val="none"/>
        </w:rPr>
      </w:pPr>
      <w:r>
        <w:rPr>
          <w:rFonts w:hint="eastAsia" w:ascii="仿宋" w:hAnsi="仿宋" w:eastAsia="仿宋" w:cs="宋体"/>
          <w:color w:val="auto"/>
          <w:kern w:val="0"/>
          <w:sz w:val="32"/>
          <w:szCs w:val="32"/>
          <w:highlight w:val="none"/>
        </w:rPr>
        <w:t>2.部门预算单位构成</w:t>
      </w:r>
      <w:r>
        <w:rPr>
          <w:rFonts w:hint="eastAsia" w:ascii="宋体" w:hAnsi="宋体" w:eastAsia="宋体" w:cs="宋体"/>
          <w:color w:val="auto"/>
          <w:kern w:val="0"/>
          <w:sz w:val="32"/>
          <w:szCs w:val="32"/>
          <w:highlight w:val="none"/>
        </w:rPr>
        <w:t>  </w:t>
      </w:r>
    </w:p>
    <w:p w14:paraId="2DBDEFAA">
      <w:pPr>
        <w:widowControl/>
        <w:shd w:val="clear" w:color="auto" w:fill="FFFFFF"/>
        <w:spacing w:line="500" w:lineRule="atLeast"/>
        <w:jc w:val="left"/>
        <w:rPr>
          <w:rFonts w:ascii="宋体" w:hAnsi="宋体" w:eastAsia="宋体" w:cs="宋体"/>
          <w:color w:val="auto"/>
          <w:kern w:val="0"/>
          <w:sz w:val="24"/>
          <w:szCs w:val="24"/>
          <w:highlight w:val="none"/>
        </w:rPr>
      </w:pPr>
      <w:r>
        <w:rPr>
          <w:rFonts w:hint="eastAsia" w:ascii="仿宋" w:hAnsi="仿宋" w:eastAsia="仿宋" w:cs="宋体"/>
          <w:color w:val="auto"/>
          <w:kern w:val="0"/>
          <w:sz w:val="32"/>
          <w:szCs w:val="32"/>
          <w:highlight w:val="none"/>
        </w:rPr>
        <w:t>3.</w:t>
      </w:r>
      <w:r>
        <w:rPr>
          <w:rFonts w:hint="eastAsia" w:ascii="仿宋" w:hAnsi="仿宋" w:eastAsia="仿宋" w:cs="宋体"/>
          <w:color w:val="auto"/>
          <w:kern w:val="0"/>
          <w:sz w:val="32"/>
          <w:szCs w:val="32"/>
          <w:highlight w:val="none"/>
          <w:lang w:eastAsia="zh-CN"/>
        </w:rPr>
        <w:t>2023年</w:t>
      </w:r>
      <w:r>
        <w:rPr>
          <w:rFonts w:hint="eastAsia" w:ascii="仿宋_GB2312" w:hAnsi="仿宋" w:eastAsia="仿宋_GB2312" w:cs="宋体"/>
          <w:color w:val="auto"/>
          <w:kern w:val="0"/>
          <w:sz w:val="32"/>
          <w:szCs w:val="32"/>
          <w:highlight w:val="none"/>
        </w:rPr>
        <w:t>度主要工作任务</w:t>
      </w:r>
      <w:r>
        <w:rPr>
          <w:rFonts w:hint="eastAsia" w:ascii="宋体" w:hAnsi="宋体" w:eastAsia="宋体" w:cs="宋体"/>
          <w:color w:val="auto"/>
          <w:kern w:val="0"/>
          <w:sz w:val="32"/>
          <w:szCs w:val="32"/>
          <w:highlight w:val="none"/>
        </w:rPr>
        <w:t>  </w:t>
      </w:r>
    </w:p>
    <w:p w14:paraId="6A0468E1">
      <w:pPr>
        <w:widowControl/>
        <w:shd w:val="clear" w:color="auto" w:fill="FFFFFF"/>
        <w:spacing w:line="500" w:lineRule="atLeast"/>
        <w:jc w:val="left"/>
        <w:rPr>
          <w:rFonts w:ascii="宋体" w:hAnsi="宋体" w:eastAsia="宋体" w:cs="宋体"/>
          <w:color w:val="auto"/>
          <w:kern w:val="0"/>
          <w:sz w:val="24"/>
          <w:szCs w:val="24"/>
          <w:highlight w:val="none"/>
        </w:rPr>
      </w:pPr>
      <w:r>
        <w:rPr>
          <w:rFonts w:hint="eastAsia" w:ascii="仿宋_GB2312" w:hAnsi="仿宋" w:eastAsia="仿宋_GB2312" w:cs="宋体"/>
          <w:b/>
          <w:bCs/>
          <w:color w:val="auto"/>
          <w:kern w:val="0"/>
          <w:sz w:val="32"/>
          <w:szCs w:val="32"/>
          <w:highlight w:val="none"/>
        </w:rPr>
        <w:t>第二部分</w:t>
      </w:r>
      <w:r>
        <w:rPr>
          <w:rFonts w:hint="eastAsia" w:ascii="宋体" w:hAnsi="宋体" w:eastAsia="宋体" w:cs="宋体"/>
          <w:b/>
          <w:bCs/>
          <w:color w:val="auto"/>
          <w:kern w:val="0"/>
          <w:sz w:val="32"/>
          <w:szCs w:val="32"/>
          <w:highlight w:val="none"/>
        </w:rPr>
        <w:t> </w:t>
      </w:r>
      <w:r>
        <w:rPr>
          <w:rFonts w:hint="eastAsia" w:ascii="仿宋" w:hAnsi="仿宋" w:eastAsia="仿宋" w:cs="仿宋"/>
          <w:b/>
          <w:bCs/>
          <w:color w:val="auto"/>
          <w:kern w:val="0"/>
          <w:sz w:val="32"/>
          <w:szCs w:val="32"/>
          <w:highlight w:val="none"/>
          <w:lang w:eastAsia="zh-CN"/>
        </w:rPr>
        <w:t>2023年</w:t>
      </w:r>
      <w:r>
        <w:rPr>
          <w:rFonts w:hint="eastAsia" w:ascii="仿宋_GB2312" w:hAnsi="仿宋" w:eastAsia="仿宋_GB2312" w:cs="宋体"/>
          <w:b/>
          <w:bCs/>
          <w:color w:val="auto"/>
          <w:kern w:val="0"/>
          <w:sz w:val="32"/>
          <w:szCs w:val="32"/>
          <w:highlight w:val="none"/>
        </w:rPr>
        <w:t>部门预算表</w:t>
      </w:r>
    </w:p>
    <w:p w14:paraId="487A4D67">
      <w:pPr>
        <w:widowControl/>
        <w:shd w:val="clear" w:color="auto" w:fill="FFFFFF"/>
        <w:spacing w:line="500" w:lineRule="atLeast"/>
        <w:jc w:val="left"/>
        <w:rPr>
          <w:rFonts w:ascii="宋体" w:hAnsi="宋体" w:eastAsia="宋体" w:cs="宋体"/>
          <w:color w:val="auto"/>
          <w:kern w:val="0"/>
          <w:sz w:val="24"/>
          <w:szCs w:val="24"/>
          <w:highlight w:val="none"/>
        </w:rPr>
      </w:pPr>
      <w:r>
        <w:rPr>
          <w:rFonts w:hint="eastAsia" w:ascii="仿宋" w:hAnsi="仿宋" w:eastAsia="仿宋" w:cs="宋体"/>
          <w:color w:val="auto"/>
          <w:kern w:val="0"/>
          <w:sz w:val="32"/>
          <w:szCs w:val="32"/>
          <w:highlight w:val="none"/>
        </w:rPr>
        <w:t>1.</w:t>
      </w:r>
      <w:r>
        <w:rPr>
          <w:rFonts w:hint="eastAsia" w:ascii="仿宋_GB2312" w:hAnsi="仿宋" w:eastAsia="仿宋_GB2312" w:cs="宋体"/>
          <w:color w:val="auto"/>
          <w:kern w:val="0"/>
          <w:sz w:val="32"/>
          <w:szCs w:val="32"/>
          <w:highlight w:val="none"/>
        </w:rPr>
        <w:t>濉溪县卫健委</w:t>
      </w:r>
      <w:r>
        <w:rPr>
          <w:rFonts w:hint="eastAsia" w:ascii="仿宋" w:hAnsi="仿宋" w:eastAsia="仿宋" w:cs="宋体"/>
          <w:color w:val="auto"/>
          <w:kern w:val="0"/>
          <w:sz w:val="32"/>
          <w:szCs w:val="32"/>
          <w:highlight w:val="none"/>
          <w:lang w:eastAsia="zh-CN"/>
        </w:rPr>
        <w:t>2023年</w:t>
      </w:r>
      <w:r>
        <w:rPr>
          <w:rFonts w:hint="eastAsia" w:ascii="仿宋_GB2312" w:hAnsi="仿宋" w:eastAsia="仿宋_GB2312" w:cs="宋体"/>
          <w:color w:val="auto"/>
          <w:kern w:val="0"/>
          <w:sz w:val="32"/>
          <w:szCs w:val="32"/>
          <w:highlight w:val="none"/>
        </w:rPr>
        <w:t>收支总表</w:t>
      </w:r>
    </w:p>
    <w:p w14:paraId="1A6C453D">
      <w:pPr>
        <w:widowControl/>
        <w:shd w:val="clear" w:color="auto" w:fill="FFFFFF"/>
        <w:spacing w:line="500" w:lineRule="atLeast"/>
        <w:jc w:val="left"/>
        <w:rPr>
          <w:rFonts w:ascii="宋体" w:hAnsi="宋体" w:eastAsia="宋体" w:cs="宋体"/>
          <w:color w:val="auto"/>
          <w:kern w:val="0"/>
          <w:sz w:val="24"/>
          <w:szCs w:val="24"/>
          <w:highlight w:val="none"/>
        </w:rPr>
      </w:pPr>
      <w:r>
        <w:rPr>
          <w:rFonts w:hint="eastAsia" w:ascii="仿宋" w:hAnsi="仿宋" w:eastAsia="仿宋" w:cs="宋体"/>
          <w:color w:val="auto"/>
          <w:kern w:val="0"/>
          <w:sz w:val="32"/>
          <w:szCs w:val="32"/>
          <w:highlight w:val="none"/>
        </w:rPr>
        <w:t>2.</w:t>
      </w:r>
      <w:r>
        <w:rPr>
          <w:rFonts w:hint="eastAsia" w:ascii="仿宋_GB2312" w:hAnsi="仿宋" w:eastAsia="仿宋_GB2312" w:cs="宋体"/>
          <w:color w:val="auto"/>
          <w:kern w:val="0"/>
          <w:sz w:val="32"/>
          <w:szCs w:val="32"/>
          <w:highlight w:val="none"/>
        </w:rPr>
        <w:t>濉溪县卫健委</w:t>
      </w:r>
      <w:r>
        <w:rPr>
          <w:rFonts w:hint="eastAsia" w:ascii="仿宋" w:hAnsi="仿宋" w:eastAsia="仿宋" w:cs="宋体"/>
          <w:color w:val="auto"/>
          <w:kern w:val="0"/>
          <w:sz w:val="32"/>
          <w:szCs w:val="32"/>
          <w:highlight w:val="none"/>
          <w:lang w:eastAsia="zh-CN"/>
        </w:rPr>
        <w:t>2023年</w:t>
      </w:r>
      <w:r>
        <w:rPr>
          <w:rFonts w:hint="eastAsia" w:ascii="仿宋_GB2312" w:hAnsi="仿宋" w:eastAsia="仿宋_GB2312" w:cs="宋体"/>
          <w:color w:val="auto"/>
          <w:kern w:val="0"/>
          <w:sz w:val="32"/>
          <w:szCs w:val="32"/>
          <w:highlight w:val="none"/>
        </w:rPr>
        <w:t>收入总表</w:t>
      </w:r>
    </w:p>
    <w:p w14:paraId="1F3ED11B">
      <w:pPr>
        <w:widowControl/>
        <w:shd w:val="clear" w:color="auto" w:fill="FFFFFF"/>
        <w:spacing w:line="500" w:lineRule="atLeast"/>
        <w:jc w:val="left"/>
        <w:rPr>
          <w:rFonts w:ascii="宋体" w:hAnsi="宋体" w:eastAsia="宋体" w:cs="宋体"/>
          <w:color w:val="auto"/>
          <w:kern w:val="0"/>
          <w:sz w:val="24"/>
          <w:szCs w:val="24"/>
          <w:highlight w:val="none"/>
        </w:rPr>
      </w:pPr>
      <w:r>
        <w:rPr>
          <w:rFonts w:hint="eastAsia" w:ascii="仿宋" w:hAnsi="仿宋" w:eastAsia="仿宋" w:cs="宋体"/>
          <w:color w:val="auto"/>
          <w:kern w:val="0"/>
          <w:sz w:val="32"/>
          <w:szCs w:val="32"/>
          <w:highlight w:val="none"/>
        </w:rPr>
        <w:t>3.</w:t>
      </w:r>
      <w:r>
        <w:rPr>
          <w:rFonts w:hint="eastAsia" w:ascii="仿宋_GB2312" w:hAnsi="仿宋" w:eastAsia="仿宋_GB2312" w:cs="宋体"/>
          <w:color w:val="auto"/>
          <w:kern w:val="0"/>
          <w:sz w:val="32"/>
          <w:szCs w:val="32"/>
          <w:highlight w:val="none"/>
        </w:rPr>
        <w:t>濉溪县卫健委</w:t>
      </w:r>
      <w:r>
        <w:rPr>
          <w:rFonts w:hint="eastAsia" w:ascii="仿宋" w:hAnsi="仿宋" w:eastAsia="仿宋" w:cs="宋体"/>
          <w:color w:val="auto"/>
          <w:kern w:val="0"/>
          <w:sz w:val="32"/>
          <w:szCs w:val="32"/>
          <w:highlight w:val="none"/>
          <w:lang w:eastAsia="zh-CN"/>
        </w:rPr>
        <w:t>2023年</w:t>
      </w:r>
      <w:r>
        <w:rPr>
          <w:rFonts w:hint="eastAsia" w:ascii="仿宋_GB2312" w:hAnsi="仿宋" w:eastAsia="仿宋_GB2312" w:cs="宋体"/>
          <w:color w:val="auto"/>
          <w:kern w:val="0"/>
          <w:sz w:val="32"/>
          <w:szCs w:val="32"/>
          <w:highlight w:val="none"/>
        </w:rPr>
        <w:t>支出总表</w:t>
      </w:r>
    </w:p>
    <w:p w14:paraId="2DA63CE4">
      <w:pPr>
        <w:widowControl/>
        <w:shd w:val="clear" w:color="auto" w:fill="FFFFFF"/>
        <w:spacing w:line="500" w:lineRule="atLeast"/>
        <w:jc w:val="left"/>
        <w:rPr>
          <w:rFonts w:ascii="宋体" w:hAnsi="宋体" w:eastAsia="宋体" w:cs="宋体"/>
          <w:color w:val="auto"/>
          <w:kern w:val="0"/>
          <w:sz w:val="24"/>
          <w:szCs w:val="24"/>
          <w:highlight w:val="none"/>
        </w:rPr>
      </w:pPr>
      <w:r>
        <w:rPr>
          <w:rFonts w:hint="eastAsia" w:ascii="仿宋" w:hAnsi="仿宋" w:eastAsia="仿宋" w:cs="宋体"/>
          <w:color w:val="auto"/>
          <w:kern w:val="0"/>
          <w:sz w:val="32"/>
          <w:szCs w:val="32"/>
          <w:highlight w:val="none"/>
        </w:rPr>
        <w:t>4.</w:t>
      </w:r>
      <w:r>
        <w:rPr>
          <w:rFonts w:hint="eastAsia" w:ascii="仿宋_GB2312" w:hAnsi="仿宋" w:eastAsia="仿宋_GB2312" w:cs="宋体"/>
          <w:color w:val="auto"/>
          <w:kern w:val="0"/>
          <w:sz w:val="32"/>
          <w:szCs w:val="32"/>
          <w:highlight w:val="none"/>
        </w:rPr>
        <w:t>濉溪县卫健委</w:t>
      </w:r>
      <w:r>
        <w:rPr>
          <w:rFonts w:hint="eastAsia" w:ascii="仿宋" w:hAnsi="仿宋" w:eastAsia="仿宋" w:cs="宋体"/>
          <w:color w:val="auto"/>
          <w:kern w:val="0"/>
          <w:sz w:val="32"/>
          <w:szCs w:val="32"/>
          <w:highlight w:val="none"/>
          <w:lang w:eastAsia="zh-CN"/>
        </w:rPr>
        <w:t>2023年</w:t>
      </w:r>
      <w:r>
        <w:rPr>
          <w:rFonts w:hint="eastAsia" w:ascii="仿宋_GB2312" w:hAnsi="仿宋" w:eastAsia="仿宋_GB2312" w:cs="宋体"/>
          <w:color w:val="auto"/>
          <w:kern w:val="0"/>
          <w:sz w:val="32"/>
          <w:szCs w:val="32"/>
          <w:highlight w:val="none"/>
        </w:rPr>
        <w:t>财政拨款收支总表</w:t>
      </w:r>
    </w:p>
    <w:p w14:paraId="5BD65318">
      <w:pPr>
        <w:widowControl/>
        <w:shd w:val="clear" w:color="auto" w:fill="FFFFFF"/>
        <w:spacing w:line="500" w:lineRule="atLeast"/>
        <w:jc w:val="left"/>
        <w:rPr>
          <w:rFonts w:ascii="宋体" w:hAnsi="宋体" w:eastAsia="宋体" w:cs="宋体"/>
          <w:color w:val="auto"/>
          <w:kern w:val="0"/>
          <w:sz w:val="24"/>
          <w:szCs w:val="24"/>
          <w:highlight w:val="none"/>
        </w:rPr>
      </w:pPr>
      <w:r>
        <w:rPr>
          <w:rFonts w:hint="eastAsia" w:ascii="仿宋" w:hAnsi="仿宋" w:eastAsia="仿宋" w:cs="宋体"/>
          <w:color w:val="auto"/>
          <w:kern w:val="0"/>
          <w:sz w:val="32"/>
          <w:szCs w:val="32"/>
          <w:highlight w:val="none"/>
        </w:rPr>
        <w:t>5.</w:t>
      </w:r>
      <w:r>
        <w:rPr>
          <w:rFonts w:hint="eastAsia" w:ascii="仿宋_GB2312" w:hAnsi="仿宋" w:eastAsia="仿宋_GB2312" w:cs="宋体"/>
          <w:color w:val="auto"/>
          <w:kern w:val="0"/>
          <w:sz w:val="32"/>
          <w:szCs w:val="32"/>
          <w:highlight w:val="none"/>
        </w:rPr>
        <w:t>濉溪县卫健委</w:t>
      </w:r>
      <w:r>
        <w:rPr>
          <w:rFonts w:hint="eastAsia" w:ascii="仿宋" w:hAnsi="仿宋" w:eastAsia="仿宋" w:cs="宋体"/>
          <w:color w:val="auto"/>
          <w:kern w:val="0"/>
          <w:sz w:val="32"/>
          <w:szCs w:val="32"/>
          <w:highlight w:val="none"/>
          <w:lang w:eastAsia="zh-CN"/>
        </w:rPr>
        <w:t>2023年</w:t>
      </w:r>
      <w:r>
        <w:rPr>
          <w:rFonts w:hint="eastAsia" w:ascii="仿宋_GB2312" w:hAnsi="仿宋" w:eastAsia="仿宋_GB2312" w:cs="宋体"/>
          <w:color w:val="auto"/>
          <w:kern w:val="0"/>
          <w:sz w:val="32"/>
          <w:szCs w:val="32"/>
          <w:highlight w:val="none"/>
        </w:rPr>
        <w:t>一般公共预算支出表</w:t>
      </w:r>
    </w:p>
    <w:p w14:paraId="33E23EC0">
      <w:pPr>
        <w:widowControl/>
        <w:shd w:val="clear" w:color="auto" w:fill="FFFFFF"/>
        <w:spacing w:line="500" w:lineRule="atLeast"/>
        <w:jc w:val="left"/>
        <w:rPr>
          <w:rFonts w:ascii="宋体" w:hAnsi="宋体" w:eastAsia="宋体" w:cs="宋体"/>
          <w:color w:val="auto"/>
          <w:kern w:val="0"/>
          <w:sz w:val="24"/>
          <w:szCs w:val="24"/>
          <w:highlight w:val="none"/>
        </w:rPr>
      </w:pPr>
      <w:r>
        <w:rPr>
          <w:rFonts w:hint="eastAsia" w:ascii="仿宋" w:hAnsi="仿宋" w:eastAsia="仿宋" w:cs="宋体"/>
          <w:color w:val="auto"/>
          <w:kern w:val="0"/>
          <w:sz w:val="32"/>
          <w:szCs w:val="32"/>
          <w:highlight w:val="none"/>
        </w:rPr>
        <w:t>6.</w:t>
      </w:r>
      <w:r>
        <w:rPr>
          <w:rFonts w:hint="eastAsia" w:ascii="仿宋_GB2312" w:hAnsi="仿宋" w:eastAsia="仿宋_GB2312" w:cs="宋体"/>
          <w:color w:val="auto"/>
          <w:kern w:val="0"/>
          <w:sz w:val="32"/>
          <w:szCs w:val="32"/>
          <w:highlight w:val="none"/>
        </w:rPr>
        <w:t>濉溪县卫健委</w:t>
      </w:r>
      <w:r>
        <w:rPr>
          <w:rFonts w:hint="eastAsia" w:ascii="仿宋" w:hAnsi="仿宋" w:eastAsia="仿宋" w:cs="宋体"/>
          <w:color w:val="auto"/>
          <w:kern w:val="0"/>
          <w:sz w:val="32"/>
          <w:szCs w:val="32"/>
          <w:highlight w:val="none"/>
          <w:lang w:eastAsia="zh-CN"/>
        </w:rPr>
        <w:t>2023年</w:t>
      </w:r>
      <w:r>
        <w:rPr>
          <w:rFonts w:hint="eastAsia" w:ascii="仿宋_GB2312" w:hAnsi="仿宋" w:eastAsia="仿宋_GB2312" w:cs="宋体"/>
          <w:color w:val="auto"/>
          <w:kern w:val="0"/>
          <w:sz w:val="32"/>
          <w:szCs w:val="32"/>
          <w:highlight w:val="none"/>
        </w:rPr>
        <w:t>一般公共预算基本支出表</w:t>
      </w:r>
    </w:p>
    <w:p w14:paraId="020D14AA">
      <w:pPr>
        <w:widowControl/>
        <w:shd w:val="clear" w:color="auto" w:fill="FFFFFF"/>
        <w:spacing w:line="500" w:lineRule="atLeast"/>
        <w:jc w:val="left"/>
        <w:rPr>
          <w:rFonts w:ascii="宋体" w:hAnsi="宋体" w:eastAsia="宋体" w:cs="宋体"/>
          <w:color w:val="auto"/>
          <w:kern w:val="0"/>
          <w:sz w:val="24"/>
          <w:szCs w:val="24"/>
          <w:highlight w:val="none"/>
        </w:rPr>
      </w:pPr>
      <w:r>
        <w:rPr>
          <w:rFonts w:hint="eastAsia" w:ascii="仿宋" w:hAnsi="仿宋" w:eastAsia="仿宋" w:cs="宋体"/>
          <w:color w:val="auto"/>
          <w:kern w:val="0"/>
          <w:sz w:val="32"/>
          <w:szCs w:val="32"/>
          <w:highlight w:val="none"/>
        </w:rPr>
        <w:t>7.</w:t>
      </w:r>
      <w:r>
        <w:rPr>
          <w:rFonts w:hint="eastAsia" w:ascii="仿宋_GB2312" w:hAnsi="仿宋" w:eastAsia="仿宋_GB2312" w:cs="宋体"/>
          <w:color w:val="auto"/>
          <w:kern w:val="0"/>
          <w:sz w:val="32"/>
          <w:szCs w:val="32"/>
          <w:highlight w:val="none"/>
        </w:rPr>
        <w:t>濉溪县卫健委</w:t>
      </w:r>
      <w:r>
        <w:rPr>
          <w:rFonts w:hint="eastAsia" w:ascii="仿宋" w:hAnsi="仿宋" w:eastAsia="仿宋" w:cs="宋体"/>
          <w:color w:val="auto"/>
          <w:kern w:val="0"/>
          <w:sz w:val="32"/>
          <w:szCs w:val="32"/>
          <w:highlight w:val="none"/>
          <w:lang w:eastAsia="zh-CN"/>
        </w:rPr>
        <w:t>2023年</w:t>
      </w:r>
      <w:r>
        <w:rPr>
          <w:rFonts w:hint="eastAsia" w:ascii="仿宋_GB2312" w:hAnsi="仿宋" w:eastAsia="仿宋_GB2312" w:cs="宋体"/>
          <w:color w:val="auto"/>
          <w:kern w:val="0"/>
          <w:sz w:val="32"/>
          <w:szCs w:val="32"/>
          <w:highlight w:val="none"/>
        </w:rPr>
        <w:t>政府性基金预算支出表</w:t>
      </w:r>
    </w:p>
    <w:p w14:paraId="5FF4A147">
      <w:pPr>
        <w:widowControl/>
        <w:shd w:val="clear" w:color="auto" w:fill="FFFFFF"/>
        <w:spacing w:line="500" w:lineRule="atLeast"/>
        <w:jc w:val="left"/>
        <w:rPr>
          <w:rFonts w:ascii="宋体" w:hAnsi="宋体" w:eastAsia="宋体" w:cs="宋体"/>
          <w:color w:val="auto"/>
          <w:kern w:val="0"/>
          <w:sz w:val="24"/>
          <w:szCs w:val="24"/>
          <w:highlight w:val="none"/>
        </w:rPr>
      </w:pPr>
      <w:r>
        <w:rPr>
          <w:rFonts w:hint="eastAsia" w:ascii="仿宋" w:hAnsi="仿宋" w:eastAsia="仿宋" w:cs="宋体"/>
          <w:color w:val="auto"/>
          <w:kern w:val="0"/>
          <w:sz w:val="32"/>
          <w:szCs w:val="32"/>
          <w:highlight w:val="none"/>
        </w:rPr>
        <w:t>8.</w:t>
      </w:r>
      <w:r>
        <w:rPr>
          <w:rFonts w:hint="eastAsia" w:ascii="仿宋_GB2312" w:hAnsi="仿宋" w:eastAsia="仿宋_GB2312" w:cs="宋体"/>
          <w:color w:val="auto"/>
          <w:kern w:val="0"/>
          <w:sz w:val="32"/>
          <w:szCs w:val="32"/>
          <w:highlight w:val="none"/>
        </w:rPr>
        <w:t>濉溪县卫健委</w:t>
      </w:r>
      <w:r>
        <w:rPr>
          <w:rFonts w:hint="eastAsia" w:ascii="仿宋" w:hAnsi="仿宋" w:eastAsia="仿宋" w:cs="宋体"/>
          <w:color w:val="auto"/>
          <w:kern w:val="0"/>
          <w:sz w:val="32"/>
          <w:szCs w:val="32"/>
          <w:highlight w:val="none"/>
          <w:lang w:eastAsia="zh-CN"/>
        </w:rPr>
        <w:t>2023年</w:t>
      </w:r>
      <w:r>
        <w:rPr>
          <w:rFonts w:hint="eastAsia" w:ascii="仿宋_GB2312" w:hAnsi="仿宋" w:eastAsia="仿宋_GB2312" w:cs="宋体"/>
          <w:color w:val="auto"/>
          <w:kern w:val="0"/>
          <w:sz w:val="32"/>
          <w:szCs w:val="32"/>
          <w:highlight w:val="none"/>
        </w:rPr>
        <w:t>国有资本经营预算支出表</w:t>
      </w:r>
    </w:p>
    <w:p w14:paraId="5C819AB8">
      <w:pPr>
        <w:widowControl/>
        <w:shd w:val="clear" w:color="auto" w:fill="FFFFFF"/>
        <w:spacing w:line="500" w:lineRule="atLeast"/>
        <w:jc w:val="left"/>
        <w:rPr>
          <w:rFonts w:ascii="宋体" w:hAnsi="宋体" w:eastAsia="宋体" w:cs="宋体"/>
          <w:color w:val="auto"/>
          <w:kern w:val="0"/>
          <w:sz w:val="24"/>
          <w:szCs w:val="24"/>
          <w:highlight w:val="none"/>
        </w:rPr>
      </w:pPr>
      <w:r>
        <w:rPr>
          <w:rFonts w:hint="eastAsia" w:ascii="仿宋" w:hAnsi="仿宋" w:eastAsia="仿宋" w:cs="宋体"/>
          <w:color w:val="auto"/>
          <w:kern w:val="0"/>
          <w:sz w:val="32"/>
          <w:szCs w:val="32"/>
          <w:highlight w:val="none"/>
        </w:rPr>
        <w:t>9.</w:t>
      </w:r>
      <w:r>
        <w:rPr>
          <w:rFonts w:hint="eastAsia" w:ascii="仿宋_GB2312" w:hAnsi="仿宋" w:eastAsia="仿宋_GB2312" w:cs="宋体"/>
          <w:color w:val="auto"/>
          <w:kern w:val="0"/>
          <w:sz w:val="32"/>
          <w:szCs w:val="32"/>
          <w:highlight w:val="none"/>
        </w:rPr>
        <w:t>濉溪县卫健委</w:t>
      </w:r>
      <w:r>
        <w:rPr>
          <w:rFonts w:hint="eastAsia" w:ascii="仿宋" w:hAnsi="仿宋" w:eastAsia="仿宋" w:cs="宋体"/>
          <w:color w:val="auto"/>
          <w:kern w:val="0"/>
          <w:sz w:val="32"/>
          <w:szCs w:val="32"/>
          <w:highlight w:val="none"/>
          <w:lang w:eastAsia="zh-CN"/>
        </w:rPr>
        <w:t>2023年</w:t>
      </w:r>
      <w:r>
        <w:rPr>
          <w:rFonts w:hint="eastAsia" w:ascii="仿宋_GB2312" w:hAnsi="仿宋" w:eastAsia="仿宋_GB2312" w:cs="宋体"/>
          <w:color w:val="auto"/>
          <w:kern w:val="0"/>
          <w:sz w:val="32"/>
          <w:szCs w:val="32"/>
          <w:highlight w:val="none"/>
        </w:rPr>
        <w:t>项目支出总表</w:t>
      </w:r>
    </w:p>
    <w:p w14:paraId="7DBE2FF7">
      <w:pPr>
        <w:widowControl/>
        <w:shd w:val="clear" w:color="auto" w:fill="FFFFFF"/>
        <w:spacing w:line="500" w:lineRule="atLeast"/>
        <w:jc w:val="left"/>
        <w:rPr>
          <w:rFonts w:ascii="宋体" w:hAnsi="宋体" w:eastAsia="宋体" w:cs="宋体"/>
          <w:color w:val="auto"/>
          <w:kern w:val="0"/>
          <w:sz w:val="24"/>
          <w:szCs w:val="24"/>
          <w:highlight w:val="none"/>
        </w:rPr>
      </w:pPr>
      <w:r>
        <w:rPr>
          <w:rFonts w:hint="eastAsia" w:ascii="仿宋" w:hAnsi="仿宋" w:eastAsia="仿宋" w:cs="宋体"/>
          <w:color w:val="auto"/>
          <w:kern w:val="0"/>
          <w:sz w:val="32"/>
          <w:szCs w:val="32"/>
          <w:highlight w:val="none"/>
        </w:rPr>
        <w:t>10.</w:t>
      </w:r>
      <w:r>
        <w:rPr>
          <w:rFonts w:hint="eastAsia" w:ascii="仿宋_GB2312" w:hAnsi="仿宋" w:eastAsia="仿宋_GB2312" w:cs="宋体"/>
          <w:color w:val="auto"/>
          <w:kern w:val="0"/>
          <w:sz w:val="32"/>
          <w:szCs w:val="32"/>
          <w:highlight w:val="none"/>
        </w:rPr>
        <w:t>濉溪县卫健委</w:t>
      </w:r>
      <w:r>
        <w:rPr>
          <w:rFonts w:hint="eastAsia" w:ascii="仿宋" w:hAnsi="仿宋" w:eastAsia="仿宋" w:cs="宋体"/>
          <w:color w:val="auto"/>
          <w:kern w:val="0"/>
          <w:sz w:val="32"/>
          <w:szCs w:val="32"/>
          <w:highlight w:val="none"/>
          <w:lang w:eastAsia="zh-CN"/>
        </w:rPr>
        <w:t>2023年</w:t>
      </w:r>
      <w:r>
        <w:rPr>
          <w:rFonts w:hint="eastAsia" w:ascii="仿宋_GB2312" w:hAnsi="仿宋" w:eastAsia="仿宋_GB2312" w:cs="宋体"/>
          <w:color w:val="auto"/>
          <w:kern w:val="0"/>
          <w:sz w:val="32"/>
          <w:szCs w:val="32"/>
          <w:highlight w:val="none"/>
        </w:rPr>
        <w:t>政府采购支出表</w:t>
      </w:r>
    </w:p>
    <w:p w14:paraId="14D73AB0">
      <w:pPr>
        <w:widowControl/>
        <w:shd w:val="clear" w:color="auto" w:fill="FFFFFF"/>
        <w:spacing w:line="500" w:lineRule="atLeast"/>
        <w:jc w:val="left"/>
        <w:rPr>
          <w:rFonts w:ascii="宋体" w:hAnsi="宋体" w:eastAsia="宋体" w:cs="宋体"/>
          <w:color w:val="auto"/>
          <w:kern w:val="0"/>
          <w:sz w:val="24"/>
          <w:szCs w:val="24"/>
          <w:highlight w:val="none"/>
        </w:rPr>
      </w:pPr>
      <w:r>
        <w:rPr>
          <w:rFonts w:hint="eastAsia" w:ascii="仿宋" w:hAnsi="仿宋" w:eastAsia="仿宋" w:cs="宋体"/>
          <w:color w:val="auto"/>
          <w:kern w:val="0"/>
          <w:sz w:val="32"/>
          <w:szCs w:val="32"/>
          <w:highlight w:val="none"/>
        </w:rPr>
        <w:t>11.</w:t>
      </w:r>
      <w:r>
        <w:rPr>
          <w:rFonts w:hint="eastAsia" w:ascii="仿宋_GB2312" w:hAnsi="仿宋" w:eastAsia="仿宋_GB2312" w:cs="宋体"/>
          <w:color w:val="auto"/>
          <w:kern w:val="0"/>
          <w:sz w:val="32"/>
          <w:szCs w:val="32"/>
          <w:highlight w:val="none"/>
        </w:rPr>
        <w:t>濉溪县卫健委</w:t>
      </w:r>
      <w:r>
        <w:rPr>
          <w:rFonts w:hint="eastAsia" w:ascii="仿宋" w:hAnsi="仿宋" w:eastAsia="仿宋" w:cs="宋体"/>
          <w:color w:val="auto"/>
          <w:kern w:val="0"/>
          <w:sz w:val="32"/>
          <w:szCs w:val="32"/>
          <w:highlight w:val="none"/>
          <w:lang w:eastAsia="zh-CN"/>
        </w:rPr>
        <w:t>2023年</w:t>
      </w:r>
      <w:r>
        <w:rPr>
          <w:rFonts w:hint="eastAsia" w:ascii="仿宋_GB2312" w:hAnsi="仿宋" w:eastAsia="仿宋_GB2312" w:cs="宋体"/>
          <w:color w:val="auto"/>
          <w:kern w:val="0"/>
          <w:sz w:val="32"/>
          <w:szCs w:val="32"/>
          <w:highlight w:val="none"/>
        </w:rPr>
        <w:t>政府购买服务支出表</w:t>
      </w:r>
    </w:p>
    <w:p w14:paraId="4F3E4B49">
      <w:pPr>
        <w:widowControl/>
        <w:shd w:val="clear" w:color="auto" w:fill="FFFFFF"/>
        <w:spacing w:line="500" w:lineRule="atLeast"/>
        <w:jc w:val="left"/>
        <w:rPr>
          <w:rFonts w:ascii="宋体" w:hAnsi="宋体" w:eastAsia="宋体" w:cs="宋体"/>
          <w:color w:val="auto"/>
          <w:kern w:val="0"/>
          <w:sz w:val="24"/>
          <w:szCs w:val="24"/>
          <w:highlight w:val="none"/>
        </w:rPr>
      </w:pPr>
      <w:r>
        <w:rPr>
          <w:rFonts w:hint="eastAsia" w:ascii="仿宋_GB2312" w:hAnsi="仿宋" w:eastAsia="仿宋_GB2312" w:cs="宋体"/>
          <w:b/>
          <w:bCs/>
          <w:color w:val="auto"/>
          <w:kern w:val="0"/>
          <w:sz w:val="32"/>
          <w:szCs w:val="32"/>
          <w:highlight w:val="none"/>
        </w:rPr>
        <w:t>第三部分</w:t>
      </w:r>
      <w:r>
        <w:rPr>
          <w:rFonts w:hint="eastAsia" w:ascii="宋体" w:hAnsi="宋体" w:eastAsia="宋体" w:cs="宋体"/>
          <w:b/>
          <w:bCs/>
          <w:color w:val="auto"/>
          <w:kern w:val="0"/>
          <w:sz w:val="32"/>
          <w:szCs w:val="32"/>
          <w:highlight w:val="none"/>
        </w:rPr>
        <w:t> </w:t>
      </w:r>
      <w:r>
        <w:rPr>
          <w:rFonts w:hint="eastAsia" w:ascii="仿宋" w:hAnsi="仿宋" w:eastAsia="仿宋" w:cs="仿宋"/>
          <w:b/>
          <w:bCs/>
          <w:color w:val="auto"/>
          <w:kern w:val="0"/>
          <w:sz w:val="32"/>
          <w:szCs w:val="32"/>
          <w:highlight w:val="none"/>
          <w:lang w:eastAsia="zh-CN"/>
        </w:rPr>
        <w:t>2023年</w:t>
      </w:r>
      <w:r>
        <w:rPr>
          <w:rFonts w:hint="eastAsia" w:ascii="仿宋_GB2312" w:hAnsi="仿宋" w:eastAsia="仿宋_GB2312" w:cs="宋体"/>
          <w:b/>
          <w:bCs/>
          <w:color w:val="auto"/>
          <w:kern w:val="0"/>
          <w:sz w:val="32"/>
          <w:szCs w:val="32"/>
          <w:highlight w:val="none"/>
        </w:rPr>
        <w:t>部门预算情况说明</w:t>
      </w:r>
    </w:p>
    <w:p w14:paraId="3511B815">
      <w:pPr>
        <w:widowControl/>
        <w:shd w:val="clear" w:color="auto" w:fill="FFFFFF"/>
        <w:spacing w:line="500" w:lineRule="atLeast"/>
        <w:jc w:val="left"/>
        <w:rPr>
          <w:rFonts w:ascii="宋体" w:hAnsi="宋体" w:eastAsia="宋体" w:cs="宋体"/>
          <w:color w:val="auto"/>
          <w:kern w:val="0"/>
          <w:sz w:val="24"/>
          <w:szCs w:val="24"/>
          <w:highlight w:val="none"/>
        </w:rPr>
      </w:pPr>
      <w:r>
        <w:rPr>
          <w:rFonts w:hint="eastAsia" w:ascii="仿宋" w:hAnsi="仿宋" w:eastAsia="仿宋" w:cs="宋体"/>
          <w:color w:val="auto"/>
          <w:kern w:val="0"/>
          <w:sz w:val="32"/>
          <w:szCs w:val="32"/>
          <w:highlight w:val="none"/>
        </w:rPr>
        <w:t>1.关于</w:t>
      </w:r>
      <w:r>
        <w:rPr>
          <w:rFonts w:hint="eastAsia" w:ascii="仿宋" w:hAnsi="仿宋" w:eastAsia="仿宋" w:cs="宋体"/>
          <w:color w:val="auto"/>
          <w:kern w:val="0"/>
          <w:sz w:val="32"/>
          <w:szCs w:val="32"/>
          <w:highlight w:val="none"/>
          <w:lang w:eastAsia="zh-CN"/>
        </w:rPr>
        <w:t>2023年</w:t>
      </w:r>
      <w:r>
        <w:rPr>
          <w:rFonts w:hint="eastAsia" w:ascii="仿宋_GB2312" w:hAnsi="仿宋" w:eastAsia="仿宋_GB2312" w:cs="宋体"/>
          <w:color w:val="auto"/>
          <w:kern w:val="0"/>
          <w:sz w:val="32"/>
          <w:szCs w:val="32"/>
          <w:highlight w:val="none"/>
        </w:rPr>
        <w:t>收支总表的说明</w:t>
      </w:r>
    </w:p>
    <w:p w14:paraId="19440AA1">
      <w:pPr>
        <w:widowControl/>
        <w:shd w:val="clear" w:color="auto" w:fill="FFFFFF"/>
        <w:spacing w:line="500" w:lineRule="atLeast"/>
        <w:jc w:val="left"/>
        <w:rPr>
          <w:rFonts w:ascii="宋体" w:hAnsi="宋体" w:eastAsia="宋体" w:cs="宋体"/>
          <w:color w:val="auto"/>
          <w:kern w:val="0"/>
          <w:sz w:val="24"/>
          <w:szCs w:val="24"/>
          <w:highlight w:val="none"/>
        </w:rPr>
      </w:pPr>
      <w:r>
        <w:rPr>
          <w:rFonts w:hint="eastAsia" w:ascii="仿宋" w:hAnsi="仿宋" w:eastAsia="仿宋" w:cs="宋体"/>
          <w:color w:val="auto"/>
          <w:kern w:val="0"/>
          <w:sz w:val="32"/>
          <w:szCs w:val="32"/>
          <w:highlight w:val="none"/>
        </w:rPr>
        <w:t>2.关于</w:t>
      </w:r>
      <w:r>
        <w:rPr>
          <w:rFonts w:hint="eastAsia" w:ascii="仿宋" w:hAnsi="仿宋" w:eastAsia="仿宋" w:cs="宋体"/>
          <w:color w:val="auto"/>
          <w:kern w:val="0"/>
          <w:sz w:val="32"/>
          <w:szCs w:val="32"/>
          <w:highlight w:val="none"/>
          <w:lang w:eastAsia="zh-CN"/>
        </w:rPr>
        <w:t>2023年</w:t>
      </w:r>
      <w:r>
        <w:rPr>
          <w:rFonts w:hint="eastAsia" w:ascii="仿宋_GB2312" w:hAnsi="仿宋" w:eastAsia="仿宋_GB2312" w:cs="宋体"/>
          <w:color w:val="auto"/>
          <w:kern w:val="0"/>
          <w:sz w:val="32"/>
          <w:szCs w:val="32"/>
          <w:highlight w:val="none"/>
        </w:rPr>
        <w:t>收入总表的说明</w:t>
      </w:r>
    </w:p>
    <w:p w14:paraId="536D3981">
      <w:pPr>
        <w:widowControl/>
        <w:shd w:val="clear" w:color="auto" w:fill="FFFFFF"/>
        <w:spacing w:line="500" w:lineRule="atLeast"/>
        <w:jc w:val="left"/>
        <w:rPr>
          <w:rFonts w:ascii="宋体" w:hAnsi="宋体" w:eastAsia="宋体" w:cs="宋体"/>
          <w:color w:val="auto"/>
          <w:kern w:val="0"/>
          <w:sz w:val="24"/>
          <w:szCs w:val="24"/>
          <w:highlight w:val="none"/>
        </w:rPr>
      </w:pPr>
      <w:r>
        <w:rPr>
          <w:rFonts w:hint="eastAsia" w:ascii="仿宋" w:hAnsi="仿宋" w:eastAsia="仿宋" w:cs="宋体"/>
          <w:color w:val="auto"/>
          <w:kern w:val="0"/>
          <w:sz w:val="32"/>
          <w:szCs w:val="32"/>
          <w:highlight w:val="none"/>
        </w:rPr>
        <w:t>3.关于</w:t>
      </w:r>
      <w:r>
        <w:rPr>
          <w:rFonts w:hint="eastAsia" w:ascii="仿宋" w:hAnsi="仿宋" w:eastAsia="仿宋" w:cs="宋体"/>
          <w:color w:val="auto"/>
          <w:kern w:val="0"/>
          <w:sz w:val="32"/>
          <w:szCs w:val="32"/>
          <w:highlight w:val="none"/>
          <w:lang w:eastAsia="zh-CN"/>
        </w:rPr>
        <w:t>2023年</w:t>
      </w:r>
      <w:r>
        <w:rPr>
          <w:rFonts w:hint="eastAsia" w:ascii="仿宋_GB2312" w:hAnsi="仿宋" w:eastAsia="仿宋_GB2312" w:cs="宋体"/>
          <w:color w:val="auto"/>
          <w:kern w:val="0"/>
          <w:sz w:val="32"/>
          <w:szCs w:val="32"/>
          <w:highlight w:val="none"/>
        </w:rPr>
        <w:t>支出总表的说明</w:t>
      </w:r>
    </w:p>
    <w:p w14:paraId="57BAF6E5">
      <w:pPr>
        <w:widowControl/>
        <w:shd w:val="clear" w:color="auto" w:fill="FFFFFF"/>
        <w:spacing w:line="500" w:lineRule="atLeast"/>
        <w:jc w:val="left"/>
        <w:rPr>
          <w:rFonts w:ascii="宋体" w:hAnsi="宋体" w:eastAsia="宋体" w:cs="宋体"/>
          <w:color w:val="auto"/>
          <w:kern w:val="0"/>
          <w:sz w:val="24"/>
          <w:szCs w:val="24"/>
          <w:highlight w:val="none"/>
        </w:rPr>
      </w:pPr>
      <w:r>
        <w:rPr>
          <w:rFonts w:hint="eastAsia" w:ascii="仿宋" w:hAnsi="仿宋" w:eastAsia="仿宋" w:cs="宋体"/>
          <w:color w:val="auto"/>
          <w:kern w:val="0"/>
          <w:sz w:val="32"/>
          <w:szCs w:val="32"/>
          <w:highlight w:val="none"/>
        </w:rPr>
        <w:t>4.关于</w:t>
      </w:r>
      <w:r>
        <w:rPr>
          <w:rFonts w:hint="eastAsia" w:ascii="仿宋" w:hAnsi="仿宋" w:eastAsia="仿宋" w:cs="宋体"/>
          <w:color w:val="auto"/>
          <w:kern w:val="0"/>
          <w:sz w:val="32"/>
          <w:szCs w:val="32"/>
          <w:highlight w:val="none"/>
          <w:lang w:eastAsia="zh-CN"/>
        </w:rPr>
        <w:t>2023年</w:t>
      </w:r>
      <w:r>
        <w:rPr>
          <w:rFonts w:hint="eastAsia" w:ascii="仿宋_GB2312" w:hAnsi="仿宋" w:eastAsia="仿宋_GB2312" w:cs="宋体"/>
          <w:color w:val="auto"/>
          <w:kern w:val="0"/>
          <w:sz w:val="32"/>
          <w:szCs w:val="32"/>
          <w:highlight w:val="none"/>
        </w:rPr>
        <w:t>财政拨款收支总表的说明</w:t>
      </w:r>
    </w:p>
    <w:p w14:paraId="506E00FB">
      <w:pPr>
        <w:widowControl/>
        <w:shd w:val="clear" w:color="auto" w:fill="FFFFFF"/>
        <w:spacing w:line="500" w:lineRule="atLeast"/>
        <w:jc w:val="left"/>
        <w:rPr>
          <w:rFonts w:ascii="宋体" w:hAnsi="宋体" w:eastAsia="宋体" w:cs="宋体"/>
          <w:color w:val="auto"/>
          <w:kern w:val="0"/>
          <w:sz w:val="24"/>
          <w:szCs w:val="24"/>
          <w:highlight w:val="none"/>
        </w:rPr>
      </w:pPr>
      <w:r>
        <w:rPr>
          <w:rFonts w:hint="eastAsia" w:ascii="仿宋" w:hAnsi="仿宋" w:eastAsia="仿宋" w:cs="宋体"/>
          <w:color w:val="auto"/>
          <w:kern w:val="0"/>
          <w:sz w:val="32"/>
          <w:szCs w:val="32"/>
          <w:highlight w:val="none"/>
        </w:rPr>
        <w:t>5.关于</w:t>
      </w:r>
      <w:r>
        <w:rPr>
          <w:rFonts w:hint="eastAsia" w:ascii="仿宋" w:hAnsi="仿宋" w:eastAsia="仿宋" w:cs="宋体"/>
          <w:color w:val="auto"/>
          <w:kern w:val="0"/>
          <w:sz w:val="32"/>
          <w:szCs w:val="32"/>
          <w:highlight w:val="none"/>
          <w:lang w:eastAsia="zh-CN"/>
        </w:rPr>
        <w:t>2023年</w:t>
      </w:r>
      <w:r>
        <w:rPr>
          <w:rFonts w:hint="eastAsia" w:ascii="仿宋_GB2312" w:hAnsi="仿宋" w:eastAsia="仿宋_GB2312" w:cs="宋体"/>
          <w:color w:val="auto"/>
          <w:kern w:val="0"/>
          <w:sz w:val="32"/>
          <w:szCs w:val="32"/>
          <w:highlight w:val="none"/>
        </w:rPr>
        <w:t>一般公共预算支出表的说明</w:t>
      </w:r>
    </w:p>
    <w:p w14:paraId="467DF09E">
      <w:pPr>
        <w:widowControl/>
        <w:shd w:val="clear" w:color="auto" w:fill="FFFFFF"/>
        <w:spacing w:line="500" w:lineRule="atLeast"/>
        <w:jc w:val="left"/>
        <w:rPr>
          <w:rFonts w:ascii="宋体" w:hAnsi="宋体" w:eastAsia="宋体" w:cs="宋体"/>
          <w:color w:val="auto"/>
          <w:kern w:val="0"/>
          <w:sz w:val="24"/>
          <w:szCs w:val="24"/>
          <w:highlight w:val="none"/>
        </w:rPr>
      </w:pPr>
      <w:r>
        <w:rPr>
          <w:rFonts w:hint="eastAsia" w:ascii="仿宋" w:hAnsi="仿宋" w:eastAsia="仿宋" w:cs="宋体"/>
          <w:color w:val="auto"/>
          <w:kern w:val="0"/>
          <w:sz w:val="32"/>
          <w:szCs w:val="32"/>
          <w:highlight w:val="none"/>
        </w:rPr>
        <w:t>6.关于</w:t>
      </w:r>
      <w:r>
        <w:rPr>
          <w:rFonts w:hint="eastAsia" w:ascii="仿宋" w:hAnsi="仿宋" w:eastAsia="仿宋" w:cs="宋体"/>
          <w:color w:val="auto"/>
          <w:kern w:val="0"/>
          <w:sz w:val="32"/>
          <w:szCs w:val="32"/>
          <w:highlight w:val="none"/>
          <w:lang w:eastAsia="zh-CN"/>
        </w:rPr>
        <w:t>2023年</w:t>
      </w:r>
      <w:r>
        <w:rPr>
          <w:rFonts w:hint="eastAsia" w:ascii="仿宋_GB2312" w:hAnsi="仿宋" w:eastAsia="仿宋_GB2312" w:cs="宋体"/>
          <w:color w:val="auto"/>
          <w:kern w:val="0"/>
          <w:sz w:val="32"/>
          <w:szCs w:val="32"/>
          <w:highlight w:val="none"/>
        </w:rPr>
        <w:t>一般公共预算基本支出表的说明</w:t>
      </w:r>
    </w:p>
    <w:p w14:paraId="0809F794">
      <w:pPr>
        <w:widowControl/>
        <w:shd w:val="clear" w:color="auto" w:fill="FFFFFF"/>
        <w:spacing w:line="500" w:lineRule="atLeast"/>
        <w:jc w:val="left"/>
        <w:rPr>
          <w:rFonts w:ascii="宋体" w:hAnsi="宋体" w:eastAsia="宋体" w:cs="宋体"/>
          <w:color w:val="auto"/>
          <w:kern w:val="0"/>
          <w:sz w:val="24"/>
          <w:szCs w:val="24"/>
          <w:highlight w:val="none"/>
        </w:rPr>
      </w:pPr>
      <w:r>
        <w:rPr>
          <w:rFonts w:hint="eastAsia" w:ascii="仿宋" w:hAnsi="仿宋" w:eastAsia="仿宋" w:cs="宋体"/>
          <w:color w:val="auto"/>
          <w:kern w:val="0"/>
          <w:sz w:val="32"/>
          <w:szCs w:val="32"/>
          <w:highlight w:val="none"/>
        </w:rPr>
        <w:t>7.关于</w:t>
      </w:r>
      <w:r>
        <w:rPr>
          <w:rFonts w:hint="eastAsia" w:ascii="仿宋" w:hAnsi="仿宋" w:eastAsia="仿宋" w:cs="宋体"/>
          <w:color w:val="auto"/>
          <w:kern w:val="0"/>
          <w:sz w:val="32"/>
          <w:szCs w:val="32"/>
          <w:highlight w:val="none"/>
          <w:lang w:eastAsia="zh-CN"/>
        </w:rPr>
        <w:t>2023年</w:t>
      </w:r>
      <w:r>
        <w:rPr>
          <w:rFonts w:hint="eastAsia" w:ascii="仿宋_GB2312" w:hAnsi="仿宋" w:eastAsia="仿宋_GB2312" w:cs="宋体"/>
          <w:color w:val="auto"/>
          <w:kern w:val="0"/>
          <w:sz w:val="32"/>
          <w:szCs w:val="32"/>
          <w:highlight w:val="none"/>
        </w:rPr>
        <w:t>政府性基金预算支出表的说明</w:t>
      </w:r>
    </w:p>
    <w:p w14:paraId="484E5969">
      <w:pPr>
        <w:widowControl/>
        <w:shd w:val="clear" w:color="auto" w:fill="FFFFFF"/>
        <w:spacing w:line="500" w:lineRule="atLeast"/>
        <w:jc w:val="left"/>
        <w:rPr>
          <w:rFonts w:ascii="宋体" w:hAnsi="宋体" w:eastAsia="宋体" w:cs="宋体"/>
          <w:color w:val="auto"/>
          <w:kern w:val="0"/>
          <w:sz w:val="24"/>
          <w:szCs w:val="24"/>
          <w:highlight w:val="none"/>
        </w:rPr>
      </w:pPr>
      <w:r>
        <w:rPr>
          <w:rFonts w:hint="eastAsia" w:ascii="仿宋" w:hAnsi="仿宋" w:eastAsia="仿宋" w:cs="宋体"/>
          <w:color w:val="auto"/>
          <w:kern w:val="0"/>
          <w:sz w:val="32"/>
          <w:szCs w:val="32"/>
          <w:highlight w:val="none"/>
        </w:rPr>
        <w:t>8.关于</w:t>
      </w:r>
      <w:r>
        <w:rPr>
          <w:rFonts w:hint="eastAsia" w:ascii="仿宋" w:hAnsi="仿宋" w:eastAsia="仿宋" w:cs="宋体"/>
          <w:color w:val="auto"/>
          <w:kern w:val="0"/>
          <w:sz w:val="32"/>
          <w:szCs w:val="32"/>
          <w:highlight w:val="none"/>
          <w:lang w:eastAsia="zh-CN"/>
        </w:rPr>
        <w:t>2023年</w:t>
      </w:r>
      <w:r>
        <w:rPr>
          <w:rFonts w:hint="eastAsia" w:ascii="仿宋_GB2312" w:hAnsi="仿宋" w:eastAsia="仿宋_GB2312" w:cs="宋体"/>
          <w:color w:val="auto"/>
          <w:kern w:val="0"/>
          <w:sz w:val="32"/>
          <w:szCs w:val="32"/>
          <w:highlight w:val="none"/>
        </w:rPr>
        <w:t>国有资本经营预算支出表的说明</w:t>
      </w:r>
    </w:p>
    <w:p w14:paraId="3316DEA1">
      <w:pPr>
        <w:widowControl/>
        <w:shd w:val="clear" w:color="auto" w:fill="FFFFFF"/>
        <w:spacing w:line="500" w:lineRule="atLeast"/>
        <w:jc w:val="left"/>
        <w:rPr>
          <w:rFonts w:ascii="宋体" w:hAnsi="宋体" w:eastAsia="宋体" w:cs="宋体"/>
          <w:color w:val="auto"/>
          <w:kern w:val="0"/>
          <w:sz w:val="24"/>
          <w:szCs w:val="24"/>
          <w:highlight w:val="none"/>
        </w:rPr>
      </w:pPr>
      <w:r>
        <w:rPr>
          <w:rFonts w:hint="eastAsia" w:ascii="仿宋" w:hAnsi="仿宋" w:eastAsia="仿宋" w:cs="宋体"/>
          <w:color w:val="auto"/>
          <w:kern w:val="0"/>
          <w:sz w:val="32"/>
          <w:szCs w:val="32"/>
          <w:highlight w:val="none"/>
        </w:rPr>
        <w:t>9.关于</w:t>
      </w:r>
      <w:r>
        <w:rPr>
          <w:rFonts w:hint="eastAsia" w:ascii="仿宋" w:hAnsi="仿宋" w:eastAsia="仿宋" w:cs="宋体"/>
          <w:color w:val="auto"/>
          <w:kern w:val="0"/>
          <w:sz w:val="32"/>
          <w:szCs w:val="32"/>
          <w:highlight w:val="none"/>
          <w:lang w:eastAsia="zh-CN"/>
        </w:rPr>
        <w:t>2023年</w:t>
      </w:r>
      <w:r>
        <w:rPr>
          <w:rFonts w:hint="eastAsia" w:ascii="仿宋_GB2312" w:hAnsi="仿宋" w:eastAsia="仿宋_GB2312" w:cs="宋体"/>
          <w:color w:val="auto"/>
          <w:kern w:val="0"/>
          <w:sz w:val="32"/>
          <w:szCs w:val="32"/>
          <w:highlight w:val="none"/>
        </w:rPr>
        <w:t>项目支出表的说明</w:t>
      </w:r>
    </w:p>
    <w:p w14:paraId="1A8E694C">
      <w:pPr>
        <w:widowControl/>
        <w:shd w:val="clear" w:color="auto" w:fill="FFFFFF"/>
        <w:spacing w:line="500" w:lineRule="atLeast"/>
        <w:jc w:val="left"/>
        <w:rPr>
          <w:rFonts w:ascii="宋体" w:hAnsi="宋体" w:eastAsia="宋体" w:cs="宋体"/>
          <w:color w:val="auto"/>
          <w:kern w:val="0"/>
          <w:sz w:val="24"/>
          <w:szCs w:val="24"/>
          <w:highlight w:val="none"/>
        </w:rPr>
      </w:pPr>
      <w:r>
        <w:rPr>
          <w:rFonts w:hint="eastAsia" w:ascii="仿宋" w:hAnsi="仿宋" w:eastAsia="仿宋" w:cs="宋体"/>
          <w:color w:val="auto"/>
          <w:kern w:val="0"/>
          <w:sz w:val="32"/>
          <w:szCs w:val="32"/>
          <w:highlight w:val="none"/>
        </w:rPr>
        <w:t>10.关于</w:t>
      </w:r>
      <w:r>
        <w:rPr>
          <w:rFonts w:hint="eastAsia" w:ascii="仿宋" w:hAnsi="仿宋" w:eastAsia="仿宋" w:cs="宋体"/>
          <w:color w:val="auto"/>
          <w:kern w:val="0"/>
          <w:sz w:val="32"/>
          <w:szCs w:val="32"/>
          <w:highlight w:val="none"/>
          <w:lang w:eastAsia="zh-CN"/>
        </w:rPr>
        <w:t>2023年</w:t>
      </w:r>
      <w:r>
        <w:rPr>
          <w:rFonts w:hint="eastAsia" w:ascii="仿宋_GB2312" w:hAnsi="仿宋" w:eastAsia="仿宋_GB2312" w:cs="宋体"/>
          <w:color w:val="auto"/>
          <w:kern w:val="0"/>
          <w:sz w:val="32"/>
          <w:szCs w:val="32"/>
          <w:highlight w:val="none"/>
        </w:rPr>
        <w:t>政府采购支出表的说明</w:t>
      </w:r>
    </w:p>
    <w:p w14:paraId="7FB08710">
      <w:pPr>
        <w:widowControl/>
        <w:shd w:val="clear" w:color="auto" w:fill="FFFFFF"/>
        <w:spacing w:line="500" w:lineRule="atLeast"/>
        <w:jc w:val="left"/>
        <w:rPr>
          <w:rFonts w:ascii="宋体" w:hAnsi="宋体" w:eastAsia="宋体" w:cs="宋体"/>
          <w:color w:val="auto"/>
          <w:kern w:val="0"/>
          <w:sz w:val="24"/>
          <w:szCs w:val="24"/>
          <w:highlight w:val="none"/>
        </w:rPr>
      </w:pPr>
      <w:r>
        <w:rPr>
          <w:rFonts w:hint="eastAsia" w:ascii="仿宋" w:hAnsi="仿宋" w:eastAsia="仿宋" w:cs="宋体"/>
          <w:color w:val="auto"/>
          <w:kern w:val="0"/>
          <w:sz w:val="32"/>
          <w:szCs w:val="32"/>
          <w:highlight w:val="none"/>
        </w:rPr>
        <w:t>11.关于</w:t>
      </w:r>
      <w:r>
        <w:rPr>
          <w:rFonts w:hint="eastAsia" w:ascii="仿宋" w:hAnsi="仿宋" w:eastAsia="仿宋" w:cs="宋体"/>
          <w:color w:val="auto"/>
          <w:kern w:val="0"/>
          <w:sz w:val="32"/>
          <w:szCs w:val="32"/>
          <w:highlight w:val="none"/>
          <w:lang w:eastAsia="zh-CN"/>
        </w:rPr>
        <w:t>2023年</w:t>
      </w:r>
      <w:r>
        <w:rPr>
          <w:rFonts w:hint="eastAsia" w:ascii="仿宋_GB2312" w:hAnsi="仿宋" w:eastAsia="仿宋_GB2312" w:cs="宋体"/>
          <w:color w:val="auto"/>
          <w:kern w:val="0"/>
          <w:sz w:val="32"/>
          <w:szCs w:val="32"/>
          <w:highlight w:val="none"/>
        </w:rPr>
        <w:t>政府采购服务支出表的说明</w:t>
      </w:r>
    </w:p>
    <w:p w14:paraId="7B16BC97">
      <w:pPr>
        <w:widowControl/>
        <w:shd w:val="clear" w:color="auto" w:fill="FFFFFF"/>
        <w:spacing w:line="500" w:lineRule="atLeast"/>
        <w:jc w:val="left"/>
        <w:rPr>
          <w:rFonts w:ascii="宋体" w:hAnsi="宋体" w:eastAsia="宋体" w:cs="宋体"/>
          <w:color w:val="auto"/>
          <w:kern w:val="0"/>
          <w:sz w:val="24"/>
          <w:szCs w:val="24"/>
          <w:highlight w:val="none"/>
        </w:rPr>
      </w:pPr>
      <w:r>
        <w:rPr>
          <w:rFonts w:hint="eastAsia" w:ascii="仿宋" w:hAnsi="仿宋" w:eastAsia="仿宋" w:cs="宋体"/>
          <w:color w:val="auto"/>
          <w:kern w:val="0"/>
          <w:sz w:val="32"/>
          <w:szCs w:val="32"/>
          <w:highlight w:val="none"/>
        </w:rPr>
        <w:t>9.其他重要事项情况说明</w:t>
      </w:r>
    </w:p>
    <w:p w14:paraId="396002C6">
      <w:pPr>
        <w:widowControl/>
        <w:shd w:val="clear" w:color="auto" w:fill="FFFFFF"/>
        <w:spacing w:line="600" w:lineRule="atLeast"/>
        <w:rPr>
          <w:rFonts w:ascii="Times New Roman" w:hAnsi="Times New Roman" w:eastAsia="宋体" w:cs="Times New Roman"/>
          <w:color w:val="auto"/>
          <w:kern w:val="0"/>
          <w:szCs w:val="21"/>
          <w:highlight w:val="none"/>
        </w:rPr>
      </w:pPr>
      <w:r>
        <w:rPr>
          <w:rFonts w:hint="eastAsia" w:ascii="仿宋_GB2312" w:hAnsi="仿宋" w:eastAsia="仿宋_GB2312" w:cs="宋体"/>
          <w:b/>
          <w:bCs/>
          <w:color w:val="auto"/>
          <w:kern w:val="0"/>
          <w:sz w:val="32"/>
          <w:szCs w:val="32"/>
          <w:highlight w:val="none"/>
        </w:rPr>
        <w:t>第四部分</w:t>
      </w:r>
      <w:r>
        <w:rPr>
          <w:rFonts w:hint="eastAsia" w:ascii="宋体" w:hAnsi="宋体" w:eastAsia="宋体" w:cs="宋体"/>
          <w:b/>
          <w:bCs/>
          <w:color w:val="auto"/>
          <w:kern w:val="0"/>
          <w:sz w:val="32"/>
          <w:szCs w:val="32"/>
          <w:highlight w:val="none"/>
        </w:rPr>
        <w:t>  </w:t>
      </w:r>
      <w:r>
        <w:rPr>
          <w:rFonts w:hint="eastAsia" w:ascii="仿宋_GB2312" w:hAnsi="仿宋" w:eastAsia="仿宋_GB2312" w:cs="Times New Roman"/>
          <w:b/>
          <w:bCs/>
          <w:color w:val="auto"/>
          <w:kern w:val="0"/>
          <w:sz w:val="32"/>
          <w:szCs w:val="32"/>
          <w:highlight w:val="none"/>
        </w:rPr>
        <w:t>名词解释</w:t>
      </w:r>
    </w:p>
    <w:p w14:paraId="181F1E63">
      <w:pPr>
        <w:widowControl/>
        <w:shd w:val="clear" w:color="auto" w:fill="FFFFFF"/>
        <w:spacing w:line="500" w:lineRule="atLeast"/>
        <w:jc w:val="left"/>
        <w:rPr>
          <w:rFonts w:ascii="Times New Roman" w:hAnsi="Times New Roman" w:eastAsia="宋体" w:cs="Times New Roman"/>
          <w:color w:val="auto"/>
          <w:kern w:val="0"/>
          <w:szCs w:val="21"/>
          <w:highlight w:val="none"/>
        </w:rPr>
      </w:pPr>
      <w:r>
        <w:rPr>
          <w:rFonts w:hint="eastAsia" w:ascii="仿宋_GB2312" w:hAnsi="仿宋" w:eastAsia="仿宋_GB2312" w:cs="Times New Roman"/>
          <w:b/>
          <w:bCs/>
          <w:color w:val="auto"/>
          <w:kern w:val="0"/>
          <w:sz w:val="32"/>
          <w:szCs w:val="32"/>
          <w:highlight w:val="none"/>
        </w:rPr>
        <w:t>第五部分</w:t>
      </w:r>
      <w:r>
        <w:rPr>
          <w:rFonts w:hint="eastAsia" w:ascii="宋体" w:hAnsi="宋体" w:eastAsia="宋体" w:cs="宋体"/>
          <w:b/>
          <w:bCs/>
          <w:color w:val="auto"/>
          <w:kern w:val="0"/>
          <w:sz w:val="32"/>
          <w:szCs w:val="32"/>
          <w:highlight w:val="none"/>
        </w:rPr>
        <w:t> </w:t>
      </w:r>
      <w:r>
        <w:rPr>
          <w:rFonts w:hint="eastAsia" w:ascii="仿宋_GB2312" w:hAnsi="仿宋" w:eastAsia="仿宋_GB2312" w:cs="Times New Roman"/>
          <w:b/>
          <w:bCs/>
          <w:color w:val="auto"/>
          <w:kern w:val="0"/>
          <w:sz w:val="32"/>
          <w:szCs w:val="32"/>
          <w:highlight w:val="none"/>
        </w:rPr>
        <w:t>其他公开事项</w:t>
      </w:r>
    </w:p>
    <w:p w14:paraId="75BDC80B">
      <w:pPr>
        <w:pStyle w:val="7"/>
        <w:widowControl/>
        <w:numPr>
          <w:ilvl w:val="0"/>
          <w:numId w:val="1"/>
        </w:numPr>
        <w:shd w:val="clear" w:color="auto" w:fill="FFFFFF"/>
        <w:spacing w:line="600" w:lineRule="atLeast"/>
        <w:ind w:left="5" w:leftChars="0" w:hanging="5" w:firstLineChars="0"/>
        <w:rPr>
          <w:rFonts w:ascii="仿宋_GB2312" w:hAnsi="仿宋" w:eastAsia="仿宋_GB2312" w:cs="Times New Roman"/>
          <w:color w:val="auto"/>
          <w:kern w:val="0"/>
          <w:sz w:val="32"/>
          <w:szCs w:val="32"/>
          <w:highlight w:val="none"/>
        </w:rPr>
      </w:pPr>
      <w:r>
        <w:rPr>
          <w:rFonts w:hint="eastAsia" w:ascii="仿宋_GB2312" w:hAnsi="仿宋" w:eastAsia="仿宋_GB2312" w:cs="Times New Roman"/>
          <w:color w:val="auto"/>
          <w:kern w:val="0"/>
          <w:sz w:val="32"/>
          <w:szCs w:val="32"/>
          <w:highlight w:val="none"/>
        </w:rPr>
        <w:t>濉溪县卫健委</w:t>
      </w:r>
      <w:r>
        <w:rPr>
          <w:rFonts w:hint="eastAsia" w:ascii="仿宋_GB2312" w:hAnsi="仿宋" w:eastAsia="仿宋_GB2312" w:cs="Times New Roman"/>
          <w:color w:val="auto"/>
          <w:kern w:val="0"/>
          <w:sz w:val="32"/>
          <w:szCs w:val="32"/>
          <w:highlight w:val="none"/>
          <w:lang w:eastAsia="zh-CN"/>
        </w:rPr>
        <w:t>2023年</w:t>
      </w:r>
      <w:r>
        <w:rPr>
          <w:rFonts w:hint="eastAsia" w:ascii="仿宋_GB2312" w:hAnsi="仿宋" w:eastAsia="仿宋_GB2312" w:cs="Times New Roman"/>
          <w:color w:val="auto"/>
          <w:kern w:val="0"/>
          <w:sz w:val="32"/>
          <w:szCs w:val="32"/>
          <w:highlight w:val="none"/>
        </w:rPr>
        <w:t>部门预算纳入绩效考评项目表</w:t>
      </w:r>
    </w:p>
    <w:p w14:paraId="343077DB">
      <w:pPr>
        <w:pStyle w:val="7"/>
        <w:widowControl/>
        <w:numPr>
          <w:ilvl w:val="0"/>
          <w:numId w:val="1"/>
        </w:numPr>
        <w:shd w:val="clear" w:color="auto" w:fill="FFFFFF"/>
        <w:spacing w:line="600" w:lineRule="atLeast"/>
        <w:ind w:left="465" w:leftChars="0" w:hanging="465" w:firstLineChars="0"/>
        <w:rPr>
          <w:rFonts w:ascii="仿宋_GB2312" w:hAnsi="仿宋" w:eastAsia="仿宋_GB2312" w:cs="Times New Roman"/>
          <w:color w:val="auto"/>
          <w:kern w:val="0"/>
          <w:sz w:val="32"/>
          <w:szCs w:val="32"/>
          <w:highlight w:val="none"/>
        </w:rPr>
      </w:pPr>
      <w:r>
        <w:rPr>
          <w:rFonts w:hint="eastAsia" w:ascii="仿宋_GB2312" w:hAnsi="仿宋" w:eastAsia="仿宋_GB2312" w:cs="Times New Roman"/>
          <w:color w:val="auto"/>
          <w:kern w:val="0"/>
          <w:sz w:val="32"/>
          <w:szCs w:val="32"/>
          <w:highlight w:val="none"/>
        </w:rPr>
        <w:t>濉溪县卫健委</w:t>
      </w:r>
      <w:r>
        <w:rPr>
          <w:rFonts w:hint="eastAsia" w:ascii="仿宋_GB2312" w:hAnsi="仿宋" w:eastAsia="仿宋_GB2312" w:cs="Times New Roman"/>
          <w:color w:val="auto"/>
          <w:kern w:val="0"/>
          <w:sz w:val="32"/>
          <w:szCs w:val="32"/>
          <w:highlight w:val="none"/>
          <w:lang w:eastAsia="zh-CN"/>
        </w:rPr>
        <w:t>2023年</w:t>
      </w:r>
      <w:r>
        <w:rPr>
          <w:rFonts w:hint="eastAsia" w:ascii="仿宋_GB2312" w:hAnsi="仿宋" w:eastAsia="仿宋_GB2312" w:cs="Times New Roman"/>
          <w:color w:val="auto"/>
          <w:kern w:val="0"/>
          <w:sz w:val="32"/>
          <w:szCs w:val="32"/>
          <w:highlight w:val="none"/>
        </w:rPr>
        <w:t>部门预算专项资金管理清单</w:t>
      </w:r>
    </w:p>
    <w:p w14:paraId="7C425B9D">
      <w:pPr>
        <w:widowControl/>
        <w:shd w:val="clear" w:color="auto" w:fill="FFFFFF"/>
        <w:spacing w:line="600" w:lineRule="atLeast"/>
        <w:ind w:left="0" w:leftChars="0" w:firstLine="0" w:firstLineChars="0"/>
        <w:rPr>
          <w:rFonts w:ascii="宋体" w:hAnsi="宋体" w:eastAsia="宋体" w:cs="宋体"/>
          <w:color w:val="auto"/>
          <w:kern w:val="0"/>
          <w:sz w:val="24"/>
          <w:szCs w:val="24"/>
          <w:highlight w:val="none"/>
        </w:rPr>
      </w:pPr>
    </w:p>
    <w:p w14:paraId="241765CF">
      <w:pPr>
        <w:widowControl/>
        <w:shd w:val="clear" w:color="auto" w:fill="FFFFFF"/>
        <w:spacing w:line="600" w:lineRule="atLeas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p w14:paraId="5CDEE036">
      <w:pPr>
        <w:widowControl/>
        <w:shd w:val="clear" w:color="auto" w:fill="FFFFFF"/>
        <w:spacing w:line="500" w:lineRule="atLeast"/>
        <w:ind w:firstLine="64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p w14:paraId="05BB9218">
      <w:pPr>
        <w:widowControl/>
        <w:shd w:val="clear" w:color="auto" w:fill="FFFFFF"/>
        <w:spacing w:line="500" w:lineRule="atLeast"/>
        <w:ind w:firstLine="64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p w14:paraId="7D626D08">
      <w:pPr>
        <w:widowControl/>
        <w:shd w:val="clear" w:color="auto" w:fill="FFFFFF"/>
        <w:spacing w:line="500" w:lineRule="atLeast"/>
        <w:ind w:firstLine="64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p w14:paraId="093D0C9E">
      <w:pPr>
        <w:widowControl/>
        <w:shd w:val="clear" w:color="auto" w:fill="FFFFFF"/>
        <w:spacing w:line="500" w:lineRule="atLeast"/>
        <w:ind w:firstLine="64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p w14:paraId="5B6E77C5">
      <w:pPr>
        <w:widowControl/>
        <w:shd w:val="clear" w:color="auto" w:fill="FFFFFF"/>
        <w:spacing w:line="500" w:lineRule="atLeast"/>
        <w:ind w:firstLine="64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p w14:paraId="7D3CFC0F">
      <w:pPr>
        <w:widowControl/>
        <w:shd w:val="clear" w:color="auto" w:fill="FFFFFF"/>
        <w:spacing w:line="500" w:lineRule="atLeast"/>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p w14:paraId="5CDCC768">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br w:type="page"/>
      </w:r>
    </w:p>
    <w:p w14:paraId="04BEF87A">
      <w:pPr>
        <w:widowControl/>
        <w:shd w:val="clear" w:color="auto" w:fill="FFFFFF"/>
        <w:spacing w:line="290" w:lineRule="atLeast"/>
        <w:jc w:val="center"/>
        <w:rPr>
          <w:rFonts w:ascii="宋体" w:hAnsi="宋体" w:eastAsia="宋体" w:cs="宋体"/>
          <w:color w:val="auto"/>
          <w:kern w:val="0"/>
          <w:sz w:val="24"/>
          <w:szCs w:val="24"/>
          <w:highlight w:val="none"/>
        </w:rPr>
      </w:pPr>
      <w:r>
        <w:rPr>
          <w:rFonts w:hint="eastAsia" w:ascii="黑体" w:hAnsi="黑体" w:eastAsia="黑体" w:cs="宋体"/>
          <w:color w:val="auto"/>
          <w:kern w:val="0"/>
          <w:sz w:val="36"/>
          <w:szCs w:val="36"/>
          <w:highlight w:val="none"/>
        </w:rPr>
        <w:t>第一部分</w:t>
      </w:r>
      <w:r>
        <w:rPr>
          <w:rFonts w:hint="eastAsia" w:ascii="宋体" w:hAnsi="宋体" w:eastAsia="宋体" w:cs="宋体"/>
          <w:color w:val="auto"/>
          <w:kern w:val="0"/>
          <w:sz w:val="36"/>
          <w:szCs w:val="36"/>
          <w:highlight w:val="none"/>
        </w:rPr>
        <w:t> </w:t>
      </w:r>
      <w:r>
        <w:rPr>
          <w:rFonts w:hint="eastAsia" w:ascii="黑体" w:hAnsi="黑体" w:eastAsia="黑体" w:cs="宋体"/>
          <w:color w:val="auto"/>
          <w:kern w:val="0"/>
          <w:sz w:val="36"/>
          <w:szCs w:val="36"/>
          <w:highlight w:val="none"/>
        </w:rPr>
        <w:t>部门概况</w:t>
      </w:r>
    </w:p>
    <w:p w14:paraId="5B00367E">
      <w:pPr>
        <w:widowControl/>
        <w:shd w:val="clear" w:color="auto" w:fill="FFFFFF"/>
        <w:spacing w:line="290" w:lineRule="atLeast"/>
        <w:ind w:firstLine="627"/>
        <w:rPr>
          <w:rFonts w:ascii="宋体" w:hAnsi="宋体" w:eastAsia="宋体" w:cs="宋体"/>
          <w:color w:val="auto"/>
          <w:kern w:val="0"/>
          <w:sz w:val="24"/>
          <w:szCs w:val="24"/>
          <w:highlight w:val="none"/>
        </w:rPr>
      </w:pPr>
      <w:r>
        <w:rPr>
          <w:rFonts w:hint="eastAsia" w:ascii="黑体" w:hAnsi="黑体" w:eastAsia="黑体" w:cs="宋体"/>
          <w:color w:val="auto"/>
          <w:kern w:val="0"/>
          <w:sz w:val="32"/>
          <w:szCs w:val="32"/>
          <w:highlight w:val="none"/>
        </w:rPr>
        <w:t>一、主要职责</w:t>
      </w:r>
    </w:p>
    <w:p w14:paraId="73E5DD2A">
      <w:pPr>
        <w:widowControl/>
        <w:shd w:val="clear" w:color="auto" w:fill="FFFFFF"/>
        <w:spacing w:line="500" w:lineRule="atLeast"/>
        <w:ind w:firstLine="640"/>
        <w:rPr>
          <w:rFonts w:ascii="Times New Roman" w:hAnsi="Times New Roman" w:eastAsia="宋体" w:cs="Times New Roman"/>
          <w:color w:val="auto"/>
          <w:kern w:val="0"/>
          <w:szCs w:val="21"/>
          <w:highlight w:val="none"/>
        </w:rPr>
      </w:pPr>
      <w:r>
        <w:rPr>
          <w:rFonts w:hint="eastAsia" w:ascii="仿宋_GB2312" w:hAnsi="仿宋" w:eastAsia="仿宋_GB2312" w:cs="Times New Roman"/>
          <w:color w:val="auto"/>
          <w:kern w:val="0"/>
          <w:sz w:val="32"/>
          <w:szCs w:val="32"/>
          <w:highlight w:val="none"/>
        </w:rPr>
        <w:t>（一）负责协调推进卫生健康体制改革和医疗保障。</w:t>
      </w:r>
    </w:p>
    <w:p w14:paraId="0773263C">
      <w:pPr>
        <w:widowControl/>
        <w:shd w:val="clear" w:color="auto" w:fill="FFFFFF"/>
        <w:spacing w:line="290" w:lineRule="atLeast"/>
        <w:ind w:firstLine="627"/>
        <w:rPr>
          <w:rFonts w:ascii="宋体" w:hAnsi="宋体" w:eastAsia="宋体" w:cs="宋体"/>
          <w:color w:val="auto"/>
          <w:kern w:val="0"/>
          <w:sz w:val="24"/>
          <w:szCs w:val="24"/>
          <w:highlight w:val="none"/>
        </w:rPr>
      </w:pPr>
      <w:r>
        <w:rPr>
          <w:rFonts w:hint="eastAsia" w:ascii="仿宋_GB2312" w:hAnsi="仿宋" w:eastAsia="仿宋_GB2312" w:cs="宋体"/>
          <w:color w:val="auto"/>
          <w:kern w:val="0"/>
          <w:sz w:val="32"/>
          <w:szCs w:val="32"/>
          <w:highlight w:val="none"/>
        </w:rPr>
        <w:t>（二）制定疾病预防控制规划、免疫规划。</w:t>
      </w:r>
    </w:p>
    <w:p w14:paraId="109F3A7C">
      <w:pPr>
        <w:widowControl/>
        <w:shd w:val="clear" w:color="auto" w:fill="FFFFFF"/>
        <w:spacing w:line="290" w:lineRule="atLeast"/>
        <w:ind w:firstLine="627"/>
        <w:rPr>
          <w:rFonts w:ascii="宋体" w:hAnsi="宋体" w:eastAsia="宋体" w:cs="宋体"/>
          <w:color w:val="auto"/>
          <w:kern w:val="0"/>
          <w:sz w:val="24"/>
          <w:szCs w:val="24"/>
          <w:highlight w:val="none"/>
        </w:rPr>
      </w:pPr>
      <w:r>
        <w:rPr>
          <w:rFonts w:hint="eastAsia" w:ascii="仿宋_GB2312" w:hAnsi="仿宋" w:eastAsia="仿宋_GB2312" w:cs="宋体"/>
          <w:color w:val="auto"/>
          <w:kern w:val="0"/>
          <w:sz w:val="32"/>
          <w:szCs w:val="32"/>
          <w:highlight w:val="none"/>
        </w:rPr>
        <w:t>（三）组织实施基层卫生和计划生育服务、妇幼卫生发展规划和政策措施</w:t>
      </w:r>
      <w:r>
        <w:rPr>
          <w:rFonts w:hint="eastAsia" w:ascii="仿宋" w:hAnsi="仿宋" w:eastAsia="仿宋" w:cs="宋体"/>
          <w:color w:val="auto"/>
          <w:kern w:val="0"/>
          <w:sz w:val="32"/>
          <w:szCs w:val="32"/>
          <w:highlight w:val="none"/>
        </w:rPr>
        <w:t>;</w:t>
      </w:r>
    </w:p>
    <w:p w14:paraId="6C67A752">
      <w:pPr>
        <w:widowControl/>
        <w:shd w:val="clear" w:color="auto" w:fill="FFFFFF"/>
        <w:spacing w:line="500" w:lineRule="atLeast"/>
        <w:ind w:firstLine="640"/>
        <w:rPr>
          <w:rFonts w:ascii="Times New Roman" w:hAnsi="Times New Roman" w:eastAsia="宋体" w:cs="Times New Roman"/>
          <w:color w:val="auto"/>
          <w:kern w:val="0"/>
          <w:szCs w:val="21"/>
          <w:highlight w:val="none"/>
        </w:rPr>
      </w:pPr>
      <w:r>
        <w:rPr>
          <w:rFonts w:hint="eastAsia" w:ascii="仿宋_GB2312" w:hAnsi="仿宋" w:eastAsia="仿宋_GB2312" w:cs="Times New Roman"/>
          <w:color w:val="auto"/>
          <w:kern w:val="0"/>
          <w:sz w:val="32"/>
          <w:szCs w:val="32"/>
          <w:highlight w:val="none"/>
        </w:rPr>
        <w:t>（四）指导基层医疗卫生、妇幼卫生服务体系建设，推进基本公共卫生服务均等化，完善基层运行新机制和乡村医生管理制度等。</w:t>
      </w:r>
    </w:p>
    <w:p w14:paraId="5C7DF3A2">
      <w:pPr>
        <w:widowControl/>
        <w:shd w:val="clear" w:color="auto" w:fill="FFFFFF"/>
        <w:spacing w:line="290" w:lineRule="atLeast"/>
        <w:ind w:firstLine="627"/>
        <w:rPr>
          <w:rFonts w:ascii="宋体" w:hAnsi="宋体" w:eastAsia="宋体" w:cs="宋体"/>
          <w:color w:val="auto"/>
          <w:kern w:val="0"/>
          <w:sz w:val="24"/>
          <w:szCs w:val="24"/>
          <w:highlight w:val="none"/>
        </w:rPr>
      </w:pPr>
      <w:r>
        <w:rPr>
          <w:rFonts w:hint="eastAsia" w:ascii="黑体" w:hAnsi="黑体" w:eastAsia="黑体" w:cs="宋体"/>
          <w:color w:val="auto"/>
          <w:kern w:val="0"/>
          <w:sz w:val="32"/>
          <w:szCs w:val="32"/>
          <w:highlight w:val="none"/>
        </w:rPr>
        <w:t>二、部门预算单位构成</w:t>
      </w:r>
    </w:p>
    <w:p w14:paraId="67B34564">
      <w:pPr>
        <w:widowControl/>
        <w:shd w:val="clear" w:color="auto" w:fill="FFFFFF"/>
        <w:spacing w:line="290" w:lineRule="atLeast"/>
        <w:ind w:firstLine="627"/>
        <w:rPr>
          <w:rFonts w:ascii="宋体" w:hAnsi="宋体" w:eastAsia="宋体" w:cs="宋体"/>
          <w:color w:val="auto"/>
          <w:kern w:val="0"/>
          <w:sz w:val="24"/>
          <w:szCs w:val="24"/>
          <w:highlight w:val="none"/>
        </w:rPr>
      </w:pPr>
      <w:r>
        <w:rPr>
          <w:rFonts w:hint="eastAsia" w:ascii="仿宋_GB2312" w:hAnsi="仿宋" w:eastAsia="仿宋_GB2312" w:cs="宋体"/>
          <w:color w:val="auto"/>
          <w:kern w:val="0"/>
          <w:sz w:val="32"/>
          <w:szCs w:val="32"/>
          <w:highlight w:val="none"/>
        </w:rPr>
        <w:t>从预算单位构成看，濉溪县卫生健康委员会</w:t>
      </w:r>
      <w:r>
        <w:rPr>
          <w:rFonts w:hint="eastAsia" w:ascii="仿宋" w:hAnsi="仿宋" w:eastAsia="仿宋" w:cs="宋体"/>
          <w:color w:val="auto"/>
          <w:kern w:val="0"/>
          <w:sz w:val="32"/>
          <w:szCs w:val="32"/>
          <w:highlight w:val="none"/>
          <w:lang w:eastAsia="zh-CN"/>
        </w:rPr>
        <w:t>2023年</w:t>
      </w:r>
      <w:r>
        <w:rPr>
          <w:rFonts w:hint="eastAsia" w:ascii="仿宋_GB2312" w:hAnsi="仿宋" w:eastAsia="仿宋_GB2312" w:cs="宋体"/>
          <w:color w:val="auto"/>
          <w:kern w:val="0"/>
          <w:sz w:val="32"/>
          <w:szCs w:val="32"/>
          <w:highlight w:val="none"/>
        </w:rPr>
        <w:t>度部门预算包括委本级预算和委下属单位预算，纳入部门预算编制范围的单位共</w:t>
      </w:r>
      <w:r>
        <w:rPr>
          <w:rFonts w:hint="eastAsia" w:ascii="仿宋" w:hAnsi="仿宋" w:eastAsia="仿宋" w:cs="宋体"/>
          <w:color w:val="auto"/>
          <w:kern w:val="0"/>
          <w:sz w:val="32"/>
          <w:szCs w:val="32"/>
          <w:highlight w:val="none"/>
          <w:lang w:val="en-US" w:eastAsia="zh-CN"/>
        </w:rPr>
        <w:t>20</w:t>
      </w:r>
      <w:r>
        <w:rPr>
          <w:rFonts w:hint="eastAsia" w:ascii="仿宋" w:hAnsi="仿宋" w:eastAsia="仿宋" w:cs="宋体"/>
          <w:color w:val="auto"/>
          <w:kern w:val="0"/>
          <w:sz w:val="32"/>
          <w:szCs w:val="32"/>
          <w:highlight w:val="none"/>
        </w:rPr>
        <w:t>个</w:t>
      </w:r>
      <w:r>
        <w:rPr>
          <w:rFonts w:hint="eastAsia" w:ascii="仿宋_GB2312" w:hAnsi="仿宋" w:eastAsia="仿宋_GB2312" w:cs="宋体"/>
          <w:color w:val="auto"/>
          <w:kern w:val="0"/>
          <w:sz w:val="32"/>
          <w:szCs w:val="32"/>
          <w:highlight w:val="none"/>
        </w:rPr>
        <w:t>，具体情况见下表。</w:t>
      </w:r>
    </w:p>
    <w:tbl>
      <w:tblPr>
        <w:tblStyle w:val="3"/>
        <w:tblpPr w:leftFromText="180" w:rightFromText="180" w:vertAnchor="text" w:horzAnchor="page" w:tblpX="1895" w:tblpY="631"/>
        <w:tblOverlap w:val="never"/>
        <w:tblW w:w="0" w:type="auto"/>
        <w:tblInd w:w="0" w:type="dxa"/>
        <w:shd w:val="clear" w:color="auto" w:fill="FFFFFF"/>
        <w:tblLayout w:type="autofit"/>
        <w:tblCellMar>
          <w:top w:w="0" w:type="dxa"/>
          <w:left w:w="0" w:type="dxa"/>
          <w:bottom w:w="0" w:type="dxa"/>
          <w:right w:w="0" w:type="dxa"/>
        </w:tblCellMar>
      </w:tblPr>
      <w:tblGrid>
        <w:gridCol w:w="816"/>
        <w:gridCol w:w="5054"/>
        <w:gridCol w:w="2400"/>
      </w:tblGrid>
      <w:tr w14:paraId="3573D106">
        <w:tblPrEx>
          <w:shd w:val="clear" w:color="auto" w:fill="FFFFFF"/>
          <w:tblCellMar>
            <w:top w:w="0" w:type="dxa"/>
            <w:left w:w="0" w:type="dxa"/>
            <w:bottom w:w="0" w:type="dxa"/>
            <w:right w:w="0" w:type="dxa"/>
          </w:tblCellMar>
        </w:tblPrEx>
        <w:trPr>
          <w:trHeight w:val="642" w:hRule="atLeast"/>
        </w:trPr>
        <w:tc>
          <w:tcPr>
            <w:tcW w:w="816"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2CEFDE4">
            <w:pPr>
              <w:widowControl/>
              <w:spacing w:line="266" w:lineRule="atLeast"/>
              <w:jc w:val="center"/>
              <w:rPr>
                <w:rFonts w:ascii="Times New Roman" w:hAnsi="Times New Roman" w:eastAsia="宋体" w:cs="Times New Roman"/>
                <w:color w:val="auto"/>
                <w:kern w:val="0"/>
                <w:szCs w:val="21"/>
                <w:highlight w:val="none"/>
              </w:rPr>
            </w:pPr>
            <w:r>
              <w:rPr>
                <w:rFonts w:hint="eastAsia" w:ascii="仿宋" w:hAnsi="仿宋" w:eastAsia="仿宋" w:cs="Times New Roman"/>
                <w:color w:val="auto"/>
                <w:kern w:val="0"/>
                <w:sz w:val="30"/>
                <w:szCs w:val="30"/>
                <w:highlight w:val="none"/>
              </w:rPr>
              <w:t>序号</w:t>
            </w:r>
          </w:p>
        </w:tc>
        <w:tc>
          <w:tcPr>
            <w:tcW w:w="5054"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8442BFB">
            <w:pPr>
              <w:widowControl/>
              <w:spacing w:line="266" w:lineRule="atLeast"/>
              <w:jc w:val="center"/>
              <w:rPr>
                <w:rFonts w:ascii="Times New Roman" w:hAnsi="Times New Roman" w:eastAsia="宋体" w:cs="Times New Roman"/>
                <w:color w:val="auto"/>
                <w:kern w:val="0"/>
                <w:szCs w:val="21"/>
                <w:highlight w:val="none"/>
              </w:rPr>
            </w:pPr>
            <w:r>
              <w:rPr>
                <w:rFonts w:hint="eastAsia" w:ascii="仿宋" w:hAnsi="仿宋" w:eastAsia="仿宋" w:cs="Times New Roman"/>
                <w:color w:val="auto"/>
                <w:kern w:val="0"/>
                <w:sz w:val="30"/>
                <w:szCs w:val="30"/>
                <w:highlight w:val="none"/>
              </w:rPr>
              <w:t>单位名称</w:t>
            </w:r>
          </w:p>
        </w:tc>
        <w:tc>
          <w:tcPr>
            <w:tcW w:w="240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A60E7B7">
            <w:pPr>
              <w:widowControl/>
              <w:spacing w:line="266" w:lineRule="atLeast"/>
              <w:jc w:val="center"/>
              <w:rPr>
                <w:rFonts w:ascii="Times New Roman" w:hAnsi="Times New Roman" w:eastAsia="宋体" w:cs="Times New Roman"/>
                <w:color w:val="auto"/>
                <w:kern w:val="0"/>
                <w:szCs w:val="21"/>
                <w:highlight w:val="none"/>
              </w:rPr>
            </w:pPr>
            <w:r>
              <w:rPr>
                <w:rFonts w:hint="eastAsia" w:ascii="仿宋" w:hAnsi="仿宋" w:eastAsia="仿宋" w:cs="Times New Roman"/>
                <w:color w:val="auto"/>
                <w:kern w:val="0"/>
                <w:sz w:val="30"/>
                <w:szCs w:val="30"/>
                <w:highlight w:val="none"/>
              </w:rPr>
              <w:t>单位性质</w:t>
            </w:r>
          </w:p>
        </w:tc>
      </w:tr>
      <w:tr w14:paraId="481EDAB7">
        <w:tblPrEx>
          <w:tblCellMar>
            <w:top w:w="0" w:type="dxa"/>
            <w:left w:w="0" w:type="dxa"/>
            <w:bottom w:w="0" w:type="dxa"/>
            <w:right w:w="0" w:type="dxa"/>
          </w:tblCellMar>
        </w:tblPrEx>
        <w:trPr>
          <w:trHeight w:val="542" w:hRule="atLeast"/>
        </w:trPr>
        <w:tc>
          <w:tcPr>
            <w:tcW w:w="816"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125912B">
            <w:pPr>
              <w:widowControl/>
              <w:spacing w:line="266" w:lineRule="atLeast"/>
              <w:jc w:val="center"/>
              <w:rPr>
                <w:rFonts w:ascii="Times New Roman" w:hAnsi="Times New Roman" w:eastAsia="宋体" w:cs="Times New Roman"/>
                <w:color w:val="auto"/>
                <w:kern w:val="0"/>
                <w:szCs w:val="21"/>
                <w:highlight w:val="none"/>
              </w:rPr>
            </w:pPr>
            <w:r>
              <w:rPr>
                <w:rFonts w:hint="eastAsia" w:ascii="仿宋" w:hAnsi="仿宋" w:eastAsia="仿宋" w:cs="Times New Roman"/>
                <w:color w:val="auto"/>
                <w:kern w:val="0"/>
                <w:sz w:val="30"/>
                <w:szCs w:val="30"/>
                <w:highlight w:val="none"/>
              </w:rPr>
              <w:t>1</w:t>
            </w:r>
          </w:p>
        </w:tc>
        <w:tc>
          <w:tcPr>
            <w:tcW w:w="505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C56F516">
            <w:pPr>
              <w:widowControl/>
              <w:spacing w:line="266" w:lineRule="atLeast"/>
              <w:rPr>
                <w:rFonts w:ascii="Times New Roman" w:hAnsi="Times New Roman" w:eastAsia="宋体" w:cs="Times New Roman"/>
                <w:color w:val="auto"/>
                <w:kern w:val="0"/>
                <w:szCs w:val="21"/>
                <w:highlight w:val="none"/>
              </w:rPr>
            </w:pPr>
            <w:r>
              <w:rPr>
                <w:rFonts w:hint="eastAsia" w:ascii="仿宋" w:hAnsi="仿宋" w:eastAsia="仿宋" w:cs="Times New Roman"/>
                <w:color w:val="auto"/>
                <w:kern w:val="0"/>
                <w:sz w:val="30"/>
                <w:szCs w:val="30"/>
                <w:highlight w:val="none"/>
              </w:rPr>
              <w:t>濉溪县卫健委本级</w:t>
            </w:r>
          </w:p>
        </w:tc>
        <w:tc>
          <w:tcPr>
            <w:tcW w:w="240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80C515A">
            <w:pPr>
              <w:widowControl/>
              <w:spacing w:line="266" w:lineRule="atLeast"/>
              <w:rPr>
                <w:rFonts w:ascii="Times New Roman" w:hAnsi="Times New Roman" w:eastAsia="宋体" w:cs="Times New Roman"/>
                <w:color w:val="auto"/>
                <w:kern w:val="0"/>
                <w:szCs w:val="21"/>
                <w:highlight w:val="none"/>
              </w:rPr>
            </w:pPr>
            <w:r>
              <w:rPr>
                <w:rFonts w:hint="eastAsia" w:ascii="仿宋" w:hAnsi="仿宋" w:eastAsia="仿宋" w:cs="Times New Roman"/>
                <w:color w:val="auto"/>
                <w:kern w:val="0"/>
                <w:sz w:val="30"/>
                <w:szCs w:val="30"/>
                <w:highlight w:val="none"/>
              </w:rPr>
              <w:t>行政单位</w:t>
            </w:r>
          </w:p>
        </w:tc>
      </w:tr>
      <w:tr w14:paraId="6BBFB6B7">
        <w:tblPrEx>
          <w:tblCellMar>
            <w:top w:w="0" w:type="dxa"/>
            <w:left w:w="0" w:type="dxa"/>
            <w:bottom w:w="0" w:type="dxa"/>
            <w:right w:w="0" w:type="dxa"/>
          </w:tblCellMar>
        </w:tblPrEx>
        <w:trPr>
          <w:trHeight w:val="607" w:hRule="atLeast"/>
        </w:trPr>
        <w:tc>
          <w:tcPr>
            <w:tcW w:w="816"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37C6B72">
            <w:pPr>
              <w:widowControl/>
              <w:spacing w:line="266" w:lineRule="atLeast"/>
              <w:jc w:val="center"/>
              <w:rPr>
                <w:rFonts w:ascii="Times New Roman" w:hAnsi="Times New Roman" w:eastAsia="宋体" w:cs="Times New Roman"/>
                <w:color w:val="auto"/>
                <w:kern w:val="0"/>
                <w:szCs w:val="21"/>
                <w:highlight w:val="none"/>
              </w:rPr>
            </w:pPr>
            <w:r>
              <w:rPr>
                <w:rFonts w:hint="eastAsia" w:ascii="仿宋" w:hAnsi="仿宋" w:eastAsia="仿宋" w:cs="Times New Roman"/>
                <w:color w:val="auto"/>
                <w:kern w:val="0"/>
                <w:sz w:val="30"/>
                <w:szCs w:val="30"/>
                <w:highlight w:val="none"/>
              </w:rPr>
              <w:t>2</w:t>
            </w:r>
          </w:p>
        </w:tc>
        <w:tc>
          <w:tcPr>
            <w:tcW w:w="505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8FE5A6D">
            <w:pPr>
              <w:widowControl/>
              <w:spacing w:line="266" w:lineRule="atLeast"/>
              <w:rPr>
                <w:rFonts w:ascii="Times New Roman" w:hAnsi="Times New Roman" w:eastAsia="宋体" w:cs="Times New Roman"/>
                <w:color w:val="auto"/>
                <w:kern w:val="0"/>
                <w:szCs w:val="21"/>
                <w:highlight w:val="none"/>
              </w:rPr>
            </w:pPr>
            <w:r>
              <w:rPr>
                <w:rFonts w:hint="eastAsia" w:ascii="仿宋" w:hAnsi="仿宋" w:eastAsia="仿宋" w:cs="Times New Roman"/>
                <w:color w:val="auto"/>
                <w:kern w:val="0"/>
                <w:sz w:val="30"/>
                <w:szCs w:val="30"/>
                <w:highlight w:val="none"/>
              </w:rPr>
              <w:t>濉溪县妇幼保健计划生育服务中心</w:t>
            </w:r>
          </w:p>
        </w:tc>
        <w:tc>
          <w:tcPr>
            <w:tcW w:w="240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04AEAE5">
            <w:pPr>
              <w:widowControl/>
              <w:spacing w:line="266" w:lineRule="atLeast"/>
              <w:rPr>
                <w:rFonts w:ascii="Times New Roman" w:hAnsi="Times New Roman" w:eastAsia="宋体" w:cs="Times New Roman"/>
                <w:color w:val="auto"/>
                <w:kern w:val="0"/>
                <w:szCs w:val="21"/>
                <w:highlight w:val="none"/>
              </w:rPr>
            </w:pPr>
            <w:r>
              <w:rPr>
                <w:rFonts w:hint="eastAsia" w:ascii="仿宋" w:hAnsi="仿宋" w:eastAsia="仿宋" w:cs="Times New Roman"/>
                <w:color w:val="auto"/>
                <w:kern w:val="0"/>
                <w:sz w:val="30"/>
                <w:szCs w:val="30"/>
                <w:highlight w:val="none"/>
              </w:rPr>
              <w:t>全额事业单位</w:t>
            </w:r>
          </w:p>
        </w:tc>
      </w:tr>
      <w:tr w14:paraId="45420144">
        <w:tblPrEx>
          <w:tblCellMar>
            <w:top w:w="0" w:type="dxa"/>
            <w:left w:w="0" w:type="dxa"/>
            <w:bottom w:w="0" w:type="dxa"/>
            <w:right w:w="0" w:type="dxa"/>
          </w:tblCellMar>
        </w:tblPrEx>
        <w:trPr>
          <w:trHeight w:val="607" w:hRule="atLeast"/>
        </w:trPr>
        <w:tc>
          <w:tcPr>
            <w:tcW w:w="816"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F2D9760">
            <w:pPr>
              <w:widowControl/>
              <w:spacing w:line="266" w:lineRule="atLeast"/>
              <w:jc w:val="center"/>
              <w:rPr>
                <w:rFonts w:ascii="Times New Roman" w:hAnsi="Times New Roman" w:eastAsia="宋体" w:cs="Times New Roman"/>
                <w:color w:val="auto"/>
                <w:kern w:val="0"/>
                <w:szCs w:val="21"/>
                <w:highlight w:val="none"/>
              </w:rPr>
            </w:pPr>
            <w:r>
              <w:rPr>
                <w:rFonts w:hint="eastAsia" w:ascii="仿宋" w:hAnsi="仿宋" w:eastAsia="仿宋" w:cs="Times New Roman"/>
                <w:color w:val="auto"/>
                <w:kern w:val="0"/>
                <w:sz w:val="30"/>
                <w:szCs w:val="30"/>
                <w:highlight w:val="none"/>
              </w:rPr>
              <w:t>3</w:t>
            </w:r>
          </w:p>
        </w:tc>
        <w:tc>
          <w:tcPr>
            <w:tcW w:w="505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0B4D4EC">
            <w:pPr>
              <w:widowControl/>
              <w:spacing w:line="266" w:lineRule="atLeast"/>
              <w:rPr>
                <w:rFonts w:ascii="Times New Roman" w:hAnsi="Times New Roman" w:eastAsia="宋体" w:cs="Times New Roman"/>
                <w:color w:val="auto"/>
                <w:kern w:val="0"/>
                <w:szCs w:val="21"/>
                <w:highlight w:val="none"/>
              </w:rPr>
            </w:pPr>
            <w:r>
              <w:rPr>
                <w:rFonts w:hint="eastAsia" w:ascii="仿宋" w:hAnsi="仿宋" w:eastAsia="仿宋" w:cs="Times New Roman"/>
                <w:color w:val="auto"/>
                <w:kern w:val="0"/>
                <w:sz w:val="30"/>
                <w:szCs w:val="30"/>
                <w:highlight w:val="none"/>
              </w:rPr>
              <w:t>濉溪县医疗卫生机构财务管理中心</w:t>
            </w:r>
          </w:p>
        </w:tc>
        <w:tc>
          <w:tcPr>
            <w:tcW w:w="240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28D946C">
            <w:pPr>
              <w:widowControl/>
              <w:spacing w:line="266" w:lineRule="atLeast"/>
              <w:rPr>
                <w:rFonts w:ascii="Times New Roman" w:hAnsi="Times New Roman" w:eastAsia="宋体" w:cs="Times New Roman"/>
                <w:color w:val="auto"/>
                <w:kern w:val="0"/>
                <w:szCs w:val="21"/>
                <w:highlight w:val="none"/>
              </w:rPr>
            </w:pPr>
            <w:r>
              <w:rPr>
                <w:rFonts w:hint="eastAsia" w:ascii="仿宋" w:hAnsi="仿宋" w:eastAsia="仿宋" w:cs="Times New Roman"/>
                <w:color w:val="auto"/>
                <w:kern w:val="0"/>
                <w:sz w:val="30"/>
                <w:szCs w:val="30"/>
                <w:highlight w:val="none"/>
              </w:rPr>
              <w:t>全额事业单位</w:t>
            </w:r>
          </w:p>
        </w:tc>
      </w:tr>
      <w:tr w14:paraId="68530411">
        <w:tblPrEx>
          <w:tblCellMar>
            <w:top w:w="0" w:type="dxa"/>
            <w:left w:w="0" w:type="dxa"/>
            <w:bottom w:w="0" w:type="dxa"/>
            <w:right w:w="0" w:type="dxa"/>
          </w:tblCellMar>
        </w:tblPrEx>
        <w:trPr>
          <w:trHeight w:val="607" w:hRule="atLeast"/>
        </w:trPr>
        <w:tc>
          <w:tcPr>
            <w:tcW w:w="816"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03DE948">
            <w:pPr>
              <w:widowControl/>
              <w:spacing w:line="266" w:lineRule="atLeast"/>
              <w:jc w:val="center"/>
              <w:rPr>
                <w:rFonts w:ascii="Times New Roman" w:hAnsi="Times New Roman" w:eastAsia="宋体" w:cs="Times New Roman"/>
                <w:color w:val="auto"/>
                <w:kern w:val="0"/>
                <w:szCs w:val="21"/>
                <w:highlight w:val="none"/>
              </w:rPr>
            </w:pPr>
            <w:r>
              <w:rPr>
                <w:rFonts w:hint="eastAsia" w:ascii="仿宋" w:hAnsi="仿宋" w:eastAsia="仿宋" w:cs="Times New Roman"/>
                <w:color w:val="auto"/>
                <w:kern w:val="0"/>
                <w:sz w:val="30"/>
                <w:szCs w:val="30"/>
                <w:highlight w:val="none"/>
              </w:rPr>
              <w:t>4</w:t>
            </w:r>
          </w:p>
        </w:tc>
        <w:tc>
          <w:tcPr>
            <w:tcW w:w="505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C44DACC">
            <w:pPr>
              <w:widowControl/>
              <w:spacing w:line="266" w:lineRule="atLeast"/>
              <w:rPr>
                <w:rFonts w:ascii="Times New Roman" w:hAnsi="Times New Roman" w:eastAsia="宋体" w:cs="Times New Roman"/>
                <w:color w:val="auto"/>
                <w:kern w:val="0"/>
                <w:szCs w:val="21"/>
                <w:highlight w:val="none"/>
              </w:rPr>
            </w:pPr>
            <w:r>
              <w:rPr>
                <w:rFonts w:hint="eastAsia" w:ascii="仿宋" w:hAnsi="仿宋" w:eastAsia="仿宋" w:cs="Times New Roman"/>
                <w:color w:val="auto"/>
                <w:kern w:val="0"/>
                <w:sz w:val="30"/>
                <w:szCs w:val="30"/>
                <w:highlight w:val="none"/>
              </w:rPr>
              <w:t>濉溪县卫生计生宣教中心</w:t>
            </w:r>
          </w:p>
        </w:tc>
        <w:tc>
          <w:tcPr>
            <w:tcW w:w="240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FDD865D">
            <w:pPr>
              <w:widowControl/>
              <w:spacing w:line="266" w:lineRule="atLeast"/>
              <w:rPr>
                <w:rFonts w:ascii="Times New Roman" w:hAnsi="Times New Roman" w:eastAsia="宋体" w:cs="Times New Roman"/>
                <w:color w:val="auto"/>
                <w:kern w:val="0"/>
                <w:szCs w:val="21"/>
                <w:highlight w:val="none"/>
              </w:rPr>
            </w:pPr>
            <w:r>
              <w:rPr>
                <w:rFonts w:hint="eastAsia" w:ascii="仿宋" w:hAnsi="仿宋" w:eastAsia="仿宋" w:cs="Times New Roman"/>
                <w:color w:val="auto"/>
                <w:kern w:val="0"/>
                <w:sz w:val="30"/>
                <w:szCs w:val="30"/>
                <w:highlight w:val="none"/>
              </w:rPr>
              <w:t>全额事业单位</w:t>
            </w:r>
          </w:p>
        </w:tc>
      </w:tr>
      <w:tr w14:paraId="285F057F">
        <w:tblPrEx>
          <w:tblCellMar>
            <w:top w:w="0" w:type="dxa"/>
            <w:left w:w="0" w:type="dxa"/>
            <w:bottom w:w="0" w:type="dxa"/>
            <w:right w:w="0" w:type="dxa"/>
          </w:tblCellMar>
        </w:tblPrEx>
        <w:trPr>
          <w:trHeight w:val="607" w:hRule="atLeast"/>
        </w:trPr>
        <w:tc>
          <w:tcPr>
            <w:tcW w:w="816"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086BDE7">
            <w:pPr>
              <w:widowControl/>
              <w:spacing w:line="266" w:lineRule="atLeast"/>
              <w:jc w:val="center"/>
              <w:rPr>
                <w:rFonts w:ascii="Times New Roman" w:hAnsi="Times New Roman" w:eastAsia="宋体" w:cs="Times New Roman"/>
                <w:color w:val="auto"/>
                <w:kern w:val="0"/>
                <w:szCs w:val="21"/>
                <w:highlight w:val="none"/>
              </w:rPr>
            </w:pPr>
            <w:r>
              <w:rPr>
                <w:rFonts w:hint="eastAsia" w:ascii="仿宋" w:hAnsi="仿宋" w:eastAsia="仿宋" w:cs="Times New Roman"/>
                <w:color w:val="auto"/>
                <w:kern w:val="0"/>
                <w:sz w:val="30"/>
                <w:szCs w:val="30"/>
                <w:highlight w:val="none"/>
              </w:rPr>
              <w:t>5</w:t>
            </w:r>
          </w:p>
        </w:tc>
        <w:tc>
          <w:tcPr>
            <w:tcW w:w="505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5BF557C">
            <w:pPr>
              <w:widowControl/>
              <w:spacing w:line="266" w:lineRule="atLeast"/>
              <w:rPr>
                <w:rFonts w:ascii="Times New Roman" w:hAnsi="Times New Roman" w:eastAsia="宋体" w:cs="Times New Roman"/>
                <w:color w:val="auto"/>
                <w:kern w:val="0"/>
                <w:szCs w:val="21"/>
                <w:highlight w:val="none"/>
              </w:rPr>
            </w:pPr>
            <w:r>
              <w:rPr>
                <w:rFonts w:hint="eastAsia" w:ascii="仿宋" w:hAnsi="仿宋" w:eastAsia="仿宋" w:cs="Times New Roman"/>
                <w:color w:val="auto"/>
                <w:kern w:val="0"/>
                <w:sz w:val="30"/>
                <w:szCs w:val="30"/>
                <w:highlight w:val="none"/>
              </w:rPr>
              <w:t>濉溪县卫生健康综合执法大队</w:t>
            </w:r>
          </w:p>
        </w:tc>
        <w:tc>
          <w:tcPr>
            <w:tcW w:w="240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35CDF5C">
            <w:pPr>
              <w:widowControl/>
              <w:spacing w:line="266" w:lineRule="atLeast"/>
              <w:rPr>
                <w:rFonts w:ascii="Times New Roman" w:hAnsi="Times New Roman" w:eastAsia="宋体" w:cs="Times New Roman"/>
                <w:color w:val="auto"/>
                <w:kern w:val="0"/>
                <w:szCs w:val="21"/>
                <w:highlight w:val="none"/>
              </w:rPr>
            </w:pPr>
            <w:r>
              <w:rPr>
                <w:rFonts w:hint="eastAsia" w:ascii="仿宋" w:hAnsi="仿宋" w:eastAsia="仿宋" w:cs="Times New Roman"/>
                <w:color w:val="auto"/>
                <w:kern w:val="0"/>
                <w:sz w:val="30"/>
                <w:szCs w:val="30"/>
                <w:highlight w:val="none"/>
              </w:rPr>
              <w:t>全额事业单位</w:t>
            </w:r>
          </w:p>
        </w:tc>
      </w:tr>
      <w:tr w14:paraId="1EC5C7D8">
        <w:tblPrEx>
          <w:tblCellMar>
            <w:top w:w="0" w:type="dxa"/>
            <w:left w:w="0" w:type="dxa"/>
            <w:bottom w:w="0" w:type="dxa"/>
            <w:right w:w="0" w:type="dxa"/>
          </w:tblCellMar>
        </w:tblPrEx>
        <w:trPr>
          <w:trHeight w:val="607" w:hRule="atLeast"/>
        </w:trPr>
        <w:tc>
          <w:tcPr>
            <w:tcW w:w="816"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E03F205">
            <w:pPr>
              <w:widowControl/>
              <w:spacing w:line="266" w:lineRule="atLeast"/>
              <w:jc w:val="center"/>
              <w:rPr>
                <w:rFonts w:ascii="Times New Roman" w:hAnsi="Times New Roman" w:eastAsia="宋体" w:cs="Times New Roman"/>
                <w:color w:val="auto"/>
                <w:kern w:val="0"/>
                <w:szCs w:val="21"/>
                <w:highlight w:val="none"/>
              </w:rPr>
            </w:pPr>
            <w:r>
              <w:rPr>
                <w:rFonts w:hint="eastAsia" w:ascii="仿宋" w:hAnsi="仿宋" w:eastAsia="仿宋" w:cs="Times New Roman"/>
                <w:color w:val="auto"/>
                <w:kern w:val="0"/>
                <w:sz w:val="30"/>
                <w:szCs w:val="30"/>
                <w:highlight w:val="none"/>
              </w:rPr>
              <w:t>6</w:t>
            </w:r>
          </w:p>
        </w:tc>
        <w:tc>
          <w:tcPr>
            <w:tcW w:w="505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ACC6DC4">
            <w:pPr>
              <w:widowControl/>
              <w:spacing w:line="266" w:lineRule="atLeast"/>
              <w:rPr>
                <w:rFonts w:ascii="Times New Roman" w:hAnsi="Times New Roman" w:eastAsia="宋体" w:cs="Times New Roman"/>
                <w:color w:val="auto"/>
                <w:kern w:val="0"/>
                <w:szCs w:val="21"/>
                <w:highlight w:val="none"/>
              </w:rPr>
            </w:pPr>
            <w:r>
              <w:rPr>
                <w:rFonts w:hint="eastAsia" w:ascii="仿宋" w:hAnsi="仿宋" w:eastAsia="仿宋" w:cs="Times New Roman"/>
                <w:color w:val="auto"/>
                <w:kern w:val="0"/>
                <w:sz w:val="30"/>
                <w:szCs w:val="30"/>
                <w:highlight w:val="none"/>
              </w:rPr>
              <w:t>濉溪县保健办</w:t>
            </w:r>
          </w:p>
        </w:tc>
        <w:tc>
          <w:tcPr>
            <w:tcW w:w="240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6DD5F13">
            <w:pPr>
              <w:widowControl/>
              <w:spacing w:line="266" w:lineRule="atLeast"/>
              <w:rPr>
                <w:rFonts w:ascii="Times New Roman" w:hAnsi="Times New Roman" w:eastAsia="宋体" w:cs="Times New Roman"/>
                <w:color w:val="auto"/>
                <w:kern w:val="0"/>
                <w:szCs w:val="21"/>
                <w:highlight w:val="none"/>
              </w:rPr>
            </w:pPr>
            <w:r>
              <w:rPr>
                <w:rFonts w:hint="eastAsia" w:ascii="仿宋" w:hAnsi="仿宋" w:eastAsia="仿宋" w:cs="Times New Roman"/>
                <w:color w:val="auto"/>
                <w:kern w:val="0"/>
                <w:sz w:val="30"/>
                <w:szCs w:val="30"/>
                <w:highlight w:val="none"/>
              </w:rPr>
              <w:t>全额事业单位</w:t>
            </w:r>
          </w:p>
        </w:tc>
      </w:tr>
      <w:tr w14:paraId="50E38F06">
        <w:tblPrEx>
          <w:tblCellMar>
            <w:top w:w="0" w:type="dxa"/>
            <w:left w:w="0" w:type="dxa"/>
            <w:bottom w:w="0" w:type="dxa"/>
            <w:right w:w="0" w:type="dxa"/>
          </w:tblCellMar>
        </w:tblPrEx>
        <w:trPr>
          <w:trHeight w:val="607" w:hRule="atLeast"/>
        </w:trPr>
        <w:tc>
          <w:tcPr>
            <w:tcW w:w="816"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3EA1783">
            <w:pPr>
              <w:widowControl/>
              <w:spacing w:line="266" w:lineRule="atLeast"/>
              <w:jc w:val="center"/>
              <w:rPr>
                <w:rFonts w:ascii="Times New Roman" w:hAnsi="Times New Roman" w:eastAsia="宋体" w:cs="Times New Roman"/>
                <w:color w:val="auto"/>
                <w:kern w:val="0"/>
                <w:szCs w:val="21"/>
                <w:highlight w:val="none"/>
              </w:rPr>
            </w:pPr>
            <w:r>
              <w:rPr>
                <w:rFonts w:hint="eastAsia" w:ascii="仿宋" w:hAnsi="仿宋" w:eastAsia="仿宋" w:cs="Times New Roman"/>
                <w:color w:val="auto"/>
                <w:kern w:val="0"/>
                <w:sz w:val="30"/>
                <w:szCs w:val="30"/>
                <w:highlight w:val="none"/>
              </w:rPr>
              <w:t>7</w:t>
            </w:r>
          </w:p>
        </w:tc>
        <w:tc>
          <w:tcPr>
            <w:tcW w:w="505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6338AA0">
            <w:pPr>
              <w:widowControl/>
              <w:spacing w:line="266" w:lineRule="atLeast"/>
              <w:rPr>
                <w:rFonts w:ascii="Times New Roman" w:hAnsi="Times New Roman" w:eastAsia="宋体" w:cs="Times New Roman"/>
                <w:color w:val="auto"/>
                <w:kern w:val="0"/>
                <w:szCs w:val="21"/>
                <w:highlight w:val="none"/>
              </w:rPr>
            </w:pPr>
            <w:r>
              <w:rPr>
                <w:rFonts w:hint="eastAsia" w:ascii="仿宋" w:hAnsi="仿宋" w:eastAsia="仿宋" w:cs="Times New Roman"/>
                <w:color w:val="auto"/>
                <w:kern w:val="0"/>
                <w:sz w:val="30"/>
                <w:szCs w:val="30"/>
                <w:highlight w:val="none"/>
              </w:rPr>
              <w:t>濉溪县疾病预防控制中心</w:t>
            </w:r>
          </w:p>
        </w:tc>
        <w:tc>
          <w:tcPr>
            <w:tcW w:w="240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A5AE6FB">
            <w:pPr>
              <w:widowControl/>
              <w:spacing w:line="266" w:lineRule="atLeast"/>
              <w:rPr>
                <w:rFonts w:ascii="Times New Roman" w:hAnsi="Times New Roman" w:eastAsia="宋体" w:cs="Times New Roman"/>
                <w:color w:val="auto"/>
                <w:kern w:val="0"/>
                <w:szCs w:val="21"/>
                <w:highlight w:val="none"/>
              </w:rPr>
            </w:pPr>
            <w:r>
              <w:rPr>
                <w:rFonts w:hint="eastAsia" w:ascii="仿宋" w:hAnsi="仿宋" w:eastAsia="仿宋" w:cs="Times New Roman"/>
                <w:color w:val="auto"/>
                <w:kern w:val="0"/>
                <w:sz w:val="30"/>
                <w:szCs w:val="30"/>
                <w:highlight w:val="none"/>
              </w:rPr>
              <w:t>全额事业单位</w:t>
            </w:r>
          </w:p>
        </w:tc>
      </w:tr>
      <w:tr w14:paraId="3A3C5B27">
        <w:tblPrEx>
          <w:tblCellMar>
            <w:top w:w="0" w:type="dxa"/>
            <w:left w:w="0" w:type="dxa"/>
            <w:bottom w:w="0" w:type="dxa"/>
            <w:right w:w="0" w:type="dxa"/>
          </w:tblCellMar>
        </w:tblPrEx>
        <w:trPr>
          <w:trHeight w:val="607" w:hRule="atLeast"/>
        </w:trPr>
        <w:tc>
          <w:tcPr>
            <w:tcW w:w="816"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3867535">
            <w:pPr>
              <w:widowControl/>
              <w:spacing w:line="266" w:lineRule="atLeast"/>
              <w:jc w:val="center"/>
              <w:rPr>
                <w:rFonts w:ascii="Times New Roman" w:hAnsi="Times New Roman" w:eastAsia="宋体" w:cs="Times New Roman"/>
                <w:color w:val="auto"/>
                <w:kern w:val="0"/>
                <w:szCs w:val="21"/>
                <w:highlight w:val="none"/>
              </w:rPr>
            </w:pPr>
            <w:r>
              <w:rPr>
                <w:rFonts w:hint="eastAsia" w:ascii="仿宋" w:hAnsi="仿宋" w:eastAsia="仿宋" w:cs="Times New Roman"/>
                <w:color w:val="auto"/>
                <w:kern w:val="0"/>
                <w:sz w:val="30"/>
                <w:szCs w:val="30"/>
                <w:highlight w:val="none"/>
              </w:rPr>
              <w:t>8</w:t>
            </w:r>
          </w:p>
        </w:tc>
        <w:tc>
          <w:tcPr>
            <w:tcW w:w="505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C832484">
            <w:pPr>
              <w:widowControl/>
              <w:spacing w:line="266" w:lineRule="atLeast"/>
              <w:rPr>
                <w:rFonts w:ascii="Times New Roman" w:hAnsi="Times New Roman" w:eastAsia="宋体" w:cs="Times New Roman"/>
                <w:color w:val="auto"/>
                <w:kern w:val="0"/>
                <w:szCs w:val="21"/>
                <w:highlight w:val="none"/>
              </w:rPr>
            </w:pPr>
            <w:r>
              <w:rPr>
                <w:rFonts w:hint="eastAsia" w:ascii="仿宋" w:hAnsi="仿宋" w:eastAsia="仿宋" w:cs="Times New Roman"/>
                <w:color w:val="auto"/>
                <w:kern w:val="0"/>
                <w:sz w:val="30"/>
                <w:szCs w:val="30"/>
                <w:highlight w:val="none"/>
              </w:rPr>
              <w:t>濉溪县医院</w:t>
            </w:r>
          </w:p>
        </w:tc>
        <w:tc>
          <w:tcPr>
            <w:tcW w:w="240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9200045">
            <w:pPr>
              <w:widowControl/>
              <w:spacing w:line="266" w:lineRule="atLeast"/>
              <w:rPr>
                <w:rFonts w:ascii="Times New Roman" w:hAnsi="Times New Roman" w:eastAsia="宋体" w:cs="Times New Roman"/>
                <w:color w:val="auto"/>
                <w:kern w:val="0"/>
                <w:szCs w:val="21"/>
                <w:highlight w:val="none"/>
              </w:rPr>
            </w:pPr>
            <w:r>
              <w:rPr>
                <w:rFonts w:hint="eastAsia" w:ascii="仿宋" w:hAnsi="仿宋" w:eastAsia="仿宋" w:cs="Times New Roman"/>
                <w:color w:val="auto"/>
                <w:kern w:val="0"/>
                <w:sz w:val="30"/>
                <w:szCs w:val="30"/>
                <w:highlight w:val="none"/>
              </w:rPr>
              <w:t>差额事业单位</w:t>
            </w:r>
          </w:p>
        </w:tc>
      </w:tr>
      <w:tr w14:paraId="781EFE22">
        <w:tblPrEx>
          <w:tblCellMar>
            <w:top w:w="0" w:type="dxa"/>
            <w:left w:w="0" w:type="dxa"/>
            <w:bottom w:w="0" w:type="dxa"/>
            <w:right w:w="0" w:type="dxa"/>
          </w:tblCellMar>
        </w:tblPrEx>
        <w:trPr>
          <w:trHeight w:val="607" w:hRule="atLeast"/>
        </w:trPr>
        <w:tc>
          <w:tcPr>
            <w:tcW w:w="816"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6031F41">
            <w:pPr>
              <w:widowControl/>
              <w:spacing w:line="266" w:lineRule="atLeast"/>
              <w:jc w:val="center"/>
              <w:rPr>
                <w:rFonts w:ascii="Times New Roman" w:hAnsi="Times New Roman" w:eastAsia="宋体" w:cs="Times New Roman"/>
                <w:color w:val="auto"/>
                <w:kern w:val="0"/>
                <w:szCs w:val="21"/>
                <w:highlight w:val="none"/>
              </w:rPr>
            </w:pPr>
            <w:r>
              <w:rPr>
                <w:rFonts w:hint="eastAsia" w:ascii="仿宋" w:hAnsi="仿宋" w:eastAsia="仿宋" w:cs="Times New Roman"/>
                <w:color w:val="auto"/>
                <w:kern w:val="0"/>
                <w:sz w:val="30"/>
                <w:szCs w:val="30"/>
                <w:highlight w:val="none"/>
              </w:rPr>
              <w:t>9</w:t>
            </w:r>
            <w:r>
              <w:rPr>
                <w:rFonts w:ascii="Times New Roman" w:hAnsi="Times New Roman" w:eastAsia="宋体" w:cs="Times New Roman"/>
                <w:color w:val="auto"/>
                <w:kern w:val="0"/>
                <w:szCs w:val="21"/>
                <w:highlight w:val="none"/>
              </w:rPr>
              <w:t> </w:t>
            </w:r>
          </w:p>
        </w:tc>
        <w:tc>
          <w:tcPr>
            <w:tcW w:w="505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427AFBD">
            <w:pPr>
              <w:widowControl/>
              <w:spacing w:line="266" w:lineRule="atLeast"/>
              <w:rPr>
                <w:rFonts w:ascii="Times New Roman" w:hAnsi="Times New Roman" w:eastAsia="宋体" w:cs="Times New Roman"/>
                <w:color w:val="auto"/>
                <w:kern w:val="0"/>
                <w:szCs w:val="21"/>
                <w:highlight w:val="none"/>
              </w:rPr>
            </w:pPr>
            <w:r>
              <w:rPr>
                <w:rFonts w:hint="eastAsia" w:ascii="仿宋" w:hAnsi="仿宋" w:eastAsia="仿宋" w:cs="Times New Roman"/>
                <w:color w:val="auto"/>
                <w:kern w:val="0"/>
                <w:sz w:val="30"/>
                <w:szCs w:val="30"/>
                <w:highlight w:val="none"/>
              </w:rPr>
              <w:t>濉溪县中医医院</w:t>
            </w:r>
          </w:p>
        </w:tc>
        <w:tc>
          <w:tcPr>
            <w:tcW w:w="240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4A3B352">
            <w:pPr>
              <w:widowControl/>
              <w:spacing w:line="266" w:lineRule="atLeast"/>
              <w:rPr>
                <w:rFonts w:ascii="Times New Roman" w:hAnsi="Times New Roman" w:eastAsia="宋体" w:cs="Times New Roman"/>
                <w:color w:val="auto"/>
                <w:kern w:val="0"/>
                <w:szCs w:val="21"/>
                <w:highlight w:val="none"/>
              </w:rPr>
            </w:pPr>
            <w:r>
              <w:rPr>
                <w:rFonts w:hint="eastAsia" w:ascii="仿宋" w:hAnsi="仿宋" w:eastAsia="仿宋" w:cs="Times New Roman"/>
                <w:color w:val="auto"/>
                <w:kern w:val="0"/>
                <w:sz w:val="30"/>
                <w:szCs w:val="30"/>
                <w:highlight w:val="none"/>
              </w:rPr>
              <w:t>差额事业单位</w:t>
            </w:r>
          </w:p>
        </w:tc>
      </w:tr>
      <w:tr w14:paraId="5550E49E">
        <w:tblPrEx>
          <w:tblCellMar>
            <w:top w:w="0" w:type="dxa"/>
            <w:left w:w="0" w:type="dxa"/>
            <w:bottom w:w="0" w:type="dxa"/>
            <w:right w:w="0" w:type="dxa"/>
          </w:tblCellMar>
        </w:tblPrEx>
        <w:trPr>
          <w:trHeight w:val="607" w:hRule="atLeast"/>
        </w:trPr>
        <w:tc>
          <w:tcPr>
            <w:tcW w:w="816"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FE7A62C">
            <w:pPr>
              <w:widowControl/>
              <w:spacing w:line="266" w:lineRule="atLeast"/>
              <w:jc w:val="center"/>
              <w:rPr>
                <w:rFonts w:ascii="Times New Roman" w:hAnsi="Times New Roman" w:eastAsia="宋体" w:cs="Times New Roman"/>
                <w:color w:val="auto"/>
                <w:kern w:val="0"/>
                <w:szCs w:val="21"/>
                <w:highlight w:val="none"/>
              </w:rPr>
            </w:pPr>
            <w:r>
              <w:rPr>
                <w:rFonts w:hint="eastAsia" w:ascii="仿宋" w:hAnsi="仿宋" w:eastAsia="仿宋" w:cs="Times New Roman"/>
                <w:color w:val="auto"/>
                <w:kern w:val="0"/>
                <w:sz w:val="30"/>
                <w:szCs w:val="30"/>
                <w:highlight w:val="none"/>
              </w:rPr>
              <w:t>10</w:t>
            </w:r>
          </w:p>
        </w:tc>
        <w:tc>
          <w:tcPr>
            <w:tcW w:w="505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D5F80E1">
            <w:pPr>
              <w:widowControl/>
              <w:spacing w:line="266" w:lineRule="atLeast"/>
              <w:rPr>
                <w:rFonts w:ascii="Times New Roman" w:hAnsi="Times New Roman" w:eastAsia="宋体" w:cs="Times New Roman"/>
                <w:color w:val="auto"/>
                <w:kern w:val="0"/>
                <w:szCs w:val="21"/>
                <w:highlight w:val="none"/>
              </w:rPr>
            </w:pPr>
            <w:r>
              <w:rPr>
                <w:rFonts w:hint="eastAsia" w:ascii="仿宋" w:hAnsi="仿宋" w:eastAsia="仿宋" w:cs="Times New Roman"/>
                <w:color w:val="auto"/>
                <w:kern w:val="0"/>
                <w:sz w:val="30"/>
                <w:szCs w:val="30"/>
                <w:highlight w:val="none"/>
              </w:rPr>
              <w:t>濉溪县刘桥镇卫生院</w:t>
            </w:r>
          </w:p>
        </w:tc>
        <w:tc>
          <w:tcPr>
            <w:tcW w:w="240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088918A">
            <w:pPr>
              <w:widowControl/>
              <w:spacing w:line="266" w:lineRule="atLeast"/>
              <w:rPr>
                <w:rFonts w:ascii="Times New Roman" w:hAnsi="Times New Roman" w:eastAsia="宋体" w:cs="Times New Roman"/>
                <w:color w:val="auto"/>
                <w:kern w:val="0"/>
                <w:szCs w:val="21"/>
                <w:highlight w:val="none"/>
              </w:rPr>
            </w:pPr>
            <w:r>
              <w:rPr>
                <w:rFonts w:hint="eastAsia" w:ascii="仿宋" w:hAnsi="仿宋" w:eastAsia="仿宋" w:cs="Times New Roman"/>
                <w:color w:val="auto"/>
                <w:kern w:val="0"/>
                <w:sz w:val="30"/>
                <w:szCs w:val="30"/>
                <w:highlight w:val="none"/>
              </w:rPr>
              <w:t>差额事业单位</w:t>
            </w:r>
          </w:p>
        </w:tc>
      </w:tr>
      <w:tr w14:paraId="6F91F33F">
        <w:tblPrEx>
          <w:tblCellMar>
            <w:top w:w="0" w:type="dxa"/>
            <w:left w:w="0" w:type="dxa"/>
            <w:bottom w:w="0" w:type="dxa"/>
            <w:right w:w="0" w:type="dxa"/>
          </w:tblCellMar>
        </w:tblPrEx>
        <w:trPr>
          <w:trHeight w:val="607" w:hRule="atLeast"/>
        </w:trPr>
        <w:tc>
          <w:tcPr>
            <w:tcW w:w="816"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9BB8E37">
            <w:pPr>
              <w:widowControl/>
              <w:spacing w:line="266" w:lineRule="atLeast"/>
              <w:jc w:val="center"/>
              <w:rPr>
                <w:rFonts w:ascii="Times New Roman" w:hAnsi="Times New Roman" w:eastAsia="宋体" w:cs="Times New Roman"/>
                <w:color w:val="auto"/>
                <w:kern w:val="0"/>
                <w:szCs w:val="21"/>
                <w:highlight w:val="none"/>
              </w:rPr>
            </w:pPr>
            <w:r>
              <w:rPr>
                <w:rFonts w:hint="eastAsia" w:ascii="仿宋" w:hAnsi="仿宋" w:eastAsia="仿宋" w:cs="Times New Roman"/>
                <w:color w:val="auto"/>
                <w:kern w:val="0"/>
                <w:sz w:val="30"/>
                <w:szCs w:val="30"/>
                <w:highlight w:val="none"/>
              </w:rPr>
              <w:t>11</w:t>
            </w:r>
          </w:p>
        </w:tc>
        <w:tc>
          <w:tcPr>
            <w:tcW w:w="505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46FBB3F">
            <w:pPr>
              <w:widowControl/>
              <w:spacing w:line="266" w:lineRule="atLeast"/>
              <w:rPr>
                <w:rFonts w:ascii="Times New Roman" w:hAnsi="Times New Roman" w:eastAsia="宋体" w:cs="Times New Roman"/>
                <w:color w:val="auto"/>
                <w:kern w:val="0"/>
                <w:szCs w:val="21"/>
                <w:highlight w:val="none"/>
              </w:rPr>
            </w:pPr>
            <w:r>
              <w:rPr>
                <w:rFonts w:hint="eastAsia" w:ascii="仿宋" w:hAnsi="仿宋" w:eastAsia="仿宋" w:cs="Times New Roman"/>
                <w:color w:val="auto"/>
                <w:kern w:val="0"/>
                <w:sz w:val="30"/>
                <w:szCs w:val="30"/>
                <w:highlight w:val="none"/>
              </w:rPr>
              <w:t>濉溪县五沟镇卫生院</w:t>
            </w:r>
          </w:p>
        </w:tc>
        <w:tc>
          <w:tcPr>
            <w:tcW w:w="240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754ABD2">
            <w:pPr>
              <w:widowControl/>
              <w:spacing w:line="266" w:lineRule="atLeast"/>
              <w:rPr>
                <w:rFonts w:ascii="Times New Roman" w:hAnsi="Times New Roman" w:eastAsia="宋体" w:cs="Times New Roman"/>
                <w:color w:val="auto"/>
                <w:kern w:val="0"/>
                <w:szCs w:val="21"/>
                <w:highlight w:val="none"/>
              </w:rPr>
            </w:pPr>
            <w:r>
              <w:rPr>
                <w:rFonts w:hint="eastAsia" w:ascii="仿宋" w:hAnsi="仿宋" w:eastAsia="仿宋" w:cs="Times New Roman"/>
                <w:color w:val="auto"/>
                <w:kern w:val="0"/>
                <w:sz w:val="30"/>
                <w:szCs w:val="30"/>
                <w:highlight w:val="none"/>
              </w:rPr>
              <w:t>差额事业单位</w:t>
            </w:r>
          </w:p>
        </w:tc>
      </w:tr>
      <w:tr w14:paraId="302119AD">
        <w:tblPrEx>
          <w:tblCellMar>
            <w:top w:w="0" w:type="dxa"/>
            <w:left w:w="0" w:type="dxa"/>
            <w:bottom w:w="0" w:type="dxa"/>
            <w:right w:w="0" w:type="dxa"/>
          </w:tblCellMar>
        </w:tblPrEx>
        <w:trPr>
          <w:trHeight w:val="607" w:hRule="atLeast"/>
        </w:trPr>
        <w:tc>
          <w:tcPr>
            <w:tcW w:w="816"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8E7CCE6">
            <w:pPr>
              <w:widowControl/>
              <w:spacing w:line="266" w:lineRule="atLeast"/>
              <w:jc w:val="center"/>
              <w:rPr>
                <w:rFonts w:ascii="Times New Roman" w:hAnsi="Times New Roman" w:eastAsia="宋体" w:cs="Times New Roman"/>
                <w:color w:val="auto"/>
                <w:kern w:val="0"/>
                <w:szCs w:val="21"/>
                <w:highlight w:val="none"/>
              </w:rPr>
            </w:pPr>
            <w:r>
              <w:rPr>
                <w:rFonts w:hint="eastAsia" w:ascii="仿宋" w:hAnsi="仿宋" w:eastAsia="仿宋" w:cs="Times New Roman"/>
                <w:color w:val="auto"/>
                <w:kern w:val="0"/>
                <w:sz w:val="30"/>
                <w:szCs w:val="30"/>
                <w:highlight w:val="none"/>
              </w:rPr>
              <w:t>12</w:t>
            </w:r>
          </w:p>
        </w:tc>
        <w:tc>
          <w:tcPr>
            <w:tcW w:w="505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CBF3D28">
            <w:pPr>
              <w:widowControl/>
              <w:spacing w:line="266" w:lineRule="atLeast"/>
              <w:rPr>
                <w:rFonts w:ascii="Times New Roman" w:hAnsi="Times New Roman" w:eastAsia="宋体" w:cs="Times New Roman"/>
                <w:color w:val="auto"/>
                <w:kern w:val="0"/>
                <w:sz w:val="21"/>
                <w:szCs w:val="21"/>
                <w:highlight w:val="none"/>
                <w:lang w:val="en-US" w:eastAsia="zh-CN" w:bidi="ar-SA"/>
              </w:rPr>
            </w:pPr>
            <w:r>
              <w:rPr>
                <w:rFonts w:hint="eastAsia" w:ascii="仿宋" w:hAnsi="仿宋" w:eastAsia="仿宋" w:cs="Times New Roman"/>
                <w:color w:val="auto"/>
                <w:kern w:val="0"/>
                <w:sz w:val="30"/>
                <w:szCs w:val="30"/>
                <w:highlight w:val="none"/>
              </w:rPr>
              <w:t>濉溪县濉溪镇卫生院</w:t>
            </w:r>
          </w:p>
        </w:tc>
        <w:tc>
          <w:tcPr>
            <w:tcW w:w="240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D147106">
            <w:pPr>
              <w:widowControl/>
              <w:spacing w:line="266" w:lineRule="atLeast"/>
              <w:rPr>
                <w:rFonts w:ascii="Times New Roman" w:hAnsi="Times New Roman" w:eastAsia="宋体" w:cs="Times New Roman"/>
                <w:color w:val="auto"/>
                <w:kern w:val="0"/>
                <w:szCs w:val="21"/>
                <w:highlight w:val="none"/>
              </w:rPr>
            </w:pPr>
            <w:r>
              <w:rPr>
                <w:rFonts w:hint="eastAsia" w:ascii="仿宋" w:hAnsi="仿宋" w:eastAsia="仿宋" w:cs="Times New Roman"/>
                <w:color w:val="auto"/>
                <w:kern w:val="0"/>
                <w:sz w:val="30"/>
                <w:szCs w:val="30"/>
                <w:highlight w:val="none"/>
              </w:rPr>
              <w:t>差额事业单位</w:t>
            </w:r>
          </w:p>
        </w:tc>
      </w:tr>
      <w:tr w14:paraId="014C537A">
        <w:tblPrEx>
          <w:tblCellMar>
            <w:top w:w="0" w:type="dxa"/>
            <w:left w:w="0" w:type="dxa"/>
            <w:bottom w:w="0" w:type="dxa"/>
            <w:right w:w="0" w:type="dxa"/>
          </w:tblCellMar>
        </w:tblPrEx>
        <w:trPr>
          <w:trHeight w:val="607" w:hRule="atLeast"/>
        </w:trPr>
        <w:tc>
          <w:tcPr>
            <w:tcW w:w="816"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3212907">
            <w:pPr>
              <w:widowControl/>
              <w:spacing w:line="266" w:lineRule="atLeast"/>
              <w:jc w:val="center"/>
              <w:rPr>
                <w:rFonts w:ascii="Times New Roman" w:hAnsi="Times New Roman" w:eastAsia="宋体" w:cs="Times New Roman"/>
                <w:color w:val="auto"/>
                <w:kern w:val="0"/>
                <w:szCs w:val="21"/>
                <w:highlight w:val="none"/>
              </w:rPr>
            </w:pPr>
            <w:r>
              <w:rPr>
                <w:rFonts w:hint="eastAsia" w:ascii="仿宋" w:hAnsi="仿宋" w:eastAsia="仿宋" w:cs="Times New Roman"/>
                <w:color w:val="auto"/>
                <w:kern w:val="0"/>
                <w:sz w:val="30"/>
                <w:szCs w:val="30"/>
                <w:highlight w:val="none"/>
              </w:rPr>
              <w:t>13</w:t>
            </w:r>
          </w:p>
        </w:tc>
        <w:tc>
          <w:tcPr>
            <w:tcW w:w="505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BD3B1C5">
            <w:pPr>
              <w:widowControl/>
              <w:spacing w:line="266" w:lineRule="atLeast"/>
              <w:rPr>
                <w:rFonts w:ascii="Times New Roman" w:hAnsi="Times New Roman" w:eastAsia="宋体" w:cs="Times New Roman"/>
                <w:color w:val="auto"/>
                <w:kern w:val="0"/>
                <w:sz w:val="21"/>
                <w:szCs w:val="21"/>
                <w:highlight w:val="none"/>
                <w:lang w:val="en-US" w:eastAsia="zh-CN" w:bidi="ar-SA"/>
              </w:rPr>
            </w:pPr>
            <w:r>
              <w:rPr>
                <w:rFonts w:hint="eastAsia" w:ascii="仿宋" w:hAnsi="仿宋" w:eastAsia="仿宋" w:cs="Times New Roman"/>
                <w:color w:val="auto"/>
                <w:kern w:val="0"/>
                <w:sz w:val="30"/>
                <w:szCs w:val="30"/>
                <w:highlight w:val="none"/>
              </w:rPr>
              <w:t>濉溪县临涣镇卫生院</w:t>
            </w:r>
          </w:p>
        </w:tc>
        <w:tc>
          <w:tcPr>
            <w:tcW w:w="240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62441C7">
            <w:pPr>
              <w:widowControl/>
              <w:spacing w:line="266" w:lineRule="atLeast"/>
              <w:rPr>
                <w:rFonts w:ascii="Times New Roman" w:hAnsi="Times New Roman" w:eastAsia="宋体" w:cs="Times New Roman"/>
                <w:color w:val="auto"/>
                <w:kern w:val="0"/>
                <w:szCs w:val="21"/>
                <w:highlight w:val="none"/>
              </w:rPr>
            </w:pPr>
            <w:r>
              <w:rPr>
                <w:rFonts w:hint="eastAsia" w:ascii="仿宋" w:hAnsi="仿宋" w:eastAsia="仿宋" w:cs="Times New Roman"/>
                <w:color w:val="auto"/>
                <w:kern w:val="0"/>
                <w:sz w:val="30"/>
                <w:szCs w:val="30"/>
                <w:highlight w:val="none"/>
              </w:rPr>
              <w:t>差额事业单位</w:t>
            </w:r>
          </w:p>
        </w:tc>
      </w:tr>
      <w:tr w14:paraId="7D9F00F9">
        <w:tblPrEx>
          <w:tblCellMar>
            <w:top w:w="0" w:type="dxa"/>
            <w:left w:w="0" w:type="dxa"/>
            <w:bottom w:w="0" w:type="dxa"/>
            <w:right w:w="0" w:type="dxa"/>
          </w:tblCellMar>
        </w:tblPrEx>
        <w:trPr>
          <w:trHeight w:val="607" w:hRule="atLeast"/>
        </w:trPr>
        <w:tc>
          <w:tcPr>
            <w:tcW w:w="816"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5FC316B">
            <w:pPr>
              <w:widowControl/>
              <w:spacing w:line="266" w:lineRule="atLeast"/>
              <w:jc w:val="center"/>
              <w:rPr>
                <w:rFonts w:ascii="Times New Roman" w:hAnsi="Times New Roman" w:eastAsia="宋体" w:cs="Times New Roman"/>
                <w:color w:val="auto"/>
                <w:kern w:val="0"/>
                <w:szCs w:val="21"/>
                <w:highlight w:val="none"/>
              </w:rPr>
            </w:pPr>
            <w:r>
              <w:rPr>
                <w:rFonts w:hint="eastAsia" w:ascii="仿宋" w:hAnsi="仿宋" w:eastAsia="仿宋" w:cs="Times New Roman"/>
                <w:color w:val="auto"/>
                <w:kern w:val="0"/>
                <w:sz w:val="30"/>
                <w:szCs w:val="30"/>
                <w:highlight w:val="none"/>
              </w:rPr>
              <w:t>14</w:t>
            </w:r>
          </w:p>
        </w:tc>
        <w:tc>
          <w:tcPr>
            <w:tcW w:w="505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39E7696">
            <w:pPr>
              <w:widowControl/>
              <w:spacing w:line="266" w:lineRule="atLeast"/>
              <w:rPr>
                <w:rFonts w:ascii="Times New Roman" w:hAnsi="Times New Roman" w:eastAsia="宋体" w:cs="Times New Roman"/>
                <w:color w:val="auto"/>
                <w:kern w:val="0"/>
                <w:sz w:val="21"/>
                <w:szCs w:val="21"/>
                <w:highlight w:val="none"/>
                <w:lang w:val="en-US" w:eastAsia="zh-CN" w:bidi="ar-SA"/>
              </w:rPr>
            </w:pPr>
            <w:r>
              <w:rPr>
                <w:rFonts w:hint="eastAsia" w:ascii="仿宋" w:hAnsi="仿宋" w:eastAsia="仿宋" w:cs="Times New Roman"/>
                <w:color w:val="auto"/>
                <w:kern w:val="0"/>
                <w:sz w:val="30"/>
                <w:szCs w:val="30"/>
                <w:highlight w:val="none"/>
              </w:rPr>
              <w:t>濉溪县铁佛镇卫生院</w:t>
            </w:r>
          </w:p>
        </w:tc>
        <w:tc>
          <w:tcPr>
            <w:tcW w:w="240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4BDB9B5">
            <w:pPr>
              <w:widowControl/>
              <w:spacing w:line="266" w:lineRule="atLeast"/>
              <w:rPr>
                <w:rFonts w:ascii="Times New Roman" w:hAnsi="Times New Roman" w:eastAsia="宋体" w:cs="Times New Roman"/>
                <w:color w:val="auto"/>
                <w:kern w:val="0"/>
                <w:szCs w:val="21"/>
                <w:highlight w:val="none"/>
              </w:rPr>
            </w:pPr>
            <w:r>
              <w:rPr>
                <w:rFonts w:hint="eastAsia" w:ascii="仿宋" w:hAnsi="仿宋" w:eastAsia="仿宋" w:cs="Times New Roman"/>
                <w:color w:val="auto"/>
                <w:kern w:val="0"/>
                <w:sz w:val="30"/>
                <w:szCs w:val="30"/>
                <w:highlight w:val="none"/>
              </w:rPr>
              <w:t>差额事业单位</w:t>
            </w:r>
          </w:p>
        </w:tc>
      </w:tr>
      <w:tr w14:paraId="09FEF732">
        <w:tblPrEx>
          <w:tblCellMar>
            <w:top w:w="0" w:type="dxa"/>
            <w:left w:w="0" w:type="dxa"/>
            <w:bottom w:w="0" w:type="dxa"/>
            <w:right w:w="0" w:type="dxa"/>
          </w:tblCellMar>
        </w:tblPrEx>
        <w:trPr>
          <w:trHeight w:val="607" w:hRule="atLeast"/>
        </w:trPr>
        <w:tc>
          <w:tcPr>
            <w:tcW w:w="816"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201D56B">
            <w:pPr>
              <w:widowControl/>
              <w:spacing w:line="266" w:lineRule="atLeast"/>
              <w:jc w:val="center"/>
              <w:rPr>
                <w:rFonts w:ascii="Times New Roman" w:hAnsi="Times New Roman" w:eastAsia="宋体" w:cs="Times New Roman"/>
                <w:color w:val="auto"/>
                <w:kern w:val="0"/>
                <w:szCs w:val="21"/>
                <w:highlight w:val="none"/>
              </w:rPr>
            </w:pPr>
            <w:r>
              <w:rPr>
                <w:rFonts w:hint="eastAsia" w:ascii="仿宋" w:hAnsi="仿宋" w:eastAsia="仿宋" w:cs="Times New Roman"/>
                <w:color w:val="auto"/>
                <w:kern w:val="0"/>
                <w:sz w:val="30"/>
                <w:szCs w:val="30"/>
                <w:highlight w:val="none"/>
              </w:rPr>
              <w:t>15</w:t>
            </w:r>
          </w:p>
        </w:tc>
        <w:tc>
          <w:tcPr>
            <w:tcW w:w="505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0C2A028">
            <w:pPr>
              <w:widowControl/>
              <w:spacing w:line="266" w:lineRule="atLeast"/>
              <w:rPr>
                <w:rFonts w:ascii="Times New Roman" w:hAnsi="Times New Roman" w:eastAsia="宋体" w:cs="Times New Roman"/>
                <w:color w:val="auto"/>
                <w:kern w:val="0"/>
                <w:szCs w:val="21"/>
                <w:highlight w:val="none"/>
              </w:rPr>
            </w:pPr>
            <w:r>
              <w:rPr>
                <w:rFonts w:hint="eastAsia" w:ascii="仿宋" w:hAnsi="仿宋" w:eastAsia="仿宋" w:cs="Times New Roman"/>
                <w:color w:val="auto"/>
                <w:kern w:val="0"/>
                <w:sz w:val="30"/>
                <w:szCs w:val="30"/>
                <w:highlight w:val="none"/>
              </w:rPr>
              <w:t>濉溪县孙疃镇卫生院</w:t>
            </w:r>
          </w:p>
        </w:tc>
        <w:tc>
          <w:tcPr>
            <w:tcW w:w="240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16A1FE5">
            <w:pPr>
              <w:widowControl/>
              <w:spacing w:line="266" w:lineRule="atLeast"/>
              <w:rPr>
                <w:rFonts w:ascii="Times New Roman" w:hAnsi="Times New Roman" w:eastAsia="宋体" w:cs="Times New Roman"/>
                <w:color w:val="auto"/>
                <w:kern w:val="0"/>
                <w:szCs w:val="21"/>
                <w:highlight w:val="none"/>
              </w:rPr>
            </w:pPr>
            <w:r>
              <w:rPr>
                <w:rFonts w:hint="eastAsia" w:ascii="仿宋" w:hAnsi="仿宋" w:eastAsia="仿宋" w:cs="Times New Roman"/>
                <w:color w:val="auto"/>
                <w:kern w:val="0"/>
                <w:sz w:val="30"/>
                <w:szCs w:val="30"/>
                <w:highlight w:val="none"/>
              </w:rPr>
              <w:t>差额事业单位</w:t>
            </w:r>
          </w:p>
        </w:tc>
      </w:tr>
      <w:tr w14:paraId="364E363F">
        <w:tblPrEx>
          <w:tblCellMar>
            <w:top w:w="0" w:type="dxa"/>
            <w:left w:w="0" w:type="dxa"/>
            <w:bottom w:w="0" w:type="dxa"/>
            <w:right w:w="0" w:type="dxa"/>
          </w:tblCellMar>
        </w:tblPrEx>
        <w:trPr>
          <w:trHeight w:val="607" w:hRule="atLeast"/>
        </w:trPr>
        <w:tc>
          <w:tcPr>
            <w:tcW w:w="816"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EB4258E">
            <w:pPr>
              <w:widowControl/>
              <w:spacing w:line="266" w:lineRule="atLeast"/>
              <w:jc w:val="center"/>
              <w:rPr>
                <w:rFonts w:ascii="Times New Roman" w:hAnsi="Times New Roman" w:eastAsia="宋体" w:cs="Times New Roman"/>
                <w:color w:val="auto"/>
                <w:kern w:val="0"/>
                <w:szCs w:val="21"/>
                <w:highlight w:val="none"/>
              </w:rPr>
            </w:pPr>
            <w:r>
              <w:rPr>
                <w:rFonts w:hint="eastAsia" w:ascii="仿宋" w:hAnsi="仿宋" w:eastAsia="仿宋" w:cs="Times New Roman"/>
                <w:color w:val="auto"/>
                <w:kern w:val="0"/>
                <w:sz w:val="30"/>
                <w:szCs w:val="30"/>
                <w:highlight w:val="none"/>
              </w:rPr>
              <w:t>16</w:t>
            </w:r>
          </w:p>
        </w:tc>
        <w:tc>
          <w:tcPr>
            <w:tcW w:w="505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DD1807F">
            <w:pPr>
              <w:widowControl/>
              <w:spacing w:line="266" w:lineRule="atLeast"/>
              <w:rPr>
                <w:rFonts w:ascii="Times New Roman" w:hAnsi="Times New Roman" w:eastAsia="宋体" w:cs="Times New Roman"/>
                <w:color w:val="auto"/>
                <w:kern w:val="0"/>
                <w:szCs w:val="21"/>
                <w:highlight w:val="none"/>
              </w:rPr>
            </w:pPr>
            <w:r>
              <w:rPr>
                <w:rFonts w:hint="eastAsia" w:ascii="仿宋" w:hAnsi="仿宋" w:eastAsia="仿宋" w:cs="Times New Roman"/>
                <w:color w:val="auto"/>
                <w:kern w:val="0"/>
                <w:sz w:val="30"/>
                <w:szCs w:val="30"/>
                <w:highlight w:val="none"/>
              </w:rPr>
              <w:t>濉溪县百善镇卫生院</w:t>
            </w:r>
          </w:p>
        </w:tc>
        <w:tc>
          <w:tcPr>
            <w:tcW w:w="240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4A297FA">
            <w:pPr>
              <w:widowControl/>
              <w:spacing w:line="266" w:lineRule="atLeast"/>
              <w:rPr>
                <w:rFonts w:ascii="Times New Roman" w:hAnsi="Times New Roman" w:eastAsia="宋体" w:cs="Times New Roman"/>
                <w:color w:val="auto"/>
                <w:kern w:val="0"/>
                <w:szCs w:val="21"/>
                <w:highlight w:val="none"/>
              </w:rPr>
            </w:pPr>
            <w:r>
              <w:rPr>
                <w:rFonts w:hint="eastAsia" w:ascii="仿宋" w:hAnsi="仿宋" w:eastAsia="仿宋" w:cs="Times New Roman"/>
                <w:color w:val="auto"/>
                <w:kern w:val="0"/>
                <w:sz w:val="30"/>
                <w:szCs w:val="30"/>
                <w:highlight w:val="none"/>
              </w:rPr>
              <w:t>差额事业单位</w:t>
            </w:r>
          </w:p>
        </w:tc>
      </w:tr>
      <w:tr w14:paraId="6AADB752">
        <w:tblPrEx>
          <w:tblCellMar>
            <w:top w:w="0" w:type="dxa"/>
            <w:left w:w="0" w:type="dxa"/>
            <w:bottom w:w="0" w:type="dxa"/>
            <w:right w:w="0" w:type="dxa"/>
          </w:tblCellMar>
        </w:tblPrEx>
        <w:trPr>
          <w:trHeight w:val="607" w:hRule="atLeast"/>
        </w:trPr>
        <w:tc>
          <w:tcPr>
            <w:tcW w:w="816"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DE9471B">
            <w:pPr>
              <w:widowControl/>
              <w:spacing w:line="266" w:lineRule="atLeast"/>
              <w:jc w:val="center"/>
              <w:rPr>
                <w:rFonts w:ascii="Times New Roman" w:hAnsi="Times New Roman" w:eastAsia="宋体" w:cs="Times New Roman"/>
                <w:color w:val="auto"/>
                <w:kern w:val="0"/>
                <w:szCs w:val="21"/>
                <w:highlight w:val="none"/>
              </w:rPr>
            </w:pPr>
            <w:r>
              <w:rPr>
                <w:rFonts w:hint="eastAsia" w:ascii="仿宋" w:hAnsi="仿宋" w:eastAsia="仿宋" w:cs="Times New Roman"/>
                <w:color w:val="auto"/>
                <w:kern w:val="0"/>
                <w:sz w:val="30"/>
                <w:szCs w:val="30"/>
                <w:highlight w:val="none"/>
              </w:rPr>
              <w:t>17</w:t>
            </w:r>
          </w:p>
        </w:tc>
        <w:tc>
          <w:tcPr>
            <w:tcW w:w="505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7ABBF3C">
            <w:pPr>
              <w:widowControl/>
              <w:spacing w:line="266" w:lineRule="atLeast"/>
              <w:rPr>
                <w:rFonts w:ascii="Times New Roman" w:hAnsi="Times New Roman" w:eastAsia="宋体" w:cs="Times New Roman"/>
                <w:color w:val="auto"/>
                <w:kern w:val="0"/>
                <w:sz w:val="21"/>
                <w:szCs w:val="21"/>
                <w:highlight w:val="none"/>
                <w:lang w:val="en-US" w:eastAsia="zh-CN" w:bidi="ar-SA"/>
              </w:rPr>
            </w:pPr>
            <w:r>
              <w:rPr>
                <w:rFonts w:hint="eastAsia" w:ascii="仿宋" w:hAnsi="仿宋" w:eastAsia="仿宋" w:cs="Times New Roman"/>
                <w:color w:val="auto"/>
                <w:kern w:val="0"/>
                <w:sz w:val="30"/>
                <w:szCs w:val="30"/>
                <w:highlight w:val="none"/>
              </w:rPr>
              <w:t>濉溪县南坪镇卫生院</w:t>
            </w:r>
          </w:p>
        </w:tc>
        <w:tc>
          <w:tcPr>
            <w:tcW w:w="240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6E59060">
            <w:pPr>
              <w:widowControl/>
              <w:spacing w:line="266" w:lineRule="atLeast"/>
              <w:rPr>
                <w:rFonts w:ascii="Times New Roman" w:hAnsi="Times New Roman" w:eastAsia="宋体" w:cs="Times New Roman"/>
                <w:color w:val="auto"/>
                <w:kern w:val="0"/>
                <w:szCs w:val="21"/>
                <w:highlight w:val="none"/>
              </w:rPr>
            </w:pPr>
            <w:r>
              <w:rPr>
                <w:rFonts w:hint="eastAsia" w:ascii="仿宋" w:hAnsi="仿宋" w:eastAsia="仿宋" w:cs="Times New Roman"/>
                <w:color w:val="auto"/>
                <w:kern w:val="0"/>
                <w:sz w:val="30"/>
                <w:szCs w:val="30"/>
                <w:highlight w:val="none"/>
              </w:rPr>
              <w:t>差额事业单位</w:t>
            </w:r>
          </w:p>
        </w:tc>
      </w:tr>
      <w:tr w14:paraId="465A3C61">
        <w:tblPrEx>
          <w:tblCellMar>
            <w:top w:w="0" w:type="dxa"/>
            <w:left w:w="0" w:type="dxa"/>
            <w:bottom w:w="0" w:type="dxa"/>
            <w:right w:w="0" w:type="dxa"/>
          </w:tblCellMar>
        </w:tblPrEx>
        <w:trPr>
          <w:trHeight w:val="607" w:hRule="atLeast"/>
        </w:trPr>
        <w:tc>
          <w:tcPr>
            <w:tcW w:w="816"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87E31FC">
            <w:pPr>
              <w:widowControl/>
              <w:spacing w:line="266" w:lineRule="atLeast"/>
              <w:jc w:val="center"/>
              <w:rPr>
                <w:rFonts w:ascii="Times New Roman" w:hAnsi="Times New Roman" w:eastAsia="宋体" w:cs="Times New Roman"/>
                <w:color w:val="auto"/>
                <w:kern w:val="0"/>
                <w:szCs w:val="21"/>
                <w:highlight w:val="none"/>
              </w:rPr>
            </w:pPr>
            <w:r>
              <w:rPr>
                <w:rFonts w:hint="eastAsia" w:ascii="仿宋" w:hAnsi="仿宋" w:eastAsia="仿宋" w:cs="Times New Roman"/>
                <w:color w:val="auto"/>
                <w:kern w:val="0"/>
                <w:sz w:val="30"/>
                <w:szCs w:val="30"/>
                <w:highlight w:val="none"/>
              </w:rPr>
              <w:t>18</w:t>
            </w:r>
          </w:p>
        </w:tc>
        <w:tc>
          <w:tcPr>
            <w:tcW w:w="505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623856C">
            <w:pPr>
              <w:widowControl/>
              <w:spacing w:line="266" w:lineRule="atLeast"/>
              <w:rPr>
                <w:rFonts w:ascii="Times New Roman" w:hAnsi="Times New Roman" w:eastAsia="宋体" w:cs="Times New Roman"/>
                <w:color w:val="auto"/>
                <w:kern w:val="0"/>
                <w:sz w:val="21"/>
                <w:szCs w:val="21"/>
                <w:highlight w:val="none"/>
                <w:lang w:val="en-US" w:eastAsia="zh-CN" w:bidi="ar-SA"/>
              </w:rPr>
            </w:pPr>
            <w:r>
              <w:rPr>
                <w:rFonts w:hint="eastAsia" w:ascii="仿宋" w:hAnsi="仿宋" w:eastAsia="仿宋" w:cs="Times New Roman"/>
                <w:color w:val="auto"/>
                <w:kern w:val="0"/>
                <w:sz w:val="30"/>
                <w:szCs w:val="30"/>
                <w:highlight w:val="none"/>
              </w:rPr>
              <w:t>濉溪县韩村镇卫生院</w:t>
            </w:r>
          </w:p>
        </w:tc>
        <w:tc>
          <w:tcPr>
            <w:tcW w:w="240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48C1D13">
            <w:pPr>
              <w:widowControl/>
              <w:spacing w:line="266" w:lineRule="atLeast"/>
              <w:rPr>
                <w:rFonts w:ascii="Times New Roman" w:hAnsi="Times New Roman" w:eastAsia="宋体" w:cs="Times New Roman"/>
                <w:color w:val="auto"/>
                <w:kern w:val="0"/>
                <w:szCs w:val="21"/>
                <w:highlight w:val="none"/>
              </w:rPr>
            </w:pPr>
            <w:r>
              <w:rPr>
                <w:rFonts w:hint="eastAsia" w:ascii="仿宋" w:hAnsi="仿宋" w:eastAsia="仿宋" w:cs="Times New Roman"/>
                <w:color w:val="auto"/>
                <w:kern w:val="0"/>
                <w:sz w:val="30"/>
                <w:szCs w:val="30"/>
                <w:highlight w:val="none"/>
              </w:rPr>
              <w:t>差额事业单位</w:t>
            </w:r>
          </w:p>
        </w:tc>
      </w:tr>
      <w:tr w14:paraId="45B6E599">
        <w:tblPrEx>
          <w:tblCellMar>
            <w:top w:w="0" w:type="dxa"/>
            <w:left w:w="0" w:type="dxa"/>
            <w:bottom w:w="0" w:type="dxa"/>
            <w:right w:w="0" w:type="dxa"/>
          </w:tblCellMar>
        </w:tblPrEx>
        <w:trPr>
          <w:trHeight w:val="607" w:hRule="atLeast"/>
        </w:trPr>
        <w:tc>
          <w:tcPr>
            <w:tcW w:w="816"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55E8944">
            <w:pPr>
              <w:widowControl/>
              <w:spacing w:line="266" w:lineRule="atLeast"/>
              <w:jc w:val="center"/>
              <w:rPr>
                <w:rFonts w:ascii="Times New Roman" w:hAnsi="Times New Roman" w:eastAsia="宋体" w:cs="Times New Roman"/>
                <w:color w:val="auto"/>
                <w:kern w:val="0"/>
                <w:szCs w:val="21"/>
                <w:highlight w:val="none"/>
              </w:rPr>
            </w:pPr>
            <w:r>
              <w:rPr>
                <w:rFonts w:hint="eastAsia" w:ascii="仿宋" w:hAnsi="仿宋" w:eastAsia="仿宋" w:cs="Times New Roman"/>
                <w:color w:val="auto"/>
                <w:kern w:val="0"/>
                <w:sz w:val="30"/>
                <w:szCs w:val="30"/>
                <w:highlight w:val="none"/>
              </w:rPr>
              <w:t>19</w:t>
            </w:r>
          </w:p>
        </w:tc>
        <w:tc>
          <w:tcPr>
            <w:tcW w:w="505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FE6E1C3">
            <w:pPr>
              <w:widowControl/>
              <w:spacing w:line="266" w:lineRule="atLeast"/>
              <w:rPr>
                <w:rFonts w:ascii="Times New Roman" w:hAnsi="Times New Roman" w:eastAsia="宋体" w:cs="Times New Roman"/>
                <w:color w:val="auto"/>
                <w:kern w:val="0"/>
                <w:sz w:val="21"/>
                <w:szCs w:val="21"/>
                <w:highlight w:val="none"/>
                <w:lang w:val="en-US" w:eastAsia="zh-CN" w:bidi="ar-SA"/>
              </w:rPr>
            </w:pPr>
            <w:r>
              <w:rPr>
                <w:rFonts w:hint="eastAsia" w:ascii="仿宋" w:hAnsi="仿宋" w:eastAsia="仿宋" w:cs="Times New Roman"/>
                <w:color w:val="auto"/>
                <w:kern w:val="0"/>
                <w:sz w:val="30"/>
                <w:szCs w:val="30"/>
                <w:highlight w:val="none"/>
              </w:rPr>
              <w:t>濉溪县双堆集镇卫生院</w:t>
            </w:r>
          </w:p>
        </w:tc>
        <w:tc>
          <w:tcPr>
            <w:tcW w:w="240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5591CDD">
            <w:pPr>
              <w:widowControl/>
              <w:spacing w:line="266" w:lineRule="atLeast"/>
              <w:rPr>
                <w:rFonts w:ascii="Times New Roman" w:hAnsi="Times New Roman" w:eastAsia="宋体" w:cs="Times New Roman"/>
                <w:color w:val="auto"/>
                <w:kern w:val="0"/>
                <w:szCs w:val="21"/>
                <w:highlight w:val="none"/>
              </w:rPr>
            </w:pPr>
            <w:r>
              <w:rPr>
                <w:rFonts w:hint="eastAsia" w:ascii="仿宋" w:hAnsi="仿宋" w:eastAsia="仿宋" w:cs="Times New Roman"/>
                <w:color w:val="auto"/>
                <w:kern w:val="0"/>
                <w:sz w:val="30"/>
                <w:szCs w:val="30"/>
                <w:highlight w:val="none"/>
              </w:rPr>
              <w:t>差额事业单位</w:t>
            </w:r>
          </w:p>
        </w:tc>
      </w:tr>
      <w:tr w14:paraId="5CAB8E67">
        <w:tblPrEx>
          <w:tblCellMar>
            <w:top w:w="0" w:type="dxa"/>
            <w:left w:w="0" w:type="dxa"/>
            <w:bottom w:w="0" w:type="dxa"/>
            <w:right w:w="0" w:type="dxa"/>
          </w:tblCellMar>
        </w:tblPrEx>
        <w:trPr>
          <w:trHeight w:val="607" w:hRule="atLeast"/>
        </w:trPr>
        <w:tc>
          <w:tcPr>
            <w:tcW w:w="816"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61A2652">
            <w:pPr>
              <w:widowControl/>
              <w:spacing w:line="266" w:lineRule="atLeast"/>
              <w:jc w:val="center"/>
              <w:rPr>
                <w:rFonts w:ascii="Times New Roman" w:hAnsi="Times New Roman" w:eastAsia="宋体" w:cs="Times New Roman"/>
                <w:color w:val="auto"/>
                <w:kern w:val="0"/>
                <w:szCs w:val="21"/>
                <w:highlight w:val="none"/>
              </w:rPr>
            </w:pPr>
            <w:r>
              <w:rPr>
                <w:rFonts w:hint="eastAsia" w:ascii="仿宋" w:hAnsi="仿宋" w:eastAsia="仿宋" w:cs="Times New Roman"/>
                <w:color w:val="auto"/>
                <w:kern w:val="0"/>
                <w:sz w:val="30"/>
                <w:szCs w:val="30"/>
                <w:highlight w:val="none"/>
              </w:rPr>
              <w:t>20</w:t>
            </w:r>
          </w:p>
        </w:tc>
        <w:tc>
          <w:tcPr>
            <w:tcW w:w="505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575D806">
            <w:pPr>
              <w:widowControl/>
              <w:spacing w:line="266" w:lineRule="atLeast"/>
              <w:rPr>
                <w:rFonts w:ascii="Times New Roman" w:hAnsi="Times New Roman" w:eastAsia="宋体" w:cs="Times New Roman"/>
                <w:color w:val="auto"/>
                <w:kern w:val="0"/>
                <w:sz w:val="21"/>
                <w:szCs w:val="21"/>
                <w:highlight w:val="none"/>
                <w:lang w:val="en-US" w:eastAsia="zh-CN" w:bidi="ar-SA"/>
              </w:rPr>
            </w:pPr>
            <w:r>
              <w:rPr>
                <w:rFonts w:hint="eastAsia" w:ascii="仿宋" w:hAnsi="仿宋" w:eastAsia="仿宋" w:cs="Times New Roman"/>
                <w:color w:val="auto"/>
                <w:kern w:val="0"/>
                <w:sz w:val="30"/>
                <w:szCs w:val="30"/>
                <w:highlight w:val="none"/>
              </w:rPr>
              <w:t>濉溪县四铺镇卫生院</w:t>
            </w:r>
          </w:p>
        </w:tc>
        <w:tc>
          <w:tcPr>
            <w:tcW w:w="240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90C90B1">
            <w:pPr>
              <w:widowControl/>
              <w:spacing w:line="266" w:lineRule="atLeast"/>
              <w:rPr>
                <w:rFonts w:ascii="Times New Roman" w:hAnsi="Times New Roman" w:eastAsia="宋体" w:cs="Times New Roman"/>
                <w:color w:val="auto"/>
                <w:kern w:val="0"/>
                <w:szCs w:val="21"/>
                <w:highlight w:val="none"/>
              </w:rPr>
            </w:pPr>
            <w:r>
              <w:rPr>
                <w:rFonts w:hint="eastAsia" w:ascii="仿宋" w:hAnsi="仿宋" w:eastAsia="仿宋" w:cs="Times New Roman"/>
                <w:color w:val="auto"/>
                <w:kern w:val="0"/>
                <w:sz w:val="30"/>
                <w:szCs w:val="30"/>
                <w:highlight w:val="none"/>
              </w:rPr>
              <w:t>差额事业单位</w:t>
            </w:r>
          </w:p>
        </w:tc>
      </w:tr>
    </w:tbl>
    <w:p w14:paraId="1C84EDC7">
      <w:pPr>
        <w:widowControl/>
        <w:shd w:val="clear" w:color="auto" w:fill="FFFFFF"/>
        <w:spacing w:line="290" w:lineRule="atLeast"/>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p w14:paraId="4F34A12C">
      <w:pPr>
        <w:widowControl/>
        <w:shd w:val="clear" w:color="auto" w:fill="FFFFFF"/>
        <w:spacing w:line="290" w:lineRule="atLeast"/>
        <w:ind w:firstLine="627"/>
        <w:jc w:val="left"/>
        <w:rPr>
          <w:rFonts w:ascii="宋体" w:hAnsi="宋体" w:eastAsia="宋体" w:cs="宋体"/>
          <w:color w:val="auto"/>
          <w:kern w:val="0"/>
          <w:sz w:val="24"/>
          <w:szCs w:val="24"/>
          <w:highlight w:val="none"/>
        </w:rPr>
      </w:pPr>
      <w:r>
        <w:rPr>
          <w:rFonts w:hint="eastAsia" w:ascii="黑体" w:hAnsi="黑体" w:eastAsia="黑体" w:cs="宋体"/>
          <w:color w:val="auto"/>
          <w:kern w:val="0"/>
          <w:sz w:val="32"/>
          <w:szCs w:val="32"/>
          <w:highlight w:val="none"/>
        </w:rPr>
        <w:t>三、</w:t>
      </w:r>
      <w:r>
        <w:rPr>
          <w:rFonts w:hint="eastAsia" w:ascii="黑体" w:hAnsi="黑体" w:eastAsia="黑体" w:cs="宋体"/>
          <w:color w:val="auto"/>
          <w:kern w:val="0"/>
          <w:sz w:val="32"/>
          <w:szCs w:val="32"/>
          <w:highlight w:val="none"/>
          <w:lang w:eastAsia="zh-CN"/>
        </w:rPr>
        <w:t>2023年</w:t>
      </w:r>
      <w:r>
        <w:rPr>
          <w:rFonts w:hint="eastAsia" w:ascii="黑体" w:hAnsi="黑体" w:eastAsia="黑体" w:cs="宋体"/>
          <w:color w:val="auto"/>
          <w:kern w:val="0"/>
          <w:sz w:val="32"/>
          <w:szCs w:val="32"/>
          <w:highlight w:val="none"/>
        </w:rPr>
        <w:t>度主要工作任务</w:t>
      </w:r>
    </w:p>
    <w:p w14:paraId="0CDA8B69">
      <w:pPr>
        <w:widowControl/>
        <w:shd w:val="clear" w:color="auto" w:fill="FFFFFF"/>
        <w:spacing w:line="500" w:lineRule="atLeast"/>
        <w:ind w:firstLine="640"/>
        <w:jc w:val="left"/>
        <w:rPr>
          <w:rFonts w:ascii="宋体" w:hAnsi="宋体" w:eastAsia="宋体" w:cs="宋体"/>
          <w:color w:val="auto"/>
          <w:kern w:val="0"/>
          <w:sz w:val="24"/>
          <w:szCs w:val="24"/>
          <w:highlight w:val="none"/>
        </w:rPr>
      </w:pPr>
      <w:r>
        <w:rPr>
          <w:rFonts w:hint="eastAsia" w:ascii="仿宋" w:hAnsi="仿宋" w:eastAsia="仿宋" w:cs="宋体"/>
          <w:color w:val="auto"/>
          <w:kern w:val="0"/>
          <w:sz w:val="32"/>
          <w:szCs w:val="32"/>
          <w:highlight w:val="none"/>
        </w:rPr>
        <w:t>（一）</w:t>
      </w:r>
      <w:r>
        <w:rPr>
          <w:rFonts w:hint="eastAsia" w:ascii="仿宋_GB2312" w:hAnsi="仿宋" w:eastAsia="仿宋_GB2312" w:cs="宋体"/>
          <w:color w:val="auto"/>
          <w:kern w:val="0"/>
          <w:sz w:val="32"/>
          <w:szCs w:val="32"/>
          <w:highlight w:val="none"/>
        </w:rPr>
        <w:t>推动县域公立医院改革，逐步建立</w:t>
      </w:r>
      <w:r>
        <w:rPr>
          <w:rFonts w:hint="eastAsia" w:ascii="仿宋" w:hAnsi="仿宋" w:eastAsia="仿宋" w:cs="宋体"/>
          <w:color w:val="auto"/>
          <w:kern w:val="0"/>
          <w:sz w:val="32"/>
          <w:szCs w:val="32"/>
          <w:highlight w:val="none"/>
        </w:rPr>
        <w:t>“基层首诊、双向转诊、急慢分治、上下联动”的就医秩序。</w:t>
      </w:r>
    </w:p>
    <w:p w14:paraId="098A671D">
      <w:pPr>
        <w:widowControl/>
        <w:shd w:val="clear" w:color="auto" w:fill="FFFFFF"/>
        <w:spacing w:line="500" w:lineRule="atLeast"/>
        <w:ind w:firstLine="640"/>
        <w:jc w:val="left"/>
        <w:rPr>
          <w:rFonts w:ascii="宋体" w:hAnsi="宋体" w:eastAsia="宋体" w:cs="宋体"/>
          <w:color w:val="auto"/>
          <w:kern w:val="0"/>
          <w:sz w:val="24"/>
          <w:szCs w:val="24"/>
          <w:highlight w:val="none"/>
        </w:rPr>
      </w:pPr>
      <w:r>
        <w:rPr>
          <w:rFonts w:hint="eastAsia" w:ascii="仿宋" w:hAnsi="仿宋" w:eastAsia="仿宋" w:cs="宋体"/>
          <w:color w:val="auto"/>
          <w:kern w:val="0"/>
          <w:sz w:val="32"/>
          <w:szCs w:val="32"/>
          <w:highlight w:val="none"/>
        </w:rPr>
        <w:t>（二）</w:t>
      </w:r>
      <w:r>
        <w:rPr>
          <w:rFonts w:hint="eastAsia" w:ascii="仿宋_GB2312" w:hAnsi="仿宋" w:eastAsia="仿宋_GB2312" w:cs="宋体"/>
          <w:color w:val="auto"/>
          <w:kern w:val="0"/>
          <w:sz w:val="32"/>
          <w:szCs w:val="32"/>
          <w:highlight w:val="none"/>
        </w:rPr>
        <w:t>加强基础设施建设，推动乡村医养结合项目标准化建设。</w:t>
      </w:r>
    </w:p>
    <w:p w14:paraId="3628882A">
      <w:pPr>
        <w:widowControl/>
        <w:shd w:val="clear" w:color="auto" w:fill="FFFFFF"/>
        <w:spacing w:line="500" w:lineRule="atLeast"/>
        <w:ind w:firstLine="640"/>
        <w:jc w:val="left"/>
        <w:rPr>
          <w:rFonts w:ascii="宋体" w:hAnsi="宋体" w:eastAsia="宋体" w:cs="宋体"/>
          <w:color w:val="auto"/>
          <w:kern w:val="0"/>
          <w:sz w:val="24"/>
          <w:szCs w:val="24"/>
          <w:highlight w:val="none"/>
        </w:rPr>
      </w:pPr>
      <w:r>
        <w:rPr>
          <w:rFonts w:hint="eastAsia" w:ascii="仿宋" w:hAnsi="仿宋" w:eastAsia="仿宋" w:cs="宋体"/>
          <w:color w:val="auto"/>
          <w:kern w:val="0"/>
          <w:sz w:val="32"/>
          <w:szCs w:val="32"/>
          <w:highlight w:val="none"/>
        </w:rPr>
        <w:t>（三）</w:t>
      </w:r>
      <w:r>
        <w:rPr>
          <w:rFonts w:hint="eastAsia" w:ascii="仿宋_GB2312" w:hAnsi="仿宋" w:eastAsia="仿宋_GB2312" w:cs="宋体"/>
          <w:color w:val="auto"/>
          <w:kern w:val="0"/>
          <w:sz w:val="32"/>
          <w:szCs w:val="32"/>
          <w:highlight w:val="none"/>
        </w:rPr>
        <w:t>巩固实施基本药物制度，加强基药采购监管，确保基药政策实施规范化、制度化。</w:t>
      </w:r>
    </w:p>
    <w:p w14:paraId="3FBEDA25">
      <w:pPr>
        <w:widowControl/>
        <w:shd w:val="clear" w:color="auto" w:fill="FFFFFF"/>
        <w:spacing w:line="500" w:lineRule="atLeast"/>
        <w:ind w:firstLine="640"/>
        <w:jc w:val="left"/>
        <w:rPr>
          <w:rFonts w:ascii="宋体" w:hAnsi="宋体" w:eastAsia="宋体" w:cs="宋体"/>
          <w:color w:val="auto"/>
          <w:kern w:val="0"/>
          <w:sz w:val="24"/>
          <w:szCs w:val="24"/>
          <w:highlight w:val="none"/>
        </w:rPr>
      </w:pPr>
      <w:r>
        <w:rPr>
          <w:rFonts w:hint="eastAsia" w:ascii="仿宋" w:hAnsi="仿宋" w:eastAsia="仿宋" w:cs="宋体"/>
          <w:color w:val="auto"/>
          <w:kern w:val="0"/>
          <w:sz w:val="32"/>
          <w:szCs w:val="32"/>
          <w:highlight w:val="none"/>
        </w:rPr>
        <w:t>（四）</w:t>
      </w:r>
      <w:r>
        <w:rPr>
          <w:rFonts w:hint="eastAsia" w:ascii="仿宋_GB2312" w:hAnsi="仿宋" w:eastAsia="仿宋_GB2312" w:cs="宋体"/>
          <w:color w:val="auto"/>
          <w:kern w:val="0"/>
          <w:sz w:val="32"/>
          <w:szCs w:val="32"/>
          <w:highlight w:val="none"/>
        </w:rPr>
        <w:t>强化县域公共卫生管理，提高重大疫情应急防控处置能力，开展传染病知识培训，规范传染病防治流程，提高预警预知能力。</w:t>
      </w:r>
    </w:p>
    <w:p w14:paraId="749DCF69">
      <w:pPr>
        <w:widowControl/>
        <w:shd w:val="clear" w:color="auto" w:fill="FFFFFF"/>
        <w:spacing w:line="500" w:lineRule="atLeast"/>
        <w:ind w:firstLine="640"/>
        <w:jc w:val="left"/>
        <w:rPr>
          <w:rFonts w:ascii="宋体" w:hAnsi="宋体" w:eastAsia="宋体" w:cs="宋体"/>
          <w:color w:val="auto"/>
          <w:kern w:val="0"/>
          <w:sz w:val="24"/>
          <w:szCs w:val="24"/>
          <w:highlight w:val="none"/>
        </w:rPr>
      </w:pPr>
      <w:r>
        <w:rPr>
          <w:rFonts w:hint="eastAsia" w:ascii="仿宋" w:hAnsi="仿宋" w:eastAsia="仿宋" w:cs="宋体"/>
          <w:color w:val="auto"/>
          <w:kern w:val="0"/>
          <w:sz w:val="32"/>
          <w:szCs w:val="32"/>
          <w:highlight w:val="none"/>
        </w:rPr>
        <w:t>（五）</w:t>
      </w:r>
      <w:r>
        <w:rPr>
          <w:rFonts w:hint="eastAsia" w:ascii="仿宋_GB2312" w:hAnsi="仿宋" w:eastAsia="仿宋_GB2312" w:cs="宋体"/>
          <w:color w:val="auto"/>
          <w:kern w:val="0"/>
          <w:sz w:val="32"/>
          <w:szCs w:val="32"/>
          <w:highlight w:val="none"/>
        </w:rPr>
        <w:t>加快信息化建设步伐，全面提升智慧医疗水平。</w:t>
      </w:r>
    </w:p>
    <w:p w14:paraId="68B38AA3">
      <w:pPr>
        <w:widowControl/>
        <w:shd w:val="clear" w:color="auto" w:fill="FFFFFF"/>
        <w:spacing w:line="500" w:lineRule="atLeast"/>
        <w:ind w:firstLine="640"/>
        <w:jc w:val="left"/>
        <w:rPr>
          <w:rFonts w:ascii="宋体" w:hAnsi="宋体" w:eastAsia="宋体" w:cs="宋体"/>
          <w:color w:val="auto"/>
          <w:kern w:val="0"/>
          <w:sz w:val="24"/>
          <w:szCs w:val="24"/>
          <w:highlight w:val="none"/>
        </w:rPr>
      </w:pPr>
      <w:r>
        <w:rPr>
          <w:rFonts w:hint="eastAsia" w:ascii="仿宋_GB2312" w:hAnsi="仿宋" w:eastAsia="仿宋_GB2312" w:cs="宋体"/>
          <w:color w:val="auto"/>
          <w:kern w:val="0"/>
          <w:sz w:val="32"/>
          <w:szCs w:val="32"/>
          <w:highlight w:val="none"/>
        </w:rPr>
        <w:t>（六）强化综合管理，提高计划生育综合服务能力。</w:t>
      </w:r>
      <w:r>
        <w:rPr>
          <w:rFonts w:hint="eastAsia" w:ascii="宋体" w:hAnsi="宋体" w:eastAsia="宋体" w:cs="宋体"/>
          <w:color w:val="auto"/>
          <w:kern w:val="0"/>
          <w:sz w:val="32"/>
          <w:szCs w:val="32"/>
          <w:highlight w:val="none"/>
        </w:rPr>
        <w:t>    </w:t>
      </w:r>
    </w:p>
    <w:p w14:paraId="56B69126">
      <w:pPr>
        <w:widowControl/>
        <w:shd w:val="clear" w:color="auto" w:fill="FFFFFF"/>
        <w:spacing w:line="290" w:lineRule="atLeas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p w14:paraId="6990C6AD">
      <w:pPr>
        <w:widowControl/>
        <w:shd w:val="clear" w:color="auto" w:fill="FFFFFF"/>
        <w:spacing w:line="290" w:lineRule="atLeas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p w14:paraId="162947CA">
      <w:pPr>
        <w:widowControl/>
        <w:shd w:val="clear" w:color="auto" w:fill="FFFFFF"/>
        <w:spacing w:line="290" w:lineRule="atLeas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p w14:paraId="6B9C68CC">
      <w:pPr>
        <w:widowControl/>
        <w:shd w:val="clear" w:color="auto" w:fill="FFFFFF"/>
        <w:spacing w:line="290" w:lineRule="atLeas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p w14:paraId="1A3DE61A">
      <w:pPr>
        <w:widowControl/>
        <w:shd w:val="clear" w:color="auto" w:fill="FFFFFF"/>
        <w:spacing w:line="290" w:lineRule="atLeas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p w14:paraId="2B70031F">
      <w:pPr>
        <w:widowControl/>
        <w:shd w:val="clear" w:color="auto" w:fill="FFFFFF"/>
        <w:spacing w:line="290" w:lineRule="atLeas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p w14:paraId="29ABFDAC">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br w:type="page"/>
      </w:r>
    </w:p>
    <w:p w14:paraId="4FDA9370">
      <w:pPr>
        <w:widowControl/>
        <w:shd w:val="clear" w:color="auto" w:fill="FFFFFF"/>
        <w:spacing w:line="290" w:lineRule="atLeast"/>
        <w:rPr>
          <w:rFonts w:hint="eastAsia" w:ascii="宋体" w:hAnsi="宋体" w:eastAsia="宋体" w:cs="宋体"/>
          <w:color w:val="auto"/>
          <w:kern w:val="0"/>
          <w:sz w:val="24"/>
          <w:szCs w:val="24"/>
          <w:highlight w:val="none"/>
        </w:rPr>
      </w:pPr>
    </w:p>
    <w:p w14:paraId="6C0D0123">
      <w:pPr>
        <w:widowControl/>
        <w:shd w:val="clear" w:color="auto" w:fill="FFFFFF"/>
        <w:spacing w:line="600" w:lineRule="atLeas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r>
        <w:rPr>
          <w:rFonts w:hint="eastAsia" w:ascii="黑体" w:hAnsi="黑体" w:eastAsia="黑体" w:cs="宋体"/>
          <w:color w:val="auto"/>
          <w:kern w:val="0"/>
          <w:sz w:val="36"/>
          <w:szCs w:val="36"/>
          <w:highlight w:val="none"/>
        </w:rPr>
        <w:t>第二部分</w:t>
      </w:r>
      <w:r>
        <w:rPr>
          <w:rFonts w:hint="eastAsia" w:ascii="宋体" w:hAnsi="宋体" w:eastAsia="宋体" w:cs="宋体"/>
          <w:color w:val="auto"/>
          <w:kern w:val="0"/>
          <w:sz w:val="36"/>
          <w:szCs w:val="36"/>
          <w:highlight w:val="none"/>
        </w:rPr>
        <w:t> </w:t>
      </w:r>
      <w:r>
        <w:rPr>
          <w:rFonts w:hint="eastAsia" w:ascii="黑体" w:hAnsi="黑体" w:eastAsia="黑体" w:cs="黑体"/>
          <w:color w:val="auto"/>
          <w:kern w:val="0"/>
          <w:sz w:val="36"/>
          <w:szCs w:val="36"/>
          <w:highlight w:val="none"/>
          <w:lang w:eastAsia="zh-CN"/>
        </w:rPr>
        <w:t>2023年</w:t>
      </w:r>
      <w:r>
        <w:rPr>
          <w:rFonts w:hint="eastAsia" w:ascii="黑体" w:hAnsi="黑体" w:eastAsia="黑体" w:cs="宋体"/>
          <w:color w:val="auto"/>
          <w:kern w:val="0"/>
          <w:sz w:val="36"/>
          <w:szCs w:val="36"/>
          <w:highlight w:val="none"/>
        </w:rPr>
        <w:t>部门预算表</w:t>
      </w:r>
    </w:p>
    <w:p w14:paraId="415C5566">
      <w:pPr>
        <w:widowControl/>
        <w:shd w:val="clear" w:color="auto" w:fill="FFFFFF"/>
        <w:spacing w:line="290" w:lineRule="atLeast"/>
        <w:ind w:firstLine="1760" w:firstLineChars="550"/>
        <w:rPr>
          <w:rFonts w:ascii="宋体" w:hAnsi="宋体" w:eastAsia="宋体" w:cs="宋体"/>
          <w:color w:val="auto"/>
          <w:kern w:val="0"/>
          <w:sz w:val="24"/>
          <w:szCs w:val="24"/>
          <w:highlight w:val="none"/>
        </w:rPr>
      </w:pPr>
      <w:r>
        <w:rPr>
          <w:rFonts w:hint="eastAsia" w:ascii="仿宋_GB2312" w:hAnsi="仿宋" w:eastAsia="仿宋_GB2312" w:cs="Times New Roman"/>
          <w:color w:val="auto"/>
          <w:sz w:val="32"/>
          <w:szCs w:val="32"/>
          <w:highlight w:val="none"/>
        </w:rPr>
        <w:t xml:space="preserve">见“附件1-2 </w:t>
      </w:r>
      <w:r>
        <w:rPr>
          <w:rFonts w:hint="eastAsia" w:ascii="仿宋_GB2312" w:hAnsi="仿宋" w:eastAsia="仿宋_GB2312" w:cs="Times New Roman"/>
          <w:color w:val="auto"/>
          <w:sz w:val="32"/>
          <w:szCs w:val="32"/>
          <w:highlight w:val="none"/>
          <w:lang w:eastAsia="zh-CN"/>
        </w:rPr>
        <w:t>2023年</w:t>
      </w:r>
      <w:r>
        <w:rPr>
          <w:rFonts w:hint="eastAsia" w:ascii="仿宋_GB2312" w:hAnsi="仿宋" w:eastAsia="仿宋_GB2312" w:cs="Times New Roman"/>
          <w:color w:val="auto"/>
          <w:sz w:val="32"/>
          <w:szCs w:val="32"/>
          <w:highlight w:val="none"/>
        </w:rPr>
        <w:t>部门预算表</w:t>
      </w:r>
    </w:p>
    <w:p w14:paraId="7D3910EE">
      <w:pPr>
        <w:widowControl/>
        <w:shd w:val="clear" w:color="auto" w:fill="FFFFFF"/>
        <w:spacing w:line="290" w:lineRule="atLeas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p w14:paraId="123C20FE">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br w:type="page"/>
      </w:r>
    </w:p>
    <w:p w14:paraId="648EF597">
      <w:pPr>
        <w:widowControl/>
        <w:shd w:val="clear" w:color="auto" w:fill="FFFFFF"/>
        <w:spacing w:line="290" w:lineRule="atLeast"/>
        <w:rPr>
          <w:rFonts w:ascii="宋体" w:hAnsi="宋体" w:eastAsia="宋体" w:cs="宋体"/>
          <w:color w:val="auto"/>
          <w:kern w:val="0"/>
          <w:sz w:val="24"/>
          <w:szCs w:val="24"/>
          <w:highlight w:val="none"/>
        </w:rPr>
      </w:pPr>
    </w:p>
    <w:p w14:paraId="46558875">
      <w:pPr>
        <w:widowControl/>
        <w:shd w:val="clear" w:color="auto" w:fill="FFFFFF"/>
        <w:spacing w:line="600" w:lineRule="atLeast"/>
        <w:jc w:val="center"/>
        <w:rPr>
          <w:rFonts w:ascii="宋体" w:hAnsi="宋体" w:eastAsia="宋体" w:cs="宋体"/>
          <w:color w:val="auto"/>
          <w:kern w:val="0"/>
          <w:sz w:val="24"/>
          <w:szCs w:val="24"/>
          <w:highlight w:val="none"/>
        </w:rPr>
      </w:pPr>
      <w:r>
        <w:rPr>
          <w:rFonts w:hint="eastAsia" w:ascii="黑体" w:hAnsi="黑体" w:eastAsia="黑体" w:cs="宋体"/>
          <w:color w:val="auto"/>
          <w:kern w:val="0"/>
          <w:sz w:val="36"/>
          <w:szCs w:val="36"/>
          <w:highlight w:val="none"/>
        </w:rPr>
        <w:t>第三部分</w:t>
      </w:r>
      <w:r>
        <w:rPr>
          <w:rFonts w:hint="eastAsia" w:ascii="宋体" w:hAnsi="宋体" w:eastAsia="宋体" w:cs="宋体"/>
          <w:color w:val="auto"/>
          <w:kern w:val="0"/>
          <w:sz w:val="36"/>
          <w:szCs w:val="36"/>
          <w:highlight w:val="none"/>
        </w:rPr>
        <w:t> </w:t>
      </w:r>
      <w:r>
        <w:rPr>
          <w:rFonts w:hint="eastAsia" w:ascii="黑体" w:hAnsi="黑体" w:eastAsia="黑体" w:cs="黑体"/>
          <w:color w:val="auto"/>
          <w:kern w:val="0"/>
          <w:sz w:val="36"/>
          <w:szCs w:val="36"/>
          <w:highlight w:val="none"/>
          <w:lang w:eastAsia="zh-CN"/>
        </w:rPr>
        <w:t>2023年</w:t>
      </w:r>
      <w:r>
        <w:rPr>
          <w:rFonts w:hint="eastAsia" w:ascii="黑体" w:hAnsi="黑体" w:eastAsia="黑体" w:cs="宋体"/>
          <w:color w:val="auto"/>
          <w:kern w:val="0"/>
          <w:sz w:val="36"/>
          <w:szCs w:val="36"/>
          <w:highlight w:val="none"/>
        </w:rPr>
        <w:t>部门预算情况说明</w:t>
      </w:r>
    </w:p>
    <w:p w14:paraId="43629291">
      <w:pPr>
        <w:pStyle w:val="2"/>
        <w:adjustRightInd w:val="0"/>
        <w:snapToGrid w:val="0"/>
        <w:spacing w:before="0" w:beforeAutospacing="0" w:after="0" w:afterAutospacing="0" w:line="600" w:lineRule="exact"/>
        <w:ind w:firstLine="480" w:firstLineChars="200"/>
        <w:rPr>
          <w:color w:val="auto"/>
          <w:highlight w:val="none"/>
        </w:rPr>
      </w:pPr>
      <w:r>
        <w:rPr>
          <w:rFonts w:hint="eastAsia"/>
          <w:color w:val="auto"/>
          <w:highlight w:val="none"/>
        </w:rPr>
        <w:t> </w:t>
      </w:r>
    </w:p>
    <w:p w14:paraId="24D2E03B">
      <w:pPr>
        <w:pStyle w:val="2"/>
        <w:adjustRightInd w:val="0"/>
        <w:snapToGrid w:val="0"/>
        <w:spacing w:before="0" w:beforeAutospacing="0" w:after="0" w:afterAutospacing="0" w:line="600" w:lineRule="exact"/>
        <w:ind w:firstLine="640" w:firstLineChars="200"/>
        <w:rPr>
          <w:rFonts w:ascii="黑体" w:hAnsi="仿宋" w:eastAsia="黑体"/>
          <w:color w:val="auto"/>
          <w:sz w:val="32"/>
          <w:szCs w:val="32"/>
          <w:highlight w:val="none"/>
        </w:rPr>
      </w:pPr>
      <w:r>
        <w:rPr>
          <w:rFonts w:hint="eastAsia" w:ascii="黑体" w:hAnsi="仿宋" w:eastAsia="黑体"/>
          <w:color w:val="auto"/>
          <w:sz w:val="32"/>
          <w:szCs w:val="32"/>
          <w:highlight w:val="none"/>
        </w:rPr>
        <w:t>一、关于</w:t>
      </w:r>
      <w:r>
        <w:rPr>
          <w:rFonts w:hint="eastAsia" w:ascii="黑体" w:hAnsi="仿宋" w:eastAsia="黑体"/>
          <w:color w:val="auto"/>
          <w:sz w:val="32"/>
          <w:szCs w:val="32"/>
          <w:highlight w:val="none"/>
          <w:lang w:eastAsia="zh-CN"/>
        </w:rPr>
        <w:t>2023年</w:t>
      </w:r>
      <w:r>
        <w:rPr>
          <w:rFonts w:hint="eastAsia" w:ascii="黑体" w:hAnsi="仿宋" w:eastAsia="黑体"/>
          <w:color w:val="auto"/>
          <w:sz w:val="32"/>
          <w:szCs w:val="32"/>
          <w:highlight w:val="none"/>
        </w:rPr>
        <w:t>收支总表的说明</w:t>
      </w:r>
    </w:p>
    <w:p w14:paraId="2AF29081">
      <w:pPr>
        <w:pStyle w:val="2"/>
        <w:adjustRightInd w:val="0"/>
        <w:snapToGrid w:val="0"/>
        <w:spacing w:before="0" w:beforeAutospacing="0" w:after="0" w:afterAutospacing="0" w:line="600" w:lineRule="exact"/>
        <w:ind w:firstLine="627" w:firstLineChars="196"/>
        <w:jc w:val="both"/>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按照综合预算的原则，濉溪县卫健委所有收入和支出均纳入</w:t>
      </w:r>
      <w:r>
        <w:rPr>
          <w:rFonts w:hint="eastAsia" w:ascii="仿宋_GB2312" w:hAnsi="仿宋" w:eastAsia="仿宋_GB2312"/>
          <w:color w:val="auto"/>
          <w:sz w:val="32"/>
          <w:szCs w:val="32"/>
          <w:highlight w:val="none"/>
          <w:lang w:eastAsia="zh-CN"/>
        </w:rPr>
        <w:t>部门</w:t>
      </w:r>
      <w:r>
        <w:rPr>
          <w:rFonts w:hint="eastAsia" w:ascii="仿宋_GB2312" w:hAnsi="仿宋" w:eastAsia="仿宋_GB2312"/>
          <w:color w:val="auto"/>
          <w:sz w:val="32"/>
          <w:szCs w:val="32"/>
          <w:highlight w:val="none"/>
        </w:rPr>
        <w:t>预算管理。濉溪县卫健委</w:t>
      </w:r>
      <w:r>
        <w:rPr>
          <w:rFonts w:hint="eastAsia" w:ascii="仿宋_GB2312" w:hAnsi="仿宋" w:eastAsia="仿宋_GB2312"/>
          <w:color w:val="auto"/>
          <w:sz w:val="32"/>
          <w:szCs w:val="32"/>
          <w:highlight w:val="none"/>
          <w:lang w:eastAsia="zh-CN"/>
        </w:rPr>
        <w:t>2023年</w:t>
      </w:r>
      <w:r>
        <w:rPr>
          <w:rFonts w:hint="eastAsia" w:ascii="仿宋_GB2312" w:hAnsi="仿宋" w:eastAsia="仿宋_GB2312"/>
          <w:color w:val="auto"/>
          <w:sz w:val="32"/>
          <w:szCs w:val="32"/>
          <w:highlight w:val="none"/>
        </w:rPr>
        <w:t>收支总预算</w:t>
      </w:r>
      <w:r>
        <w:rPr>
          <w:rFonts w:hint="eastAsia" w:ascii="仿宋_GB2312" w:hAnsi="仿宋" w:eastAsia="仿宋_GB2312"/>
          <w:color w:val="auto"/>
          <w:sz w:val="32"/>
          <w:szCs w:val="32"/>
          <w:highlight w:val="none"/>
          <w:lang w:val="en-US" w:eastAsia="zh-CN"/>
        </w:rPr>
        <w:t>45057.37</w:t>
      </w:r>
      <w:r>
        <w:rPr>
          <w:rFonts w:hint="eastAsia" w:ascii="仿宋_GB2312" w:hAnsi="仿宋" w:eastAsia="仿宋_GB2312"/>
          <w:color w:val="auto"/>
          <w:sz w:val="32"/>
          <w:szCs w:val="32"/>
          <w:highlight w:val="none"/>
        </w:rPr>
        <w:t>万元，</w:t>
      </w:r>
      <w:r>
        <w:rPr>
          <w:rFonts w:hint="eastAsia" w:ascii="仿宋_GB2312" w:hAnsi="仿宋" w:eastAsia="仿宋_GB2312"/>
          <w:color w:val="auto"/>
          <w:sz w:val="32"/>
          <w:szCs w:val="32"/>
          <w:highlight w:val="none"/>
          <w:lang w:val="en-US" w:eastAsia="zh-CN"/>
        </w:rPr>
        <w:t>其他收入安排15725.39万元。</w:t>
      </w:r>
      <w:r>
        <w:rPr>
          <w:rFonts w:hint="eastAsia" w:ascii="仿宋_GB2312" w:hAnsi="仿宋" w:eastAsia="仿宋_GB2312"/>
          <w:color w:val="auto"/>
          <w:sz w:val="32"/>
          <w:szCs w:val="32"/>
          <w:highlight w:val="none"/>
        </w:rPr>
        <w:t>收入包括一般公共预算拨款收入、政府性基金预算拨款收入</w:t>
      </w:r>
      <w:r>
        <w:rPr>
          <w:rFonts w:hint="eastAsia" w:ascii="仿宋_GB2312" w:hAnsi="仿宋" w:eastAsia="仿宋_GB2312"/>
          <w:color w:val="auto"/>
          <w:sz w:val="32"/>
          <w:szCs w:val="32"/>
          <w:highlight w:val="none"/>
          <w:lang w:eastAsia="zh-CN"/>
        </w:rPr>
        <w:t>。</w:t>
      </w:r>
      <w:r>
        <w:rPr>
          <w:rFonts w:hint="eastAsia" w:ascii="仿宋_GB2312" w:hAnsi="仿宋" w:eastAsia="仿宋_GB2312"/>
          <w:color w:val="auto"/>
          <w:sz w:val="32"/>
          <w:szCs w:val="32"/>
          <w:highlight w:val="none"/>
        </w:rPr>
        <w:t>支出包括：社会保障和就业支出、卫生健康支出、住房保障支出、其他支出。</w:t>
      </w:r>
    </w:p>
    <w:p w14:paraId="42C4B278">
      <w:pPr>
        <w:pStyle w:val="2"/>
        <w:adjustRightInd w:val="0"/>
        <w:snapToGrid w:val="0"/>
        <w:spacing w:before="0" w:beforeAutospacing="0" w:after="0" w:afterAutospacing="0" w:line="600" w:lineRule="exact"/>
        <w:ind w:firstLine="627" w:firstLineChars="196"/>
        <w:rPr>
          <w:rFonts w:ascii="黑体" w:hAnsi="仿宋" w:eastAsia="黑体"/>
          <w:color w:val="auto"/>
          <w:sz w:val="32"/>
          <w:szCs w:val="32"/>
          <w:highlight w:val="none"/>
        </w:rPr>
      </w:pPr>
      <w:r>
        <w:rPr>
          <w:rFonts w:hint="eastAsia" w:ascii="黑体" w:hAnsi="仿宋" w:eastAsia="黑体"/>
          <w:color w:val="auto"/>
          <w:sz w:val="32"/>
          <w:szCs w:val="32"/>
          <w:highlight w:val="none"/>
        </w:rPr>
        <w:t>二、关于</w:t>
      </w:r>
      <w:r>
        <w:rPr>
          <w:rFonts w:hint="eastAsia" w:ascii="黑体" w:hAnsi="仿宋" w:eastAsia="黑体"/>
          <w:color w:val="auto"/>
          <w:sz w:val="32"/>
          <w:szCs w:val="32"/>
          <w:highlight w:val="none"/>
          <w:lang w:eastAsia="zh-CN"/>
        </w:rPr>
        <w:t>2023年</w:t>
      </w:r>
      <w:r>
        <w:rPr>
          <w:rFonts w:hint="eastAsia" w:ascii="黑体" w:hAnsi="仿宋" w:eastAsia="黑体"/>
          <w:color w:val="auto"/>
          <w:sz w:val="32"/>
          <w:szCs w:val="32"/>
          <w:highlight w:val="none"/>
        </w:rPr>
        <w:t>收入总表的说明</w:t>
      </w:r>
    </w:p>
    <w:p w14:paraId="0485555D">
      <w:pPr>
        <w:adjustRightInd w:val="0"/>
        <w:snapToGrid w:val="0"/>
        <w:spacing w:line="600" w:lineRule="exact"/>
        <w:ind w:firstLine="640" w:firstLineChars="200"/>
        <w:rPr>
          <w:rFonts w:ascii="仿宋_GB2312" w:hAnsi="仿宋" w:eastAsia="仿宋_GB2312" w:cs="Times New Roman"/>
          <w:color w:val="auto"/>
          <w:sz w:val="32"/>
          <w:szCs w:val="32"/>
          <w:highlight w:val="none"/>
        </w:rPr>
      </w:pPr>
      <w:r>
        <w:rPr>
          <w:rFonts w:hint="eastAsia" w:ascii="仿宋_GB2312" w:hAnsi="仿宋" w:eastAsia="仿宋_GB2312" w:cs="宋体"/>
          <w:color w:val="auto"/>
          <w:kern w:val="0"/>
          <w:sz w:val="32"/>
          <w:szCs w:val="32"/>
          <w:highlight w:val="none"/>
        </w:rPr>
        <w:t>濉溪县卫健委</w:t>
      </w:r>
      <w:r>
        <w:rPr>
          <w:rFonts w:hint="eastAsia" w:ascii="仿宋_GB2312" w:hAnsi="仿宋" w:eastAsia="仿宋_GB2312" w:cs="Times New Roman"/>
          <w:color w:val="auto"/>
          <w:sz w:val="32"/>
          <w:szCs w:val="32"/>
          <w:highlight w:val="none"/>
          <w:lang w:eastAsia="zh-CN"/>
        </w:rPr>
        <w:t>2023年</w:t>
      </w:r>
      <w:r>
        <w:rPr>
          <w:rFonts w:hint="eastAsia" w:ascii="仿宋_GB2312" w:hAnsi="仿宋" w:eastAsia="仿宋_GB2312" w:cs="Times New Roman"/>
          <w:color w:val="auto"/>
          <w:sz w:val="32"/>
          <w:szCs w:val="32"/>
          <w:highlight w:val="none"/>
        </w:rPr>
        <w:t>收入预算</w:t>
      </w:r>
      <w:r>
        <w:rPr>
          <w:rFonts w:hint="eastAsia" w:ascii="仿宋_GB2312" w:hAnsi="仿宋" w:eastAsia="仿宋_GB2312"/>
          <w:color w:val="auto"/>
          <w:sz w:val="32"/>
          <w:szCs w:val="32"/>
          <w:highlight w:val="none"/>
          <w:lang w:val="en-US" w:eastAsia="zh-CN"/>
        </w:rPr>
        <w:t>45,399.68</w:t>
      </w:r>
      <w:r>
        <w:rPr>
          <w:rFonts w:hint="eastAsia" w:ascii="仿宋_GB2312" w:hAnsi="仿宋" w:eastAsia="仿宋_GB2312" w:cs="Times New Roman"/>
          <w:color w:val="auto"/>
          <w:sz w:val="32"/>
          <w:szCs w:val="32"/>
          <w:highlight w:val="none"/>
        </w:rPr>
        <w:t>万元，其中，本年收入</w:t>
      </w:r>
      <w:r>
        <w:rPr>
          <w:rFonts w:hint="eastAsia" w:ascii="仿宋_GB2312" w:hAnsi="仿宋" w:eastAsia="仿宋_GB2312"/>
          <w:color w:val="auto"/>
          <w:sz w:val="32"/>
          <w:szCs w:val="32"/>
          <w:highlight w:val="none"/>
          <w:lang w:val="en-US" w:eastAsia="zh-CN"/>
        </w:rPr>
        <w:t>45,399.68</w:t>
      </w:r>
      <w:r>
        <w:rPr>
          <w:rFonts w:hint="eastAsia" w:ascii="仿宋_GB2312" w:hAnsi="仿宋" w:eastAsia="仿宋_GB2312" w:cs="Times New Roman"/>
          <w:color w:val="auto"/>
          <w:sz w:val="32"/>
          <w:szCs w:val="32"/>
          <w:highlight w:val="none"/>
        </w:rPr>
        <w:t>万元。</w:t>
      </w:r>
    </w:p>
    <w:p w14:paraId="1F6A92FC">
      <w:pPr>
        <w:adjustRightInd w:val="0"/>
        <w:snapToGrid w:val="0"/>
        <w:spacing w:line="600" w:lineRule="exact"/>
        <w:ind w:firstLine="640" w:firstLineChars="200"/>
        <w:rPr>
          <w:rFonts w:ascii="仿宋_GB2312" w:hAnsi="仿宋" w:eastAsia="仿宋_GB2312" w:cs="Times New Roman"/>
          <w:color w:val="auto"/>
          <w:sz w:val="32"/>
          <w:szCs w:val="32"/>
          <w:highlight w:val="none"/>
        </w:rPr>
      </w:pPr>
      <w:r>
        <w:rPr>
          <w:rFonts w:hint="eastAsia" w:ascii="仿宋_GB2312" w:hAnsi="仿宋" w:eastAsia="仿宋_GB2312" w:cs="Times New Roman"/>
          <w:color w:val="auto"/>
          <w:sz w:val="32"/>
          <w:szCs w:val="32"/>
          <w:highlight w:val="none"/>
        </w:rPr>
        <w:t>（一）</w:t>
      </w:r>
      <w:r>
        <w:rPr>
          <w:rFonts w:hint="eastAsia" w:ascii="仿宋_GB2312" w:hAnsi="仿宋" w:eastAsia="仿宋_GB2312" w:cs="Times New Roman"/>
          <w:color w:val="auto"/>
          <w:sz w:val="32"/>
          <w:szCs w:val="32"/>
          <w:highlight w:val="none"/>
        </w:rPr>
        <w:t>本年收入</w:t>
      </w:r>
      <w:r>
        <w:rPr>
          <w:rFonts w:hint="eastAsia" w:ascii="仿宋_GB2312" w:hAnsi="仿宋" w:eastAsia="仿宋_GB2312"/>
          <w:color w:val="auto"/>
          <w:sz w:val="32"/>
          <w:szCs w:val="32"/>
          <w:highlight w:val="none"/>
          <w:lang w:val="en-US" w:eastAsia="zh-CN"/>
        </w:rPr>
        <w:t>45,399.68</w:t>
      </w:r>
      <w:r>
        <w:rPr>
          <w:rFonts w:hint="eastAsia" w:ascii="仿宋_GB2312" w:hAnsi="仿宋" w:eastAsia="仿宋_GB2312" w:cs="Times New Roman"/>
          <w:color w:val="auto"/>
          <w:sz w:val="32"/>
          <w:szCs w:val="32"/>
          <w:highlight w:val="none"/>
        </w:rPr>
        <w:t>万元，主要包括：一般公共预算拨款收入</w:t>
      </w:r>
      <w:r>
        <w:rPr>
          <w:rFonts w:hint="eastAsia" w:ascii="仿宋_GB2312" w:hAnsi="仿宋" w:eastAsia="仿宋_GB2312"/>
          <w:color w:val="auto"/>
          <w:sz w:val="32"/>
          <w:szCs w:val="32"/>
          <w:highlight w:val="none"/>
          <w:lang w:val="en-US" w:eastAsia="zh-CN"/>
        </w:rPr>
        <w:t>29,574.30</w:t>
      </w:r>
      <w:r>
        <w:rPr>
          <w:rFonts w:hint="eastAsia" w:ascii="仿宋_GB2312" w:hAnsi="仿宋" w:eastAsia="仿宋_GB2312" w:cs="Times New Roman"/>
          <w:color w:val="auto"/>
          <w:sz w:val="32"/>
          <w:szCs w:val="32"/>
          <w:highlight w:val="none"/>
        </w:rPr>
        <w:t>万元，占</w:t>
      </w:r>
      <w:r>
        <w:rPr>
          <w:rFonts w:hint="eastAsia" w:ascii="仿宋_GB2312" w:hAnsi="仿宋" w:eastAsia="仿宋_GB2312"/>
          <w:color w:val="auto"/>
          <w:sz w:val="32"/>
          <w:szCs w:val="32"/>
          <w:highlight w:val="none"/>
          <w:lang w:val="en-US" w:eastAsia="zh-CN"/>
        </w:rPr>
        <w:t>65.14</w:t>
      </w:r>
      <w:r>
        <w:rPr>
          <w:rFonts w:hint="eastAsia" w:ascii="仿宋_GB2312" w:hAnsi="仿宋" w:eastAsia="仿宋_GB2312" w:cs="Times New Roman"/>
          <w:color w:val="auto"/>
          <w:sz w:val="32"/>
          <w:szCs w:val="32"/>
          <w:highlight w:val="none"/>
        </w:rPr>
        <w:t>%，比</w:t>
      </w:r>
      <w:r>
        <w:rPr>
          <w:rFonts w:hint="eastAsia" w:ascii="仿宋_GB2312" w:hAnsi="仿宋" w:eastAsia="仿宋_GB2312" w:cs="Times New Roman"/>
          <w:color w:val="auto"/>
          <w:sz w:val="32"/>
          <w:szCs w:val="32"/>
          <w:highlight w:val="none"/>
          <w:lang w:eastAsia="zh-CN"/>
        </w:rPr>
        <w:t>2022年</w:t>
      </w:r>
      <w:r>
        <w:rPr>
          <w:rFonts w:hint="eastAsia" w:ascii="仿宋_GB2312" w:hAnsi="仿宋" w:eastAsia="仿宋_GB2312"/>
          <w:color w:val="auto"/>
          <w:sz w:val="32"/>
          <w:szCs w:val="32"/>
          <w:highlight w:val="none"/>
        </w:rPr>
        <w:t>预算</w:t>
      </w:r>
      <w:r>
        <w:rPr>
          <w:rFonts w:hint="eastAsia" w:ascii="仿宋_GB2312" w:hAnsi="仿宋" w:eastAsia="仿宋_GB2312"/>
          <w:color w:val="auto"/>
          <w:sz w:val="32"/>
          <w:szCs w:val="32"/>
          <w:highlight w:val="none"/>
          <w:lang w:eastAsia="zh-CN"/>
        </w:rPr>
        <w:t>增加</w:t>
      </w:r>
      <w:r>
        <w:rPr>
          <w:rFonts w:hint="eastAsia" w:ascii="仿宋_GB2312" w:hAnsi="仿宋" w:eastAsia="仿宋_GB2312"/>
          <w:color w:val="auto"/>
          <w:sz w:val="32"/>
          <w:szCs w:val="32"/>
          <w:highlight w:val="none"/>
          <w:lang w:val="en-US" w:eastAsia="zh-CN"/>
        </w:rPr>
        <w:t>847.99</w:t>
      </w:r>
      <w:r>
        <w:rPr>
          <w:rFonts w:hint="eastAsia" w:ascii="仿宋_GB2312" w:hAnsi="仿宋" w:eastAsia="仿宋_GB2312" w:cs="Times New Roman"/>
          <w:color w:val="auto"/>
          <w:sz w:val="32"/>
          <w:szCs w:val="32"/>
          <w:highlight w:val="none"/>
        </w:rPr>
        <w:t>万元</w:t>
      </w:r>
      <w:r>
        <w:rPr>
          <w:rFonts w:hint="eastAsia" w:ascii="仿宋_GB2312" w:hAnsi="仿宋" w:eastAsia="仿宋_GB2312" w:cs="Times New Roman"/>
          <w:color w:val="auto"/>
          <w:sz w:val="32"/>
          <w:szCs w:val="32"/>
          <w:highlight w:val="none"/>
        </w:rPr>
        <w:t>，</w:t>
      </w:r>
      <w:r>
        <w:rPr>
          <w:rFonts w:hint="eastAsia" w:ascii="仿宋_GB2312" w:hAnsi="仿宋" w:eastAsia="仿宋_GB2312" w:cs="Times New Roman"/>
          <w:color w:val="auto"/>
          <w:sz w:val="32"/>
          <w:szCs w:val="32"/>
          <w:highlight w:val="none"/>
          <w:lang w:eastAsia="zh-CN"/>
        </w:rPr>
        <w:t>增加</w:t>
      </w:r>
      <w:r>
        <w:rPr>
          <w:rFonts w:hint="eastAsia" w:ascii="仿宋_GB2312" w:hAnsi="仿宋" w:eastAsia="仿宋_GB2312" w:cs="Times New Roman"/>
          <w:color w:val="auto"/>
          <w:sz w:val="32"/>
          <w:szCs w:val="32"/>
          <w:highlight w:val="none"/>
        </w:rPr>
        <w:t>原因主要是</w:t>
      </w:r>
      <w:r>
        <w:rPr>
          <w:rFonts w:hint="eastAsia" w:ascii="仿宋_GB2312" w:hAnsi="仿宋" w:eastAsia="仿宋_GB2312" w:cs="Times New Roman"/>
          <w:color w:val="auto"/>
          <w:sz w:val="32"/>
          <w:szCs w:val="32"/>
          <w:highlight w:val="none"/>
          <w:lang w:val="en-US" w:eastAsia="zh-CN"/>
        </w:rPr>
        <w:t>人员经费收入增加及新冠防控经费增加。</w:t>
      </w:r>
      <w:r>
        <w:rPr>
          <w:rFonts w:hint="eastAsia" w:ascii="仿宋_GB2312" w:hAnsi="仿宋" w:eastAsia="仿宋_GB2312" w:cs="Times New Roman"/>
          <w:color w:val="auto"/>
          <w:sz w:val="32"/>
          <w:szCs w:val="32"/>
          <w:highlight w:val="none"/>
        </w:rPr>
        <w:t>政府性基金预算拨款收入</w:t>
      </w:r>
      <w:r>
        <w:rPr>
          <w:rFonts w:hint="eastAsia" w:ascii="仿宋_GB2312" w:hAnsi="仿宋" w:eastAsia="仿宋_GB2312"/>
          <w:color w:val="auto"/>
          <w:sz w:val="32"/>
          <w:szCs w:val="32"/>
          <w:highlight w:val="none"/>
        </w:rPr>
        <w:t>100</w:t>
      </w:r>
      <w:r>
        <w:rPr>
          <w:rFonts w:hint="eastAsia" w:ascii="仿宋_GB2312" w:hAnsi="仿宋" w:eastAsia="仿宋_GB2312" w:cs="Times New Roman"/>
          <w:color w:val="auto"/>
          <w:sz w:val="32"/>
          <w:szCs w:val="32"/>
          <w:highlight w:val="none"/>
        </w:rPr>
        <w:t>万元，占</w:t>
      </w:r>
      <w:r>
        <w:rPr>
          <w:rFonts w:hint="eastAsia" w:ascii="仿宋_GB2312" w:hAnsi="仿宋" w:eastAsia="仿宋_GB2312"/>
          <w:color w:val="auto"/>
          <w:sz w:val="32"/>
          <w:szCs w:val="32"/>
          <w:highlight w:val="none"/>
          <w:lang w:val="en-US" w:eastAsia="zh-CN"/>
        </w:rPr>
        <w:t>0.02</w:t>
      </w:r>
      <w:r>
        <w:rPr>
          <w:rFonts w:hint="eastAsia" w:ascii="仿宋_GB2312" w:hAnsi="仿宋" w:eastAsia="仿宋_GB2312" w:cs="Times New Roman"/>
          <w:color w:val="auto"/>
          <w:sz w:val="32"/>
          <w:szCs w:val="32"/>
          <w:highlight w:val="none"/>
        </w:rPr>
        <w:t>%，</w:t>
      </w:r>
      <w:r>
        <w:rPr>
          <w:rFonts w:hint="eastAsia" w:ascii="仿宋_GB2312" w:hAnsi="仿宋" w:eastAsia="仿宋_GB2312"/>
          <w:color w:val="auto"/>
          <w:sz w:val="32"/>
          <w:szCs w:val="32"/>
          <w:highlight w:val="none"/>
        </w:rPr>
        <w:t>与</w:t>
      </w:r>
      <w:r>
        <w:rPr>
          <w:rFonts w:hint="eastAsia" w:ascii="仿宋_GB2312" w:hAnsi="仿宋" w:eastAsia="仿宋_GB2312" w:cs="Times New Roman"/>
          <w:color w:val="auto"/>
          <w:sz w:val="32"/>
          <w:szCs w:val="32"/>
          <w:highlight w:val="none"/>
          <w:lang w:eastAsia="zh-CN"/>
        </w:rPr>
        <w:t>2022年</w:t>
      </w:r>
      <w:r>
        <w:rPr>
          <w:rFonts w:hint="eastAsia" w:ascii="仿宋_GB2312" w:hAnsi="仿宋" w:eastAsia="仿宋_GB2312" w:cs="Times New Roman"/>
          <w:color w:val="auto"/>
          <w:sz w:val="32"/>
          <w:szCs w:val="32"/>
          <w:highlight w:val="none"/>
        </w:rPr>
        <w:t>预算</w:t>
      </w:r>
      <w:r>
        <w:rPr>
          <w:rFonts w:hint="eastAsia" w:ascii="仿宋_GB2312" w:hAnsi="仿宋" w:eastAsia="仿宋_GB2312"/>
          <w:color w:val="auto"/>
          <w:sz w:val="32"/>
          <w:szCs w:val="32"/>
          <w:highlight w:val="none"/>
        </w:rPr>
        <w:t>持平</w:t>
      </w:r>
      <w:r>
        <w:rPr>
          <w:rFonts w:hint="eastAsia" w:ascii="仿宋_GB2312" w:hAnsi="仿宋" w:eastAsia="仿宋_GB2312" w:cs="Times New Roman"/>
          <w:color w:val="auto"/>
          <w:sz w:val="32"/>
          <w:szCs w:val="32"/>
          <w:highlight w:val="none"/>
        </w:rPr>
        <w:t>；</w:t>
      </w:r>
      <w:r>
        <w:rPr>
          <w:rFonts w:hint="eastAsia" w:ascii="仿宋_GB2312" w:hAnsi="仿宋" w:eastAsia="仿宋_GB2312"/>
          <w:color w:val="auto"/>
          <w:sz w:val="32"/>
          <w:szCs w:val="32"/>
          <w:highlight w:val="none"/>
        </w:rPr>
        <w:t>单位</w:t>
      </w:r>
      <w:r>
        <w:rPr>
          <w:rFonts w:hint="eastAsia" w:ascii="仿宋_GB2312" w:hAnsi="仿宋" w:eastAsia="仿宋_GB2312" w:cs="Times New Roman"/>
          <w:color w:val="auto"/>
          <w:sz w:val="32"/>
          <w:szCs w:val="32"/>
          <w:highlight w:val="none"/>
        </w:rPr>
        <w:t>资金收入</w:t>
      </w:r>
      <w:r>
        <w:rPr>
          <w:rFonts w:hint="eastAsia" w:ascii="仿宋_GB2312" w:hAnsi="仿宋" w:eastAsia="仿宋_GB2312" w:cs="Times New Roman"/>
          <w:color w:val="auto"/>
          <w:sz w:val="32"/>
          <w:szCs w:val="32"/>
          <w:highlight w:val="none"/>
          <w:lang w:val="en-US" w:eastAsia="zh-CN"/>
        </w:rPr>
        <w:t>8225.39</w:t>
      </w:r>
      <w:r>
        <w:rPr>
          <w:rFonts w:hint="eastAsia" w:ascii="仿宋_GB2312" w:hAnsi="仿宋" w:eastAsia="仿宋_GB2312" w:cs="Times New Roman"/>
          <w:color w:val="auto"/>
          <w:sz w:val="32"/>
          <w:szCs w:val="32"/>
          <w:highlight w:val="none"/>
        </w:rPr>
        <w:t>万元，占</w:t>
      </w:r>
      <w:r>
        <w:rPr>
          <w:rFonts w:hint="eastAsia" w:ascii="仿宋_GB2312" w:hAnsi="仿宋" w:eastAsia="仿宋_GB2312"/>
          <w:color w:val="auto"/>
          <w:sz w:val="32"/>
          <w:szCs w:val="32"/>
          <w:highlight w:val="none"/>
          <w:lang w:val="en-US" w:eastAsia="zh-CN"/>
        </w:rPr>
        <w:t>18.25</w:t>
      </w:r>
      <w:r>
        <w:rPr>
          <w:rFonts w:hint="eastAsia" w:ascii="仿宋_GB2312" w:hAnsi="仿宋" w:eastAsia="仿宋_GB2312" w:cs="Times New Roman"/>
          <w:color w:val="auto"/>
          <w:sz w:val="32"/>
          <w:szCs w:val="32"/>
          <w:highlight w:val="none"/>
        </w:rPr>
        <w:t>%，比</w:t>
      </w:r>
      <w:r>
        <w:rPr>
          <w:rFonts w:hint="eastAsia" w:ascii="仿宋_GB2312" w:hAnsi="仿宋" w:eastAsia="仿宋_GB2312" w:cs="Times New Roman"/>
          <w:color w:val="auto"/>
          <w:sz w:val="32"/>
          <w:szCs w:val="32"/>
          <w:highlight w:val="none"/>
          <w:lang w:eastAsia="zh-CN"/>
        </w:rPr>
        <w:t>2022年</w:t>
      </w:r>
      <w:r>
        <w:rPr>
          <w:rFonts w:hint="eastAsia" w:ascii="仿宋_GB2312" w:hAnsi="仿宋" w:eastAsia="仿宋_GB2312" w:cs="Times New Roman"/>
          <w:color w:val="auto"/>
          <w:sz w:val="32"/>
          <w:szCs w:val="32"/>
          <w:highlight w:val="none"/>
        </w:rPr>
        <w:t>预算</w:t>
      </w:r>
      <w:r>
        <w:rPr>
          <w:rFonts w:hint="eastAsia" w:ascii="仿宋_GB2312" w:hAnsi="仿宋" w:eastAsia="仿宋_GB2312" w:cs="Times New Roman"/>
          <w:color w:val="auto"/>
          <w:sz w:val="32"/>
          <w:szCs w:val="32"/>
          <w:highlight w:val="none"/>
          <w:lang w:eastAsia="zh-CN"/>
        </w:rPr>
        <w:t>增加</w:t>
      </w:r>
      <w:r>
        <w:rPr>
          <w:rFonts w:hint="eastAsia" w:ascii="仿宋_GB2312" w:hAnsi="仿宋" w:eastAsia="仿宋_GB2312" w:cs="Times New Roman"/>
          <w:color w:val="auto"/>
          <w:sz w:val="32"/>
          <w:szCs w:val="32"/>
          <w:highlight w:val="none"/>
          <w:lang w:val="en-US" w:eastAsia="zh-CN"/>
        </w:rPr>
        <w:t>433.23</w:t>
      </w:r>
      <w:r>
        <w:rPr>
          <w:rFonts w:hint="eastAsia" w:ascii="仿宋_GB2312" w:hAnsi="仿宋" w:eastAsia="仿宋_GB2312" w:cs="Times New Roman"/>
          <w:color w:val="auto"/>
          <w:sz w:val="32"/>
          <w:szCs w:val="32"/>
          <w:highlight w:val="none"/>
        </w:rPr>
        <w:t>万元，</w:t>
      </w:r>
      <w:r>
        <w:rPr>
          <w:rFonts w:hint="eastAsia" w:ascii="仿宋_GB2312" w:hAnsi="仿宋" w:eastAsia="仿宋_GB2312" w:cs="Times New Roman"/>
          <w:color w:val="auto"/>
          <w:sz w:val="32"/>
          <w:szCs w:val="32"/>
          <w:highlight w:val="none"/>
          <w:lang w:eastAsia="zh-CN"/>
        </w:rPr>
        <w:t>增加</w:t>
      </w:r>
      <w:r>
        <w:rPr>
          <w:rFonts w:hint="eastAsia" w:ascii="仿宋_GB2312" w:hAnsi="仿宋" w:eastAsia="仿宋_GB2312" w:cs="Times New Roman"/>
          <w:color w:val="auto"/>
          <w:sz w:val="32"/>
          <w:szCs w:val="32"/>
          <w:highlight w:val="none"/>
        </w:rPr>
        <w:t>原因主要是</w:t>
      </w:r>
      <w:r>
        <w:rPr>
          <w:rFonts w:hint="eastAsia" w:ascii="仿宋_GB2312" w:hAnsi="仿宋" w:eastAsia="仿宋_GB2312"/>
          <w:color w:val="auto"/>
          <w:sz w:val="32"/>
          <w:szCs w:val="32"/>
          <w:highlight w:val="none"/>
        </w:rPr>
        <w:t>今年乡镇卫生院的预算由两家医共体管理，部分乡镇卫生院的收入没有列入预算管理一体化新系统</w:t>
      </w:r>
      <w:r>
        <w:rPr>
          <w:rFonts w:hint="eastAsia" w:ascii="仿宋_GB2312" w:hAnsi="仿宋" w:eastAsia="仿宋_GB2312" w:cs="Times New Roman"/>
          <w:color w:val="auto"/>
          <w:sz w:val="32"/>
          <w:szCs w:val="32"/>
          <w:highlight w:val="none"/>
        </w:rPr>
        <w:t>。</w:t>
      </w:r>
      <w:r>
        <w:rPr>
          <w:rFonts w:hint="eastAsia" w:ascii="仿宋_GB2312" w:hAnsi="仿宋" w:eastAsia="仿宋_GB2312" w:cs="Times New Roman"/>
          <w:color w:val="auto"/>
          <w:sz w:val="32"/>
          <w:szCs w:val="32"/>
          <w:highlight w:val="none"/>
          <w:lang w:eastAsia="zh-CN"/>
        </w:rPr>
        <w:t>其他收入</w:t>
      </w:r>
      <w:r>
        <w:rPr>
          <w:rFonts w:hint="eastAsia" w:ascii="仿宋_GB2312" w:hAnsi="仿宋" w:eastAsia="仿宋_GB2312" w:cs="Times New Roman"/>
          <w:color w:val="auto"/>
          <w:sz w:val="32"/>
          <w:szCs w:val="32"/>
          <w:highlight w:val="none"/>
          <w:lang w:val="en-US" w:eastAsia="zh-CN"/>
        </w:rPr>
        <w:t>7500万元,</w:t>
      </w:r>
      <w:r>
        <w:rPr>
          <w:rFonts w:hint="eastAsia" w:ascii="仿宋_GB2312" w:hAnsi="仿宋" w:eastAsia="仿宋_GB2312" w:cs="Times New Roman"/>
          <w:color w:val="auto"/>
          <w:sz w:val="32"/>
          <w:szCs w:val="32"/>
          <w:highlight w:val="none"/>
        </w:rPr>
        <w:t>比</w:t>
      </w:r>
      <w:r>
        <w:rPr>
          <w:rFonts w:hint="eastAsia" w:ascii="仿宋_GB2312" w:hAnsi="仿宋" w:eastAsia="仿宋_GB2312" w:cs="Times New Roman"/>
          <w:color w:val="auto"/>
          <w:sz w:val="32"/>
          <w:szCs w:val="32"/>
          <w:highlight w:val="none"/>
          <w:lang w:eastAsia="zh-CN"/>
        </w:rPr>
        <w:t>2022年</w:t>
      </w:r>
      <w:r>
        <w:rPr>
          <w:rFonts w:hint="eastAsia" w:ascii="仿宋_GB2312" w:hAnsi="仿宋" w:eastAsia="仿宋_GB2312"/>
          <w:color w:val="auto"/>
          <w:sz w:val="32"/>
          <w:szCs w:val="32"/>
          <w:highlight w:val="none"/>
        </w:rPr>
        <w:t>预算</w:t>
      </w:r>
      <w:r>
        <w:rPr>
          <w:rFonts w:hint="eastAsia" w:ascii="仿宋_GB2312" w:hAnsi="仿宋" w:eastAsia="仿宋_GB2312"/>
          <w:color w:val="auto"/>
          <w:sz w:val="32"/>
          <w:szCs w:val="32"/>
          <w:highlight w:val="none"/>
          <w:lang w:eastAsia="zh-CN"/>
        </w:rPr>
        <w:t>增加</w:t>
      </w:r>
      <w:r>
        <w:rPr>
          <w:rFonts w:hint="eastAsia" w:ascii="仿宋_GB2312" w:hAnsi="仿宋" w:eastAsia="仿宋_GB2312"/>
          <w:color w:val="auto"/>
          <w:sz w:val="32"/>
          <w:szCs w:val="32"/>
          <w:highlight w:val="none"/>
          <w:lang w:val="en-US" w:eastAsia="zh-CN"/>
        </w:rPr>
        <w:t>5700</w:t>
      </w:r>
      <w:r>
        <w:rPr>
          <w:rFonts w:hint="eastAsia" w:ascii="仿宋_GB2312" w:hAnsi="仿宋" w:eastAsia="仿宋_GB2312" w:cs="Times New Roman"/>
          <w:color w:val="auto"/>
          <w:sz w:val="32"/>
          <w:szCs w:val="32"/>
          <w:highlight w:val="none"/>
        </w:rPr>
        <w:t>万元</w:t>
      </w:r>
      <w:r>
        <w:rPr>
          <w:rFonts w:hint="eastAsia" w:ascii="仿宋_GB2312" w:hAnsi="仿宋" w:eastAsia="仿宋_GB2312" w:cs="Times New Roman"/>
          <w:color w:val="auto"/>
          <w:sz w:val="32"/>
          <w:szCs w:val="32"/>
          <w:highlight w:val="none"/>
          <w:lang w:val="en-US" w:eastAsia="zh-CN"/>
        </w:rPr>
        <w:t>,</w:t>
      </w:r>
      <w:r>
        <w:rPr>
          <w:rFonts w:hint="eastAsia" w:ascii="仿宋_GB2312" w:hAnsi="仿宋" w:eastAsia="仿宋_GB2312" w:cs="Times New Roman"/>
          <w:color w:val="auto"/>
          <w:sz w:val="32"/>
          <w:szCs w:val="32"/>
          <w:highlight w:val="none"/>
          <w:lang w:eastAsia="zh-CN"/>
        </w:rPr>
        <w:t>增加</w:t>
      </w:r>
      <w:r>
        <w:rPr>
          <w:rFonts w:hint="eastAsia" w:ascii="仿宋_GB2312" w:hAnsi="仿宋" w:eastAsia="仿宋_GB2312" w:cs="Times New Roman"/>
          <w:color w:val="auto"/>
          <w:sz w:val="32"/>
          <w:szCs w:val="32"/>
          <w:highlight w:val="none"/>
        </w:rPr>
        <w:t>原因主要是</w:t>
      </w:r>
      <w:r>
        <w:rPr>
          <w:rFonts w:hint="eastAsia" w:ascii="仿宋_GB2312" w:hAnsi="仿宋" w:eastAsia="仿宋_GB2312" w:cs="Times New Roman"/>
          <w:color w:val="auto"/>
          <w:sz w:val="32"/>
          <w:szCs w:val="32"/>
          <w:highlight w:val="none"/>
          <w:lang w:val="en-US" w:eastAsia="zh-CN"/>
        </w:rPr>
        <w:t>县妇幼保健院其他收入增加</w:t>
      </w:r>
      <w:r>
        <w:rPr>
          <w:rFonts w:hint="eastAsia" w:ascii="仿宋_GB2312" w:hAnsi="仿宋" w:eastAsia="仿宋_GB2312" w:cs="Times New Roman"/>
          <w:color w:val="auto"/>
          <w:sz w:val="32"/>
          <w:szCs w:val="32"/>
          <w:highlight w:val="none"/>
          <w:lang w:val="en-US" w:eastAsia="zh-CN"/>
        </w:rPr>
        <w:t>。</w:t>
      </w:r>
    </w:p>
    <w:p w14:paraId="4BA64986">
      <w:pPr>
        <w:adjustRightInd w:val="0"/>
        <w:snapToGrid w:val="0"/>
        <w:spacing w:line="600" w:lineRule="exact"/>
        <w:ind w:firstLine="640" w:firstLineChars="200"/>
        <w:rPr>
          <w:rFonts w:ascii="黑体" w:hAnsi="仿宋" w:eastAsia="黑体" w:cs="宋体"/>
          <w:color w:val="auto"/>
          <w:kern w:val="0"/>
          <w:sz w:val="32"/>
          <w:szCs w:val="32"/>
          <w:highlight w:val="none"/>
        </w:rPr>
      </w:pPr>
      <w:r>
        <w:rPr>
          <w:rFonts w:hint="eastAsia" w:ascii="黑体" w:hAnsi="仿宋" w:eastAsia="黑体" w:cs="宋体"/>
          <w:color w:val="auto"/>
          <w:kern w:val="0"/>
          <w:sz w:val="32"/>
          <w:szCs w:val="32"/>
          <w:highlight w:val="none"/>
        </w:rPr>
        <w:t>三、关于</w:t>
      </w:r>
      <w:r>
        <w:rPr>
          <w:rFonts w:hint="eastAsia" w:ascii="黑体" w:hAnsi="仿宋" w:eastAsia="黑体" w:cs="宋体"/>
          <w:color w:val="auto"/>
          <w:kern w:val="0"/>
          <w:sz w:val="32"/>
          <w:szCs w:val="32"/>
          <w:highlight w:val="none"/>
          <w:lang w:eastAsia="zh-CN"/>
        </w:rPr>
        <w:t>2023年</w:t>
      </w:r>
      <w:r>
        <w:rPr>
          <w:rFonts w:hint="eastAsia" w:ascii="黑体" w:hAnsi="仿宋" w:eastAsia="黑体" w:cs="宋体"/>
          <w:color w:val="auto"/>
          <w:kern w:val="0"/>
          <w:sz w:val="32"/>
          <w:szCs w:val="32"/>
          <w:highlight w:val="none"/>
        </w:rPr>
        <w:t>支出总表的说明</w:t>
      </w:r>
    </w:p>
    <w:p w14:paraId="2227E60E">
      <w:pPr>
        <w:adjustRightInd w:val="0"/>
        <w:snapToGrid w:val="0"/>
        <w:spacing w:line="600" w:lineRule="exact"/>
        <w:ind w:firstLine="640" w:firstLineChars="200"/>
        <w:rPr>
          <w:rFonts w:ascii="仿宋_GB2312" w:hAnsi="仿宋" w:eastAsia="仿宋_GB2312" w:cs="Times New Roman"/>
          <w:color w:val="auto"/>
          <w:sz w:val="32"/>
          <w:szCs w:val="32"/>
          <w:highlight w:val="none"/>
        </w:rPr>
      </w:pPr>
      <w:r>
        <w:rPr>
          <w:rFonts w:hint="eastAsia" w:ascii="仿宋_GB2312" w:hAnsi="仿宋" w:eastAsia="仿宋_GB2312" w:cs="Times New Roman"/>
          <w:color w:val="auto"/>
          <w:sz w:val="32"/>
          <w:szCs w:val="32"/>
          <w:highlight w:val="none"/>
        </w:rPr>
        <w:t>濉溪县</w:t>
      </w:r>
      <w:r>
        <w:rPr>
          <w:rFonts w:hint="eastAsia" w:ascii="仿宋_GB2312" w:hAnsi="仿宋" w:eastAsia="仿宋_GB2312"/>
          <w:color w:val="auto"/>
          <w:sz w:val="32"/>
          <w:szCs w:val="32"/>
          <w:highlight w:val="none"/>
        </w:rPr>
        <w:t>卫健委</w:t>
      </w:r>
      <w:r>
        <w:rPr>
          <w:rFonts w:hint="eastAsia" w:ascii="仿宋_GB2312" w:hAnsi="仿宋" w:eastAsia="仿宋_GB2312" w:cs="Times New Roman"/>
          <w:color w:val="auto"/>
          <w:sz w:val="32"/>
          <w:szCs w:val="32"/>
          <w:highlight w:val="none"/>
          <w:lang w:eastAsia="zh-CN"/>
        </w:rPr>
        <w:t>2023年</w:t>
      </w:r>
      <w:r>
        <w:rPr>
          <w:rFonts w:hint="eastAsia" w:ascii="仿宋_GB2312" w:hAnsi="仿宋" w:eastAsia="仿宋_GB2312" w:cs="Times New Roman"/>
          <w:color w:val="auto"/>
          <w:sz w:val="32"/>
          <w:szCs w:val="32"/>
          <w:highlight w:val="none"/>
        </w:rPr>
        <w:t>支出预算</w:t>
      </w:r>
      <w:r>
        <w:rPr>
          <w:rFonts w:hint="eastAsia" w:ascii="仿宋_GB2312" w:hAnsi="仿宋" w:eastAsia="仿宋_GB2312"/>
          <w:color w:val="auto"/>
          <w:sz w:val="32"/>
          <w:szCs w:val="32"/>
          <w:highlight w:val="none"/>
          <w:lang w:val="en-US" w:eastAsia="zh-CN"/>
        </w:rPr>
        <w:t>45057.37</w:t>
      </w:r>
      <w:r>
        <w:rPr>
          <w:rFonts w:hint="eastAsia" w:ascii="仿宋_GB2312" w:hAnsi="仿宋" w:eastAsia="仿宋_GB2312" w:cs="Times New Roman"/>
          <w:color w:val="auto"/>
          <w:sz w:val="32"/>
          <w:szCs w:val="32"/>
          <w:highlight w:val="none"/>
        </w:rPr>
        <w:t>万元，比</w:t>
      </w:r>
      <w:r>
        <w:rPr>
          <w:rFonts w:hint="eastAsia" w:ascii="仿宋_GB2312" w:hAnsi="仿宋" w:eastAsia="仿宋_GB2312" w:cs="Times New Roman"/>
          <w:color w:val="auto"/>
          <w:sz w:val="32"/>
          <w:szCs w:val="32"/>
          <w:highlight w:val="none"/>
          <w:lang w:eastAsia="zh-CN"/>
        </w:rPr>
        <w:t>2022年</w:t>
      </w:r>
      <w:r>
        <w:rPr>
          <w:rFonts w:hint="eastAsia" w:ascii="仿宋_GB2312" w:hAnsi="仿宋" w:eastAsia="仿宋_GB2312" w:cs="Times New Roman"/>
          <w:color w:val="auto"/>
          <w:sz w:val="32"/>
          <w:szCs w:val="32"/>
          <w:highlight w:val="none"/>
        </w:rPr>
        <w:t>预算</w:t>
      </w:r>
      <w:r>
        <w:rPr>
          <w:rFonts w:hint="eastAsia" w:ascii="仿宋_GB2312" w:hAnsi="仿宋" w:eastAsia="仿宋_GB2312" w:cs="Times New Roman"/>
          <w:color w:val="auto"/>
          <w:sz w:val="32"/>
          <w:szCs w:val="32"/>
          <w:highlight w:val="none"/>
          <w:lang w:eastAsia="zh-CN"/>
        </w:rPr>
        <w:t>增加</w:t>
      </w:r>
      <w:r>
        <w:rPr>
          <w:rFonts w:hint="eastAsia" w:ascii="仿宋_GB2312" w:hAnsi="仿宋" w:eastAsia="仿宋_GB2312" w:cs="Times New Roman"/>
          <w:color w:val="auto"/>
          <w:sz w:val="32"/>
          <w:szCs w:val="32"/>
          <w:highlight w:val="none"/>
          <w:lang w:val="en-US" w:eastAsia="zh-CN"/>
        </w:rPr>
        <w:t>10983.76</w:t>
      </w:r>
      <w:r>
        <w:rPr>
          <w:rFonts w:hint="eastAsia" w:ascii="仿宋_GB2312" w:hAnsi="仿宋" w:eastAsia="仿宋_GB2312" w:cs="Times New Roman"/>
          <w:color w:val="auto"/>
          <w:sz w:val="32"/>
          <w:szCs w:val="32"/>
          <w:highlight w:val="none"/>
        </w:rPr>
        <w:t>万元，</w:t>
      </w:r>
      <w:r>
        <w:rPr>
          <w:rFonts w:hint="eastAsia" w:ascii="仿宋_GB2312" w:hAnsi="仿宋" w:eastAsia="仿宋_GB2312" w:cs="Times New Roman"/>
          <w:color w:val="auto"/>
          <w:sz w:val="32"/>
          <w:szCs w:val="32"/>
          <w:highlight w:val="none"/>
          <w:lang w:eastAsia="zh-CN"/>
        </w:rPr>
        <w:t>增加</w:t>
      </w:r>
      <w:r>
        <w:rPr>
          <w:rFonts w:hint="eastAsia" w:ascii="仿宋_GB2312" w:hAnsi="仿宋" w:eastAsia="仿宋_GB2312" w:cs="Times New Roman"/>
          <w:color w:val="auto"/>
          <w:sz w:val="32"/>
          <w:szCs w:val="32"/>
          <w:highlight w:val="none"/>
          <w:lang w:val="en-US" w:eastAsia="zh-CN"/>
        </w:rPr>
        <w:t>32%，</w:t>
      </w:r>
      <w:r>
        <w:rPr>
          <w:rFonts w:hint="eastAsia" w:ascii="仿宋_GB2312" w:hAnsi="仿宋" w:eastAsia="仿宋_GB2312" w:cs="Times New Roman"/>
          <w:color w:val="auto"/>
          <w:sz w:val="32"/>
          <w:szCs w:val="32"/>
          <w:highlight w:val="none"/>
        </w:rPr>
        <w:t>原因主要是</w:t>
      </w:r>
      <w:r>
        <w:rPr>
          <w:rFonts w:hint="eastAsia" w:ascii="仿宋_GB2312" w:hAnsi="仿宋" w:eastAsia="仿宋_GB2312"/>
          <w:color w:val="auto"/>
          <w:sz w:val="32"/>
          <w:szCs w:val="32"/>
          <w:highlight w:val="none"/>
          <w:lang w:eastAsia="zh-CN"/>
        </w:rPr>
        <w:t>人员调资经费支出增加，妇幼保健院搬迁办公设备采购支出增加</w:t>
      </w:r>
      <w:r>
        <w:rPr>
          <w:rFonts w:hint="eastAsia" w:ascii="仿宋_GB2312" w:hAnsi="仿宋" w:eastAsia="仿宋_GB2312" w:cs="Times New Roman"/>
          <w:color w:val="auto"/>
          <w:sz w:val="32"/>
          <w:szCs w:val="32"/>
          <w:highlight w:val="none"/>
        </w:rPr>
        <w:t>。其中，基本支出</w:t>
      </w:r>
      <w:r>
        <w:rPr>
          <w:rFonts w:hint="eastAsia" w:ascii="仿宋_GB2312" w:hAnsi="仿宋" w:eastAsia="仿宋_GB2312" w:cs="Times New Roman"/>
          <w:color w:val="auto"/>
          <w:sz w:val="32"/>
          <w:szCs w:val="32"/>
          <w:highlight w:val="none"/>
          <w:lang w:val="en-US" w:eastAsia="zh-CN"/>
        </w:rPr>
        <w:t>39144.16</w:t>
      </w:r>
      <w:r>
        <w:rPr>
          <w:rFonts w:hint="eastAsia" w:ascii="仿宋_GB2312" w:hAnsi="仿宋" w:eastAsia="仿宋_GB2312" w:cs="Times New Roman"/>
          <w:color w:val="auto"/>
          <w:sz w:val="32"/>
          <w:szCs w:val="32"/>
          <w:highlight w:val="none"/>
        </w:rPr>
        <w:t>万元，占</w:t>
      </w:r>
      <w:r>
        <w:rPr>
          <w:rFonts w:hint="eastAsia" w:ascii="仿宋_GB2312" w:hAnsi="仿宋" w:eastAsia="仿宋_GB2312" w:cs="Times New Roman"/>
          <w:color w:val="auto"/>
          <w:sz w:val="32"/>
          <w:szCs w:val="32"/>
          <w:highlight w:val="none"/>
          <w:lang w:val="en-US" w:eastAsia="zh-CN"/>
        </w:rPr>
        <w:t>86.87</w:t>
      </w:r>
      <w:r>
        <w:rPr>
          <w:rFonts w:hint="eastAsia" w:ascii="仿宋_GB2312" w:hAnsi="仿宋" w:eastAsia="仿宋_GB2312" w:cs="Times New Roman"/>
          <w:color w:val="auto"/>
          <w:sz w:val="32"/>
          <w:szCs w:val="32"/>
          <w:highlight w:val="none"/>
        </w:rPr>
        <w:t>%，主要用于保障机构日常运转、完成日常工作任务工资福利支出、商品和服务支出、对个人和家庭补助；项目支出</w:t>
      </w:r>
      <w:r>
        <w:rPr>
          <w:rFonts w:hint="eastAsia" w:ascii="仿宋_GB2312" w:hAnsi="仿宋" w:eastAsia="仿宋_GB2312" w:cs="Times New Roman"/>
          <w:color w:val="auto"/>
          <w:sz w:val="32"/>
          <w:szCs w:val="32"/>
          <w:highlight w:val="none"/>
          <w:lang w:val="en-US" w:eastAsia="zh-CN"/>
        </w:rPr>
        <w:t>5913.21</w:t>
      </w:r>
      <w:r>
        <w:rPr>
          <w:rFonts w:hint="eastAsia" w:ascii="仿宋_GB2312" w:hAnsi="仿宋" w:eastAsia="仿宋_GB2312" w:cs="Times New Roman"/>
          <w:color w:val="auto"/>
          <w:sz w:val="32"/>
          <w:szCs w:val="32"/>
          <w:highlight w:val="none"/>
        </w:rPr>
        <w:t>万元，占</w:t>
      </w:r>
      <w:r>
        <w:rPr>
          <w:rFonts w:hint="eastAsia" w:ascii="仿宋_GB2312" w:hAnsi="仿宋" w:eastAsia="仿宋_GB2312" w:cs="Times New Roman"/>
          <w:color w:val="auto"/>
          <w:sz w:val="32"/>
          <w:szCs w:val="32"/>
          <w:highlight w:val="none"/>
          <w:lang w:val="en-US" w:eastAsia="zh-CN"/>
        </w:rPr>
        <w:t>13.13</w:t>
      </w:r>
      <w:r>
        <w:rPr>
          <w:rFonts w:hint="eastAsia" w:ascii="仿宋_GB2312" w:hAnsi="仿宋" w:eastAsia="仿宋_GB2312" w:cs="Times New Roman"/>
          <w:color w:val="auto"/>
          <w:sz w:val="32"/>
          <w:szCs w:val="32"/>
          <w:highlight w:val="none"/>
        </w:rPr>
        <w:t>%，主要用于卫生健康管理事务、公共卫生、计划生育服务、公立医院、优抚对象医疗等支出。</w:t>
      </w:r>
    </w:p>
    <w:p w14:paraId="30EFBFD4">
      <w:pPr>
        <w:adjustRightInd w:val="0"/>
        <w:snapToGrid w:val="0"/>
        <w:spacing w:line="600" w:lineRule="exact"/>
        <w:ind w:firstLine="640" w:firstLineChars="200"/>
        <w:rPr>
          <w:rFonts w:ascii="黑体" w:hAnsi="仿宋" w:eastAsia="黑体" w:cs="宋体"/>
          <w:color w:val="auto"/>
          <w:kern w:val="0"/>
          <w:sz w:val="32"/>
          <w:szCs w:val="32"/>
          <w:highlight w:val="none"/>
        </w:rPr>
      </w:pPr>
      <w:r>
        <w:rPr>
          <w:rFonts w:hint="eastAsia" w:ascii="黑体" w:hAnsi="仿宋" w:eastAsia="黑体" w:cs="宋体"/>
          <w:color w:val="auto"/>
          <w:kern w:val="0"/>
          <w:sz w:val="32"/>
          <w:szCs w:val="32"/>
          <w:highlight w:val="none"/>
        </w:rPr>
        <w:t>四、关于</w:t>
      </w:r>
      <w:r>
        <w:rPr>
          <w:rFonts w:hint="eastAsia" w:ascii="黑体" w:hAnsi="仿宋" w:eastAsia="黑体" w:cs="宋体"/>
          <w:color w:val="auto"/>
          <w:kern w:val="0"/>
          <w:sz w:val="32"/>
          <w:szCs w:val="32"/>
          <w:highlight w:val="none"/>
          <w:lang w:eastAsia="zh-CN"/>
        </w:rPr>
        <w:t>2023年</w:t>
      </w:r>
      <w:r>
        <w:rPr>
          <w:rFonts w:hint="eastAsia" w:ascii="黑体" w:hAnsi="仿宋" w:eastAsia="黑体" w:cs="宋体"/>
          <w:color w:val="auto"/>
          <w:kern w:val="0"/>
          <w:sz w:val="32"/>
          <w:szCs w:val="32"/>
          <w:highlight w:val="none"/>
        </w:rPr>
        <w:t>财政拨款收支总表的说明</w:t>
      </w:r>
    </w:p>
    <w:p w14:paraId="1882F59B">
      <w:pPr>
        <w:pStyle w:val="2"/>
        <w:adjustRightInd w:val="0"/>
        <w:snapToGrid w:val="0"/>
        <w:spacing w:before="0" w:beforeAutospacing="0" w:after="0" w:afterAutospacing="0" w:line="600" w:lineRule="exact"/>
        <w:ind w:firstLine="640" w:firstLineChars="200"/>
        <w:rPr>
          <w:rFonts w:hint="eastAsia" w:ascii="仿宋_GB2312" w:hAnsi="仿宋" w:eastAsia="仿宋_GB2312" w:cs="Times New Roman"/>
          <w:color w:val="auto"/>
          <w:kern w:val="2"/>
          <w:sz w:val="32"/>
          <w:szCs w:val="32"/>
          <w:highlight w:val="none"/>
        </w:rPr>
      </w:pPr>
      <w:r>
        <w:rPr>
          <w:rFonts w:hint="eastAsia" w:ascii="仿宋_GB2312" w:hAnsi="仿宋" w:eastAsia="仿宋_GB2312" w:cs="Times New Roman"/>
          <w:color w:val="auto"/>
          <w:kern w:val="2"/>
          <w:sz w:val="32"/>
          <w:szCs w:val="32"/>
          <w:highlight w:val="none"/>
        </w:rPr>
        <w:t>濉溪县卫健委</w:t>
      </w:r>
      <w:r>
        <w:rPr>
          <w:rFonts w:hint="eastAsia" w:ascii="仿宋_GB2312" w:hAnsi="仿宋" w:eastAsia="仿宋_GB2312" w:cs="Times New Roman"/>
          <w:color w:val="auto"/>
          <w:kern w:val="2"/>
          <w:sz w:val="32"/>
          <w:szCs w:val="32"/>
          <w:highlight w:val="none"/>
          <w:lang w:eastAsia="zh-CN"/>
        </w:rPr>
        <w:t>2023年</w:t>
      </w:r>
      <w:r>
        <w:rPr>
          <w:rFonts w:hint="eastAsia" w:ascii="仿宋_GB2312" w:hAnsi="仿宋" w:eastAsia="仿宋_GB2312" w:cs="Times New Roman"/>
          <w:color w:val="auto"/>
          <w:kern w:val="2"/>
          <w:sz w:val="32"/>
          <w:szCs w:val="32"/>
          <w:highlight w:val="none"/>
        </w:rPr>
        <w:t>财政拨款收支预算</w:t>
      </w:r>
      <w:r>
        <w:rPr>
          <w:rFonts w:hint="eastAsia" w:ascii="仿宋_GB2312" w:hAnsi="仿宋" w:eastAsia="仿宋_GB2312" w:cs="Times New Roman"/>
          <w:color w:val="auto"/>
          <w:kern w:val="2"/>
          <w:sz w:val="32"/>
          <w:szCs w:val="32"/>
          <w:highlight w:val="none"/>
          <w:lang w:val="en-US" w:eastAsia="zh-CN"/>
        </w:rPr>
        <w:t>29674.3</w:t>
      </w:r>
      <w:r>
        <w:rPr>
          <w:rFonts w:hint="eastAsia" w:ascii="仿宋_GB2312" w:hAnsi="仿宋" w:eastAsia="仿宋_GB2312" w:cs="Times New Roman"/>
          <w:color w:val="auto"/>
          <w:kern w:val="2"/>
          <w:sz w:val="32"/>
          <w:szCs w:val="32"/>
          <w:highlight w:val="none"/>
        </w:rPr>
        <w:t>万元。收入按资金来源分为：一般公共预算拨款</w:t>
      </w:r>
      <w:r>
        <w:rPr>
          <w:rFonts w:hint="eastAsia" w:ascii="仿宋_GB2312" w:hAnsi="仿宋" w:eastAsia="仿宋_GB2312" w:cs="Times New Roman"/>
          <w:color w:val="auto"/>
          <w:kern w:val="2"/>
          <w:sz w:val="32"/>
          <w:szCs w:val="32"/>
          <w:highlight w:val="none"/>
          <w:lang w:val="en-US" w:eastAsia="zh-CN"/>
        </w:rPr>
        <w:t>29574.3</w:t>
      </w:r>
      <w:r>
        <w:rPr>
          <w:rFonts w:hint="eastAsia" w:ascii="仿宋_GB2312" w:hAnsi="仿宋" w:eastAsia="仿宋_GB2312" w:cs="Times New Roman"/>
          <w:color w:val="auto"/>
          <w:kern w:val="2"/>
          <w:sz w:val="32"/>
          <w:szCs w:val="32"/>
          <w:highlight w:val="none"/>
        </w:rPr>
        <w:t>万元、政府性基金预算拨款100万元；按资金年度分为：本年财政拨款收入</w:t>
      </w:r>
      <w:r>
        <w:rPr>
          <w:rFonts w:hint="eastAsia" w:ascii="仿宋_GB2312" w:hAnsi="仿宋" w:eastAsia="仿宋_GB2312" w:cs="Times New Roman"/>
          <w:color w:val="auto"/>
          <w:kern w:val="2"/>
          <w:sz w:val="32"/>
          <w:szCs w:val="32"/>
          <w:highlight w:val="none"/>
          <w:lang w:val="en-US" w:eastAsia="zh-CN"/>
        </w:rPr>
        <w:t>29674.3</w:t>
      </w:r>
      <w:r>
        <w:rPr>
          <w:rFonts w:hint="eastAsia" w:ascii="仿宋_GB2312" w:hAnsi="仿宋" w:eastAsia="仿宋_GB2312" w:cs="Times New Roman"/>
          <w:color w:val="auto"/>
          <w:kern w:val="2"/>
          <w:sz w:val="32"/>
          <w:szCs w:val="32"/>
          <w:highlight w:val="none"/>
        </w:rPr>
        <w:t>万元。支出按功能分类分为：社会保障和就业支出</w:t>
      </w:r>
      <w:r>
        <w:rPr>
          <w:rFonts w:hint="eastAsia" w:ascii="仿宋_GB2312" w:hAnsi="仿宋" w:eastAsia="仿宋_GB2312" w:cs="Times New Roman"/>
          <w:color w:val="auto"/>
          <w:kern w:val="2"/>
          <w:sz w:val="32"/>
          <w:szCs w:val="32"/>
          <w:highlight w:val="none"/>
          <w:lang w:val="en-US" w:eastAsia="zh-CN"/>
        </w:rPr>
        <w:t>4325.82</w:t>
      </w:r>
      <w:r>
        <w:rPr>
          <w:rFonts w:hint="eastAsia" w:ascii="仿宋_GB2312" w:hAnsi="仿宋" w:eastAsia="仿宋_GB2312" w:cs="Times New Roman"/>
          <w:color w:val="auto"/>
          <w:kern w:val="2"/>
          <w:sz w:val="32"/>
          <w:szCs w:val="32"/>
          <w:highlight w:val="none"/>
        </w:rPr>
        <w:t>万元，占</w:t>
      </w:r>
      <w:r>
        <w:rPr>
          <w:rFonts w:hint="eastAsia" w:ascii="仿宋_GB2312" w:hAnsi="仿宋" w:eastAsia="仿宋_GB2312" w:cs="Times New Roman"/>
          <w:color w:val="auto"/>
          <w:kern w:val="2"/>
          <w:sz w:val="32"/>
          <w:szCs w:val="32"/>
          <w:highlight w:val="none"/>
          <w:lang w:val="en-US" w:eastAsia="zh-CN"/>
        </w:rPr>
        <w:t>9.6</w:t>
      </w:r>
      <w:r>
        <w:rPr>
          <w:rFonts w:hint="eastAsia" w:ascii="仿宋_GB2312" w:hAnsi="仿宋" w:eastAsia="仿宋_GB2312" w:cs="Times New Roman"/>
          <w:color w:val="auto"/>
          <w:kern w:val="2"/>
          <w:sz w:val="32"/>
          <w:szCs w:val="32"/>
          <w:highlight w:val="none"/>
        </w:rPr>
        <w:t>%；卫生健康支出</w:t>
      </w:r>
      <w:r>
        <w:rPr>
          <w:rFonts w:hint="eastAsia" w:ascii="仿宋_GB2312" w:hAnsi="仿宋" w:eastAsia="仿宋_GB2312" w:cs="Times New Roman"/>
          <w:color w:val="auto"/>
          <w:kern w:val="2"/>
          <w:sz w:val="32"/>
          <w:szCs w:val="32"/>
          <w:highlight w:val="none"/>
          <w:lang w:val="en-US" w:eastAsia="zh-CN"/>
        </w:rPr>
        <w:t>22448.71</w:t>
      </w:r>
      <w:r>
        <w:rPr>
          <w:rFonts w:hint="eastAsia" w:ascii="仿宋_GB2312" w:hAnsi="仿宋" w:eastAsia="仿宋_GB2312" w:cs="Times New Roman"/>
          <w:color w:val="auto"/>
          <w:kern w:val="2"/>
          <w:sz w:val="32"/>
          <w:szCs w:val="32"/>
          <w:highlight w:val="none"/>
        </w:rPr>
        <w:t>万元，占</w:t>
      </w:r>
      <w:r>
        <w:rPr>
          <w:rFonts w:hint="eastAsia" w:ascii="仿宋_GB2312" w:hAnsi="仿宋" w:eastAsia="仿宋_GB2312" w:cs="Times New Roman"/>
          <w:color w:val="auto"/>
          <w:kern w:val="2"/>
          <w:sz w:val="32"/>
          <w:szCs w:val="32"/>
          <w:highlight w:val="none"/>
          <w:lang w:val="en-US" w:eastAsia="zh-CN"/>
        </w:rPr>
        <w:t>49.89</w:t>
      </w:r>
      <w:r>
        <w:rPr>
          <w:rFonts w:hint="eastAsia" w:ascii="仿宋_GB2312" w:hAnsi="仿宋" w:eastAsia="仿宋_GB2312" w:cs="Times New Roman"/>
          <w:color w:val="auto"/>
          <w:kern w:val="2"/>
          <w:sz w:val="32"/>
          <w:szCs w:val="32"/>
          <w:highlight w:val="none"/>
        </w:rPr>
        <w:t>%；住房保障支出</w:t>
      </w:r>
      <w:r>
        <w:rPr>
          <w:rFonts w:hint="eastAsia" w:ascii="仿宋_GB2312" w:hAnsi="仿宋" w:eastAsia="仿宋_GB2312" w:cs="Times New Roman"/>
          <w:color w:val="auto"/>
          <w:kern w:val="2"/>
          <w:sz w:val="32"/>
          <w:szCs w:val="32"/>
          <w:highlight w:val="none"/>
          <w:lang w:val="en-US" w:eastAsia="zh-CN"/>
        </w:rPr>
        <w:t>2457.45</w:t>
      </w:r>
      <w:r>
        <w:rPr>
          <w:rFonts w:hint="eastAsia" w:ascii="仿宋_GB2312" w:hAnsi="仿宋" w:eastAsia="仿宋_GB2312" w:cs="Times New Roman"/>
          <w:color w:val="auto"/>
          <w:kern w:val="2"/>
          <w:sz w:val="32"/>
          <w:szCs w:val="32"/>
          <w:highlight w:val="none"/>
        </w:rPr>
        <w:t>万元，占</w:t>
      </w:r>
      <w:r>
        <w:rPr>
          <w:rFonts w:hint="eastAsia" w:ascii="仿宋_GB2312" w:hAnsi="仿宋" w:eastAsia="仿宋_GB2312" w:cs="Times New Roman"/>
          <w:color w:val="auto"/>
          <w:kern w:val="2"/>
          <w:sz w:val="32"/>
          <w:szCs w:val="32"/>
          <w:highlight w:val="none"/>
          <w:lang w:val="en-US" w:eastAsia="zh-CN"/>
        </w:rPr>
        <w:t>5.45</w:t>
      </w:r>
      <w:r>
        <w:rPr>
          <w:rFonts w:hint="eastAsia" w:ascii="仿宋_GB2312" w:hAnsi="仿宋" w:eastAsia="仿宋_GB2312" w:cs="Times New Roman"/>
          <w:color w:val="auto"/>
          <w:kern w:val="2"/>
          <w:sz w:val="32"/>
          <w:szCs w:val="32"/>
          <w:highlight w:val="none"/>
        </w:rPr>
        <w:t>%；其他支出100万元，占</w:t>
      </w:r>
      <w:r>
        <w:rPr>
          <w:rFonts w:hint="eastAsia" w:ascii="仿宋_GB2312" w:hAnsi="仿宋" w:eastAsia="仿宋_GB2312" w:cs="Times New Roman"/>
          <w:color w:val="auto"/>
          <w:kern w:val="2"/>
          <w:sz w:val="32"/>
          <w:szCs w:val="32"/>
          <w:highlight w:val="none"/>
          <w:lang w:val="en-US" w:eastAsia="zh-CN"/>
        </w:rPr>
        <w:t>0.22</w:t>
      </w:r>
      <w:r>
        <w:rPr>
          <w:rFonts w:hint="eastAsia" w:ascii="仿宋_GB2312" w:hAnsi="仿宋" w:eastAsia="仿宋_GB2312" w:cs="Times New Roman"/>
          <w:color w:val="auto"/>
          <w:kern w:val="2"/>
          <w:sz w:val="32"/>
          <w:szCs w:val="32"/>
          <w:highlight w:val="none"/>
        </w:rPr>
        <w:t>%。</w:t>
      </w:r>
    </w:p>
    <w:p w14:paraId="359840E5">
      <w:pPr>
        <w:pStyle w:val="2"/>
        <w:adjustRightInd w:val="0"/>
        <w:snapToGrid w:val="0"/>
        <w:spacing w:before="0" w:beforeAutospacing="0" w:after="0" w:afterAutospacing="0" w:line="600" w:lineRule="exact"/>
        <w:ind w:firstLine="640" w:firstLineChars="200"/>
        <w:rPr>
          <w:rFonts w:ascii="黑体" w:hAnsi="仿宋" w:eastAsia="黑体"/>
          <w:color w:val="auto"/>
          <w:sz w:val="32"/>
          <w:szCs w:val="32"/>
          <w:highlight w:val="none"/>
        </w:rPr>
      </w:pPr>
      <w:r>
        <w:rPr>
          <w:rFonts w:hint="eastAsia" w:ascii="黑体" w:hAnsi="仿宋" w:eastAsia="黑体"/>
          <w:color w:val="auto"/>
          <w:sz w:val="32"/>
          <w:szCs w:val="32"/>
          <w:highlight w:val="none"/>
        </w:rPr>
        <w:t>五、关于</w:t>
      </w:r>
      <w:r>
        <w:rPr>
          <w:rFonts w:hint="eastAsia" w:ascii="黑体" w:hAnsi="仿宋" w:eastAsia="黑体"/>
          <w:color w:val="auto"/>
          <w:sz w:val="32"/>
          <w:szCs w:val="32"/>
          <w:highlight w:val="none"/>
          <w:lang w:eastAsia="zh-CN"/>
        </w:rPr>
        <w:t>2023年</w:t>
      </w:r>
      <w:r>
        <w:rPr>
          <w:rFonts w:hint="eastAsia" w:ascii="黑体" w:hAnsi="仿宋" w:eastAsia="黑体"/>
          <w:color w:val="auto"/>
          <w:sz w:val="32"/>
          <w:szCs w:val="32"/>
          <w:highlight w:val="none"/>
        </w:rPr>
        <w:t>一般公共预算支出表的说明</w:t>
      </w:r>
    </w:p>
    <w:p w14:paraId="1E6B1BCC">
      <w:pPr>
        <w:pStyle w:val="2"/>
        <w:adjustRightInd w:val="0"/>
        <w:snapToGrid w:val="0"/>
        <w:spacing w:before="0" w:beforeAutospacing="0" w:after="0" w:afterAutospacing="0" w:line="600" w:lineRule="exact"/>
        <w:ind w:firstLine="630" w:firstLineChars="196"/>
        <w:rPr>
          <w:rFonts w:ascii="楷体_GB2312" w:hAnsi="仿宋" w:eastAsia="楷体_GB2312" w:cs="Times New Roman"/>
          <w:b/>
          <w:color w:val="auto"/>
          <w:kern w:val="2"/>
          <w:sz w:val="32"/>
          <w:szCs w:val="32"/>
          <w:highlight w:val="none"/>
        </w:rPr>
      </w:pPr>
      <w:r>
        <w:rPr>
          <w:rFonts w:hint="eastAsia" w:ascii="楷体_GB2312" w:hAnsi="仿宋" w:eastAsia="楷体_GB2312" w:cs="Times New Roman"/>
          <w:b/>
          <w:color w:val="auto"/>
          <w:kern w:val="2"/>
          <w:sz w:val="32"/>
          <w:szCs w:val="32"/>
          <w:highlight w:val="none"/>
        </w:rPr>
        <w:t>（一）一般公共预算支出规模变化情况。</w:t>
      </w:r>
    </w:p>
    <w:p w14:paraId="0C733F91">
      <w:pPr>
        <w:pStyle w:val="2"/>
        <w:adjustRightInd w:val="0"/>
        <w:snapToGrid w:val="0"/>
        <w:spacing w:before="0" w:beforeAutospacing="0" w:after="0" w:afterAutospacing="0" w:line="600" w:lineRule="exact"/>
        <w:ind w:firstLine="627" w:firstLineChars="196"/>
        <w:rPr>
          <w:rFonts w:ascii="仿宋_GB2312" w:hAnsi="仿宋" w:eastAsia="仿宋_GB2312" w:cs="Times New Roman"/>
          <w:color w:val="auto"/>
          <w:kern w:val="2"/>
          <w:sz w:val="32"/>
          <w:szCs w:val="32"/>
          <w:highlight w:val="none"/>
        </w:rPr>
      </w:pPr>
      <w:r>
        <w:rPr>
          <w:rFonts w:hint="eastAsia" w:ascii="仿宋_GB2312" w:hAnsi="仿宋" w:eastAsia="仿宋_GB2312" w:cs="Times New Roman"/>
          <w:color w:val="auto"/>
          <w:kern w:val="2"/>
          <w:sz w:val="32"/>
          <w:szCs w:val="32"/>
          <w:highlight w:val="none"/>
        </w:rPr>
        <w:t>濉溪县卫健委</w:t>
      </w:r>
      <w:r>
        <w:rPr>
          <w:rFonts w:hint="eastAsia" w:ascii="仿宋_GB2312" w:hAnsi="仿宋" w:eastAsia="仿宋_GB2312" w:cs="Times New Roman"/>
          <w:color w:val="auto"/>
          <w:kern w:val="2"/>
          <w:sz w:val="32"/>
          <w:szCs w:val="32"/>
          <w:highlight w:val="none"/>
          <w:lang w:eastAsia="zh-CN"/>
        </w:rPr>
        <w:t>2023年</w:t>
      </w:r>
      <w:r>
        <w:rPr>
          <w:rFonts w:hint="eastAsia" w:ascii="仿宋_GB2312" w:hAnsi="仿宋" w:eastAsia="仿宋_GB2312" w:cs="Times New Roman"/>
          <w:color w:val="auto"/>
          <w:kern w:val="2"/>
          <w:sz w:val="32"/>
          <w:szCs w:val="32"/>
          <w:highlight w:val="none"/>
        </w:rPr>
        <w:t>一般公共预算支出</w:t>
      </w:r>
      <w:r>
        <w:rPr>
          <w:rFonts w:hint="eastAsia" w:ascii="仿宋_GB2312" w:hAnsi="仿宋" w:eastAsia="仿宋_GB2312" w:cs="Times New Roman"/>
          <w:color w:val="auto"/>
          <w:kern w:val="2"/>
          <w:sz w:val="32"/>
          <w:szCs w:val="32"/>
          <w:highlight w:val="none"/>
          <w:lang w:val="en-US" w:eastAsia="zh-CN"/>
        </w:rPr>
        <w:t>29231.98</w:t>
      </w:r>
      <w:r>
        <w:rPr>
          <w:rFonts w:hint="eastAsia" w:ascii="仿宋_GB2312" w:hAnsi="仿宋" w:eastAsia="仿宋_GB2312" w:cs="Times New Roman"/>
          <w:color w:val="auto"/>
          <w:kern w:val="2"/>
          <w:sz w:val="32"/>
          <w:szCs w:val="32"/>
          <w:highlight w:val="none"/>
        </w:rPr>
        <w:t>万元，比</w:t>
      </w:r>
      <w:r>
        <w:rPr>
          <w:rFonts w:hint="eastAsia" w:ascii="仿宋_GB2312" w:hAnsi="仿宋" w:eastAsia="仿宋_GB2312" w:cs="Times New Roman"/>
          <w:color w:val="auto"/>
          <w:kern w:val="2"/>
          <w:sz w:val="32"/>
          <w:szCs w:val="32"/>
          <w:highlight w:val="none"/>
          <w:lang w:eastAsia="zh-CN"/>
        </w:rPr>
        <w:t>2022年</w:t>
      </w:r>
      <w:r>
        <w:rPr>
          <w:rFonts w:hint="eastAsia" w:ascii="仿宋_GB2312" w:hAnsi="仿宋" w:eastAsia="仿宋_GB2312" w:cs="Times New Roman"/>
          <w:color w:val="auto"/>
          <w:kern w:val="2"/>
          <w:sz w:val="32"/>
          <w:szCs w:val="32"/>
          <w:highlight w:val="none"/>
        </w:rPr>
        <w:t>预算</w:t>
      </w:r>
      <w:r>
        <w:rPr>
          <w:rFonts w:hint="eastAsia" w:ascii="仿宋_GB2312" w:hAnsi="仿宋" w:eastAsia="仿宋_GB2312" w:cs="Times New Roman"/>
          <w:color w:val="auto"/>
          <w:kern w:val="2"/>
          <w:sz w:val="32"/>
          <w:szCs w:val="32"/>
          <w:highlight w:val="none"/>
          <w:lang w:eastAsia="zh-CN"/>
        </w:rPr>
        <w:t>增加</w:t>
      </w:r>
      <w:r>
        <w:rPr>
          <w:rFonts w:hint="eastAsia" w:ascii="仿宋_GB2312" w:hAnsi="仿宋" w:eastAsia="仿宋_GB2312" w:cs="Times New Roman"/>
          <w:color w:val="auto"/>
          <w:kern w:val="2"/>
          <w:sz w:val="32"/>
          <w:szCs w:val="32"/>
          <w:highlight w:val="none"/>
          <w:lang w:val="en-US" w:eastAsia="zh-CN"/>
        </w:rPr>
        <w:t>3050.53</w:t>
      </w:r>
      <w:r>
        <w:rPr>
          <w:rFonts w:hint="eastAsia" w:ascii="仿宋_GB2312" w:hAnsi="仿宋" w:eastAsia="仿宋_GB2312" w:cs="Times New Roman"/>
          <w:color w:val="auto"/>
          <w:kern w:val="2"/>
          <w:sz w:val="32"/>
          <w:szCs w:val="32"/>
          <w:highlight w:val="none"/>
        </w:rPr>
        <w:t>万元，</w:t>
      </w:r>
      <w:r>
        <w:rPr>
          <w:rFonts w:hint="eastAsia" w:ascii="仿宋_GB2312" w:hAnsi="仿宋" w:eastAsia="仿宋_GB2312" w:cs="Times New Roman"/>
          <w:color w:val="auto"/>
          <w:kern w:val="2"/>
          <w:sz w:val="32"/>
          <w:szCs w:val="32"/>
          <w:highlight w:val="none"/>
          <w:lang w:eastAsia="zh-CN"/>
        </w:rPr>
        <w:t>增加</w:t>
      </w:r>
      <w:r>
        <w:rPr>
          <w:rFonts w:hint="eastAsia" w:ascii="仿宋_GB2312" w:hAnsi="仿宋" w:eastAsia="仿宋_GB2312" w:cs="Times New Roman"/>
          <w:color w:val="auto"/>
          <w:kern w:val="2"/>
          <w:sz w:val="32"/>
          <w:szCs w:val="32"/>
          <w:highlight w:val="none"/>
          <w:lang w:val="en-US" w:eastAsia="zh-CN"/>
        </w:rPr>
        <w:t>11.65</w:t>
      </w:r>
      <w:r>
        <w:rPr>
          <w:rFonts w:hint="eastAsia" w:ascii="仿宋_GB2312" w:hAnsi="仿宋" w:eastAsia="仿宋_GB2312" w:cs="Times New Roman"/>
          <w:color w:val="auto"/>
          <w:kern w:val="2"/>
          <w:sz w:val="32"/>
          <w:szCs w:val="32"/>
          <w:highlight w:val="none"/>
        </w:rPr>
        <w:t>%，主要原因：一是</w:t>
      </w:r>
      <w:r>
        <w:rPr>
          <w:rFonts w:hint="eastAsia" w:ascii="仿宋_GB2312" w:hAnsi="仿宋" w:eastAsia="仿宋_GB2312"/>
          <w:color w:val="auto"/>
          <w:sz w:val="32"/>
          <w:szCs w:val="32"/>
          <w:highlight w:val="none"/>
          <w:lang w:eastAsia="zh-CN"/>
        </w:rPr>
        <w:t>人员调资经费支出增加，</w:t>
      </w:r>
      <w:r>
        <w:rPr>
          <w:rFonts w:hint="eastAsia" w:ascii="仿宋_GB2312" w:hAnsi="仿宋" w:eastAsia="仿宋_GB2312" w:cs="Times New Roman"/>
          <w:color w:val="auto"/>
          <w:kern w:val="2"/>
          <w:sz w:val="32"/>
          <w:szCs w:val="32"/>
          <w:highlight w:val="none"/>
          <w:lang w:eastAsia="zh-CN"/>
        </w:rPr>
        <w:t>二</w:t>
      </w:r>
      <w:r>
        <w:rPr>
          <w:rFonts w:hint="eastAsia" w:ascii="仿宋_GB2312" w:hAnsi="仿宋" w:eastAsia="仿宋_GB2312" w:cs="Times New Roman"/>
          <w:color w:val="auto"/>
          <w:kern w:val="2"/>
          <w:sz w:val="32"/>
          <w:szCs w:val="32"/>
          <w:highlight w:val="none"/>
        </w:rPr>
        <w:t>是</w:t>
      </w:r>
      <w:r>
        <w:rPr>
          <w:rFonts w:hint="eastAsia" w:ascii="仿宋_GB2312" w:hAnsi="仿宋" w:eastAsia="仿宋_GB2312"/>
          <w:color w:val="auto"/>
          <w:sz w:val="32"/>
          <w:szCs w:val="32"/>
          <w:highlight w:val="none"/>
          <w:lang w:eastAsia="zh-CN"/>
        </w:rPr>
        <w:t>妇幼保健院搬迁办公设备采购支出增加</w:t>
      </w:r>
      <w:r>
        <w:rPr>
          <w:rFonts w:hint="eastAsia" w:ascii="仿宋_GB2312" w:hAnsi="仿宋" w:eastAsia="仿宋_GB2312" w:cs="Times New Roman"/>
          <w:color w:val="auto"/>
          <w:sz w:val="32"/>
          <w:szCs w:val="32"/>
          <w:highlight w:val="none"/>
        </w:rPr>
        <w:t>。</w:t>
      </w:r>
    </w:p>
    <w:p w14:paraId="3809DD2D">
      <w:pPr>
        <w:pStyle w:val="2"/>
        <w:adjustRightInd w:val="0"/>
        <w:snapToGrid w:val="0"/>
        <w:spacing w:before="0" w:beforeAutospacing="0" w:after="0" w:afterAutospacing="0" w:line="600" w:lineRule="exact"/>
        <w:ind w:firstLine="630" w:firstLineChars="196"/>
        <w:rPr>
          <w:rFonts w:ascii="楷体_GB2312" w:hAnsi="仿宋" w:eastAsia="楷体_GB2312" w:cs="Times New Roman"/>
          <w:b/>
          <w:color w:val="auto"/>
          <w:kern w:val="2"/>
          <w:sz w:val="32"/>
          <w:szCs w:val="32"/>
          <w:highlight w:val="none"/>
        </w:rPr>
      </w:pPr>
      <w:r>
        <w:rPr>
          <w:rFonts w:hint="eastAsia" w:ascii="楷体_GB2312" w:hAnsi="仿宋" w:eastAsia="楷体_GB2312" w:cs="Times New Roman"/>
          <w:b/>
          <w:color w:val="auto"/>
          <w:kern w:val="2"/>
          <w:sz w:val="32"/>
          <w:szCs w:val="32"/>
          <w:highlight w:val="none"/>
        </w:rPr>
        <w:t>（二</w:t>
      </w:r>
      <w:r>
        <w:rPr>
          <w:rFonts w:ascii="楷体_GB2312" w:hAnsi="仿宋" w:eastAsia="楷体_GB2312" w:cs="Times New Roman"/>
          <w:b/>
          <w:color w:val="auto"/>
          <w:kern w:val="2"/>
          <w:sz w:val="32"/>
          <w:szCs w:val="32"/>
          <w:highlight w:val="none"/>
        </w:rPr>
        <w:t>）</w:t>
      </w:r>
      <w:r>
        <w:rPr>
          <w:rFonts w:hint="eastAsia" w:ascii="楷体_GB2312" w:hAnsi="仿宋" w:eastAsia="楷体_GB2312" w:cs="Times New Roman"/>
          <w:b/>
          <w:color w:val="auto"/>
          <w:kern w:val="2"/>
          <w:sz w:val="32"/>
          <w:szCs w:val="32"/>
          <w:highlight w:val="none"/>
        </w:rPr>
        <w:t>一般公共预算支出结构情况。</w:t>
      </w:r>
    </w:p>
    <w:p w14:paraId="5ACF7328">
      <w:pPr>
        <w:pStyle w:val="2"/>
        <w:adjustRightInd w:val="0"/>
        <w:snapToGrid w:val="0"/>
        <w:spacing w:before="0" w:beforeAutospacing="0" w:after="0" w:afterAutospacing="0" w:line="600" w:lineRule="exact"/>
        <w:ind w:firstLine="627" w:firstLineChars="196"/>
        <w:rPr>
          <w:rFonts w:ascii="仿宋_GB2312" w:hAnsi="仿宋" w:eastAsia="仿宋_GB2312" w:cs="Times New Roman"/>
          <w:color w:val="auto"/>
          <w:kern w:val="2"/>
          <w:sz w:val="32"/>
          <w:szCs w:val="32"/>
          <w:highlight w:val="none"/>
        </w:rPr>
      </w:pPr>
      <w:r>
        <w:rPr>
          <w:rFonts w:hint="eastAsia" w:ascii="仿宋_GB2312" w:hAnsi="仿宋" w:eastAsia="仿宋_GB2312" w:cs="Times New Roman"/>
          <w:color w:val="auto"/>
          <w:kern w:val="2"/>
          <w:sz w:val="32"/>
          <w:szCs w:val="32"/>
          <w:highlight w:val="none"/>
        </w:rPr>
        <w:t>社会保障和就业支出</w:t>
      </w:r>
      <w:r>
        <w:rPr>
          <w:rFonts w:hint="eastAsia" w:ascii="仿宋_GB2312" w:hAnsi="仿宋" w:eastAsia="仿宋_GB2312" w:cs="Times New Roman"/>
          <w:color w:val="auto"/>
          <w:kern w:val="2"/>
          <w:sz w:val="32"/>
          <w:szCs w:val="32"/>
          <w:highlight w:val="none"/>
          <w:lang w:val="en-US" w:eastAsia="zh-CN"/>
        </w:rPr>
        <w:t>4325.82</w:t>
      </w:r>
      <w:r>
        <w:rPr>
          <w:rFonts w:hint="eastAsia" w:ascii="仿宋_GB2312" w:hAnsi="仿宋" w:eastAsia="仿宋_GB2312" w:cs="Times New Roman"/>
          <w:color w:val="auto"/>
          <w:kern w:val="2"/>
          <w:sz w:val="32"/>
          <w:szCs w:val="32"/>
          <w:highlight w:val="none"/>
        </w:rPr>
        <w:t>7万元，占</w:t>
      </w:r>
      <w:r>
        <w:rPr>
          <w:rFonts w:hint="eastAsia" w:ascii="仿宋_GB2312" w:hAnsi="仿宋" w:eastAsia="仿宋_GB2312" w:cs="Times New Roman"/>
          <w:color w:val="auto"/>
          <w:kern w:val="2"/>
          <w:sz w:val="32"/>
          <w:szCs w:val="32"/>
          <w:highlight w:val="none"/>
          <w:lang w:val="en-US" w:eastAsia="zh-CN"/>
        </w:rPr>
        <w:t>14.79</w:t>
      </w:r>
      <w:r>
        <w:rPr>
          <w:rFonts w:hint="eastAsia" w:ascii="仿宋_GB2312" w:hAnsi="仿宋" w:eastAsia="仿宋_GB2312" w:cs="Times New Roman"/>
          <w:color w:val="auto"/>
          <w:kern w:val="2"/>
          <w:sz w:val="32"/>
          <w:szCs w:val="32"/>
          <w:highlight w:val="none"/>
        </w:rPr>
        <w:t>%；卫生健康支出</w:t>
      </w:r>
      <w:r>
        <w:rPr>
          <w:rFonts w:hint="eastAsia" w:ascii="仿宋_GB2312" w:hAnsi="仿宋" w:eastAsia="仿宋_GB2312" w:cs="Times New Roman"/>
          <w:color w:val="auto"/>
          <w:kern w:val="2"/>
          <w:sz w:val="32"/>
          <w:szCs w:val="32"/>
          <w:highlight w:val="none"/>
          <w:lang w:val="en-US" w:eastAsia="zh-CN"/>
        </w:rPr>
        <w:t>22448.71</w:t>
      </w:r>
      <w:r>
        <w:rPr>
          <w:rFonts w:hint="eastAsia" w:ascii="仿宋_GB2312" w:hAnsi="仿宋" w:eastAsia="仿宋_GB2312" w:cs="Times New Roman"/>
          <w:color w:val="auto"/>
          <w:kern w:val="2"/>
          <w:sz w:val="32"/>
          <w:szCs w:val="32"/>
          <w:highlight w:val="none"/>
        </w:rPr>
        <w:t>万元，占</w:t>
      </w:r>
      <w:r>
        <w:rPr>
          <w:rFonts w:hint="eastAsia" w:ascii="仿宋_GB2312" w:hAnsi="仿宋" w:eastAsia="仿宋_GB2312" w:cs="Times New Roman"/>
          <w:color w:val="auto"/>
          <w:kern w:val="2"/>
          <w:sz w:val="32"/>
          <w:szCs w:val="32"/>
          <w:highlight w:val="none"/>
          <w:lang w:val="en-US" w:eastAsia="zh-CN"/>
        </w:rPr>
        <w:t>76.79</w:t>
      </w:r>
      <w:r>
        <w:rPr>
          <w:rFonts w:hint="eastAsia" w:ascii="仿宋_GB2312" w:hAnsi="仿宋" w:eastAsia="仿宋_GB2312" w:cs="Times New Roman"/>
          <w:color w:val="auto"/>
          <w:kern w:val="2"/>
          <w:sz w:val="32"/>
          <w:szCs w:val="32"/>
          <w:highlight w:val="none"/>
        </w:rPr>
        <w:t>；住房保障支出</w:t>
      </w:r>
      <w:r>
        <w:rPr>
          <w:rFonts w:hint="eastAsia" w:ascii="仿宋_GB2312" w:hAnsi="仿宋" w:eastAsia="仿宋_GB2312" w:cs="Times New Roman"/>
          <w:color w:val="auto"/>
          <w:kern w:val="2"/>
          <w:sz w:val="32"/>
          <w:szCs w:val="32"/>
          <w:highlight w:val="none"/>
          <w:lang w:val="en-US" w:eastAsia="zh-CN"/>
        </w:rPr>
        <w:t>2457.45</w:t>
      </w:r>
      <w:r>
        <w:rPr>
          <w:rFonts w:hint="eastAsia" w:ascii="仿宋_GB2312" w:hAnsi="仿宋" w:eastAsia="仿宋_GB2312" w:cs="Times New Roman"/>
          <w:color w:val="auto"/>
          <w:kern w:val="2"/>
          <w:sz w:val="32"/>
          <w:szCs w:val="32"/>
          <w:highlight w:val="none"/>
        </w:rPr>
        <w:t>万元，占</w:t>
      </w:r>
      <w:r>
        <w:rPr>
          <w:rFonts w:hint="eastAsia" w:ascii="仿宋_GB2312" w:hAnsi="仿宋" w:eastAsia="仿宋_GB2312" w:cs="Times New Roman"/>
          <w:color w:val="auto"/>
          <w:kern w:val="2"/>
          <w:sz w:val="32"/>
          <w:szCs w:val="32"/>
          <w:highlight w:val="none"/>
          <w:lang w:val="en-US" w:eastAsia="zh-CN"/>
        </w:rPr>
        <w:t>8.4</w:t>
      </w:r>
      <w:r>
        <w:rPr>
          <w:rFonts w:hint="eastAsia" w:ascii="仿宋_GB2312" w:hAnsi="仿宋" w:eastAsia="仿宋_GB2312" w:cs="Times New Roman"/>
          <w:color w:val="auto"/>
          <w:kern w:val="2"/>
          <w:sz w:val="32"/>
          <w:szCs w:val="32"/>
          <w:highlight w:val="none"/>
        </w:rPr>
        <w:t>%；。</w:t>
      </w:r>
    </w:p>
    <w:p w14:paraId="11683ED3">
      <w:pPr>
        <w:adjustRightInd w:val="0"/>
        <w:snapToGrid w:val="0"/>
        <w:spacing w:line="600" w:lineRule="exact"/>
        <w:ind w:firstLine="643" w:firstLineChars="200"/>
        <w:rPr>
          <w:rFonts w:ascii="楷体_GB2312" w:hAnsi="仿宋" w:eastAsia="楷体_GB2312" w:cs="Times New Roman"/>
          <w:b/>
          <w:color w:val="auto"/>
          <w:sz w:val="32"/>
          <w:szCs w:val="32"/>
          <w:highlight w:val="none"/>
        </w:rPr>
      </w:pPr>
      <w:r>
        <w:rPr>
          <w:rFonts w:hint="eastAsia" w:ascii="楷体_GB2312" w:hAnsi="仿宋" w:eastAsia="楷体_GB2312" w:cs="Times New Roman"/>
          <w:b/>
          <w:color w:val="auto"/>
          <w:sz w:val="32"/>
          <w:szCs w:val="32"/>
          <w:highlight w:val="none"/>
        </w:rPr>
        <w:t>（三）一般公共预算支出具体使用情况。</w:t>
      </w:r>
    </w:p>
    <w:p w14:paraId="4E15BD01">
      <w:pPr>
        <w:widowControl/>
        <w:shd w:val="clear" w:color="auto" w:fill="FFFFFF"/>
        <w:spacing w:line="600" w:lineRule="atLeast"/>
        <w:ind w:firstLine="640"/>
        <w:rPr>
          <w:rFonts w:ascii="Times New Roman" w:hAnsi="Times New Roman" w:eastAsia="宋体" w:cs="Times New Roman"/>
          <w:color w:val="auto"/>
          <w:kern w:val="0"/>
          <w:szCs w:val="21"/>
          <w:highlight w:val="none"/>
        </w:rPr>
      </w:pPr>
      <w:r>
        <w:rPr>
          <w:rFonts w:hint="eastAsia" w:ascii="仿宋_GB2312" w:hAnsi="仿宋" w:eastAsia="仿宋_GB2312" w:cs="Times New Roman"/>
          <w:b/>
          <w:color w:val="auto"/>
          <w:sz w:val="32"/>
          <w:szCs w:val="32"/>
          <w:highlight w:val="none"/>
        </w:rPr>
        <w:t>1.社会保障和就业支出（类）行政事业单位养老支出（款）事业单位离退休（项）</w:t>
      </w:r>
      <w:r>
        <w:rPr>
          <w:rFonts w:hint="eastAsia" w:ascii="仿宋_GB2312" w:hAnsi="仿宋" w:eastAsia="仿宋_GB2312" w:cs="Times New Roman"/>
          <w:color w:val="auto"/>
          <w:sz w:val="32"/>
          <w:szCs w:val="32"/>
          <w:highlight w:val="none"/>
          <w:lang w:eastAsia="zh-CN"/>
        </w:rPr>
        <w:t>2023年</w:t>
      </w:r>
      <w:r>
        <w:rPr>
          <w:rFonts w:hint="eastAsia" w:ascii="仿宋_GB2312" w:hAnsi="仿宋" w:eastAsia="仿宋_GB2312" w:cs="Times New Roman"/>
          <w:color w:val="auto"/>
          <w:sz w:val="32"/>
          <w:szCs w:val="32"/>
          <w:highlight w:val="none"/>
        </w:rPr>
        <w:t>预算</w:t>
      </w:r>
      <w:r>
        <w:rPr>
          <w:rFonts w:hint="eastAsia" w:ascii="仿宋_GB2312" w:hAnsi="仿宋" w:eastAsia="仿宋_GB2312" w:cs="Times New Roman"/>
          <w:color w:val="auto"/>
          <w:sz w:val="32"/>
          <w:szCs w:val="32"/>
          <w:highlight w:val="none"/>
          <w:lang w:val="en-US" w:eastAsia="zh-CN"/>
        </w:rPr>
        <w:t>650.09</w:t>
      </w:r>
      <w:r>
        <w:rPr>
          <w:rFonts w:hint="eastAsia" w:ascii="仿宋_GB2312" w:hAnsi="仿宋" w:eastAsia="仿宋_GB2312" w:cs="Times New Roman"/>
          <w:color w:val="auto"/>
          <w:sz w:val="32"/>
          <w:szCs w:val="32"/>
          <w:highlight w:val="none"/>
        </w:rPr>
        <w:t>万元，比</w:t>
      </w:r>
      <w:r>
        <w:rPr>
          <w:rFonts w:hint="eastAsia" w:ascii="仿宋_GB2312" w:hAnsi="仿宋" w:eastAsia="仿宋_GB2312" w:cs="Times New Roman"/>
          <w:color w:val="auto"/>
          <w:sz w:val="32"/>
          <w:szCs w:val="32"/>
          <w:highlight w:val="none"/>
          <w:lang w:eastAsia="zh-CN"/>
        </w:rPr>
        <w:t>2022年</w:t>
      </w:r>
      <w:r>
        <w:rPr>
          <w:rFonts w:hint="eastAsia" w:ascii="仿宋_GB2312" w:hAnsi="仿宋" w:eastAsia="仿宋_GB2312" w:cs="Times New Roman"/>
          <w:color w:val="auto"/>
          <w:sz w:val="32"/>
          <w:szCs w:val="32"/>
          <w:highlight w:val="none"/>
        </w:rPr>
        <w:t>预算增加</w:t>
      </w:r>
      <w:r>
        <w:rPr>
          <w:rFonts w:hint="eastAsia" w:ascii="仿宋_GB2312" w:hAnsi="仿宋" w:eastAsia="仿宋_GB2312"/>
          <w:color w:val="auto"/>
          <w:sz w:val="32"/>
          <w:szCs w:val="32"/>
          <w:highlight w:val="none"/>
          <w:lang w:val="en-US" w:eastAsia="zh-CN"/>
        </w:rPr>
        <w:t>510.3</w:t>
      </w:r>
      <w:r>
        <w:rPr>
          <w:rFonts w:hint="eastAsia" w:ascii="仿宋_GB2312" w:hAnsi="仿宋" w:eastAsia="仿宋_GB2312" w:cs="Times New Roman"/>
          <w:color w:val="auto"/>
          <w:sz w:val="32"/>
          <w:szCs w:val="32"/>
          <w:highlight w:val="none"/>
        </w:rPr>
        <w:t>万元，增长</w:t>
      </w:r>
      <w:r>
        <w:rPr>
          <w:rFonts w:hint="eastAsia" w:ascii="仿宋_GB2312" w:hAnsi="仿宋" w:eastAsia="仿宋_GB2312" w:cs="Times New Roman"/>
          <w:color w:val="auto"/>
          <w:sz w:val="32"/>
          <w:szCs w:val="32"/>
          <w:highlight w:val="none"/>
          <w:lang w:val="en-US" w:eastAsia="zh-CN"/>
        </w:rPr>
        <w:t>365</w:t>
      </w:r>
      <w:r>
        <w:rPr>
          <w:rFonts w:hint="eastAsia" w:ascii="仿宋_GB2312" w:hAnsi="仿宋" w:eastAsia="仿宋_GB2312" w:cs="Times New Roman"/>
          <w:color w:val="auto"/>
          <w:sz w:val="32"/>
          <w:szCs w:val="32"/>
          <w:highlight w:val="none"/>
        </w:rPr>
        <w:t>%</w:t>
      </w:r>
      <w:r>
        <w:rPr>
          <w:rFonts w:hint="eastAsia" w:ascii="仿宋_GB2312" w:hAnsi="仿宋" w:eastAsia="仿宋_GB2312" w:cs="Times New Roman"/>
          <w:color w:val="auto"/>
          <w:sz w:val="32"/>
          <w:szCs w:val="32"/>
          <w:highlight w:val="none"/>
          <w:lang w:val="en-US" w:eastAsia="zh-CN"/>
        </w:rPr>
        <w:t>。</w:t>
      </w:r>
      <w:r>
        <w:rPr>
          <w:rFonts w:hint="eastAsia" w:ascii="仿宋_GB2312" w:hAnsi="仿宋" w:eastAsia="仿宋_GB2312" w:cs="Times New Roman"/>
          <w:color w:val="auto"/>
          <w:sz w:val="32"/>
          <w:szCs w:val="32"/>
          <w:highlight w:val="none"/>
        </w:rPr>
        <w:t>增长原因主要是</w:t>
      </w:r>
      <w:r>
        <w:rPr>
          <w:rFonts w:hint="eastAsia" w:ascii="仿宋_GB2312" w:hAnsi="仿宋" w:eastAsia="仿宋_GB2312" w:cs="Times New Roman"/>
          <w:color w:val="auto"/>
          <w:kern w:val="0"/>
          <w:sz w:val="32"/>
          <w:szCs w:val="32"/>
          <w:highlight w:val="none"/>
        </w:rPr>
        <w:t>人员</w:t>
      </w:r>
      <w:r>
        <w:rPr>
          <w:rFonts w:hint="eastAsia" w:ascii="仿宋_GB2312" w:hAnsi="仿宋" w:eastAsia="仿宋_GB2312" w:cs="Times New Roman"/>
          <w:color w:val="auto"/>
          <w:kern w:val="0"/>
          <w:sz w:val="32"/>
          <w:szCs w:val="32"/>
          <w:highlight w:val="none"/>
          <w:lang w:val="en-US" w:eastAsia="zh-CN"/>
        </w:rPr>
        <w:t>工资增加基数调整</w:t>
      </w:r>
      <w:r>
        <w:rPr>
          <w:rFonts w:hint="eastAsia" w:ascii="仿宋_GB2312" w:hAnsi="仿宋" w:eastAsia="仿宋_GB2312" w:cs="Times New Roman"/>
          <w:color w:val="auto"/>
          <w:kern w:val="0"/>
          <w:sz w:val="32"/>
          <w:szCs w:val="32"/>
          <w:highlight w:val="none"/>
        </w:rPr>
        <w:t>。</w:t>
      </w:r>
    </w:p>
    <w:p w14:paraId="5B16833B">
      <w:pPr>
        <w:widowControl/>
        <w:shd w:val="clear" w:color="auto" w:fill="FFFFFF"/>
        <w:spacing w:line="600" w:lineRule="atLeast"/>
        <w:ind w:firstLine="640"/>
        <w:rPr>
          <w:rFonts w:ascii="仿宋_GB2312" w:hAnsi="仿宋" w:eastAsia="仿宋_GB2312" w:cs="Times New Roman"/>
          <w:color w:val="auto"/>
          <w:sz w:val="32"/>
          <w:szCs w:val="32"/>
          <w:highlight w:val="none"/>
        </w:rPr>
      </w:pPr>
      <w:r>
        <w:rPr>
          <w:rFonts w:hint="eastAsia" w:ascii="仿宋_GB2312" w:hAnsi="仿宋" w:eastAsia="仿宋_GB2312" w:cs="Times New Roman"/>
          <w:b/>
          <w:color w:val="auto"/>
          <w:sz w:val="32"/>
          <w:szCs w:val="32"/>
          <w:highlight w:val="none"/>
        </w:rPr>
        <w:t>2.社会保障和就业支出（类）行政事业单位养老支出（款）机关事业单位基本养老保险缴费支出（项）</w:t>
      </w:r>
      <w:r>
        <w:rPr>
          <w:rFonts w:hint="eastAsia" w:ascii="仿宋_GB2312" w:hAnsi="仿宋" w:eastAsia="仿宋_GB2312" w:cs="Times New Roman"/>
          <w:color w:val="auto"/>
          <w:sz w:val="32"/>
          <w:szCs w:val="32"/>
          <w:highlight w:val="none"/>
          <w:lang w:eastAsia="zh-CN"/>
        </w:rPr>
        <w:t>2023年</w:t>
      </w:r>
      <w:r>
        <w:rPr>
          <w:rFonts w:hint="eastAsia" w:ascii="仿宋_GB2312" w:hAnsi="仿宋" w:eastAsia="仿宋_GB2312" w:cs="Times New Roman"/>
          <w:color w:val="auto"/>
          <w:sz w:val="32"/>
          <w:szCs w:val="32"/>
          <w:highlight w:val="none"/>
        </w:rPr>
        <w:t>预算</w:t>
      </w:r>
      <w:r>
        <w:rPr>
          <w:rFonts w:hint="eastAsia" w:ascii="仿宋_GB2312" w:hAnsi="仿宋" w:eastAsia="仿宋_GB2312" w:cs="Times New Roman"/>
          <w:color w:val="auto"/>
          <w:sz w:val="32"/>
          <w:szCs w:val="32"/>
          <w:highlight w:val="none"/>
          <w:lang w:val="en-US" w:eastAsia="zh-CN"/>
        </w:rPr>
        <w:t>2217.87</w:t>
      </w:r>
      <w:r>
        <w:rPr>
          <w:rFonts w:hint="eastAsia" w:ascii="仿宋_GB2312" w:hAnsi="仿宋" w:eastAsia="仿宋_GB2312" w:cs="Times New Roman"/>
          <w:color w:val="auto"/>
          <w:sz w:val="32"/>
          <w:szCs w:val="32"/>
          <w:highlight w:val="none"/>
        </w:rPr>
        <w:t>万元，比</w:t>
      </w:r>
      <w:r>
        <w:rPr>
          <w:rFonts w:hint="eastAsia" w:ascii="仿宋_GB2312" w:hAnsi="仿宋" w:eastAsia="仿宋_GB2312" w:cs="Times New Roman"/>
          <w:color w:val="auto"/>
          <w:sz w:val="32"/>
          <w:szCs w:val="32"/>
          <w:highlight w:val="none"/>
          <w:lang w:eastAsia="zh-CN"/>
        </w:rPr>
        <w:t>2022年</w:t>
      </w:r>
      <w:r>
        <w:rPr>
          <w:rFonts w:hint="eastAsia" w:ascii="仿宋_GB2312" w:hAnsi="仿宋" w:eastAsia="仿宋_GB2312" w:cs="Times New Roman"/>
          <w:color w:val="auto"/>
          <w:sz w:val="32"/>
          <w:szCs w:val="32"/>
          <w:highlight w:val="none"/>
        </w:rPr>
        <w:t>预算</w:t>
      </w:r>
      <w:r>
        <w:rPr>
          <w:rFonts w:hint="eastAsia" w:ascii="仿宋_GB2312" w:hAnsi="仿宋" w:eastAsia="仿宋_GB2312" w:cs="Times New Roman"/>
          <w:color w:val="auto"/>
          <w:sz w:val="32"/>
          <w:szCs w:val="32"/>
          <w:highlight w:val="none"/>
          <w:lang w:eastAsia="zh-CN"/>
        </w:rPr>
        <w:t>增加</w:t>
      </w:r>
      <w:r>
        <w:rPr>
          <w:rFonts w:hint="eastAsia" w:ascii="仿宋_GB2312" w:hAnsi="仿宋" w:eastAsia="仿宋_GB2312" w:cs="Times New Roman"/>
          <w:color w:val="auto"/>
          <w:sz w:val="32"/>
          <w:szCs w:val="32"/>
          <w:highlight w:val="none"/>
          <w:lang w:val="en-US" w:eastAsia="zh-CN"/>
        </w:rPr>
        <w:t>653.81</w:t>
      </w:r>
      <w:r>
        <w:rPr>
          <w:rFonts w:hint="eastAsia" w:ascii="仿宋_GB2312" w:hAnsi="仿宋" w:eastAsia="仿宋_GB2312" w:cs="Times New Roman"/>
          <w:color w:val="auto"/>
          <w:sz w:val="32"/>
          <w:szCs w:val="32"/>
          <w:highlight w:val="none"/>
        </w:rPr>
        <w:t>万元，</w:t>
      </w:r>
      <w:r>
        <w:rPr>
          <w:rFonts w:hint="eastAsia" w:ascii="仿宋_GB2312" w:hAnsi="仿宋" w:eastAsia="仿宋_GB2312" w:cs="Times New Roman"/>
          <w:color w:val="auto"/>
          <w:sz w:val="32"/>
          <w:szCs w:val="32"/>
          <w:highlight w:val="none"/>
          <w:lang w:eastAsia="zh-CN"/>
        </w:rPr>
        <w:t>增加</w:t>
      </w:r>
      <w:r>
        <w:rPr>
          <w:rFonts w:hint="eastAsia" w:ascii="仿宋_GB2312" w:hAnsi="仿宋" w:eastAsia="仿宋_GB2312" w:cs="Times New Roman"/>
          <w:color w:val="auto"/>
          <w:sz w:val="32"/>
          <w:szCs w:val="32"/>
          <w:highlight w:val="none"/>
          <w:lang w:val="en-US" w:eastAsia="zh-CN"/>
        </w:rPr>
        <w:t>41.80万元。增长原因是</w:t>
      </w:r>
      <w:r>
        <w:rPr>
          <w:rFonts w:hint="eastAsia" w:ascii="仿宋_GB2312" w:hAnsi="仿宋" w:eastAsia="仿宋_GB2312" w:cs="Times New Roman"/>
          <w:color w:val="auto"/>
          <w:sz w:val="32"/>
          <w:szCs w:val="32"/>
          <w:highlight w:val="none"/>
        </w:rPr>
        <w:t>主要是</w:t>
      </w:r>
      <w:r>
        <w:rPr>
          <w:rFonts w:hint="eastAsia" w:ascii="仿宋_GB2312" w:hAnsi="仿宋" w:eastAsia="仿宋_GB2312" w:cs="Times New Roman"/>
          <w:color w:val="auto"/>
          <w:kern w:val="0"/>
          <w:sz w:val="32"/>
          <w:szCs w:val="32"/>
          <w:highlight w:val="none"/>
        </w:rPr>
        <w:t>人员</w:t>
      </w:r>
      <w:r>
        <w:rPr>
          <w:rFonts w:hint="eastAsia" w:ascii="仿宋_GB2312" w:hAnsi="仿宋" w:eastAsia="仿宋_GB2312" w:cs="Times New Roman"/>
          <w:color w:val="auto"/>
          <w:kern w:val="0"/>
          <w:sz w:val="32"/>
          <w:szCs w:val="32"/>
          <w:highlight w:val="none"/>
          <w:lang w:val="en-US" w:eastAsia="zh-CN"/>
        </w:rPr>
        <w:t>工资增加基数调整</w:t>
      </w:r>
      <w:r>
        <w:rPr>
          <w:rFonts w:hint="eastAsia" w:ascii="仿宋_GB2312" w:hAnsi="仿宋" w:eastAsia="仿宋_GB2312" w:cs="Times New Roman"/>
          <w:color w:val="auto"/>
          <w:kern w:val="0"/>
          <w:sz w:val="32"/>
          <w:szCs w:val="32"/>
          <w:highlight w:val="none"/>
        </w:rPr>
        <w:t>。</w:t>
      </w:r>
    </w:p>
    <w:p w14:paraId="28FA118C">
      <w:pPr>
        <w:adjustRightInd w:val="0"/>
        <w:snapToGrid w:val="0"/>
        <w:spacing w:line="600" w:lineRule="exact"/>
        <w:ind w:firstLine="643" w:firstLineChars="200"/>
        <w:rPr>
          <w:rFonts w:ascii="仿宋_GB2312" w:hAnsi="仿宋" w:eastAsia="仿宋_GB2312" w:cs="Times New Roman"/>
          <w:color w:val="auto"/>
          <w:sz w:val="32"/>
          <w:szCs w:val="32"/>
          <w:highlight w:val="none"/>
        </w:rPr>
      </w:pPr>
      <w:r>
        <w:rPr>
          <w:rFonts w:hint="eastAsia" w:ascii="仿宋_GB2312" w:hAnsi="仿宋" w:eastAsia="仿宋_GB2312" w:cs="Times New Roman"/>
          <w:b/>
          <w:color w:val="auto"/>
          <w:sz w:val="32"/>
          <w:szCs w:val="32"/>
          <w:highlight w:val="none"/>
        </w:rPr>
        <w:t>3.社会保障和就业支出（类）行政事业单位离退休（款）机关事业单位职业年金缴费支出（项）</w:t>
      </w:r>
      <w:r>
        <w:rPr>
          <w:rFonts w:hint="eastAsia" w:ascii="仿宋_GB2312" w:hAnsi="仿宋" w:eastAsia="仿宋_GB2312" w:cs="Times New Roman"/>
          <w:color w:val="auto"/>
          <w:sz w:val="32"/>
          <w:szCs w:val="32"/>
          <w:highlight w:val="none"/>
          <w:lang w:eastAsia="zh-CN"/>
        </w:rPr>
        <w:t>2023年</w:t>
      </w:r>
      <w:r>
        <w:rPr>
          <w:rFonts w:hint="eastAsia" w:ascii="仿宋_GB2312" w:hAnsi="仿宋" w:eastAsia="仿宋_GB2312" w:cs="Times New Roman"/>
          <w:color w:val="auto"/>
          <w:sz w:val="32"/>
          <w:szCs w:val="32"/>
          <w:highlight w:val="none"/>
        </w:rPr>
        <w:t>预算</w:t>
      </w:r>
      <w:r>
        <w:rPr>
          <w:rFonts w:hint="eastAsia" w:ascii="仿宋_GB2312" w:hAnsi="仿宋" w:eastAsia="仿宋_GB2312" w:cs="Times New Roman"/>
          <w:color w:val="auto"/>
          <w:sz w:val="32"/>
          <w:szCs w:val="32"/>
          <w:highlight w:val="none"/>
          <w:lang w:val="en-US" w:eastAsia="zh-CN"/>
        </w:rPr>
        <w:t>1108.94</w:t>
      </w:r>
      <w:r>
        <w:rPr>
          <w:rFonts w:hint="eastAsia" w:ascii="仿宋_GB2312" w:hAnsi="仿宋" w:eastAsia="仿宋_GB2312" w:cs="Times New Roman"/>
          <w:color w:val="auto"/>
          <w:sz w:val="32"/>
          <w:szCs w:val="32"/>
          <w:highlight w:val="none"/>
        </w:rPr>
        <w:t>万元，比</w:t>
      </w:r>
      <w:r>
        <w:rPr>
          <w:rFonts w:hint="eastAsia" w:ascii="仿宋_GB2312" w:hAnsi="仿宋" w:eastAsia="仿宋_GB2312" w:cs="Times New Roman"/>
          <w:color w:val="auto"/>
          <w:sz w:val="32"/>
          <w:szCs w:val="32"/>
          <w:highlight w:val="none"/>
          <w:lang w:eastAsia="zh-CN"/>
        </w:rPr>
        <w:t>2022年</w:t>
      </w:r>
      <w:r>
        <w:rPr>
          <w:rFonts w:hint="eastAsia" w:ascii="仿宋_GB2312" w:hAnsi="仿宋" w:eastAsia="仿宋_GB2312" w:cs="Times New Roman"/>
          <w:color w:val="auto"/>
          <w:sz w:val="32"/>
          <w:szCs w:val="32"/>
          <w:highlight w:val="none"/>
        </w:rPr>
        <w:t>预算增加</w:t>
      </w:r>
      <w:r>
        <w:rPr>
          <w:rFonts w:hint="eastAsia" w:ascii="仿宋_GB2312" w:hAnsi="仿宋" w:eastAsia="仿宋_GB2312" w:cs="Times New Roman"/>
          <w:color w:val="auto"/>
          <w:sz w:val="32"/>
          <w:szCs w:val="32"/>
          <w:highlight w:val="none"/>
          <w:lang w:val="en-US" w:eastAsia="zh-CN"/>
        </w:rPr>
        <w:t>326.91</w:t>
      </w:r>
      <w:r>
        <w:rPr>
          <w:rFonts w:hint="eastAsia" w:ascii="仿宋_GB2312" w:hAnsi="仿宋" w:eastAsia="仿宋_GB2312" w:cs="Times New Roman"/>
          <w:color w:val="auto"/>
          <w:sz w:val="32"/>
          <w:szCs w:val="32"/>
          <w:highlight w:val="none"/>
        </w:rPr>
        <w:t>万元，增长</w:t>
      </w:r>
      <w:r>
        <w:rPr>
          <w:rFonts w:hint="eastAsia" w:ascii="仿宋_GB2312" w:hAnsi="仿宋" w:eastAsia="仿宋_GB2312"/>
          <w:color w:val="auto"/>
          <w:sz w:val="32"/>
          <w:szCs w:val="32"/>
          <w:highlight w:val="none"/>
          <w:lang w:val="en-US" w:eastAsia="zh-CN"/>
        </w:rPr>
        <w:t>41.80</w:t>
      </w:r>
      <w:r>
        <w:rPr>
          <w:rFonts w:hint="eastAsia" w:ascii="仿宋_GB2312" w:hAnsi="仿宋" w:eastAsia="仿宋_GB2312" w:cs="Times New Roman"/>
          <w:color w:val="auto"/>
          <w:sz w:val="32"/>
          <w:szCs w:val="32"/>
          <w:highlight w:val="none"/>
        </w:rPr>
        <w:t>%，增长原因主要是</w:t>
      </w:r>
      <w:r>
        <w:rPr>
          <w:rFonts w:hint="eastAsia" w:ascii="仿宋_GB2312" w:hAnsi="仿宋" w:eastAsia="仿宋_GB2312" w:cs="Times New Roman"/>
          <w:color w:val="auto"/>
          <w:kern w:val="0"/>
          <w:sz w:val="32"/>
          <w:szCs w:val="32"/>
          <w:highlight w:val="none"/>
        </w:rPr>
        <w:t>人员</w:t>
      </w:r>
      <w:r>
        <w:rPr>
          <w:rFonts w:hint="eastAsia" w:ascii="仿宋_GB2312" w:hAnsi="仿宋" w:eastAsia="仿宋_GB2312" w:cs="Times New Roman"/>
          <w:color w:val="auto"/>
          <w:kern w:val="0"/>
          <w:sz w:val="32"/>
          <w:szCs w:val="32"/>
          <w:highlight w:val="none"/>
          <w:lang w:val="en-US" w:eastAsia="zh-CN"/>
        </w:rPr>
        <w:t>工资增加基数调整</w:t>
      </w:r>
      <w:r>
        <w:rPr>
          <w:rFonts w:hint="eastAsia" w:ascii="仿宋_GB2312" w:hAnsi="仿宋" w:eastAsia="仿宋_GB2312" w:cs="Times New Roman"/>
          <w:color w:val="auto"/>
          <w:kern w:val="0"/>
          <w:sz w:val="32"/>
          <w:szCs w:val="32"/>
          <w:highlight w:val="none"/>
        </w:rPr>
        <w:t>。</w:t>
      </w:r>
    </w:p>
    <w:p w14:paraId="1106ACB1">
      <w:pPr>
        <w:widowControl/>
        <w:shd w:val="clear" w:color="auto" w:fill="FFFFFF"/>
        <w:spacing w:line="600" w:lineRule="atLeast"/>
        <w:ind w:firstLine="640"/>
        <w:rPr>
          <w:rFonts w:hint="eastAsia" w:ascii="仿宋_GB2312" w:hAnsi="仿宋" w:eastAsia="仿宋_GB2312" w:cs="Times New Roman"/>
          <w:color w:val="auto"/>
          <w:kern w:val="0"/>
          <w:sz w:val="32"/>
          <w:szCs w:val="32"/>
          <w:highlight w:val="none"/>
        </w:rPr>
      </w:pPr>
      <w:r>
        <w:rPr>
          <w:rFonts w:hint="eastAsia" w:ascii="仿宋_GB2312" w:hAnsi="仿宋" w:eastAsia="仿宋_GB2312" w:cs="Times New Roman"/>
          <w:b/>
          <w:color w:val="auto"/>
          <w:sz w:val="32"/>
          <w:szCs w:val="32"/>
          <w:highlight w:val="none"/>
        </w:rPr>
        <w:t>4.社会保障和就业支出（类）退役安置（款）其他退役安置支出（项）</w:t>
      </w:r>
      <w:r>
        <w:rPr>
          <w:rFonts w:hint="eastAsia" w:ascii="仿宋_GB2312" w:hAnsi="仿宋" w:eastAsia="仿宋_GB2312" w:cs="Times New Roman"/>
          <w:color w:val="auto"/>
          <w:sz w:val="32"/>
          <w:szCs w:val="32"/>
          <w:highlight w:val="none"/>
          <w:lang w:eastAsia="zh-CN"/>
        </w:rPr>
        <w:t>2023年</w:t>
      </w:r>
      <w:r>
        <w:rPr>
          <w:rFonts w:hint="eastAsia" w:ascii="仿宋_GB2312" w:hAnsi="仿宋" w:eastAsia="仿宋_GB2312" w:cs="Times New Roman"/>
          <w:color w:val="auto"/>
          <w:sz w:val="32"/>
          <w:szCs w:val="32"/>
          <w:highlight w:val="none"/>
        </w:rPr>
        <w:t>预算</w:t>
      </w:r>
      <w:r>
        <w:rPr>
          <w:rFonts w:hint="eastAsia" w:ascii="仿宋_GB2312" w:hAnsi="仿宋" w:eastAsia="仿宋_GB2312" w:cs="Times New Roman"/>
          <w:color w:val="auto"/>
          <w:sz w:val="32"/>
          <w:szCs w:val="32"/>
          <w:highlight w:val="none"/>
          <w:lang w:val="en-US" w:eastAsia="zh-CN"/>
        </w:rPr>
        <w:t>8.38</w:t>
      </w:r>
      <w:r>
        <w:rPr>
          <w:rFonts w:hint="eastAsia" w:ascii="仿宋_GB2312" w:hAnsi="仿宋" w:eastAsia="仿宋_GB2312" w:cs="Times New Roman"/>
          <w:color w:val="auto"/>
          <w:sz w:val="32"/>
          <w:szCs w:val="32"/>
          <w:highlight w:val="none"/>
        </w:rPr>
        <w:t>万元，比</w:t>
      </w:r>
      <w:r>
        <w:rPr>
          <w:rFonts w:hint="eastAsia" w:ascii="仿宋_GB2312" w:hAnsi="仿宋" w:eastAsia="仿宋_GB2312" w:cs="Times New Roman"/>
          <w:color w:val="auto"/>
          <w:sz w:val="32"/>
          <w:szCs w:val="32"/>
          <w:highlight w:val="none"/>
          <w:lang w:eastAsia="zh-CN"/>
        </w:rPr>
        <w:t>2022年</w:t>
      </w:r>
      <w:r>
        <w:rPr>
          <w:rFonts w:hint="eastAsia" w:ascii="仿宋_GB2312" w:hAnsi="仿宋" w:eastAsia="仿宋_GB2312" w:cs="Times New Roman"/>
          <w:color w:val="auto"/>
          <w:sz w:val="32"/>
          <w:szCs w:val="32"/>
          <w:highlight w:val="none"/>
        </w:rPr>
        <w:t>预算</w:t>
      </w:r>
      <w:r>
        <w:rPr>
          <w:rFonts w:hint="eastAsia" w:ascii="仿宋_GB2312" w:hAnsi="仿宋" w:eastAsia="仿宋_GB2312" w:cs="Times New Roman"/>
          <w:color w:val="auto"/>
          <w:sz w:val="32"/>
          <w:szCs w:val="32"/>
          <w:highlight w:val="none"/>
          <w:lang w:eastAsia="zh-CN"/>
        </w:rPr>
        <w:t>减少</w:t>
      </w:r>
      <w:r>
        <w:rPr>
          <w:rFonts w:hint="eastAsia" w:ascii="仿宋_GB2312" w:hAnsi="仿宋" w:eastAsia="仿宋_GB2312"/>
          <w:color w:val="auto"/>
          <w:sz w:val="32"/>
          <w:szCs w:val="32"/>
          <w:highlight w:val="none"/>
          <w:lang w:val="en-US" w:eastAsia="zh-CN"/>
        </w:rPr>
        <w:t>114.43</w:t>
      </w:r>
      <w:r>
        <w:rPr>
          <w:rFonts w:hint="eastAsia" w:ascii="仿宋_GB2312" w:hAnsi="仿宋" w:eastAsia="仿宋_GB2312" w:cs="Times New Roman"/>
          <w:color w:val="auto"/>
          <w:sz w:val="32"/>
          <w:szCs w:val="32"/>
          <w:highlight w:val="none"/>
        </w:rPr>
        <w:t>万元，</w:t>
      </w:r>
      <w:r>
        <w:rPr>
          <w:rFonts w:hint="eastAsia" w:ascii="仿宋_GB2312" w:hAnsi="仿宋" w:eastAsia="仿宋_GB2312" w:cs="Times New Roman"/>
          <w:color w:val="auto"/>
          <w:sz w:val="32"/>
          <w:szCs w:val="32"/>
          <w:highlight w:val="none"/>
          <w:lang w:eastAsia="zh-CN"/>
        </w:rPr>
        <w:t>减少</w:t>
      </w:r>
      <w:r>
        <w:rPr>
          <w:rFonts w:hint="eastAsia" w:ascii="仿宋_GB2312" w:hAnsi="仿宋" w:eastAsia="仿宋_GB2312"/>
          <w:color w:val="auto"/>
          <w:sz w:val="32"/>
          <w:szCs w:val="32"/>
          <w:highlight w:val="none"/>
          <w:lang w:val="en-US" w:eastAsia="zh-CN"/>
        </w:rPr>
        <w:t>93.18</w:t>
      </w:r>
      <w:r>
        <w:rPr>
          <w:rFonts w:hint="eastAsia" w:ascii="仿宋_GB2312" w:hAnsi="仿宋" w:eastAsia="仿宋_GB2312" w:cs="Times New Roman"/>
          <w:color w:val="auto"/>
          <w:sz w:val="32"/>
          <w:szCs w:val="32"/>
          <w:highlight w:val="none"/>
        </w:rPr>
        <w:t>%</w:t>
      </w:r>
      <w:r>
        <w:rPr>
          <w:rFonts w:hint="eastAsia" w:ascii="仿宋_GB2312" w:hAnsi="仿宋" w:eastAsia="仿宋_GB2312" w:cs="Times New Roman"/>
          <w:color w:val="auto"/>
          <w:sz w:val="32"/>
          <w:szCs w:val="32"/>
          <w:highlight w:val="none"/>
          <w:lang w:eastAsia="zh-CN"/>
        </w:rPr>
        <w:t>。减少</w:t>
      </w:r>
      <w:r>
        <w:rPr>
          <w:rFonts w:hint="eastAsia" w:ascii="仿宋_GB2312" w:hAnsi="仿宋" w:eastAsia="仿宋_GB2312" w:cs="Times New Roman"/>
          <w:color w:val="auto"/>
          <w:sz w:val="32"/>
          <w:szCs w:val="32"/>
          <w:highlight w:val="none"/>
        </w:rPr>
        <w:t>原因主要是</w:t>
      </w:r>
      <w:r>
        <w:rPr>
          <w:rFonts w:hint="eastAsia" w:ascii="仿宋_GB2312" w:hAnsi="仿宋" w:eastAsia="仿宋_GB2312" w:cs="Times New Roman"/>
          <w:b w:val="0"/>
          <w:bCs/>
          <w:color w:val="auto"/>
          <w:sz w:val="32"/>
          <w:szCs w:val="32"/>
          <w:highlight w:val="none"/>
        </w:rPr>
        <w:t>退役安置</w:t>
      </w:r>
      <w:r>
        <w:rPr>
          <w:rFonts w:hint="eastAsia" w:ascii="仿宋_GB2312" w:hAnsi="仿宋" w:eastAsia="仿宋_GB2312" w:cs="Times New Roman"/>
          <w:color w:val="auto"/>
          <w:kern w:val="0"/>
          <w:sz w:val="32"/>
          <w:szCs w:val="32"/>
          <w:highlight w:val="none"/>
        </w:rPr>
        <w:t>人员</w:t>
      </w:r>
      <w:r>
        <w:rPr>
          <w:rFonts w:hint="eastAsia" w:ascii="仿宋_GB2312" w:hAnsi="仿宋" w:eastAsia="仿宋_GB2312" w:cs="Times New Roman"/>
          <w:color w:val="auto"/>
          <w:kern w:val="0"/>
          <w:sz w:val="32"/>
          <w:szCs w:val="32"/>
          <w:highlight w:val="none"/>
          <w:lang w:eastAsia="zh-CN"/>
        </w:rPr>
        <w:t>划转、减少</w:t>
      </w:r>
      <w:r>
        <w:rPr>
          <w:rFonts w:hint="eastAsia" w:ascii="仿宋_GB2312" w:hAnsi="仿宋" w:eastAsia="仿宋_GB2312" w:cs="Times New Roman"/>
          <w:color w:val="auto"/>
          <w:kern w:val="0"/>
          <w:sz w:val="32"/>
          <w:szCs w:val="32"/>
          <w:highlight w:val="none"/>
        </w:rPr>
        <w:t>。</w:t>
      </w:r>
    </w:p>
    <w:p w14:paraId="21CDA578">
      <w:pPr>
        <w:widowControl/>
        <w:shd w:val="clear" w:color="auto" w:fill="FFFFFF"/>
        <w:spacing w:line="600" w:lineRule="atLeast"/>
        <w:ind w:firstLine="640"/>
        <w:rPr>
          <w:rFonts w:hint="eastAsia" w:ascii="仿宋_GB2312" w:hAnsi="仿宋" w:eastAsia="仿宋_GB2312" w:cs="Times New Roman"/>
          <w:color w:val="auto"/>
          <w:kern w:val="0"/>
          <w:sz w:val="32"/>
          <w:szCs w:val="32"/>
          <w:highlight w:val="none"/>
        </w:rPr>
      </w:pPr>
      <w:r>
        <w:rPr>
          <w:rFonts w:hint="eastAsia" w:ascii="仿宋_GB2312" w:hAnsi="仿宋" w:eastAsia="仿宋_GB2312" w:cs="Times New Roman"/>
          <w:b/>
          <w:color w:val="auto"/>
          <w:sz w:val="32"/>
          <w:szCs w:val="32"/>
          <w:highlight w:val="none"/>
          <w:lang w:val="en-US" w:eastAsia="zh-CN"/>
        </w:rPr>
        <w:t>5</w:t>
      </w:r>
      <w:r>
        <w:rPr>
          <w:rFonts w:hint="eastAsia" w:ascii="仿宋_GB2312" w:hAnsi="仿宋" w:eastAsia="仿宋_GB2312" w:cs="Times New Roman"/>
          <w:b/>
          <w:color w:val="auto"/>
          <w:sz w:val="32"/>
          <w:szCs w:val="32"/>
          <w:highlight w:val="none"/>
        </w:rPr>
        <w:t>.社会保障和就业支出（类）退役军人管理事务（款）其他退役军人事务管理支出（项）</w:t>
      </w:r>
      <w:r>
        <w:rPr>
          <w:rFonts w:hint="eastAsia" w:ascii="仿宋_GB2312" w:hAnsi="仿宋" w:eastAsia="仿宋_GB2312" w:cs="Times New Roman"/>
          <w:color w:val="auto"/>
          <w:sz w:val="32"/>
          <w:szCs w:val="32"/>
          <w:highlight w:val="none"/>
          <w:lang w:eastAsia="zh-CN"/>
        </w:rPr>
        <w:t>2023年</w:t>
      </w:r>
      <w:r>
        <w:rPr>
          <w:rFonts w:hint="eastAsia" w:ascii="仿宋_GB2312" w:hAnsi="仿宋" w:eastAsia="仿宋_GB2312" w:cs="Times New Roman"/>
          <w:color w:val="auto"/>
          <w:sz w:val="32"/>
          <w:szCs w:val="32"/>
          <w:highlight w:val="none"/>
        </w:rPr>
        <w:t>预算</w:t>
      </w:r>
      <w:r>
        <w:rPr>
          <w:rFonts w:hint="eastAsia" w:ascii="仿宋_GB2312" w:hAnsi="仿宋" w:eastAsia="仿宋_GB2312" w:cs="Times New Roman"/>
          <w:color w:val="auto"/>
          <w:sz w:val="32"/>
          <w:szCs w:val="32"/>
          <w:highlight w:val="none"/>
          <w:lang w:val="en-US" w:eastAsia="zh-CN"/>
        </w:rPr>
        <w:t>88.38</w:t>
      </w:r>
      <w:r>
        <w:rPr>
          <w:rFonts w:hint="eastAsia" w:ascii="仿宋_GB2312" w:hAnsi="仿宋" w:eastAsia="仿宋_GB2312" w:cs="Times New Roman"/>
          <w:color w:val="auto"/>
          <w:sz w:val="32"/>
          <w:szCs w:val="32"/>
          <w:highlight w:val="none"/>
        </w:rPr>
        <w:t>万元，比</w:t>
      </w:r>
      <w:r>
        <w:rPr>
          <w:rFonts w:hint="eastAsia" w:ascii="仿宋_GB2312" w:hAnsi="仿宋" w:eastAsia="仿宋_GB2312" w:cs="Times New Roman"/>
          <w:color w:val="auto"/>
          <w:sz w:val="32"/>
          <w:szCs w:val="32"/>
          <w:highlight w:val="none"/>
          <w:lang w:eastAsia="zh-CN"/>
        </w:rPr>
        <w:t>2022年</w:t>
      </w:r>
      <w:r>
        <w:rPr>
          <w:rFonts w:hint="eastAsia" w:ascii="仿宋_GB2312" w:hAnsi="仿宋" w:eastAsia="仿宋_GB2312" w:cs="Times New Roman"/>
          <w:color w:val="auto"/>
          <w:sz w:val="32"/>
          <w:szCs w:val="32"/>
          <w:highlight w:val="none"/>
        </w:rPr>
        <w:t>预算</w:t>
      </w:r>
      <w:r>
        <w:rPr>
          <w:rFonts w:hint="eastAsia" w:ascii="仿宋_GB2312" w:hAnsi="仿宋" w:eastAsia="仿宋_GB2312" w:cs="Times New Roman"/>
          <w:color w:val="auto"/>
          <w:sz w:val="32"/>
          <w:szCs w:val="32"/>
          <w:highlight w:val="none"/>
          <w:lang w:eastAsia="zh-CN"/>
        </w:rPr>
        <w:t>增加</w:t>
      </w:r>
      <w:r>
        <w:rPr>
          <w:rFonts w:hint="eastAsia" w:ascii="仿宋_GB2312" w:hAnsi="仿宋" w:eastAsia="仿宋_GB2312"/>
          <w:color w:val="auto"/>
          <w:sz w:val="32"/>
          <w:szCs w:val="32"/>
          <w:highlight w:val="none"/>
          <w:lang w:val="en-US" w:eastAsia="zh-CN"/>
        </w:rPr>
        <w:t>88.38</w:t>
      </w:r>
      <w:r>
        <w:rPr>
          <w:rFonts w:hint="eastAsia" w:ascii="仿宋_GB2312" w:hAnsi="仿宋" w:eastAsia="仿宋_GB2312" w:cs="Times New Roman"/>
          <w:color w:val="auto"/>
          <w:sz w:val="32"/>
          <w:szCs w:val="32"/>
          <w:highlight w:val="none"/>
        </w:rPr>
        <w:t>万元，</w:t>
      </w:r>
      <w:r>
        <w:rPr>
          <w:rFonts w:hint="eastAsia" w:ascii="仿宋_GB2312" w:hAnsi="仿宋" w:eastAsia="仿宋_GB2312" w:cs="Times New Roman"/>
          <w:color w:val="auto"/>
          <w:sz w:val="32"/>
          <w:szCs w:val="32"/>
          <w:highlight w:val="none"/>
          <w:lang w:eastAsia="zh-CN"/>
        </w:rPr>
        <w:t>增加</w:t>
      </w:r>
      <w:r>
        <w:rPr>
          <w:rFonts w:hint="eastAsia" w:ascii="仿宋_GB2312" w:hAnsi="仿宋" w:eastAsia="仿宋_GB2312" w:cs="Times New Roman"/>
          <w:color w:val="auto"/>
          <w:sz w:val="32"/>
          <w:szCs w:val="32"/>
          <w:highlight w:val="none"/>
          <w:lang w:val="en-US" w:eastAsia="zh-CN"/>
        </w:rPr>
        <w:t>100</w:t>
      </w:r>
      <w:r>
        <w:rPr>
          <w:rFonts w:hint="eastAsia" w:ascii="仿宋_GB2312" w:hAnsi="仿宋" w:eastAsia="仿宋_GB2312" w:cs="Times New Roman"/>
          <w:color w:val="auto"/>
          <w:sz w:val="32"/>
          <w:szCs w:val="32"/>
          <w:highlight w:val="none"/>
        </w:rPr>
        <w:t>%</w:t>
      </w:r>
      <w:r>
        <w:rPr>
          <w:rFonts w:hint="eastAsia" w:ascii="仿宋_GB2312" w:hAnsi="仿宋" w:eastAsia="仿宋_GB2312" w:cs="Times New Roman"/>
          <w:color w:val="auto"/>
          <w:sz w:val="32"/>
          <w:szCs w:val="32"/>
          <w:highlight w:val="none"/>
          <w:lang w:eastAsia="zh-CN"/>
        </w:rPr>
        <w:t>。增加</w:t>
      </w:r>
      <w:r>
        <w:rPr>
          <w:rFonts w:hint="eastAsia" w:ascii="仿宋_GB2312" w:hAnsi="仿宋" w:eastAsia="仿宋_GB2312" w:cs="Times New Roman"/>
          <w:color w:val="auto"/>
          <w:sz w:val="32"/>
          <w:szCs w:val="32"/>
          <w:highlight w:val="none"/>
        </w:rPr>
        <w:t>原因主要是</w:t>
      </w:r>
      <w:r>
        <w:rPr>
          <w:rFonts w:hint="eastAsia" w:ascii="仿宋_GB2312" w:hAnsi="仿宋" w:eastAsia="仿宋_GB2312" w:cs="Times New Roman"/>
          <w:b w:val="0"/>
          <w:bCs/>
          <w:color w:val="auto"/>
          <w:sz w:val="32"/>
          <w:szCs w:val="32"/>
          <w:highlight w:val="none"/>
          <w:lang w:val="en-US" w:eastAsia="zh-CN"/>
        </w:rPr>
        <w:t>2023年度追加预算</w:t>
      </w:r>
      <w:r>
        <w:rPr>
          <w:rFonts w:hint="eastAsia" w:ascii="仿宋_GB2312" w:hAnsi="仿宋" w:eastAsia="仿宋_GB2312" w:cs="Times New Roman"/>
          <w:color w:val="auto"/>
          <w:kern w:val="0"/>
          <w:sz w:val="32"/>
          <w:szCs w:val="32"/>
          <w:highlight w:val="none"/>
        </w:rPr>
        <w:t>。</w:t>
      </w:r>
    </w:p>
    <w:p w14:paraId="7466BA7A">
      <w:pPr>
        <w:widowControl/>
        <w:shd w:val="clear" w:color="auto" w:fill="FFFFFF"/>
        <w:spacing w:line="600" w:lineRule="atLeast"/>
        <w:ind w:firstLine="640"/>
        <w:rPr>
          <w:rFonts w:hint="eastAsia" w:ascii="仿宋_GB2312" w:hAnsi="仿宋" w:eastAsia="仿宋_GB2312" w:cs="Times New Roman"/>
          <w:color w:val="auto"/>
          <w:kern w:val="0"/>
          <w:sz w:val="32"/>
          <w:szCs w:val="32"/>
          <w:highlight w:val="none"/>
        </w:rPr>
      </w:pPr>
      <w:r>
        <w:rPr>
          <w:rFonts w:hint="eastAsia" w:ascii="仿宋_GB2312" w:hAnsi="仿宋" w:eastAsia="仿宋_GB2312" w:cs="Times New Roman"/>
          <w:b/>
          <w:color w:val="auto"/>
          <w:sz w:val="32"/>
          <w:szCs w:val="32"/>
          <w:highlight w:val="none"/>
          <w:lang w:val="en-US" w:eastAsia="zh-CN"/>
        </w:rPr>
        <w:t>6</w:t>
      </w:r>
      <w:r>
        <w:rPr>
          <w:rFonts w:hint="eastAsia" w:ascii="仿宋_GB2312" w:hAnsi="仿宋" w:eastAsia="仿宋_GB2312" w:cs="Times New Roman"/>
          <w:b/>
          <w:color w:val="auto"/>
          <w:sz w:val="32"/>
          <w:szCs w:val="32"/>
          <w:highlight w:val="none"/>
        </w:rPr>
        <w:t>.社会保障和就业支出（类）其他社会保障和就业支出（款）其他社会保障和就业支出（项）</w:t>
      </w:r>
      <w:r>
        <w:rPr>
          <w:rFonts w:hint="eastAsia" w:ascii="仿宋_GB2312" w:hAnsi="仿宋" w:eastAsia="仿宋_GB2312" w:cs="Times New Roman"/>
          <w:color w:val="auto"/>
          <w:sz w:val="32"/>
          <w:szCs w:val="32"/>
          <w:highlight w:val="none"/>
          <w:lang w:eastAsia="zh-CN"/>
        </w:rPr>
        <w:t>2023年</w:t>
      </w:r>
      <w:r>
        <w:rPr>
          <w:rFonts w:hint="eastAsia" w:ascii="仿宋_GB2312" w:hAnsi="仿宋" w:eastAsia="仿宋_GB2312" w:cs="Times New Roman"/>
          <w:color w:val="auto"/>
          <w:sz w:val="32"/>
          <w:szCs w:val="32"/>
          <w:highlight w:val="none"/>
        </w:rPr>
        <w:t>预算</w:t>
      </w:r>
      <w:r>
        <w:rPr>
          <w:rFonts w:hint="eastAsia" w:ascii="仿宋_GB2312" w:hAnsi="仿宋" w:eastAsia="仿宋_GB2312" w:cs="Times New Roman"/>
          <w:color w:val="auto"/>
          <w:sz w:val="32"/>
          <w:szCs w:val="32"/>
          <w:highlight w:val="none"/>
          <w:lang w:val="en-US" w:eastAsia="zh-CN"/>
        </w:rPr>
        <w:t>252.19</w:t>
      </w:r>
      <w:r>
        <w:rPr>
          <w:rFonts w:hint="eastAsia" w:ascii="仿宋_GB2312" w:hAnsi="仿宋" w:eastAsia="仿宋_GB2312" w:cs="Times New Roman"/>
          <w:color w:val="auto"/>
          <w:sz w:val="32"/>
          <w:szCs w:val="32"/>
          <w:highlight w:val="none"/>
        </w:rPr>
        <w:t>万元，比</w:t>
      </w:r>
      <w:r>
        <w:rPr>
          <w:rFonts w:hint="eastAsia" w:ascii="仿宋_GB2312" w:hAnsi="仿宋" w:eastAsia="仿宋_GB2312" w:cs="Times New Roman"/>
          <w:color w:val="auto"/>
          <w:sz w:val="32"/>
          <w:szCs w:val="32"/>
          <w:highlight w:val="none"/>
          <w:lang w:eastAsia="zh-CN"/>
        </w:rPr>
        <w:t>2022年</w:t>
      </w:r>
      <w:r>
        <w:rPr>
          <w:rFonts w:hint="eastAsia" w:ascii="仿宋_GB2312" w:hAnsi="仿宋" w:eastAsia="仿宋_GB2312" w:cs="Times New Roman"/>
          <w:color w:val="auto"/>
          <w:sz w:val="32"/>
          <w:szCs w:val="32"/>
          <w:highlight w:val="none"/>
        </w:rPr>
        <w:t>预算</w:t>
      </w:r>
      <w:r>
        <w:rPr>
          <w:rFonts w:hint="eastAsia" w:ascii="仿宋_GB2312" w:hAnsi="仿宋" w:eastAsia="仿宋_GB2312" w:cs="Times New Roman"/>
          <w:color w:val="auto"/>
          <w:sz w:val="32"/>
          <w:szCs w:val="32"/>
          <w:highlight w:val="none"/>
          <w:lang w:eastAsia="zh-CN"/>
        </w:rPr>
        <w:t>增加</w:t>
      </w:r>
      <w:r>
        <w:rPr>
          <w:rFonts w:hint="eastAsia" w:ascii="仿宋_GB2312" w:hAnsi="仿宋" w:eastAsia="仿宋_GB2312"/>
          <w:color w:val="auto"/>
          <w:sz w:val="32"/>
          <w:szCs w:val="32"/>
          <w:highlight w:val="none"/>
          <w:lang w:val="en-US" w:eastAsia="zh-CN"/>
        </w:rPr>
        <w:t>136.94</w:t>
      </w:r>
      <w:r>
        <w:rPr>
          <w:rFonts w:hint="eastAsia" w:ascii="仿宋_GB2312" w:hAnsi="仿宋" w:eastAsia="仿宋_GB2312" w:cs="Times New Roman"/>
          <w:color w:val="auto"/>
          <w:sz w:val="32"/>
          <w:szCs w:val="32"/>
          <w:highlight w:val="none"/>
        </w:rPr>
        <w:t>万元，</w:t>
      </w:r>
      <w:r>
        <w:rPr>
          <w:rFonts w:hint="eastAsia" w:ascii="仿宋_GB2312" w:hAnsi="仿宋" w:eastAsia="仿宋_GB2312" w:cs="Times New Roman"/>
          <w:color w:val="auto"/>
          <w:sz w:val="32"/>
          <w:szCs w:val="32"/>
          <w:highlight w:val="none"/>
          <w:lang w:eastAsia="zh-CN"/>
        </w:rPr>
        <w:t>增加</w:t>
      </w:r>
      <w:r>
        <w:rPr>
          <w:rFonts w:hint="eastAsia" w:ascii="仿宋_GB2312" w:hAnsi="仿宋" w:eastAsia="仿宋_GB2312" w:cs="Times New Roman"/>
          <w:color w:val="auto"/>
          <w:sz w:val="32"/>
          <w:szCs w:val="32"/>
          <w:highlight w:val="none"/>
          <w:lang w:val="en-US" w:eastAsia="zh-CN"/>
        </w:rPr>
        <w:t>118.82</w:t>
      </w:r>
      <w:r>
        <w:rPr>
          <w:rFonts w:hint="eastAsia" w:ascii="仿宋_GB2312" w:hAnsi="仿宋" w:eastAsia="仿宋_GB2312" w:cs="Times New Roman"/>
          <w:color w:val="auto"/>
          <w:sz w:val="32"/>
          <w:szCs w:val="32"/>
          <w:highlight w:val="none"/>
        </w:rPr>
        <w:t>%</w:t>
      </w:r>
      <w:r>
        <w:rPr>
          <w:rFonts w:hint="eastAsia" w:ascii="仿宋_GB2312" w:hAnsi="仿宋" w:eastAsia="仿宋_GB2312" w:cs="Times New Roman"/>
          <w:color w:val="auto"/>
          <w:sz w:val="32"/>
          <w:szCs w:val="32"/>
          <w:highlight w:val="none"/>
          <w:lang w:eastAsia="zh-CN"/>
        </w:rPr>
        <w:t>。增加</w:t>
      </w:r>
      <w:r>
        <w:rPr>
          <w:rFonts w:hint="eastAsia" w:ascii="仿宋_GB2312" w:hAnsi="仿宋" w:eastAsia="仿宋_GB2312" w:cs="Times New Roman"/>
          <w:color w:val="auto"/>
          <w:sz w:val="32"/>
          <w:szCs w:val="32"/>
          <w:highlight w:val="none"/>
        </w:rPr>
        <w:t>原因主要是</w:t>
      </w:r>
      <w:r>
        <w:rPr>
          <w:rFonts w:hint="eastAsia" w:ascii="仿宋_GB2312" w:hAnsi="仿宋" w:eastAsia="仿宋_GB2312" w:cs="Times New Roman"/>
          <w:color w:val="auto"/>
          <w:kern w:val="0"/>
          <w:sz w:val="32"/>
          <w:szCs w:val="32"/>
          <w:highlight w:val="none"/>
        </w:rPr>
        <w:t>人员</w:t>
      </w:r>
      <w:r>
        <w:rPr>
          <w:rFonts w:hint="eastAsia" w:ascii="仿宋_GB2312" w:hAnsi="仿宋" w:eastAsia="仿宋_GB2312" w:cs="Times New Roman"/>
          <w:color w:val="auto"/>
          <w:kern w:val="0"/>
          <w:sz w:val="32"/>
          <w:szCs w:val="32"/>
          <w:highlight w:val="none"/>
          <w:lang w:val="en-US" w:eastAsia="zh-CN"/>
        </w:rPr>
        <w:t>工资增加基数调整</w:t>
      </w:r>
      <w:r>
        <w:rPr>
          <w:rFonts w:hint="eastAsia" w:ascii="仿宋_GB2312" w:hAnsi="仿宋" w:eastAsia="仿宋_GB2312" w:cs="Times New Roman"/>
          <w:color w:val="auto"/>
          <w:kern w:val="0"/>
          <w:sz w:val="32"/>
          <w:szCs w:val="32"/>
          <w:highlight w:val="none"/>
        </w:rPr>
        <w:t>。</w:t>
      </w:r>
    </w:p>
    <w:p w14:paraId="0A12B372">
      <w:pPr>
        <w:widowControl/>
        <w:shd w:val="clear" w:color="auto" w:fill="FFFFFF"/>
        <w:spacing w:line="600" w:lineRule="atLeast"/>
        <w:ind w:firstLine="640"/>
        <w:rPr>
          <w:rFonts w:hint="eastAsia" w:ascii="仿宋_GB2312" w:hAnsi="仿宋" w:eastAsia="仿宋_GB2312" w:cs="Times New Roman"/>
          <w:color w:val="auto"/>
          <w:sz w:val="32"/>
          <w:szCs w:val="32"/>
          <w:highlight w:val="none"/>
        </w:rPr>
      </w:pPr>
      <w:r>
        <w:rPr>
          <w:rFonts w:hint="eastAsia" w:ascii="仿宋_GB2312" w:hAnsi="仿宋" w:eastAsia="仿宋_GB2312" w:cs="Times New Roman"/>
          <w:b/>
          <w:color w:val="auto"/>
          <w:sz w:val="32"/>
          <w:szCs w:val="32"/>
          <w:highlight w:val="none"/>
          <w:lang w:val="en-US" w:eastAsia="zh-CN"/>
        </w:rPr>
        <w:t>7</w:t>
      </w:r>
      <w:r>
        <w:rPr>
          <w:rFonts w:hint="eastAsia" w:ascii="仿宋_GB2312" w:hAnsi="仿宋" w:eastAsia="仿宋_GB2312" w:cs="Times New Roman"/>
          <w:b/>
          <w:color w:val="auto"/>
          <w:sz w:val="32"/>
          <w:szCs w:val="32"/>
          <w:highlight w:val="none"/>
        </w:rPr>
        <w:t>.卫生健康支出（类）卫生健康管理事务（款）行政运行（项）</w:t>
      </w:r>
      <w:r>
        <w:rPr>
          <w:rFonts w:hint="eastAsia" w:ascii="仿宋_GB2312" w:hAnsi="仿宋" w:eastAsia="仿宋_GB2312" w:cs="Times New Roman"/>
          <w:b/>
          <w:color w:val="auto"/>
          <w:sz w:val="32"/>
          <w:szCs w:val="32"/>
          <w:highlight w:val="none"/>
          <w:lang w:val="en-US" w:eastAsia="zh-CN"/>
        </w:rPr>
        <w:t xml:space="preserve"> </w:t>
      </w:r>
      <w:r>
        <w:rPr>
          <w:rFonts w:hint="eastAsia" w:ascii="仿宋_GB2312" w:hAnsi="仿宋" w:eastAsia="仿宋_GB2312" w:cs="Times New Roman"/>
          <w:color w:val="auto"/>
          <w:sz w:val="32"/>
          <w:szCs w:val="32"/>
          <w:highlight w:val="none"/>
          <w:lang w:eastAsia="zh-CN"/>
        </w:rPr>
        <w:t>2023年</w:t>
      </w:r>
      <w:r>
        <w:rPr>
          <w:rFonts w:hint="eastAsia" w:ascii="仿宋_GB2312" w:hAnsi="仿宋" w:eastAsia="仿宋_GB2312" w:cs="Times New Roman"/>
          <w:color w:val="auto"/>
          <w:sz w:val="32"/>
          <w:szCs w:val="32"/>
          <w:highlight w:val="none"/>
        </w:rPr>
        <w:t>预算</w:t>
      </w:r>
      <w:r>
        <w:rPr>
          <w:rFonts w:hint="eastAsia" w:ascii="仿宋_GB2312" w:hAnsi="仿宋" w:eastAsia="仿宋_GB2312" w:cs="Times New Roman"/>
          <w:color w:val="auto"/>
          <w:sz w:val="32"/>
          <w:szCs w:val="32"/>
          <w:highlight w:val="none"/>
          <w:lang w:val="en-US" w:eastAsia="zh-CN"/>
        </w:rPr>
        <w:t>2719.74</w:t>
      </w:r>
      <w:r>
        <w:rPr>
          <w:rFonts w:hint="eastAsia" w:ascii="仿宋_GB2312" w:hAnsi="仿宋" w:eastAsia="仿宋_GB2312" w:cs="Times New Roman"/>
          <w:color w:val="auto"/>
          <w:sz w:val="32"/>
          <w:szCs w:val="32"/>
          <w:highlight w:val="none"/>
        </w:rPr>
        <w:t>万元，比</w:t>
      </w:r>
      <w:r>
        <w:rPr>
          <w:rFonts w:hint="eastAsia" w:ascii="仿宋_GB2312" w:hAnsi="仿宋" w:eastAsia="仿宋_GB2312" w:cs="Times New Roman"/>
          <w:color w:val="auto"/>
          <w:sz w:val="32"/>
          <w:szCs w:val="32"/>
          <w:highlight w:val="none"/>
          <w:lang w:eastAsia="zh-CN"/>
        </w:rPr>
        <w:t>2022年</w:t>
      </w:r>
      <w:r>
        <w:rPr>
          <w:rFonts w:hint="eastAsia" w:ascii="仿宋_GB2312" w:hAnsi="仿宋" w:eastAsia="仿宋_GB2312" w:cs="Times New Roman"/>
          <w:color w:val="auto"/>
          <w:sz w:val="32"/>
          <w:szCs w:val="32"/>
          <w:highlight w:val="none"/>
        </w:rPr>
        <w:t>预算</w:t>
      </w:r>
      <w:r>
        <w:rPr>
          <w:rFonts w:hint="eastAsia" w:ascii="仿宋_GB2312" w:hAnsi="仿宋" w:eastAsia="仿宋_GB2312" w:cs="Times New Roman"/>
          <w:color w:val="auto"/>
          <w:sz w:val="32"/>
          <w:szCs w:val="32"/>
          <w:highlight w:val="none"/>
          <w:lang w:eastAsia="zh-CN"/>
        </w:rPr>
        <w:t>增加</w:t>
      </w:r>
      <w:r>
        <w:rPr>
          <w:rFonts w:hint="eastAsia" w:ascii="仿宋_GB2312" w:hAnsi="仿宋" w:eastAsia="仿宋_GB2312"/>
          <w:color w:val="auto"/>
          <w:sz w:val="32"/>
          <w:szCs w:val="32"/>
          <w:highlight w:val="none"/>
          <w:lang w:val="en-US" w:eastAsia="zh-CN"/>
        </w:rPr>
        <w:t>89.02</w:t>
      </w:r>
      <w:r>
        <w:rPr>
          <w:rFonts w:hint="eastAsia" w:ascii="仿宋_GB2312" w:hAnsi="仿宋" w:eastAsia="仿宋_GB2312" w:cs="Times New Roman"/>
          <w:color w:val="auto"/>
          <w:sz w:val="32"/>
          <w:szCs w:val="32"/>
          <w:highlight w:val="none"/>
        </w:rPr>
        <w:t>万元，</w:t>
      </w:r>
      <w:r>
        <w:rPr>
          <w:rFonts w:hint="eastAsia" w:ascii="仿宋_GB2312" w:hAnsi="仿宋" w:eastAsia="仿宋_GB2312" w:cs="Times New Roman"/>
          <w:color w:val="auto"/>
          <w:sz w:val="32"/>
          <w:szCs w:val="32"/>
          <w:highlight w:val="none"/>
          <w:lang w:eastAsia="zh-CN"/>
        </w:rPr>
        <w:t>增加</w:t>
      </w:r>
      <w:r>
        <w:rPr>
          <w:rFonts w:hint="eastAsia" w:ascii="仿宋_GB2312" w:hAnsi="仿宋" w:eastAsia="仿宋_GB2312" w:cs="Times New Roman"/>
          <w:color w:val="auto"/>
          <w:sz w:val="32"/>
          <w:szCs w:val="32"/>
          <w:highlight w:val="none"/>
          <w:lang w:val="en-US" w:eastAsia="zh-CN"/>
        </w:rPr>
        <w:t>3.38</w:t>
      </w:r>
      <w:r>
        <w:rPr>
          <w:rFonts w:hint="eastAsia" w:ascii="仿宋_GB2312" w:hAnsi="仿宋" w:eastAsia="仿宋_GB2312" w:cs="Times New Roman"/>
          <w:color w:val="auto"/>
          <w:sz w:val="32"/>
          <w:szCs w:val="32"/>
          <w:highlight w:val="none"/>
        </w:rPr>
        <w:t>%</w:t>
      </w:r>
      <w:r>
        <w:rPr>
          <w:rFonts w:hint="eastAsia" w:ascii="仿宋_GB2312" w:hAnsi="仿宋" w:eastAsia="仿宋_GB2312" w:cs="Times New Roman"/>
          <w:color w:val="auto"/>
          <w:sz w:val="32"/>
          <w:szCs w:val="32"/>
          <w:highlight w:val="none"/>
          <w:lang w:eastAsia="zh-CN"/>
        </w:rPr>
        <w:t>。</w:t>
      </w:r>
      <w:r>
        <w:rPr>
          <w:rFonts w:hint="eastAsia" w:ascii="仿宋_GB2312" w:hAnsi="仿宋" w:eastAsia="仿宋_GB2312" w:cs="Times New Roman"/>
          <w:color w:val="auto"/>
          <w:sz w:val="32"/>
          <w:szCs w:val="32"/>
          <w:highlight w:val="none"/>
        </w:rPr>
        <w:t>增长原因主要是</w:t>
      </w:r>
      <w:r>
        <w:rPr>
          <w:rFonts w:hint="eastAsia" w:ascii="仿宋_GB2312" w:hAnsi="仿宋" w:eastAsia="仿宋_GB2312" w:cs="Times New Roman"/>
          <w:color w:val="auto"/>
          <w:kern w:val="2"/>
          <w:sz w:val="32"/>
          <w:szCs w:val="32"/>
          <w:highlight w:val="none"/>
          <w:lang w:val="en-US" w:eastAsia="zh-CN"/>
        </w:rPr>
        <w:t>1.</w:t>
      </w:r>
      <w:r>
        <w:rPr>
          <w:rFonts w:hint="eastAsia" w:ascii="仿宋_GB2312" w:hAnsi="仿宋" w:eastAsia="仿宋_GB2312" w:cs="Times New Roman"/>
          <w:color w:val="auto"/>
          <w:kern w:val="2"/>
          <w:sz w:val="32"/>
          <w:szCs w:val="32"/>
          <w:highlight w:val="none"/>
          <w:lang w:eastAsia="zh-CN"/>
        </w:rPr>
        <w:t>系统在职在编</w:t>
      </w:r>
      <w:r>
        <w:rPr>
          <w:rFonts w:hint="eastAsia" w:ascii="仿宋_GB2312" w:hAnsi="仿宋" w:eastAsia="仿宋_GB2312"/>
          <w:color w:val="auto"/>
          <w:sz w:val="32"/>
          <w:szCs w:val="32"/>
          <w:highlight w:val="none"/>
          <w:lang w:eastAsia="zh-CN"/>
        </w:rPr>
        <w:t>人员调资相应经费支出增加，</w:t>
      </w:r>
      <w:r>
        <w:rPr>
          <w:rFonts w:hint="eastAsia" w:ascii="仿宋_GB2312" w:hAnsi="仿宋" w:eastAsia="仿宋_GB2312" w:cs="Times New Roman"/>
          <w:color w:val="auto"/>
          <w:kern w:val="2"/>
          <w:sz w:val="32"/>
          <w:szCs w:val="32"/>
          <w:highlight w:val="none"/>
          <w:lang w:val="en-US" w:eastAsia="zh-CN"/>
        </w:rPr>
        <w:t>2.</w:t>
      </w:r>
      <w:r>
        <w:rPr>
          <w:rFonts w:hint="eastAsia" w:ascii="仿宋_GB2312" w:hAnsi="仿宋" w:eastAsia="仿宋_GB2312"/>
          <w:color w:val="auto"/>
          <w:sz w:val="32"/>
          <w:szCs w:val="32"/>
          <w:highlight w:val="none"/>
          <w:lang w:eastAsia="zh-CN"/>
        </w:rPr>
        <w:t>全县村级计生专干人员经费增加</w:t>
      </w:r>
      <w:r>
        <w:rPr>
          <w:rFonts w:hint="eastAsia" w:ascii="仿宋_GB2312" w:hAnsi="仿宋" w:eastAsia="仿宋_GB2312" w:cs="Times New Roman"/>
          <w:color w:val="auto"/>
          <w:sz w:val="32"/>
          <w:szCs w:val="32"/>
          <w:highlight w:val="none"/>
        </w:rPr>
        <w:t>。</w:t>
      </w:r>
    </w:p>
    <w:p w14:paraId="5DFABD51">
      <w:pPr>
        <w:widowControl/>
        <w:shd w:val="clear" w:color="auto" w:fill="FFFFFF"/>
        <w:spacing w:line="600" w:lineRule="atLeast"/>
        <w:ind w:firstLine="640"/>
        <w:rPr>
          <w:rFonts w:hint="eastAsia" w:ascii="仿宋_GB2312" w:hAnsi="仿宋" w:eastAsia="仿宋_GB2312" w:cs="Times New Roman"/>
          <w:color w:val="auto"/>
          <w:sz w:val="32"/>
          <w:szCs w:val="32"/>
          <w:highlight w:val="none"/>
        </w:rPr>
      </w:pPr>
      <w:r>
        <w:rPr>
          <w:rFonts w:hint="eastAsia" w:ascii="仿宋_GB2312" w:hAnsi="仿宋" w:eastAsia="仿宋_GB2312" w:cs="Times New Roman"/>
          <w:b/>
          <w:color w:val="auto"/>
          <w:sz w:val="32"/>
          <w:szCs w:val="32"/>
          <w:highlight w:val="none"/>
          <w:lang w:val="en-US" w:eastAsia="zh-CN"/>
        </w:rPr>
        <w:t>8</w:t>
      </w:r>
      <w:r>
        <w:rPr>
          <w:rFonts w:hint="eastAsia" w:ascii="仿宋_GB2312" w:hAnsi="仿宋" w:eastAsia="仿宋_GB2312" w:cs="Times New Roman"/>
          <w:b/>
          <w:color w:val="auto"/>
          <w:sz w:val="32"/>
          <w:szCs w:val="32"/>
          <w:highlight w:val="none"/>
        </w:rPr>
        <w:t>.卫生健康支出（类）卫生健康管理事务（款）其他卫生健康管理事务支出（项）</w:t>
      </w:r>
      <w:r>
        <w:rPr>
          <w:rFonts w:hint="eastAsia" w:ascii="仿宋_GB2312" w:hAnsi="仿宋" w:eastAsia="仿宋_GB2312" w:cs="Times New Roman"/>
          <w:b/>
          <w:color w:val="auto"/>
          <w:sz w:val="32"/>
          <w:szCs w:val="32"/>
          <w:highlight w:val="none"/>
          <w:lang w:val="en-US" w:eastAsia="zh-CN"/>
        </w:rPr>
        <w:t xml:space="preserve"> </w:t>
      </w:r>
      <w:r>
        <w:rPr>
          <w:rFonts w:hint="eastAsia" w:ascii="仿宋_GB2312" w:hAnsi="仿宋" w:eastAsia="仿宋_GB2312" w:cs="Times New Roman"/>
          <w:color w:val="auto"/>
          <w:sz w:val="32"/>
          <w:szCs w:val="32"/>
          <w:highlight w:val="none"/>
          <w:lang w:eastAsia="zh-CN"/>
        </w:rPr>
        <w:t>2023年</w:t>
      </w:r>
      <w:r>
        <w:rPr>
          <w:rFonts w:hint="eastAsia" w:ascii="仿宋_GB2312" w:hAnsi="仿宋" w:eastAsia="仿宋_GB2312" w:cs="Times New Roman"/>
          <w:color w:val="auto"/>
          <w:sz w:val="32"/>
          <w:szCs w:val="32"/>
          <w:highlight w:val="none"/>
        </w:rPr>
        <w:t>预算</w:t>
      </w:r>
      <w:r>
        <w:rPr>
          <w:rFonts w:hint="eastAsia" w:ascii="仿宋_GB2312" w:hAnsi="仿宋" w:eastAsia="仿宋_GB2312" w:cs="Times New Roman"/>
          <w:color w:val="auto"/>
          <w:sz w:val="32"/>
          <w:szCs w:val="32"/>
          <w:highlight w:val="none"/>
          <w:lang w:val="en-US" w:eastAsia="zh-CN"/>
        </w:rPr>
        <w:t>88.70</w:t>
      </w:r>
      <w:r>
        <w:rPr>
          <w:rFonts w:hint="eastAsia" w:ascii="仿宋_GB2312" w:hAnsi="仿宋" w:eastAsia="仿宋_GB2312" w:cs="Times New Roman"/>
          <w:color w:val="auto"/>
          <w:sz w:val="32"/>
          <w:szCs w:val="32"/>
          <w:highlight w:val="none"/>
        </w:rPr>
        <w:t>万元，比</w:t>
      </w:r>
      <w:r>
        <w:rPr>
          <w:rFonts w:hint="eastAsia" w:ascii="仿宋_GB2312" w:hAnsi="仿宋" w:eastAsia="仿宋_GB2312" w:cs="Times New Roman"/>
          <w:color w:val="auto"/>
          <w:sz w:val="32"/>
          <w:szCs w:val="32"/>
          <w:highlight w:val="none"/>
          <w:lang w:eastAsia="zh-CN"/>
        </w:rPr>
        <w:t>2022年</w:t>
      </w:r>
      <w:r>
        <w:rPr>
          <w:rFonts w:hint="eastAsia" w:ascii="仿宋_GB2312" w:hAnsi="仿宋" w:eastAsia="仿宋_GB2312" w:cs="Times New Roman"/>
          <w:color w:val="auto"/>
          <w:sz w:val="32"/>
          <w:szCs w:val="32"/>
          <w:highlight w:val="none"/>
        </w:rPr>
        <w:t>预算</w:t>
      </w:r>
      <w:r>
        <w:rPr>
          <w:rFonts w:hint="eastAsia" w:ascii="仿宋_GB2312" w:hAnsi="仿宋" w:eastAsia="仿宋_GB2312" w:cs="Times New Roman"/>
          <w:color w:val="auto"/>
          <w:sz w:val="32"/>
          <w:szCs w:val="32"/>
          <w:highlight w:val="none"/>
          <w:lang w:eastAsia="zh-CN"/>
        </w:rPr>
        <w:t>增加</w:t>
      </w:r>
      <w:r>
        <w:rPr>
          <w:rFonts w:hint="eastAsia" w:ascii="仿宋_GB2312" w:hAnsi="仿宋" w:eastAsia="仿宋_GB2312"/>
          <w:color w:val="auto"/>
          <w:sz w:val="32"/>
          <w:szCs w:val="32"/>
          <w:highlight w:val="none"/>
          <w:lang w:val="en-US" w:eastAsia="zh-CN"/>
        </w:rPr>
        <w:t>23.38</w:t>
      </w:r>
      <w:r>
        <w:rPr>
          <w:rFonts w:hint="eastAsia" w:ascii="仿宋_GB2312" w:hAnsi="仿宋" w:eastAsia="仿宋_GB2312" w:cs="Times New Roman"/>
          <w:color w:val="auto"/>
          <w:sz w:val="32"/>
          <w:szCs w:val="32"/>
          <w:highlight w:val="none"/>
        </w:rPr>
        <w:t>万元，</w:t>
      </w:r>
      <w:r>
        <w:rPr>
          <w:rFonts w:hint="eastAsia" w:ascii="仿宋_GB2312" w:hAnsi="仿宋" w:eastAsia="仿宋_GB2312" w:cs="Times New Roman"/>
          <w:color w:val="auto"/>
          <w:sz w:val="32"/>
          <w:szCs w:val="32"/>
          <w:highlight w:val="none"/>
          <w:lang w:eastAsia="zh-CN"/>
        </w:rPr>
        <w:t>增加</w:t>
      </w:r>
      <w:r>
        <w:rPr>
          <w:rFonts w:hint="eastAsia" w:ascii="仿宋_GB2312" w:hAnsi="仿宋" w:eastAsia="仿宋_GB2312" w:cs="Times New Roman"/>
          <w:color w:val="auto"/>
          <w:sz w:val="32"/>
          <w:szCs w:val="32"/>
          <w:highlight w:val="none"/>
          <w:lang w:val="en-US" w:eastAsia="zh-CN"/>
        </w:rPr>
        <w:t>35.79</w:t>
      </w:r>
      <w:r>
        <w:rPr>
          <w:rFonts w:hint="eastAsia" w:ascii="仿宋_GB2312" w:hAnsi="仿宋" w:eastAsia="仿宋_GB2312" w:cs="Times New Roman"/>
          <w:color w:val="auto"/>
          <w:sz w:val="32"/>
          <w:szCs w:val="32"/>
          <w:highlight w:val="none"/>
        </w:rPr>
        <w:t>%</w:t>
      </w:r>
      <w:r>
        <w:rPr>
          <w:rFonts w:hint="eastAsia" w:ascii="仿宋_GB2312" w:hAnsi="仿宋" w:eastAsia="仿宋_GB2312" w:cs="Times New Roman"/>
          <w:color w:val="auto"/>
          <w:sz w:val="32"/>
          <w:szCs w:val="32"/>
          <w:highlight w:val="none"/>
          <w:lang w:eastAsia="zh-CN"/>
        </w:rPr>
        <w:t>。</w:t>
      </w:r>
      <w:r>
        <w:rPr>
          <w:rFonts w:hint="eastAsia" w:ascii="仿宋_GB2312" w:hAnsi="仿宋" w:eastAsia="仿宋_GB2312" w:cs="Times New Roman"/>
          <w:color w:val="auto"/>
          <w:sz w:val="32"/>
          <w:szCs w:val="32"/>
          <w:highlight w:val="none"/>
        </w:rPr>
        <w:t>增长原因主要是</w:t>
      </w:r>
      <w:r>
        <w:rPr>
          <w:rFonts w:hint="eastAsia" w:ascii="仿宋_GB2312" w:hAnsi="仿宋" w:eastAsia="仿宋_GB2312" w:cs="Times New Roman"/>
          <w:color w:val="auto"/>
          <w:sz w:val="32"/>
          <w:szCs w:val="32"/>
          <w:highlight w:val="none"/>
          <w:lang w:eastAsia="zh-CN"/>
        </w:rPr>
        <w:t>委属事业单位人员公用经费类支出增加</w:t>
      </w:r>
      <w:r>
        <w:rPr>
          <w:rFonts w:hint="eastAsia" w:ascii="仿宋_GB2312" w:hAnsi="仿宋" w:eastAsia="仿宋_GB2312" w:cs="Times New Roman"/>
          <w:color w:val="auto"/>
          <w:sz w:val="32"/>
          <w:szCs w:val="32"/>
          <w:highlight w:val="none"/>
        </w:rPr>
        <w:t>。</w:t>
      </w:r>
    </w:p>
    <w:p w14:paraId="545339E2">
      <w:pPr>
        <w:widowControl/>
        <w:shd w:val="clear" w:color="auto" w:fill="FFFFFF"/>
        <w:spacing w:line="600" w:lineRule="atLeast"/>
        <w:ind w:firstLine="640"/>
        <w:rPr>
          <w:rFonts w:hint="eastAsia" w:ascii="仿宋_GB2312" w:hAnsi="仿宋" w:eastAsia="仿宋_GB2312" w:cs="Times New Roman"/>
          <w:color w:val="auto"/>
          <w:sz w:val="32"/>
          <w:szCs w:val="32"/>
          <w:highlight w:val="none"/>
        </w:rPr>
      </w:pPr>
      <w:r>
        <w:rPr>
          <w:rFonts w:hint="eastAsia" w:ascii="仿宋_GB2312" w:hAnsi="仿宋" w:eastAsia="仿宋_GB2312" w:cs="Times New Roman"/>
          <w:b/>
          <w:color w:val="auto"/>
          <w:sz w:val="32"/>
          <w:szCs w:val="32"/>
          <w:highlight w:val="none"/>
          <w:lang w:val="en-US" w:eastAsia="zh-CN"/>
        </w:rPr>
        <w:t>9.</w:t>
      </w:r>
      <w:r>
        <w:rPr>
          <w:rFonts w:hint="eastAsia" w:ascii="仿宋_GB2312" w:hAnsi="仿宋" w:eastAsia="仿宋_GB2312" w:cs="Times New Roman"/>
          <w:b/>
          <w:color w:val="auto"/>
          <w:sz w:val="32"/>
          <w:szCs w:val="32"/>
          <w:highlight w:val="none"/>
        </w:rPr>
        <w:t>卫生健康支出（类）基层医疗卫生机构（款）</w:t>
      </w:r>
      <w:r>
        <w:rPr>
          <w:rFonts w:hint="eastAsia" w:ascii="仿宋_GB2312" w:hAnsi="仿宋" w:eastAsia="仿宋_GB2312" w:cs="Times New Roman"/>
          <w:b/>
          <w:color w:val="auto"/>
          <w:sz w:val="32"/>
          <w:szCs w:val="32"/>
          <w:highlight w:val="none"/>
          <w:lang w:eastAsia="zh-CN"/>
        </w:rPr>
        <w:t>乡镇卫生院</w:t>
      </w:r>
      <w:r>
        <w:rPr>
          <w:rFonts w:hint="eastAsia" w:ascii="仿宋_GB2312" w:hAnsi="仿宋" w:eastAsia="仿宋_GB2312" w:cs="Times New Roman"/>
          <w:b/>
          <w:color w:val="auto"/>
          <w:sz w:val="32"/>
          <w:szCs w:val="32"/>
          <w:highlight w:val="none"/>
        </w:rPr>
        <w:t>（项）</w:t>
      </w:r>
      <w:r>
        <w:rPr>
          <w:rFonts w:hint="eastAsia" w:ascii="仿宋_GB2312" w:hAnsi="仿宋" w:eastAsia="仿宋_GB2312" w:cs="Times New Roman"/>
          <w:color w:val="auto"/>
          <w:sz w:val="32"/>
          <w:szCs w:val="32"/>
          <w:highlight w:val="none"/>
          <w:lang w:eastAsia="zh-CN"/>
        </w:rPr>
        <w:t>202</w:t>
      </w:r>
      <w:r>
        <w:rPr>
          <w:rFonts w:hint="eastAsia" w:ascii="仿宋_GB2312" w:hAnsi="仿宋" w:eastAsia="仿宋_GB2312" w:cs="Times New Roman"/>
          <w:color w:val="auto"/>
          <w:sz w:val="32"/>
          <w:szCs w:val="32"/>
          <w:highlight w:val="none"/>
          <w:lang w:val="en-US" w:eastAsia="zh-CN"/>
        </w:rPr>
        <w:t>3</w:t>
      </w:r>
      <w:r>
        <w:rPr>
          <w:rFonts w:hint="eastAsia" w:ascii="仿宋_GB2312" w:hAnsi="仿宋" w:eastAsia="仿宋_GB2312" w:cs="Times New Roman"/>
          <w:color w:val="auto"/>
          <w:sz w:val="32"/>
          <w:szCs w:val="32"/>
          <w:highlight w:val="none"/>
          <w:lang w:eastAsia="zh-CN"/>
        </w:rPr>
        <w:t>年</w:t>
      </w:r>
      <w:r>
        <w:rPr>
          <w:rFonts w:hint="eastAsia" w:ascii="仿宋_GB2312" w:hAnsi="仿宋" w:eastAsia="仿宋_GB2312" w:cs="Times New Roman"/>
          <w:color w:val="auto"/>
          <w:sz w:val="32"/>
          <w:szCs w:val="32"/>
          <w:highlight w:val="none"/>
        </w:rPr>
        <w:t>预算</w:t>
      </w:r>
      <w:r>
        <w:rPr>
          <w:rFonts w:hint="eastAsia" w:ascii="仿宋_GB2312" w:hAnsi="仿宋" w:eastAsia="仿宋_GB2312" w:cs="Times New Roman"/>
          <w:color w:val="auto"/>
          <w:sz w:val="32"/>
          <w:szCs w:val="32"/>
          <w:highlight w:val="none"/>
          <w:lang w:val="en-US" w:eastAsia="zh-CN"/>
        </w:rPr>
        <w:t>12291.69</w:t>
      </w:r>
      <w:r>
        <w:rPr>
          <w:rFonts w:hint="eastAsia" w:ascii="仿宋_GB2312" w:hAnsi="仿宋" w:eastAsia="仿宋_GB2312" w:cs="Times New Roman"/>
          <w:color w:val="auto"/>
          <w:sz w:val="32"/>
          <w:szCs w:val="32"/>
          <w:highlight w:val="none"/>
        </w:rPr>
        <w:t>万元，比</w:t>
      </w:r>
      <w:r>
        <w:rPr>
          <w:rFonts w:hint="eastAsia" w:ascii="仿宋_GB2312" w:hAnsi="仿宋" w:eastAsia="仿宋_GB2312" w:cs="Times New Roman"/>
          <w:color w:val="auto"/>
          <w:sz w:val="32"/>
          <w:szCs w:val="32"/>
          <w:highlight w:val="none"/>
          <w:lang w:eastAsia="zh-CN"/>
        </w:rPr>
        <w:t>202</w:t>
      </w:r>
      <w:r>
        <w:rPr>
          <w:rFonts w:hint="eastAsia" w:ascii="仿宋_GB2312" w:hAnsi="仿宋" w:eastAsia="仿宋_GB2312" w:cs="Times New Roman"/>
          <w:color w:val="auto"/>
          <w:sz w:val="32"/>
          <w:szCs w:val="32"/>
          <w:highlight w:val="none"/>
          <w:lang w:val="en-US" w:eastAsia="zh-CN"/>
        </w:rPr>
        <w:t>2</w:t>
      </w:r>
      <w:r>
        <w:rPr>
          <w:rFonts w:hint="eastAsia" w:ascii="仿宋_GB2312" w:hAnsi="仿宋" w:eastAsia="仿宋_GB2312" w:cs="Times New Roman"/>
          <w:color w:val="auto"/>
          <w:sz w:val="32"/>
          <w:szCs w:val="32"/>
          <w:highlight w:val="none"/>
          <w:lang w:eastAsia="zh-CN"/>
        </w:rPr>
        <w:t>年</w:t>
      </w:r>
      <w:r>
        <w:rPr>
          <w:rFonts w:hint="eastAsia" w:ascii="仿宋_GB2312" w:hAnsi="仿宋" w:eastAsia="仿宋_GB2312" w:cs="Times New Roman"/>
          <w:color w:val="auto"/>
          <w:sz w:val="32"/>
          <w:szCs w:val="32"/>
          <w:highlight w:val="none"/>
        </w:rPr>
        <w:t>预算增加</w:t>
      </w:r>
      <w:r>
        <w:rPr>
          <w:rFonts w:hint="eastAsia" w:ascii="仿宋_GB2312" w:hAnsi="仿宋" w:eastAsia="仿宋_GB2312"/>
          <w:color w:val="auto"/>
          <w:sz w:val="32"/>
          <w:szCs w:val="32"/>
          <w:highlight w:val="none"/>
          <w:lang w:val="en-US" w:eastAsia="zh-CN"/>
        </w:rPr>
        <w:t>4083.05</w:t>
      </w:r>
      <w:r>
        <w:rPr>
          <w:rFonts w:hint="eastAsia" w:ascii="仿宋_GB2312" w:hAnsi="仿宋" w:eastAsia="仿宋_GB2312" w:cs="Times New Roman"/>
          <w:color w:val="auto"/>
          <w:sz w:val="32"/>
          <w:szCs w:val="32"/>
          <w:highlight w:val="none"/>
        </w:rPr>
        <w:t>万元，增长</w:t>
      </w:r>
      <w:r>
        <w:rPr>
          <w:rFonts w:hint="eastAsia" w:ascii="仿宋_GB2312" w:hAnsi="仿宋" w:eastAsia="仿宋_GB2312"/>
          <w:color w:val="auto"/>
          <w:sz w:val="32"/>
          <w:szCs w:val="32"/>
          <w:highlight w:val="none"/>
          <w:lang w:val="en-US" w:eastAsia="zh-CN"/>
        </w:rPr>
        <w:t>49.74</w:t>
      </w:r>
      <w:r>
        <w:rPr>
          <w:rFonts w:hint="eastAsia" w:ascii="仿宋_GB2312" w:hAnsi="仿宋" w:eastAsia="仿宋_GB2312" w:cs="Times New Roman"/>
          <w:color w:val="auto"/>
          <w:sz w:val="32"/>
          <w:szCs w:val="32"/>
          <w:highlight w:val="none"/>
        </w:rPr>
        <w:t>%，增长原因主要是</w:t>
      </w:r>
      <w:r>
        <w:rPr>
          <w:rFonts w:hint="eastAsia" w:ascii="仿宋_GB2312" w:hAnsi="仿宋" w:eastAsia="仿宋_GB2312"/>
          <w:color w:val="auto"/>
          <w:sz w:val="32"/>
          <w:szCs w:val="32"/>
          <w:highlight w:val="none"/>
        </w:rPr>
        <w:t>乡镇卫生院</w:t>
      </w:r>
      <w:r>
        <w:rPr>
          <w:rFonts w:hint="eastAsia" w:ascii="仿宋_GB2312" w:hAnsi="仿宋" w:eastAsia="仿宋_GB2312"/>
          <w:color w:val="auto"/>
          <w:sz w:val="32"/>
          <w:szCs w:val="32"/>
          <w:highlight w:val="none"/>
          <w:lang w:eastAsia="zh-CN"/>
        </w:rPr>
        <w:t>在编在岗人员调整工资</w:t>
      </w:r>
      <w:r>
        <w:rPr>
          <w:rFonts w:hint="eastAsia" w:ascii="仿宋_GB2312" w:hAnsi="仿宋" w:eastAsia="仿宋_GB2312" w:cs="Times New Roman"/>
          <w:color w:val="auto"/>
          <w:sz w:val="32"/>
          <w:szCs w:val="32"/>
          <w:highlight w:val="none"/>
        </w:rPr>
        <w:t>。</w:t>
      </w:r>
    </w:p>
    <w:p w14:paraId="57BDDCF7">
      <w:pPr>
        <w:widowControl/>
        <w:shd w:val="clear" w:color="auto" w:fill="FFFFFF"/>
        <w:spacing w:line="600" w:lineRule="atLeast"/>
        <w:ind w:firstLine="640"/>
        <w:rPr>
          <w:rFonts w:hint="eastAsia" w:ascii="仿宋_GB2312" w:hAnsi="仿宋" w:eastAsia="仿宋_GB2312" w:cs="Times New Roman"/>
          <w:color w:val="auto"/>
          <w:sz w:val="32"/>
          <w:szCs w:val="32"/>
          <w:highlight w:val="none"/>
        </w:rPr>
      </w:pPr>
      <w:r>
        <w:rPr>
          <w:rFonts w:hint="eastAsia" w:ascii="仿宋_GB2312" w:hAnsi="仿宋" w:eastAsia="仿宋_GB2312" w:cs="Times New Roman"/>
          <w:b/>
          <w:color w:val="auto"/>
          <w:sz w:val="32"/>
          <w:szCs w:val="32"/>
          <w:highlight w:val="none"/>
          <w:lang w:val="en-US" w:eastAsia="zh-CN"/>
        </w:rPr>
        <w:t>10.</w:t>
      </w:r>
      <w:r>
        <w:rPr>
          <w:rFonts w:hint="eastAsia" w:ascii="仿宋_GB2312" w:hAnsi="仿宋" w:eastAsia="仿宋_GB2312" w:cs="Times New Roman"/>
          <w:b/>
          <w:color w:val="auto"/>
          <w:sz w:val="32"/>
          <w:szCs w:val="32"/>
          <w:highlight w:val="none"/>
        </w:rPr>
        <w:t>卫生健康支出（类）基层医疗卫生机构（款）</w:t>
      </w:r>
      <w:r>
        <w:rPr>
          <w:rFonts w:hint="eastAsia" w:ascii="仿宋_GB2312" w:hAnsi="仿宋" w:eastAsia="仿宋_GB2312" w:cs="Times New Roman"/>
          <w:b/>
          <w:color w:val="auto"/>
          <w:sz w:val="32"/>
          <w:szCs w:val="32"/>
          <w:highlight w:val="none"/>
          <w:lang w:eastAsia="zh-CN"/>
        </w:rPr>
        <w:t>其他基层医疗卫生机构支出</w:t>
      </w:r>
      <w:r>
        <w:rPr>
          <w:rFonts w:hint="eastAsia" w:ascii="仿宋_GB2312" w:hAnsi="仿宋" w:eastAsia="仿宋_GB2312" w:cs="Times New Roman"/>
          <w:b/>
          <w:color w:val="auto"/>
          <w:sz w:val="32"/>
          <w:szCs w:val="32"/>
          <w:highlight w:val="none"/>
        </w:rPr>
        <w:t>（项）</w:t>
      </w:r>
      <w:r>
        <w:rPr>
          <w:rFonts w:hint="eastAsia" w:ascii="仿宋_GB2312" w:hAnsi="仿宋" w:eastAsia="仿宋_GB2312" w:cs="Times New Roman"/>
          <w:color w:val="auto"/>
          <w:sz w:val="32"/>
          <w:szCs w:val="32"/>
          <w:highlight w:val="none"/>
          <w:lang w:eastAsia="zh-CN"/>
        </w:rPr>
        <w:t>202</w:t>
      </w:r>
      <w:r>
        <w:rPr>
          <w:rFonts w:hint="eastAsia" w:ascii="仿宋_GB2312" w:hAnsi="仿宋" w:eastAsia="仿宋_GB2312" w:cs="Times New Roman"/>
          <w:color w:val="auto"/>
          <w:sz w:val="32"/>
          <w:szCs w:val="32"/>
          <w:highlight w:val="none"/>
          <w:lang w:val="en-US" w:eastAsia="zh-CN"/>
        </w:rPr>
        <w:t>3</w:t>
      </w:r>
      <w:r>
        <w:rPr>
          <w:rFonts w:hint="eastAsia" w:ascii="仿宋_GB2312" w:hAnsi="仿宋" w:eastAsia="仿宋_GB2312" w:cs="Times New Roman"/>
          <w:color w:val="auto"/>
          <w:sz w:val="32"/>
          <w:szCs w:val="32"/>
          <w:highlight w:val="none"/>
          <w:lang w:eastAsia="zh-CN"/>
        </w:rPr>
        <w:t>年</w:t>
      </w:r>
      <w:r>
        <w:rPr>
          <w:rFonts w:hint="eastAsia" w:ascii="仿宋_GB2312" w:hAnsi="仿宋" w:eastAsia="仿宋_GB2312" w:cs="Times New Roman"/>
          <w:color w:val="auto"/>
          <w:sz w:val="32"/>
          <w:szCs w:val="32"/>
          <w:highlight w:val="none"/>
        </w:rPr>
        <w:t>预算</w:t>
      </w:r>
      <w:r>
        <w:rPr>
          <w:rFonts w:hint="eastAsia" w:ascii="仿宋_GB2312" w:hAnsi="仿宋" w:eastAsia="仿宋_GB2312" w:cs="Times New Roman"/>
          <w:color w:val="auto"/>
          <w:sz w:val="32"/>
          <w:szCs w:val="32"/>
          <w:highlight w:val="none"/>
          <w:lang w:val="en-US" w:eastAsia="zh-CN"/>
        </w:rPr>
        <w:t>143.91</w:t>
      </w:r>
      <w:r>
        <w:rPr>
          <w:rFonts w:hint="eastAsia" w:ascii="仿宋_GB2312" w:hAnsi="仿宋" w:eastAsia="仿宋_GB2312" w:cs="Times New Roman"/>
          <w:color w:val="auto"/>
          <w:sz w:val="32"/>
          <w:szCs w:val="32"/>
          <w:highlight w:val="none"/>
        </w:rPr>
        <w:t>万元，比</w:t>
      </w:r>
      <w:r>
        <w:rPr>
          <w:rFonts w:hint="eastAsia" w:ascii="仿宋_GB2312" w:hAnsi="仿宋" w:eastAsia="仿宋_GB2312" w:cs="Times New Roman"/>
          <w:color w:val="auto"/>
          <w:sz w:val="32"/>
          <w:szCs w:val="32"/>
          <w:highlight w:val="none"/>
          <w:lang w:eastAsia="zh-CN"/>
        </w:rPr>
        <w:t>202</w:t>
      </w:r>
      <w:r>
        <w:rPr>
          <w:rFonts w:hint="eastAsia" w:ascii="仿宋_GB2312" w:hAnsi="仿宋" w:eastAsia="仿宋_GB2312" w:cs="Times New Roman"/>
          <w:color w:val="auto"/>
          <w:sz w:val="32"/>
          <w:szCs w:val="32"/>
          <w:highlight w:val="none"/>
          <w:lang w:val="en-US" w:eastAsia="zh-CN"/>
        </w:rPr>
        <w:t>2</w:t>
      </w:r>
      <w:r>
        <w:rPr>
          <w:rFonts w:hint="eastAsia" w:ascii="仿宋_GB2312" w:hAnsi="仿宋" w:eastAsia="仿宋_GB2312" w:cs="Times New Roman"/>
          <w:color w:val="auto"/>
          <w:sz w:val="32"/>
          <w:szCs w:val="32"/>
          <w:highlight w:val="none"/>
          <w:lang w:eastAsia="zh-CN"/>
        </w:rPr>
        <w:t>年</w:t>
      </w:r>
      <w:r>
        <w:rPr>
          <w:rFonts w:hint="eastAsia" w:ascii="仿宋_GB2312" w:hAnsi="仿宋" w:eastAsia="仿宋_GB2312" w:cs="Times New Roman"/>
          <w:color w:val="auto"/>
          <w:sz w:val="32"/>
          <w:szCs w:val="32"/>
          <w:highlight w:val="none"/>
        </w:rPr>
        <w:t>预算增加</w:t>
      </w:r>
      <w:r>
        <w:rPr>
          <w:rFonts w:hint="eastAsia" w:ascii="仿宋_GB2312" w:hAnsi="仿宋" w:eastAsia="仿宋_GB2312"/>
          <w:color w:val="auto"/>
          <w:sz w:val="32"/>
          <w:szCs w:val="32"/>
          <w:highlight w:val="none"/>
          <w:lang w:val="en-US" w:eastAsia="zh-CN"/>
        </w:rPr>
        <w:t>67.23</w:t>
      </w:r>
      <w:r>
        <w:rPr>
          <w:rFonts w:hint="eastAsia" w:ascii="仿宋_GB2312" w:hAnsi="仿宋" w:eastAsia="仿宋_GB2312" w:cs="Times New Roman"/>
          <w:color w:val="auto"/>
          <w:sz w:val="32"/>
          <w:szCs w:val="32"/>
          <w:highlight w:val="none"/>
        </w:rPr>
        <w:t>万元，增长</w:t>
      </w:r>
      <w:r>
        <w:rPr>
          <w:rFonts w:hint="eastAsia" w:ascii="仿宋_GB2312" w:hAnsi="仿宋" w:eastAsia="仿宋_GB2312"/>
          <w:color w:val="auto"/>
          <w:sz w:val="32"/>
          <w:szCs w:val="32"/>
          <w:highlight w:val="none"/>
          <w:lang w:val="en-US" w:eastAsia="zh-CN"/>
        </w:rPr>
        <w:t>87.67</w:t>
      </w:r>
      <w:r>
        <w:rPr>
          <w:rFonts w:hint="eastAsia" w:ascii="仿宋_GB2312" w:hAnsi="仿宋" w:eastAsia="仿宋_GB2312" w:cs="Times New Roman"/>
          <w:color w:val="auto"/>
          <w:sz w:val="32"/>
          <w:szCs w:val="32"/>
          <w:highlight w:val="none"/>
        </w:rPr>
        <w:t>%</w:t>
      </w:r>
      <w:r>
        <w:rPr>
          <w:rFonts w:hint="eastAsia" w:ascii="仿宋_GB2312" w:hAnsi="仿宋" w:eastAsia="仿宋_GB2312" w:cs="Times New Roman"/>
          <w:color w:val="auto"/>
          <w:sz w:val="32"/>
          <w:szCs w:val="32"/>
          <w:highlight w:val="none"/>
          <w:lang w:eastAsia="zh-CN"/>
        </w:rPr>
        <w:t>。</w:t>
      </w:r>
      <w:r>
        <w:rPr>
          <w:rFonts w:hint="eastAsia" w:ascii="仿宋_GB2312" w:hAnsi="仿宋" w:eastAsia="仿宋_GB2312" w:cs="Times New Roman"/>
          <w:color w:val="auto"/>
          <w:sz w:val="32"/>
          <w:szCs w:val="32"/>
          <w:highlight w:val="none"/>
        </w:rPr>
        <w:t>增长原因主要是</w:t>
      </w:r>
      <w:r>
        <w:rPr>
          <w:rFonts w:hint="eastAsia" w:ascii="仿宋_GB2312" w:hAnsi="仿宋" w:eastAsia="仿宋_GB2312" w:cs="Times New Roman"/>
          <w:color w:val="auto"/>
          <w:sz w:val="32"/>
          <w:szCs w:val="32"/>
          <w:highlight w:val="none"/>
          <w:lang w:eastAsia="zh-CN"/>
        </w:rPr>
        <w:t>全县各</w:t>
      </w:r>
      <w:r>
        <w:rPr>
          <w:rFonts w:hint="eastAsia" w:ascii="仿宋_GB2312" w:hAnsi="仿宋" w:eastAsia="仿宋_GB2312"/>
          <w:color w:val="auto"/>
          <w:sz w:val="32"/>
          <w:szCs w:val="32"/>
          <w:highlight w:val="none"/>
        </w:rPr>
        <w:t>乡镇</w:t>
      </w:r>
      <w:r>
        <w:rPr>
          <w:rFonts w:hint="eastAsia" w:ascii="仿宋_GB2312" w:hAnsi="仿宋" w:eastAsia="仿宋_GB2312"/>
          <w:color w:val="auto"/>
          <w:sz w:val="32"/>
          <w:szCs w:val="32"/>
          <w:highlight w:val="none"/>
          <w:lang w:eastAsia="zh-CN"/>
        </w:rPr>
        <w:t>村</w:t>
      </w:r>
      <w:r>
        <w:rPr>
          <w:rFonts w:hint="eastAsia" w:ascii="仿宋_GB2312" w:hAnsi="仿宋" w:eastAsia="仿宋_GB2312"/>
          <w:color w:val="auto"/>
          <w:sz w:val="32"/>
          <w:szCs w:val="32"/>
          <w:highlight w:val="none"/>
        </w:rPr>
        <w:t>卫生</w:t>
      </w:r>
      <w:r>
        <w:rPr>
          <w:rFonts w:hint="eastAsia" w:ascii="仿宋_GB2312" w:hAnsi="仿宋" w:eastAsia="仿宋_GB2312"/>
          <w:color w:val="auto"/>
          <w:sz w:val="32"/>
          <w:szCs w:val="32"/>
          <w:highlight w:val="none"/>
          <w:lang w:eastAsia="zh-CN"/>
        </w:rPr>
        <w:t>室运行经费增加</w:t>
      </w:r>
      <w:r>
        <w:rPr>
          <w:rFonts w:hint="eastAsia" w:ascii="仿宋_GB2312" w:hAnsi="仿宋" w:eastAsia="仿宋_GB2312" w:cs="Times New Roman"/>
          <w:color w:val="auto"/>
          <w:sz w:val="32"/>
          <w:szCs w:val="32"/>
          <w:highlight w:val="none"/>
        </w:rPr>
        <w:t>。</w:t>
      </w:r>
    </w:p>
    <w:p w14:paraId="47B35609">
      <w:pPr>
        <w:adjustRightInd w:val="0"/>
        <w:snapToGrid w:val="0"/>
        <w:spacing w:line="600" w:lineRule="exact"/>
        <w:ind w:firstLine="643" w:firstLineChars="200"/>
        <w:rPr>
          <w:rFonts w:hint="eastAsia" w:ascii="仿宋_GB2312" w:hAnsi="仿宋" w:eastAsia="仿宋_GB2312" w:cs="Times New Roman"/>
          <w:color w:val="auto"/>
          <w:sz w:val="32"/>
          <w:szCs w:val="32"/>
          <w:highlight w:val="none"/>
        </w:rPr>
      </w:pPr>
      <w:r>
        <w:rPr>
          <w:rFonts w:hint="eastAsia" w:ascii="仿宋_GB2312" w:hAnsi="仿宋" w:eastAsia="仿宋_GB2312" w:cs="Times New Roman"/>
          <w:b/>
          <w:color w:val="auto"/>
          <w:sz w:val="32"/>
          <w:szCs w:val="32"/>
          <w:highlight w:val="none"/>
          <w:lang w:val="en-US" w:eastAsia="zh-CN"/>
        </w:rPr>
        <w:t>11</w:t>
      </w:r>
      <w:r>
        <w:rPr>
          <w:rFonts w:hint="eastAsia" w:ascii="仿宋_GB2312" w:hAnsi="仿宋" w:eastAsia="仿宋_GB2312" w:cs="Times New Roman"/>
          <w:b/>
          <w:color w:val="auto"/>
          <w:sz w:val="32"/>
          <w:szCs w:val="32"/>
          <w:highlight w:val="none"/>
        </w:rPr>
        <w:t>.卫生健康支出（类）公共卫生（款）</w:t>
      </w:r>
      <w:r>
        <w:rPr>
          <w:rFonts w:hint="eastAsia" w:ascii="仿宋_GB2312" w:hAnsi="仿宋" w:eastAsia="仿宋_GB2312" w:cs="Times New Roman"/>
          <w:b/>
          <w:color w:val="auto"/>
          <w:sz w:val="32"/>
          <w:szCs w:val="32"/>
          <w:highlight w:val="none"/>
          <w:lang w:eastAsia="zh-CN"/>
        </w:rPr>
        <w:t>疾病预防控制机构</w:t>
      </w:r>
      <w:r>
        <w:rPr>
          <w:rFonts w:hint="eastAsia" w:ascii="仿宋_GB2312" w:hAnsi="仿宋" w:eastAsia="仿宋_GB2312" w:cs="Times New Roman"/>
          <w:b/>
          <w:color w:val="auto"/>
          <w:sz w:val="32"/>
          <w:szCs w:val="32"/>
          <w:highlight w:val="none"/>
        </w:rPr>
        <w:t>（项）</w:t>
      </w:r>
      <w:r>
        <w:rPr>
          <w:rFonts w:hint="eastAsia" w:ascii="仿宋_GB2312" w:hAnsi="仿宋" w:eastAsia="仿宋_GB2312" w:cs="Times New Roman"/>
          <w:color w:val="auto"/>
          <w:sz w:val="32"/>
          <w:szCs w:val="32"/>
          <w:highlight w:val="none"/>
          <w:lang w:eastAsia="zh-CN"/>
        </w:rPr>
        <w:t>202</w:t>
      </w:r>
      <w:r>
        <w:rPr>
          <w:rFonts w:hint="eastAsia" w:ascii="仿宋_GB2312" w:hAnsi="仿宋" w:eastAsia="仿宋_GB2312" w:cs="Times New Roman"/>
          <w:color w:val="auto"/>
          <w:sz w:val="32"/>
          <w:szCs w:val="32"/>
          <w:highlight w:val="none"/>
          <w:lang w:val="en-US" w:eastAsia="zh-CN"/>
        </w:rPr>
        <w:t>3</w:t>
      </w:r>
      <w:r>
        <w:rPr>
          <w:rFonts w:hint="eastAsia" w:ascii="仿宋_GB2312" w:hAnsi="仿宋" w:eastAsia="仿宋_GB2312" w:cs="Times New Roman"/>
          <w:color w:val="auto"/>
          <w:sz w:val="32"/>
          <w:szCs w:val="32"/>
          <w:highlight w:val="none"/>
          <w:lang w:eastAsia="zh-CN"/>
        </w:rPr>
        <w:t>年</w:t>
      </w:r>
      <w:r>
        <w:rPr>
          <w:rFonts w:hint="eastAsia" w:ascii="仿宋_GB2312" w:hAnsi="仿宋" w:eastAsia="仿宋_GB2312" w:cs="Times New Roman"/>
          <w:color w:val="auto"/>
          <w:sz w:val="32"/>
          <w:szCs w:val="32"/>
          <w:highlight w:val="none"/>
        </w:rPr>
        <w:t>预算</w:t>
      </w:r>
      <w:r>
        <w:rPr>
          <w:rFonts w:hint="eastAsia" w:ascii="仿宋_GB2312" w:hAnsi="仿宋" w:eastAsia="仿宋_GB2312" w:cs="Times New Roman"/>
          <w:color w:val="auto"/>
          <w:sz w:val="32"/>
          <w:szCs w:val="32"/>
          <w:highlight w:val="none"/>
          <w:lang w:val="en-US" w:eastAsia="zh-CN"/>
        </w:rPr>
        <w:t>1418.18</w:t>
      </w:r>
      <w:r>
        <w:rPr>
          <w:rFonts w:hint="eastAsia" w:ascii="仿宋_GB2312" w:hAnsi="仿宋" w:eastAsia="仿宋_GB2312" w:cs="Times New Roman"/>
          <w:color w:val="auto"/>
          <w:sz w:val="32"/>
          <w:szCs w:val="32"/>
          <w:highlight w:val="none"/>
        </w:rPr>
        <w:t>万元，比</w:t>
      </w:r>
      <w:r>
        <w:rPr>
          <w:rFonts w:hint="eastAsia" w:ascii="仿宋_GB2312" w:hAnsi="仿宋" w:eastAsia="仿宋_GB2312" w:cs="Times New Roman"/>
          <w:color w:val="auto"/>
          <w:sz w:val="32"/>
          <w:szCs w:val="32"/>
          <w:highlight w:val="none"/>
          <w:lang w:eastAsia="zh-CN"/>
        </w:rPr>
        <w:t>202</w:t>
      </w:r>
      <w:r>
        <w:rPr>
          <w:rFonts w:hint="eastAsia" w:ascii="仿宋_GB2312" w:hAnsi="仿宋" w:eastAsia="仿宋_GB2312" w:cs="Times New Roman"/>
          <w:color w:val="auto"/>
          <w:sz w:val="32"/>
          <w:szCs w:val="32"/>
          <w:highlight w:val="none"/>
          <w:lang w:val="en-US" w:eastAsia="zh-CN"/>
        </w:rPr>
        <w:t>2</w:t>
      </w:r>
      <w:r>
        <w:rPr>
          <w:rFonts w:hint="eastAsia" w:ascii="仿宋_GB2312" w:hAnsi="仿宋" w:eastAsia="仿宋_GB2312" w:cs="Times New Roman"/>
          <w:color w:val="auto"/>
          <w:sz w:val="32"/>
          <w:szCs w:val="32"/>
          <w:highlight w:val="none"/>
          <w:lang w:eastAsia="zh-CN"/>
        </w:rPr>
        <w:t>年</w:t>
      </w:r>
      <w:r>
        <w:rPr>
          <w:rFonts w:hint="eastAsia" w:ascii="仿宋_GB2312" w:hAnsi="仿宋" w:eastAsia="仿宋_GB2312" w:cs="Times New Roman"/>
          <w:color w:val="auto"/>
          <w:sz w:val="32"/>
          <w:szCs w:val="32"/>
          <w:highlight w:val="none"/>
        </w:rPr>
        <w:t>预算</w:t>
      </w:r>
      <w:r>
        <w:rPr>
          <w:rFonts w:hint="eastAsia" w:ascii="仿宋_GB2312" w:hAnsi="仿宋" w:eastAsia="仿宋_GB2312" w:cs="Times New Roman"/>
          <w:color w:val="auto"/>
          <w:sz w:val="32"/>
          <w:szCs w:val="32"/>
          <w:highlight w:val="none"/>
          <w:lang w:eastAsia="zh-CN"/>
        </w:rPr>
        <w:t>减少</w:t>
      </w:r>
      <w:r>
        <w:rPr>
          <w:rFonts w:hint="eastAsia" w:ascii="仿宋_GB2312" w:hAnsi="仿宋" w:eastAsia="仿宋_GB2312" w:cs="Times New Roman"/>
          <w:color w:val="auto"/>
          <w:sz w:val="32"/>
          <w:szCs w:val="32"/>
          <w:highlight w:val="none"/>
          <w:lang w:val="en-US" w:eastAsia="zh-CN"/>
        </w:rPr>
        <w:t>3692.91</w:t>
      </w:r>
      <w:r>
        <w:rPr>
          <w:rFonts w:hint="eastAsia" w:ascii="仿宋_GB2312" w:hAnsi="仿宋" w:eastAsia="仿宋_GB2312" w:cs="Times New Roman"/>
          <w:color w:val="auto"/>
          <w:sz w:val="32"/>
          <w:szCs w:val="32"/>
          <w:highlight w:val="none"/>
        </w:rPr>
        <w:t>万元，</w:t>
      </w:r>
      <w:r>
        <w:rPr>
          <w:rFonts w:hint="eastAsia" w:ascii="仿宋_GB2312" w:hAnsi="仿宋" w:eastAsia="仿宋_GB2312" w:cs="Times New Roman"/>
          <w:color w:val="auto"/>
          <w:sz w:val="32"/>
          <w:szCs w:val="32"/>
          <w:highlight w:val="none"/>
          <w:lang w:eastAsia="zh-CN"/>
        </w:rPr>
        <w:t>减少</w:t>
      </w:r>
      <w:r>
        <w:rPr>
          <w:rFonts w:hint="eastAsia" w:ascii="仿宋_GB2312" w:hAnsi="仿宋" w:eastAsia="仿宋_GB2312" w:cs="Times New Roman"/>
          <w:color w:val="auto"/>
          <w:sz w:val="32"/>
          <w:szCs w:val="32"/>
          <w:highlight w:val="none"/>
          <w:lang w:val="en-US" w:eastAsia="zh-CN"/>
        </w:rPr>
        <w:t>72.25</w:t>
      </w:r>
      <w:r>
        <w:rPr>
          <w:rFonts w:hint="eastAsia" w:ascii="仿宋_GB2312" w:hAnsi="仿宋" w:eastAsia="仿宋_GB2312" w:cs="Times New Roman"/>
          <w:color w:val="auto"/>
          <w:sz w:val="32"/>
          <w:szCs w:val="32"/>
          <w:highlight w:val="none"/>
        </w:rPr>
        <w:t>%</w:t>
      </w:r>
      <w:r>
        <w:rPr>
          <w:rFonts w:hint="eastAsia" w:ascii="仿宋_GB2312" w:hAnsi="仿宋" w:eastAsia="仿宋_GB2312" w:cs="Times New Roman"/>
          <w:color w:val="auto"/>
          <w:sz w:val="32"/>
          <w:szCs w:val="32"/>
          <w:highlight w:val="none"/>
          <w:lang w:eastAsia="zh-CN"/>
        </w:rPr>
        <w:t>。减少</w:t>
      </w:r>
      <w:r>
        <w:rPr>
          <w:rFonts w:hint="eastAsia" w:ascii="仿宋_GB2312" w:hAnsi="仿宋" w:eastAsia="仿宋_GB2312" w:cs="Times New Roman"/>
          <w:color w:val="auto"/>
          <w:sz w:val="32"/>
          <w:szCs w:val="32"/>
          <w:highlight w:val="none"/>
        </w:rPr>
        <w:t>原因主要是</w:t>
      </w:r>
      <w:r>
        <w:rPr>
          <w:rFonts w:hint="eastAsia" w:ascii="仿宋_GB2312" w:hAnsi="仿宋" w:eastAsia="仿宋_GB2312" w:cs="Times New Roman"/>
          <w:color w:val="auto"/>
          <w:sz w:val="32"/>
          <w:szCs w:val="32"/>
          <w:highlight w:val="none"/>
          <w:lang w:eastAsia="zh-CN"/>
        </w:rPr>
        <w:t>县疾控中</w:t>
      </w:r>
      <w:r>
        <w:rPr>
          <w:rFonts w:hint="eastAsia" w:ascii="仿宋_GB2312" w:hAnsi="仿宋_GB2312" w:eastAsia="仿宋_GB2312" w:cs="仿宋_GB2312"/>
          <w:color w:val="auto"/>
          <w:sz w:val="32"/>
          <w:szCs w:val="32"/>
          <w:highlight w:val="none"/>
          <w:lang w:eastAsia="zh-CN"/>
        </w:rPr>
        <w:t>心代收各乡镇</w:t>
      </w:r>
      <w:r>
        <w:rPr>
          <w:rFonts w:hint="eastAsia" w:ascii="仿宋_GB2312" w:hAnsi="仿宋_GB2312" w:eastAsia="仿宋_GB2312" w:cs="仿宋_GB2312"/>
          <w:color w:val="auto"/>
          <w:sz w:val="32"/>
          <w:szCs w:val="32"/>
          <w:highlight w:val="none"/>
        </w:rPr>
        <w:t>疫苗款不</w:t>
      </w:r>
      <w:r>
        <w:rPr>
          <w:rFonts w:hint="eastAsia" w:ascii="仿宋_GB2312" w:hAnsi="仿宋_GB2312" w:eastAsia="仿宋_GB2312" w:cs="仿宋_GB2312"/>
          <w:color w:val="auto"/>
          <w:sz w:val="32"/>
          <w:szCs w:val="32"/>
          <w:highlight w:val="none"/>
          <w:lang w:eastAsia="zh-CN"/>
        </w:rPr>
        <w:t>列非税</w:t>
      </w:r>
      <w:r>
        <w:rPr>
          <w:rFonts w:hint="eastAsia" w:ascii="仿宋_GB2312" w:hAnsi="仿宋_GB2312" w:eastAsia="仿宋_GB2312" w:cs="仿宋_GB2312"/>
          <w:color w:val="auto"/>
          <w:sz w:val="32"/>
          <w:szCs w:val="32"/>
          <w:highlight w:val="none"/>
        </w:rPr>
        <w:t>收入返还资金中支出</w:t>
      </w:r>
      <w:r>
        <w:rPr>
          <w:rFonts w:hint="eastAsia" w:ascii="仿宋_GB2312" w:hAnsi="仿宋" w:eastAsia="仿宋_GB2312" w:cs="Times New Roman"/>
          <w:color w:val="auto"/>
          <w:sz w:val="32"/>
          <w:szCs w:val="32"/>
          <w:highlight w:val="none"/>
        </w:rPr>
        <w:t>。</w:t>
      </w:r>
    </w:p>
    <w:p w14:paraId="44A8B479">
      <w:pPr>
        <w:adjustRightInd w:val="0"/>
        <w:snapToGrid w:val="0"/>
        <w:spacing w:line="600" w:lineRule="exact"/>
        <w:ind w:firstLine="643" w:firstLineChars="200"/>
        <w:rPr>
          <w:rFonts w:hint="eastAsia" w:ascii="仿宋_GB2312" w:hAnsi="仿宋" w:eastAsia="仿宋_GB2312" w:cs="Times New Roman"/>
          <w:color w:val="auto"/>
          <w:sz w:val="32"/>
          <w:szCs w:val="32"/>
          <w:highlight w:val="none"/>
        </w:rPr>
      </w:pPr>
      <w:r>
        <w:rPr>
          <w:rFonts w:hint="eastAsia" w:ascii="仿宋_GB2312" w:hAnsi="仿宋" w:eastAsia="仿宋_GB2312" w:cs="Times New Roman"/>
          <w:b/>
          <w:color w:val="auto"/>
          <w:sz w:val="32"/>
          <w:szCs w:val="32"/>
          <w:highlight w:val="none"/>
          <w:lang w:val="en-US" w:eastAsia="zh-CN"/>
        </w:rPr>
        <w:t>12</w:t>
      </w:r>
      <w:r>
        <w:rPr>
          <w:rFonts w:hint="eastAsia" w:ascii="仿宋_GB2312" w:hAnsi="仿宋" w:eastAsia="仿宋_GB2312" w:cs="Times New Roman"/>
          <w:b/>
          <w:color w:val="auto"/>
          <w:sz w:val="32"/>
          <w:szCs w:val="32"/>
          <w:highlight w:val="none"/>
        </w:rPr>
        <w:t>.卫生健康支出（类）公共卫生（款）</w:t>
      </w:r>
      <w:r>
        <w:rPr>
          <w:rFonts w:hint="eastAsia" w:ascii="仿宋_GB2312" w:hAnsi="仿宋" w:eastAsia="仿宋_GB2312" w:cs="Times New Roman"/>
          <w:b/>
          <w:color w:val="auto"/>
          <w:sz w:val="32"/>
          <w:szCs w:val="32"/>
          <w:highlight w:val="none"/>
          <w:lang w:eastAsia="zh-CN"/>
        </w:rPr>
        <w:t>卫生监督机构</w:t>
      </w:r>
      <w:r>
        <w:rPr>
          <w:rFonts w:hint="eastAsia" w:ascii="仿宋_GB2312" w:hAnsi="仿宋" w:eastAsia="仿宋_GB2312" w:cs="Times New Roman"/>
          <w:b/>
          <w:color w:val="auto"/>
          <w:sz w:val="32"/>
          <w:szCs w:val="32"/>
          <w:highlight w:val="none"/>
        </w:rPr>
        <w:t>（项）</w:t>
      </w:r>
      <w:r>
        <w:rPr>
          <w:rFonts w:hint="eastAsia" w:ascii="仿宋_GB2312" w:hAnsi="仿宋" w:eastAsia="仿宋_GB2312" w:cs="Times New Roman"/>
          <w:b/>
          <w:color w:val="auto"/>
          <w:sz w:val="32"/>
          <w:szCs w:val="32"/>
          <w:highlight w:val="none"/>
          <w:lang w:val="en-US" w:eastAsia="zh-CN"/>
        </w:rPr>
        <w:t xml:space="preserve"> </w:t>
      </w:r>
      <w:r>
        <w:rPr>
          <w:rFonts w:hint="eastAsia" w:ascii="仿宋_GB2312" w:hAnsi="仿宋" w:eastAsia="仿宋_GB2312" w:cs="Times New Roman"/>
          <w:color w:val="auto"/>
          <w:sz w:val="32"/>
          <w:szCs w:val="32"/>
          <w:highlight w:val="none"/>
          <w:lang w:eastAsia="zh-CN"/>
        </w:rPr>
        <w:t>202</w:t>
      </w:r>
      <w:r>
        <w:rPr>
          <w:rFonts w:hint="eastAsia" w:ascii="仿宋_GB2312" w:hAnsi="仿宋" w:eastAsia="仿宋_GB2312" w:cs="Times New Roman"/>
          <w:color w:val="auto"/>
          <w:sz w:val="32"/>
          <w:szCs w:val="32"/>
          <w:highlight w:val="none"/>
          <w:lang w:val="en-US" w:eastAsia="zh-CN"/>
        </w:rPr>
        <w:t>3</w:t>
      </w:r>
      <w:r>
        <w:rPr>
          <w:rFonts w:hint="eastAsia" w:ascii="仿宋_GB2312" w:hAnsi="仿宋" w:eastAsia="仿宋_GB2312" w:cs="Times New Roman"/>
          <w:color w:val="auto"/>
          <w:sz w:val="32"/>
          <w:szCs w:val="32"/>
          <w:highlight w:val="none"/>
          <w:lang w:eastAsia="zh-CN"/>
        </w:rPr>
        <w:t>年</w:t>
      </w:r>
      <w:r>
        <w:rPr>
          <w:rFonts w:hint="eastAsia" w:ascii="仿宋_GB2312" w:hAnsi="仿宋" w:eastAsia="仿宋_GB2312" w:cs="Times New Roman"/>
          <w:color w:val="auto"/>
          <w:sz w:val="32"/>
          <w:szCs w:val="32"/>
          <w:highlight w:val="none"/>
        </w:rPr>
        <w:t>预算</w:t>
      </w:r>
      <w:r>
        <w:rPr>
          <w:rFonts w:hint="eastAsia" w:ascii="仿宋_GB2312" w:hAnsi="仿宋" w:eastAsia="仿宋_GB2312" w:cs="Times New Roman"/>
          <w:color w:val="auto"/>
          <w:sz w:val="32"/>
          <w:szCs w:val="32"/>
          <w:highlight w:val="none"/>
          <w:lang w:val="en-US" w:eastAsia="zh-CN"/>
        </w:rPr>
        <w:t>548.84</w:t>
      </w:r>
      <w:r>
        <w:rPr>
          <w:rFonts w:hint="eastAsia" w:ascii="仿宋_GB2312" w:hAnsi="仿宋" w:eastAsia="仿宋_GB2312" w:cs="Times New Roman"/>
          <w:color w:val="auto"/>
          <w:sz w:val="32"/>
          <w:szCs w:val="32"/>
          <w:highlight w:val="none"/>
        </w:rPr>
        <w:t>万元，比</w:t>
      </w:r>
      <w:r>
        <w:rPr>
          <w:rFonts w:hint="eastAsia" w:ascii="仿宋_GB2312" w:hAnsi="仿宋" w:eastAsia="仿宋_GB2312" w:cs="Times New Roman"/>
          <w:color w:val="auto"/>
          <w:sz w:val="32"/>
          <w:szCs w:val="32"/>
          <w:highlight w:val="none"/>
          <w:lang w:eastAsia="zh-CN"/>
        </w:rPr>
        <w:t>202</w:t>
      </w:r>
      <w:r>
        <w:rPr>
          <w:rFonts w:hint="eastAsia" w:ascii="仿宋_GB2312" w:hAnsi="仿宋" w:eastAsia="仿宋_GB2312" w:cs="Times New Roman"/>
          <w:color w:val="auto"/>
          <w:sz w:val="32"/>
          <w:szCs w:val="32"/>
          <w:highlight w:val="none"/>
          <w:lang w:val="en-US" w:eastAsia="zh-CN"/>
        </w:rPr>
        <w:t>2</w:t>
      </w:r>
      <w:r>
        <w:rPr>
          <w:rFonts w:hint="eastAsia" w:ascii="仿宋_GB2312" w:hAnsi="仿宋" w:eastAsia="仿宋_GB2312" w:cs="Times New Roman"/>
          <w:color w:val="auto"/>
          <w:sz w:val="32"/>
          <w:szCs w:val="32"/>
          <w:highlight w:val="none"/>
          <w:lang w:eastAsia="zh-CN"/>
        </w:rPr>
        <w:t>年</w:t>
      </w:r>
      <w:r>
        <w:rPr>
          <w:rFonts w:hint="eastAsia" w:ascii="仿宋_GB2312" w:hAnsi="仿宋" w:eastAsia="仿宋_GB2312" w:cs="Times New Roman"/>
          <w:color w:val="auto"/>
          <w:sz w:val="32"/>
          <w:szCs w:val="32"/>
          <w:highlight w:val="none"/>
        </w:rPr>
        <w:t>预算增加</w:t>
      </w:r>
      <w:r>
        <w:rPr>
          <w:rFonts w:hint="eastAsia" w:ascii="仿宋_GB2312" w:hAnsi="仿宋" w:eastAsia="仿宋_GB2312"/>
          <w:color w:val="auto"/>
          <w:sz w:val="32"/>
          <w:szCs w:val="32"/>
          <w:highlight w:val="none"/>
          <w:lang w:val="en-US" w:eastAsia="zh-CN"/>
        </w:rPr>
        <w:t>100.37</w:t>
      </w:r>
      <w:r>
        <w:rPr>
          <w:rFonts w:hint="eastAsia" w:ascii="仿宋_GB2312" w:hAnsi="仿宋" w:eastAsia="仿宋_GB2312" w:cs="Times New Roman"/>
          <w:color w:val="auto"/>
          <w:sz w:val="32"/>
          <w:szCs w:val="32"/>
          <w:highlight w:val="none"/>
        </w:rPr>
        <w:t>万元，增长</w:t>
      </w:r>
      <w:r>
        <w:rPr>
          <w:rFonts w:hint="eastAsia" w:ascii="仿宋_GB2312" w:hAnsi="仿宋" w:eastAsia="仿宋_GB2312"/>
          <w:color w:val="auto"/>
          <w:sz w:val="32"/>
          <w:szCs w:val="32"/>
          <w:highlight w:val="none"/>
          <w:lang w:val="en-US" w:eastAsia="zh-CN"/>
        </w:rPr>
        <w:t>22.38</w:t>
      </w:r>
      <w:r>
        <w:rPr>
          <w:rFonts w:hint="eastAsia" w:ascii="仿宋_GB2312" w:hAnsi="仿宋" w:eastAsia="仿宋_GB2312" w:cs="Times New Roman"/>
          <w:color w:val="auto"/>
          <w:sz w:val="32"/>
          <w:szCs w:val="32"/>
          <w:highlight w:val="none"/>
        </w:rPr>
        <w:t>%</w:t>
      </w:r>
      <w:r>
        <w:rPr>
          <w:rFonts w:hint="eastAsia" w:ascii="仿宋_GB2312" w:hAnsi="仿宋" w:eastAsia="仿宋_GB2312" w:cs="Times New Roman"/>
          <w:color w:val="auto"/>
          <w:sz w:val="32"/>
          <w:szCs w:val="32"/>
          <w:highlight w:val="none"/>
          <w:lang w:eastAsia="zh-CN"/>
        </w:rPr>
        <w:t>。</w:t>
      </w:r>
      <w:r>
        <w:rPr>
          <w:rFonts w:hint="eastAsia" w:ascii="仿宋_GB2312" w:hAnsi="仿宋" w:eastAsia="仿宋_GB2312" w:cs="Times New Roman"/>
          <w:color w:val="auto"/>
          <w:sz w:val="32"/>
          <w:szCs w:val="32"/>
          <w:highlight w:val="none"/>
        </w:rPr>
        <w:t>增长原因主要是</w:t>
      </w:r>
      <w:r>
        <w:rPr>
          <w:rFonts w:hint="eastAsia" w:ascii="仿宋_GB2312" w:hAnsi="仿宋" w:eastAsia="仿宋_GB2312"/>
          <w:color w:val="auto"/>
          <w:sz w:val="32"/>
          <w:szCs w:val="32"/>
          <w:highlight w:val="none"/>
          <w:lang w:eastAsia="zh-CN"/>
        </w:rPr>
        <w:t>在编在岗人员增资</w:t>
      </w:r>
      <w:r>
        <w:rPr>
          <w:rFonts w:hint="eastAsia" w:ascii="仿宋_GB2312" w:hAnsi="仿宋" w:eastAsia="仿宋_GB2312" w:cs="Times New Roman"/>
          <w:color w:val="auto"/>
          <w:sz w:val="32"/>
          <w:szCs w:val="32"/>
          <w:highlight w:val="none"/>
        </w:rPr>
        <w:t>。</w:t>
      </w:r>
    </w:p>
    <w:p w14:paraId="3E813B20">
      <w:pPr>
        <w:adjustRightInd w:val="0"/>
        <w:snapToGrid w:val="0"/>
        <w:spacing w:line="600" w:lineRule="exact"/>
        <w:ind w:firstLine="643" w:firstLineChars="200"/>
        <w:rPr>
          <w:rFonts w:hint="eastAsia" w:ascii="仿宋_GB2312" w:hAnsi="仿宋" w:eastAsia="仿宋_GB2312" w:cs="Times New Roman"/>
          <w:color w:val="auto"/>
          <w:sz w:val="32"/>
          <w:szCs w:val="32"/>
          <w:highlight w:val="none"/>
        </w:rPr>
      </w:pPr>
      <w:r>
        <w:rPr>
          <w:rFonts w:hint="eastAsia" w:ascii="仿宋_GB2312" w:hAnsi="仿宋" w:eastAsia="仿宋_GB2312" w:cs="Times New Roman"/>
          <w:b/>
          <w:color w:val="auto"/>
          <w:sz w:val="32"/>
          <w:szCs w:val="32"/>
          <w:highlight w:val="none"/>
          <w:lang w:val="en-US" w:eastAsia="zh-CN"/>
        </w:rPr>
        <w:t>13</w:t>
      </w:r>
      <w:r>
        <w:rPr>
          <w:rFonts w:hint="eastAsia" w:ascii="仿宋_GB2312" w:hAnsi="仿宋" w:eastAsia="仿宋_GB2312" w:cs="Times New Roman"/>
          <w:b/>
          <w:color w:val="auto"/>
          <w:sz w:val="32"/>
          <w:szCs w:val="32"/>
          <w:highlight w:val="none"/>
        </w:rPr>
        <w:t>.卫生健康支出（类）公共卫生（款）</w:t>
      </w:r>
      <w:r>
        <w:rPr>
          <w:rFonts w:hint="eastAsia" w:ascii="仿宋_GB2312" w:hAnsi="仿宋" w:eastAsia="仿宋_GB2312" w:cs="Times New Roman"/>
          <w:b/>
          <w:color w:val="auto"/>
          <w:sz w:val="32"/>
          <w:szCs w:val="32"/>
          <w:highlight w:val="none"/>
          <w:lang w:eastAsia="zh-CN"/>
        </w:rPr>
        <w:t>妇幼保健机构</w:t>
      </w:r>
      <w:r>
        <w:rPr>
          <w:rFonts w:hint="eastAsia" w:ascii="仿宋_GB2312" w:hAnsi="仿宋" w:eastAsia="仿宋_GB2312" w:cs="Times New Roman"/>
          <w:b/>
          <w:color w:val="auto"/>
          <w:sz w:val="32"/>
          <w:szCs w:val="32"/>
          <w:highlight w:val="none"/>
        </w:rPr>
        <w:t>（项）</w:t>
      </w:r>
      <w:r>
        <w:rPr>
          <w:rFonts w:hint="eastAsia" w:ascii="仿宋_GB2312" w:hAnsi="仿宋" w:eastAsia="仿宋_GB2312" w:cs="Times New Roman"/>
          <w:b/>
          <w:color w:val="auto"/>
          <w:sz w:val="32"/>
          <w:szCs w:val="32"/>
          <w:highlight w:val="none"/>
          <w:lang w:val="en-US" w:eastAsia="zh-CN"/>
        </w:rPr>
        <w:t xml:space="preserve"> </w:t>
      </w:r>
      <w:r>
        <w:rPr>
          <w:rFonts w:hint="eastAsia" w:ascii="仿宋_GB2312" w:hAnsi="仿宋" w:eastAsia="仿宋_GB2312" w:cs="Times New Roman"/>
          <w:color w:val="auto"/>
          <w:sz w:val="32"/>
          <w:szCs w:val="32"/>
          <w:highlight w:val="none"/>
          <w:lang w:eastAsia="zh-CN"/>
        </w:rPr>
        <w:t>202</w:t>
      </w:r>
      <w:r>
        <w:rPr>
          <w:rFonts w:hint="eastAsia" w:ascii="仿宋_GB2312" w:hAnsi="仿宋" w:eastAsia="仿宋_GB2312" w:cs="Times New Roman"/>
          <w:color w:val="auto"/>
          <w:sz w:val="32"/>
          <w:szCs w:val="32"/>
          <w:highlight w:val="none"/>
          <w:lang w:val="en-US" w:eastAsia="zh-CN"/>
        </w:rPr>
        <w:t>3</w:t>
      </w:r>
      <w:r>
        <w:rPr>
          <w:rFonts w:hint="eastAsia" w:ascii="仿宋_GB2312" w:hAnsi="仿宋" w:eastAsia="仿宋_GB2312" w:cs="Times New Roman"/>
          <w:color w:val="auto"/>
          <w:sz w:val="32"/>
          <w:szCs w:val="32"/>
          <w:highlight w:val="none"/>
          <w:lang w:eastAsia="zh-CN"/>
        </w:rPr>
        <w:t>年</w:t>
      </w:r>
      <w:r>
        <w:rPr>
          <w:rFonts w:hint="eastAsia" w:ascii="仿宋_GB2312" w:hAnsi="仿宋" w:eastAsia="仿宋_GB2312" w:cs="Times New Roman"/>
          <w:color w:val="auto"/>
          <w:sz w:val="32"/>
          <w:szCs w:val="32"/>
          <w:highlight w:val="none"/>
        </w:rPr>
        <w:t>预算</w:t>
      </w:r>
      <w:r>
        <w:rPr>
          <w:rFonts w:hint="eastAsia" w:ascii="仿宋_GB2312" w:hAnsi="仿宋" w:eastAsia="仿宋_GB2312" w:cs="Times New Roman"/>
          <w:color w:val="auto"/>
          <w:sz w:val="32"/>
          <w:szCs w:val="32"/>
          <w:highlight w:val="none"/>
          <w:lang w:val="en-US" w:eastAsia="zh-CN"/>
        </w:rPr>
        <w:t>865.65</w:t>
      </w:r>
      <w:r>
        <w:rPr>
          <w:rFonts w:hint="eastAsia" w:ascii="仿宋_GB2312" w:hAnsi="仿宋" w:eastAsia="仿宋_GB2312" w:cs="Times New Roman"/>
          <w:color w:val="auto"/>
          <w:sz w:val="32"/>
          <w:szCs w:val="32"/>
          <w:highlight w:val="none"/>
        </w:rPr>
        <w:t>万元，比</w:t>
      </w:r>
      <w:r>
        <w:rPr>
          <w:rFonts w:hint="eastAsia" w:ascii="仿宋_GB2312" w:hAnsi="仿宋" w:eastAsia="仿宋_GB2312" w:cs="Times New Roman"/>
          <w:color w:val="auto"/>
          <w:sz w:val="32"/>
          <w:szCs w:val="32"/>
          <w:highlight w:val="none"/>
          <w:lang w:eastAsia="zh-CN"/>
        </w:rPr>
        <w:t>202</w:t>
      </w:r>
      <w:r>
        <w:rPr>
          <w:rFonts w:hint="eastAsia" w:ascii="仿宋_GB2312" w:hAnsi="仿宋" w:eastAsia="仿宋_GB2312" w:cs="Times New Roman"/>
          <w:color w:val="auto"/>
          <w:sz w:val="32"/>
          <w:szCs w:val="32"/>
          <w:highlight w:val="none"/>
          <w:lang w:val="en-US" w:eastAsia="zh-CN"/>
        </w:rPr>
        <w:t>2</w:t>
      </w:r>
      <w:r>
        <w:rPr>
          <w:rFonts w:hint="eastAsia" w:ascii="仿宋_GB2312" w:hAnsi="仿宋" w:eastAsia="仿宋_GB2312" w:cs="Times New Roman"/>
          <w:color w:val="auto"/>
          <w:sz w:val="32"/>
          <w:szCs w:val="32"/>
          <w:highlight w:val="none"/>
          <w:lang w:eastAsia="zh-CN"/>
        </w:rPr>
        <w:t>年</w:t>
      </w:r>
      <w:r>
        <w:rPr>
          <w:rFonts w:hint="eastAsia" w:ascii="仿宋_GB2312" w:hAnsi="仿宋" w:eastAsia="仿宋_GB2312" w:cs="Times New Roman"/>
          <w:color w:val="auto"/>
          <w:sz w:val="32"/>
          <w:szCs w:val="32"/>
          <w:highlight w:val="none"/>
        </w:rPr>
        <w:t>预算增加</w:t>
      </w:r>
      <w:r>
        <w:rPr>
          <w:rFonts w:hint="eastAsia" w:ascii="仿宋_GB2312" w:hAnsi="仿宋" w:eastAsia="仿宋_GB2312"/>
          <w:color w:val="auto"/>
          <w:sz w:val="32"/>
          <w:szCs w:val="32"/>
          <w:highlight w:val="none"/>
          <w:lang w:val="en-US" w:eastAsia="zh-CN"/>
        </w:rPr>
        <w:t>329.82</w:t>
      </w:r>
      <w:r>
        <w:rPr>
          <w:rFonts w:hint="eastAsia" w:ascii="仿宋_GB2312" w:hAnsi="仿宋" w:eastAsia="仿宋_GB2312" w:cs="Times New Roman"/>
          <w:color w:val="auto"/>
          <w:sz w:val="32"/>
          <w:szCs w:val="32"/>
          <w:highlight w:val="none"/>
        </w:rPr>
        <w:t>万元，增长</w:t>
      </w:r>
      <w:r>
        <w:rPr>
          <w:rFonts w:hint="eastAsia" w:ascii="仿宋_GB2312" w:hAnsi="仿宋" w:eastAsia="仿宋_GB2312"/>
          <w:color w:val="auto"/>
          <w:sz w:val="32"/>
          <w:szCs w:val="32"/>
          <w:highlight w:val="none"/>
          <w:lang w:val="en-US" w:eastAsia="zh-CN"/>
        </w:rPr>
        <w:t>61.55</w:t>
      </w:r>
      <w:r>
        <w:rPr>
          <w:rFonts w:hint="eastAsia" w:ascii="仿宋_GB2312" w:hAnsi="仿宋" w:eastAsia="仿宋_GB2312" w:cs="Times New Roman"/>
          <w:color w:val="auto"/>
          <w:sz w:val="32"/>
          <w:szCs w:val="32"/>
          <w:highlight w:val="none"/>
        </w:rPr>
        <w:t>%，增长原因主要是</w:t>
      </w:r>
      <w:r>
        <w:rPr>
          <w:rFonts w:hint="eastAsia" w:ascii="仿宋_GB2312" w:hAnsi="仿宋" w:eastAsia="仿宋_GB2312" w:cs="Times New Roman"/>
          <w:color w:val="auto"/>
          <w:sz w:val="32"/>
          <w:szCs w:val="32"/>
          <w:highlight w:val="none"/>
          <w:lang w:val="en-US" w:eastAsia="zh-CN"/>
        </w:rPr>
        <w:t>1.县</w:t>
      </w:r>
      <w:r>
        <w:rPr>
          <w:rFonts w:hint="eastAsia" w:ascii="仿宋_GB2312" w:hAnsi="仿宋" w:eastAsia="仿宋_GB2312" w:cs="Times New Roman"/>
          <w:b w:val="0"/>
          <w:bCs/>
          <w:color w:val="auto"/>
          <w:sz w:val="32"/>
          <w:szCs w:val="32"/>
          <w:highlight w:val="none"/>
          <w:lang w:eastAsia="zh-CN"/>
        </w:rPr>
        <w:t>妇幼保健所新搬迁，办公用品、耗材支出增加；</w:t>
      </w:r>
      <w:r>
        <w:rPr>
          <w:rFonts w:hint="eastAsia" w:ascii="仿宋_GB2312" w:hAnsi="仿宋" w:eastAsia="仿宋_GB2312" w:cs="Times New Roman"/>
          <w:b w:val="0"/>
          <w:bCs/>
          <w:color w:val="auto"/>
          <w:sz w:val="32"/>
          <w:szCs w:val="32"/>
          <w:highlight w:val="none"/>
          <w:lang w:val="en-US" w:eastAsia="zh-CN"/>
        </w:rPr>
        <w:t>2.</w:t>
      </w:r>
      <w:r>
        <w:rPr>
          <w:rFonts w:hint="eastAsia" w:ascii="仿宋_GB2312" w:hAnsi="仿宋" w:eastAsia="仿宋_GB2312"/>
          <w:color w:val="auto"/>
          <w:sz w:val="32"/>
          <w:szCs w:val="32"/>
          <w:highlight w:val="none"/>
          <w:lang w:eastAsia="zh-CN"/>
        </w:rPr>
        <w:t>在编在岗人员增资</w:t>
      </w:r>
      <w:r>
        <w:rPr>
          <w:rFonts w:hint="eastAsia" w:ascii="仿宋_GB2312" w:hAnsi="仿宋" w:eastAsia="仿宋_GB2312" w:cs="Times New Roman"/>
          <w:color w:val="auto"/>
          <w:sz w:val="32"/>
          <w:szCs w:val="32"/>
          <w:highlight w:val="none"/>
        </w:rPr>
        <w:t>。</w:t>
      </w:r>
    </w:p>
    <w:p w14:paraId="10CC9542">
      <w:pPr>
        <w:adjustRightInd w:val="0"/>
        <w:snapToGrid w:val="0"/>
        <w:spacing w:line="600" w:lineRule="exact"/>
        <w:ind w:firstLine="643" w:firstLineChars="200"/>
        <w:rPr>
          <w:rFonts w:hint="eastAsia" w:ascii="仿宋_GB2312" w:hAnsi="仿宋" w:eastAsia="仿宋_GB2312" w:cs="Times New Roman"/>
          <w:color w:val="auto"/>
          <w:sz w:val="32"/>
          <w:szCs w:val="32"/>
          <w:highlight w:val="none"/>
        </w:rPr>
      </w:pPr>
      <w:r>
        <w:rPr>
          <w:rFonts w:hint="eastAsia" w:ascii="仿宋_GB2312" w:hAnsi="仿宋" w:eastAsia="仿宋_GB2312" w:cs="Times New Roman"/>
          <w:b/>
          <w:color w:val="auto"/>
          <w:sz w:val="32"/>
          <w:szCs w:val="32"/>
          <w:highlight w:val="none"/>
          <w:lang w:val="en-US" w:eastAsia="zh-CN"/>
        </w:rPr>
        <w:t>14</w:t>
      </w:r>
      <w:r>
        <w:rPr>
          <w:rFonts w:hint="eastAsia" w:ascii="仿宋_GB2312" w:hAnsi="仿宋" w:eastAsia="仿宋_GB2312" w:cs="Times New Roman"/>
          <w:b/>
          <w:color w:val="auto"/>
          <w:sz w:val="32"/>
          <w:szCs w:val="32"/>
          <w:highlight w:val="none"/>
        </w:rPr>
        <w:t>.卫生健康支出（类）公共卫生（款）</w:t>
      </w:r>
      <w:r>
        <w:rPr>
          <w:rFonts w:hint="eastAsia" w:ascii="仿宋_GB2312" w:hAnsi="仿宋" w:eastAsia="仿宋_GB2312" w:cs="Times New Roman"/>
          <w:b/>
          <w:color w:val="auto"/>
          <w:sz w:val="32"/>
          <w:szCs w:val="32"/>
          <w:highlight w:val="none"/>
          <w:lang w:eastAsia="zh-CN"/>
        </w:rPr>
        <w:t>基本公共卫生服务</w:t>
      </w:r>
      <w:r>
        <w:rPr>
          <w:rFonts w:hint="eastAsia" w:ascii="仿宋_GB2312" w:hAnsi="仿宋" w:eastAsia="仿宋_GB2312" w:cs="Times New Roman"/>
          <w:b/>
          <w:color w:val="auto"/>
          <w:sz w:val="32"/>
          <w:szCs w:val="32"/>
          <w:highlight w:val="none"/>
        </w:rPr>
        <w:t>（项）</w:t>
      </w:r>
      <w:r>
        <w:rPr>
          <w:rFonts w:hint="eastAsia" w:ascii="仿宋_GB2312" w:hAnsi="仿宋" w:eastAsia="仿宋_GB2312" w:cs="Times New Roman"/>
          <w:color w:val="auto"/>
          <w:sz w:val="32"/>
          <w:szCs w:val="32"/>
          <w:highlight w:val="none"/>
          <w:lang w:eastAsia="zh-CN"/>
        </w:rPr>
        <w:t>202</w:t>
      </w:r>
      <w:r>
        <w:rPr>
          <w:rFonts w:hint="eastAsia" w:ascii="仿宋_GB2312" w:hAnsi="仿宋" w:eastAsia="仿宋_GB2312" w:cs="Times New Roman"/>
          <w:color w:val="auto"/>
          <w:sz w:val="32"/>
          <w:szCs w:val="32"/>
          <w:highlight w:val="none"/>
          <w:lang w:val="en-US" w:eastAsia="zh-CN"/>
        </w:rPr>
        <w:t>3</w:t>
      </w:r>
      <w:r>
        <w:rPr>
          <w:rFonts w:hint="eastAsia" w:ascii="仿宋_GB2312" w:hAnsi="仿宋" w:eastAsia="仿宋_GB2312" w:cs="Times New Roman"/>
          <w:color w:val="auto"/>
          <w:sz w:val="32"/>
          <w:szCs w:val="32"/>
          <w:highlight w:val="none"/>
          <w:lang w:eastAsia="zh-CN"/>
        </w:rPr>
        <w:t>年</w:t>
      </w:r>
      <w:r>
        <w:rPr>
          <w:rFonts w:hint="eastAsia" w:ascii="仿宋_GB2312" w:hAnsi="仿宋" w:eastAsia="仿宋_GB2312" w:cs="Times New Roman"/>
          <w:color w:val="auto"/>
          <w:sz w:val="32"/>
          <w:szCs w:val="32"/>
          <w:highlight w:val="none"/>
        </w:rPr>
        <w:t>预算</w:t>
      </w:r>
      <w:r>
        <w:rPr>
          <w:rFonts w:hint="eastAsia" w:ascii="仿宋_GB2312" w:hAnsi="仿宋" w:eastAsia="仿宋_GB2312" w:cs="Times New Roman"/>
          <w:color w:val="auto"/>
          <w:sz w:val="32"/>
          <w:szCs w:val="32"/>
          <w:highlight w:val="none"/>
          <w:lang w:val="en-US" w:eastAsia="zh-CN"/>
        </w:rPr>
        <w:t>1491.84</w:t>
      </w:r>
      <w:r>
        <w:rPr>
          <w:rFonts w:hint="eastAsia" w:ascii="仿宋_GB2312" w:hAnsi="仿宋" w:eastAsia="仿宋_GB2312" w:cs="Times New Roman"/>
          <w:color w:val="auto"/>
          <w:sz w:val="32"/>
          <w:szCs w:val="32"/>
          <w:highlight w:val="none"/>
        </w:rPr>
        <w:t>万元，比</w:t>
      </w:r>
      <w:r>
        <w:rPr>
          <w:rFonts w:hint="eastAsia" w:ascii="仿宋_GB2312" w:hAnsi="仿宋" w:eastAsia="仿宋_GB2312" w:cs="Times New Roman"/>
          <w:color w:val="auto"/>
          <w:sz w:val="32"/>
          <w:szCs w:val="32"/>
          <w:highlight w:val="none"/>
          <w:lang w:eastAsia="zh-CN"/>
        </w:rPr>
        <w:t>202</w:t>
      </w:r>
      <w:r>
        <w:rPr>
          <w:rFonts w:hint="eastAsia" w:ascii="仿宋_GB2312" w:hAnsi="仿宋" w:eastAsia="仿宋_GB2312" w:cs="Times New Roman"/>
          <w:color w:val="auto"/>
          <w:sz w:val="32"/>
          <w:szCs w:val="32"/>
          <w:highlight w:val="none"/>
          <w:lang w:val="en-US" w:eastAsia="zh-CN"/>
        </w:rPr>
        <w:t>2</w:t>
      </w:r>
      <w:r>
        <w:rPr>
          <w:rFonts w:hint="eastAsia" w:ascii="仿宋_GB2312" w:hAnsi="仿宋" w:eastAsia="仿宋_GB2312" w:cs="Times New Roman"/>
          <w:color w:val="auto"/>
          <w:sz w:val="32"/>
          <w:szCs w:val="32"/>
          <w:highlight w:val="none"/>
          <w:lang w:eastAsia="zh-CN"/>
        </w:rPr>
        <w:t>年</w:t>
      </w:r>
      <w:r>
        <w:rPr>
          <w:rFonts w:hint="eastAsia" w:ascii="仿宋_GB2312" w:hAnsi="仿宋" w:eastAsia="仿宋_GB2312" w:cs="Times New Roman"/>
          <w:color w:val="auto"/>
          <w:sz w:val="32"/>
          <w:szCs w:val="32"/>
          <w:highlight w:val="none"/>
        </w:rPr>
        <w:t>预算</w:t>
      </w:r>
      <w:r>
        <w:rPr>
          <w:rFonts w:hint="eastAsia" w:ascii="仿宋_GB2312" w:hAnsi="仿宋" w:eastAsia="仿宋_GB2312" w:cs="Times New Roman"/>
          <w:color w:val="auto"/>
          <w:sz w:val="32"/>
          <w:szCs w:val="32"/>
          <w:highlight w:val="none"/>
          <w:lang w:eastAsia="zh-CN"/>
        </w:rPr>
        <w:t>减少</w:t>
      </w:r>
      <w:r>
        <w:rPr>
          <w:rFonts w:hint="eastAsia" w:ascii="仿宋_GB2312" w:hAnsi="仿宋" w:eastAsia="仿宋_GB2312"/>
          <w:color w:val="auto"/>
          <w:sz w:val="32"/>
          <w:szCs w:val="32"/>
          <w:highlight w:val="none"/>
          <w:lang w:val="en-US" w:eastAsia="zh-CN"/>
        </w:rPr>
        <w:t>1.96</w:t>
      </w:r>
      <w:r>
        <w:rPr>
          <w:rFonts w:hint="eastAsia" w:ascii="仿宋_GB2312" w:hAnsi="仿宋" w:eastAsia="仿宋_GB2312" w:cs="Times New Roman"/>
          <w:color w:val="auto"/>
          <w:sz w:val="32"/>
          <w:szCs w:val="32"/>
          <w:highlight w:val="none"/>
        </w:rPr>
        <w:t>万元，</w:t>
      </w:r>
      <w:r>
        <w:rPr>
          <w:rFonts w:hint="eastAsia" w:ascii="仿宋_GB2312" w:hAnsi="仿宋" w:eastAsia="仿宋_GB2312" w:cs="Times New Roman"/>
          <w:color w:val="auto"/>
          <w:sz w:val="32"/>
          <w:szCs w:val="32"/>
          <w:highlight w:val="none"/>
          <w:lang w:eastAsia="zh-CN"/>
        </w:rPr>
        <w:t>减少</w:t>
      </w:r>
      <w:r>
        <w:rPr>
          <w:rFonts w:hint="eastAsia" w:ascii="仿宋_GB2312" w:hAnsi="仿宋" w:eastAsia="仿宋_GB2312"/>
          <w:color w:val="auto"/>
          <w:sz w:val="32"/>
          <w:szCs w:val="32"/>
          <w:highlight w:val="none"/>
          <w:lang w:val="en-US" w:eastAsia="zh-CN"/>
        </w:rPr>
        <w:t>0.13</w:t>
      </w:r>
      <w:r>
        <w:rPr>
          <w:rFonts w:hint="eastAsia" w:ascii="仿宋_GB2312" w:hAnsi="仿宋" w:eastAsia="仿宋_GB2312" w:cs="Times New Roman"/>
          <w:color w:val="auto"/>
          <w:sz w:val="32"/>
          <w:szCs w:val="32"/>
          <w:highlight w:val="none"/>
        </w:rPr>
        <w:t>%，</w:t>
      </w:r>
      <w:r>
        <w:rPr>
          <w:rFonts w:hint="eastAsia" w:ascii="仿宋_GB2312" w:hAnsi="仿宋" w:eastAsia="仿宋_GB2312" w:cs="Times New Roman"/>
          <w:color w:val="auto"/>
          <w:sz w:val="32"/>
          <w:szCs w:val="32"/>
          <w:highlight w:val="none"/>
          <w:lang w:eastAsia="zh-CN"/>
        </w:rPr>
        <w:t>减少</w:t>
      </w:r>
      <w:r>
        <w:rPr>
          <w:rFonts w:hint="eastAsia" w:ascii="仿宋_GB2312" w:hAnsi="仿宋" w:eastAsia="仿宋_GB2312" w:cs="Times New Roman"/>
          <w:color w:val="auto"/>
          <w:sz w:val="32"/>
          <w:szCs w:val="32"/>
          <w:highlight w:val="none"/>
        </w:rPr>
        <w:t>原因主要是</w:t>
      </w:r>
      <w:r>
        <w:rPr>
          <w:rFonts w:hint="eastAsia" w:ascii="仿宋_GB2312" w:hAnsi="仿宋" w:eastAsia="仿宋_GB2312" w:cs="Times New Roman"/>
          <w:color w:val="auto"/>
          <w:sz w:val="32"/>
          <w:szCs w:val="32"/>
          <w:highlight w:val="none"/>
          <w:lang w:eastAsia="zh-CN"/>
        </w:rPr>
        <w:t>全县常驻人口减少</w:t>
      </w:r>
      <w:r>
        <w:rPr>
          <w:rFonts w:hint="eastAsia" w:ascii="仿宋_GB2312" w:hAnsi="仿宋" w:eastAsia="仿宋_GB2312" w:cs="Times New Roman"/>
          <w:color w:val="auto"/>
          <w:sz w:val="32"/>
          <w:szCs w:val="32"/>
          <w:highlight w:val="none"/>
        </w:rPr>
        <w:t>。</w:t>
      </w:r>
    </w:p>
    <w:p w14:paraId="4A593601">
      <w:pPr>
        <w:adjustRightInd w:val="0"/>
        <w:snapToGrid w:val="0"/>
        <w:spacing w:line="600" w:lineRule="exact"/>
        <w:ind w:firstLine="643" w:firstLineChars="200"/>
        <w:rPr>
          <w:rFonts w:hint="eastAsia" w:ascii="仿宋_GB2312" w:hAnsi="仿宋" w:eastAsia="仿宋_GB2312" w:cs="Times New Roman"/>
          <w:color w:val="auto"/>
          <w:sz w:val="32"/>
          <w:szCs w:val="32"/>
          <w:highlight w:val="none"/>
        </w:rPr>
      </w:pPr>
      <w:r>
        <w:rPr>
          <w:rFonts w:hint="eastAsia" w:ascii="仿宋_GB2312" w:hAnsi="仿宋" w:eastAsia="仿宋_GB2312" w:cs="Times New Roman"/>
          <w:b/>
          <w:color w:val="auto"/>
          <w:sz w:val="32"/>
          <w:szCs w:val="32"/>
          <w:highlight w:val="none"/>
          <w:lang w:val="en-US" w:eastAsia="zh-CN"/>
        </w:rPr>
        <w:t>15</w:t>
      </w:r>
      <w:r>
        <w:rPr>
          <w:rFonts w:hint="eastAsia" w:ascii="仿宋_GB2312" w:hAnsi="仿宋" w:eastAsia="仿宋_GB2312" w:cs="Times New Roman"/>
          <w:b/>
          <w:color w:val="auto"/>
          <w:sz w:val="32"/>
          <w:szCs w:val="32"/>
          <w:highlight w:val="none"/>
        </w:rPr>
        <w:t>.卫生健康支出（类）公共卫生（款）</w:t>
      </w:r>
      <w:r>
        <w:rPr>
          <w:rFonts w:hint="eastAsia" w:ascii="仿宋_GB2312" w:hAnsi="仿宋" w:eastAsia="仿宋_GB2312" w:cs="Times New Roman"/>
          <w:b/>
          <w:color w:val="auto"/>
          <w:sz w:val="32"/>
          <w:szCs w:val="32"/>
          <w:highlight w:val="none"/>
          <w:lang w:eastAsia="zh-CN"/>
        </w:rPr>
        <w:t>重大公共卫生服务</w:t>
      </w:r>
      <w:r>
        <w:rPr>
          <w:rFonts w:hint="eastAsia" w:ascii="仿宋_GB2312" w:hAnsi="仿宋" w:eastAsia="仿宋_GB2312" w:cs="Times New Roman"/>
          <w:b/>
          <w:color w:val="auto"/>
          <w:sz w:val="32"/>
          <w:szCs w:val="32"/>
          <w:highlight w:val="none"/>
        </w:rPr>
        <w:t>（项）</w:t>
      </w:r>
      <w:r>
        <w:rPr>
          <w:rFonts w:hint="eastAsia" w:ascii="仿宋_GB2312" w:hAnsi="仿宋" w:eastAsia="仿宋_GB2312" w:cs="Times New Roman"/>
          <w:b/>
          <w:color w:val="auto"/>
          <w:sz w:val="32"/>
          <w:szCs w:val="32"/>
          <w:highlight w:val="none"/>
          <w:lang w:val="en-US" w:eastAsia="zh-CN"/>
        </w:rPr>
        <w:t xml:space="preserve"> </w:t>
      </w:r>
      <w:r>
        <w:rPr>
          <w:rFonts w:hint="eastAsia" w:ascii="仿宋_GB2312" w:hAnsi="仿宋" w:eastAsia="仿宋_GB2312" w:cs="Times New Roman"/>
          <w:color w:val="auto"/>
          <w:sz w:val="32"/>
          <w:szCs w:val="32"/>
          <w:highlight w:val="none"/>
          <w:lang w:eastAsia="zh-CN"/>
        </w:rPr>
        <w:t>202</w:t>
      </w:r>
      <w:r>
        <w:rPr>
          <w:rFonts w:hint="eastAsia" w:ascii="仿宋_GB2312" w:hAnsi="仿宋" w:eastAsia="仿宋_GB2312" w:cs="Times New Roman"/>
          <w:color w:val="auto"/>
          <w:sz w:val="32"/>
          <w:szCs w:val="32"/>
          <w:highlight w:val="none"/>
          <w:lang w:val="en-US" w:eastAsia="zh-CN"/>
        </w:rPr>
        <w:t>3</w:t>
      </w:r>
      <w:r>
        <w:rPr>
          <w:rFonts w:hint="eastAsia" w:ascii="仿宋_GB2312" w:hAnsi="仿宋" w:eastAsia="仿宋_GB2312" w:cs="Times New Roman"/>
          <w:color w:val="auto"/>
          <w:sz w:val="32"/>
          <w:szCs w:val="32"/>
          <w:highlight w:val="none"/>
          <w:lang w:eastAsia="zh-CN"/>
        </w:rPr>
        <w:t>年</w:t>
      </w:r>
      <w:r>
        <w:rPr>
          <w:rFonts w:hint="eastAsia" w:ascii="仿宋_GB2312" w:hAnsi="仿宋" w:eastAsia="仿宋_GB2312" w:cs="Times New Roman"/>
          <w:color w:val="auto"/>
          <w:sz w:val="32"/>
          <w:szCs w:val="32"/>
          <w:highlight w:val="none"/>
        </w:rPr>
        <w:t>预算</w:t>
      </w:r>
      <w:r>
        <w:rPr>
          <w:rFonts w:hint="eastAsia" w:ascii="仿宋_GB2312" w:hAnsi="仿宋" w:eastAsia="仿宋_GB2312" w:cs="Times New Roman"/>
          <w:color w:val="auto"/>
          <w:sz w:val="32"/>
          <w:szCs w:val="32"/>
          <w:highlight w:val="none"/>
          <w:lang w:val="en-US" w:eastAsia="zh-CN"/>
        </w:rPr>
        <w:t>45.78</w:t>
      </w:r>
      <w:r>
        <w:rPr>
          <w:rFonts w:hint="eastAsia" w:ascii="仿宋_GB2312" w:hAnsi="仿宋" w:eastAsia="仿宋_GB2312" w:cs="Times New Roman"/>
          <w:color w:val="auto"/>
          <w:sz w:val="32"/>
          <w:szCs w:val="32"/>
          <w:highlight w:val="none"/>
        </w:rPr>
        <w:t>万元，比</w:t>
      </w:r>
      <w:r>
        <w:rPr>
          <w:rFonts w:hint="eastAsia" w:ascii="仿宋_GB2312" w:hAnsi="仿宋" w:eastAsia="仿宋_GB2312" w:cs="Times New Roman"/>
          <w:color w:val="auto"/>
          <w:sz w:val="32"/>
          <w:szCs w:val="32"/>
          <w:highlight w:val="none"/>
          <w:lang w:eastAsia="zh-CN"/>
        </w:rPr>
        <w:t>202</w:t>
      </w:r>
      <w:r>
        <w:rPr>
          <w:rFonts w:hint="eastAsia" w:ascii="仿宋_GB2312" w:hAnsi="仿宋" w:eastAsia="仿宋_GB2312" w:cs="Times New Roman"/>
          <w:color w:val="auto"/>
          <w:sz w:val="32"/>
          <w:szCs w:val="32"/>
          <w:highlight w:val="none"/>
          <w:lang w:val="en-US" w:eastAsia="zh-CN"/>
        </w:rPr>
        <w:t>2</w:t>
      </w:r>
      <w:r>
        <w:rPr>
          <w:rFonts w:hint="eastAsia" w:ascii="仿宋_GB2312" w:hAnsi="仿宋" w:eastAsia="仿宋_GB2312" w:cs="Times New Roman"/>
          <w:color w:val="auto"/>
          <w:sz w:val="32"/>
          <w:szCs w:val="32"/>
          <w:highlight w:val="none"/>
          <w:lang w:eastAsia="zh-CN"/>
        </w:rPr>
        <w:t>年</w:t>
      </w:r>
      <w:r>
        <w:rPr>
          <w:rFonts w:hint="eastAsia" w:ascii="仿宋_GB2312" w:hAnsi="仿宋" w:eastAsia="仿宋_GB2312" w:cs="Times New Roman"/>
          <w:color w:val="auto"/>
          <w:sz w:val="32"/>
          <w:szCs w:val="32"/>
          <w:highlight w:val="none"/>
        </w:rPr>
        <w:t>预算</w:t>
      </w:r>
      <w:r>
        <w:rPr>
          <w:rFonts w:hint="eastAsia" w:ascii="仿宋_GB2312" w:hAnsi="仿宋" w:eastAsia="仿宋_GB2312" w:cs="Times New Roman"/>
          <w:color w:val="auto"/>
          <w:sz w:val="32"/>
          <w:szCs w:val="32"/>
          <w:highlight w:val="none"/>
          <w:lang w:eastAsia="zh-CN"/>
        </w:rPr>
        <w:t>持平</w:t>
      </w:r>
      <w:r>
        <w:rPr>
          <w:rFonts w:hint="eastAsia" w:ascii="仿宋_GB2312" w:hAnsi="仿宋" w:eastAsia="仿宋_GB2312" w:cs="Times New Roman"/>
          <w:color w:val="auto"/>
          <w:sz w:val="32"/>
          <w:szCs w:val="32"/>
          <w:highlight w:val="none"/>
        </w:rPr>
        <w:t>。</w:t>
      </w:r>
    </w:p>
    <w:p w14:paraId="4C07A930">
      <w:pPr>
        <w:adjustRightInd w:val="0"/>
        <w:snapToGrid w:val="0"/>
        <w:spacing w:line="600" w:lineRule="exact"/>
        <w:ind w:firstLine="643" w:firstLineChars="200"/>
        <w:rPr>
          <w:rFonts w:hint="eastAsia" w:ascii="仿宋_GB2312" w:hAnsi="仿宋" w:eastAsia="仿宋_GB2312" w:cs="Times New Roman"/>
          <w:color w:val="auto"/>
          <w:sz w:val="32"/>
          <w:szCs w:val="32"/>
          <w:highlight w:val="none"/>
        </w:rPr>
      </w:pPr>
      <w:r>
        <w:rPr>
          <w:rFonts w:hint="eastAsia" w:ascii="仿宋_GB2312" w:hAnsi="仿宋" w:eastAsia="仿宋_GB2312" w:cs="Times New Roman"/>
          <w:b/>
          <w:color w:val="auto"/>
          <w:sz w:val="32"/>
          <w:szCs w:val="32"/>
          <w:highlight w:val="none"/>
          <w:lang w:val="en-US" w:eastAsia="zh-CN"/>
        </w:rPr>
        <w:t>16</w:t>
      </w:r>
      <w:r>
        <w:rPr>
          <w:rFonts w:hint="eastAsia" w:ascii="仿宋_GB2312" w:hAnsi="仿宋" w:eastAsia="仿宋_GB2312" w:cs="Times New Roman"/>
          <w:b/>
          <w:color w:val="auto"/>
          <w:sz w:val="32"/>
          <w:szCs w:val="32"/>
          <w:highlight w:val="none"/>
        </w:rPr>
        <w:t>.卫生健康支出（类）计划生育事务（款）</w:t>
      </w:r>
      <w:r>
        <w:rPr>
          <w:rFonts w:hint="eastAsia" w:ascii="仿宋_GB2312" w:hAnsi="仿宋" w:eastAsia="仿宋_GB2312" w:cs="Times New Roman"/>
          <w:b/>
          <w:color w:val="auto"/>
          <w:sz w:val="32"/>
          <w:szCs w:val="32"/>
          <w:highlight w:val="none"/>
          <w:lang w:eastAsia="zh-CN"/>
        </w:rPr>
        <w:t>计划生育服务</w:t>
      </w:r>
      <w:r>
        <w:rPr>
          <w:rFonts w:hint="eastAsia" w:ascii="仿宋_GB2312" w:hAnsi="仿宋" w:eastAsia="仿宋_GB2312" w:cs="Times New Roman"/>
          <w:b/>
          <w:color w:val="auto"/>
          <w:sz w:val="32"/>
          <w:szCs w:val="32"/>
          <w:highlight w:val="none"/>
        </w:rPr>
        <w:t>（项）</w:t>
      </w:r>
      <w:r>
        <w:rPr>
          <w:rFonts w:hint="eastAsia" w:ascii="仿宋_GB2312" w:hAnsi="仿宋" w:eastAsia="仿宋_GB2312" w:cs="Times New Roman"/>
          <w:color w:val="auto"/>
          <w:sz w:val="32"/>
          <w:szCs w:val="32"/>
          <w:highlight w:val="none"/>
          <w:lang w:eastAsia="zh-CN"/>
        </w:rPr>
        <w:t>202</w:t>
      </w:r>
      <w:r>
        <w:rPr>
          <w:rFonts w:hint="eastAsia" w:ascii="仿宋_GB2312" w:hAnsi="仿宋" w:eastAsia="仿宋_GB2312" w:cs="Times New Roman"/>
          <w:color w:val="auto"/>
          <w:sz w:val="32"/>
          <w:szCs w:val="32"/>
          <w:highlight w:val="none"/>
          <w:lang w:val="en-US" w:eastAsia="zh-CN"/>
        </w:rPr>
        <w:t>3</w:t>
      </w:r>
      <w:r>
        <w:rPr>
          <w:rFonts w:hint="eastAsia" w:ascii="仿宋_GB2312" w:hAnsi="仿宋" w:eastAsia="仿宋_GB2312" w:cs="Times New Roman"/>
          <w:color w:val="auto"/>
          <w:sz w:val="32"/>
          <w:szCs w:val="32"/>
          <w:highlight w:val="none"/>
          <w:lang w:eastAsia="zh-CN"/>
        </w:rPr>
        <w:t>年</w:t>
      </w:r>
      <w:r>
        <w:rPr>
          <w:rFonts w:hint="eastAsia" w:ascii="仿宋_GB2312" w:hAnsi="仿宋" w:eastAsia="仿宋_GB2312" w:cs="Times New Roman"/>
          <w:color w:val="auto"/>
          <w:sz w:val="32"/>
          <w:szCs w:val="32"/>
          <w:highlight w:val="none"/>
        </w:rPr>
        <w:t>预算</w:t>
      </w:r>
      <w:r>
        <w:rPr>
          <w:rFonts w:hint="eastAsia" w:ascii="仿宋_GB2312" w:hAnsi="仿宋" w:eastAsia="仿宋_GB2312" w:cs="Times New Roman"/>
          <w:color w:val="auto"/>
          <w:sz w:val="32"/>
          <w:szCs w:val="32"/>
          <w:highlight w:val="none"/>
          <w:lang w:val="en-US" w:eastAsia="zh-CN"/>
        </w:rPr>
        <w:t>1645.08</w:t>
      </w:r>
      <w:r>
        <w:rPr>
          <w:rFonts w:hint="eastAsia" w:ascii="仿宋_GB2312" w:hAnsi="仿宋" w:eastAsia="仿宋_GB2312" w:cs="Times New Roman"/>
          <w:color w:val="auto"/>
          <w:sz w:val="32"/>
          <w:szCs w:val="32"/>
          <w:highlight w:val="none"/>
        </w:rPr>
        <w:t>万元，比</w:t>
      </w:r>
      <w:r>
        <w:rPr>
          <w:rFonts w:hint="eastAsia" w:ascii="仿宋_GB2312" w:hAnsi="仿宋" w:eastAsia="仿宋_GB2312" w:cs="Times New Roman"/>
          <w:color w:val="auto"/>
          <w:sz w:val="32"/>
          <w:szCs w:val="32"/>
          <w:highlight w:val="none"/>
          <w:lang w:eastAsia="zh-CN"/>
        </w:rPr>
        <w:t>202</w:t>
      </w:r>
      <w:r>
        <w:rPr>
          <w:rFonts w:hint="eastAsia" w:ascii="仿宋_GB2312" w:hAnsi="仿宋" w:eastAsia="仿宋_GB2312" w:cs="Times New Roman"/>
          <w:color w:val="auto"/>
          <w:sz w:val="32"/>
          <w:szCs w:val="32"/>
          <w:highlight w:val="none"/>
          <w:lang w:val="en-US" w:eastAsia="zh-CN"/>
        </w:rPr>
        <w:t>2</w:t>
      </w:r>
      <w:r>
        <w:rPr>
          <w:rFonts w:hint="eastAsia" w:ascii="仿宋_GB2312" w:hAnsi="仿宋" w:eastAsia="仿宋_GB2312" w:cs="Times New Roman"/>
          <w:color w:val="auto"/>
          <w:sz w:val="32"/>
          <w:szCs w:val="32"/>
          <w:highlight w:val="none"/>
          <w:lang w:eastAsia="zh-CN"/>
        </w:rPr>
        <w:t>年</w:t>
      </w:r>
      <w:r>
        <w:rPr>
          <w:rFonts w:hint="eastAsia" w:ascii="仿宋_GB2312" w:hAnsi="仿宋" w:eastAsia="仿宋_GB2312" w:cs="Times New Roman"/>
          <w:color w:val="auto"/>
          <w:sz w:val="32"/>
          <w:szCs w:val="32"/>
          <w:highlight w:val="none"/>
        </w:rPr>
        <w:t>预算增加</w:t>
      </w:r>
      <w:r>
        <w:rPr>
          <w:rFonts w:hint="eastAsia" w:ascii="仿宋_GB2312" w:hAnsi="仿宋" w:eastAsia="仿宋_GB2312"/>
          <w:color w:val="auto"/>
          <w:sz w:val="32"/>
          <w:szCs w:val="32"/>
          <w:highlight w:val="none"/>
          <w:lang w:val="en-US" w:eastAsia="zh-CN"/>
        </w:rPr>
        <w:t>340.62</w:t>
      </w:r>
      <w:r>
        <w:rPr>
          <w:rFonts w:hint="eastAsia" w:ascii="仿宋_GB2312" w:hAnsi="仿宋" w:eastAsia="仿宋_GB2312" w:cs="Times New Roman"/>
          <w:color w:val="auto"/>
          <w:sz w:val="32"/>
          <w:szCs w:val="32"/>
          <w:highlight w:val="none"/>
        </w:rPr>
        <w:t>万元，增长</w:t>
      </w:r>
      <w:r>
        <w:rPr>
          <w:rFonts w:hint="eastAsia" w:ascii="仿宋_GB2312" w:hAnsi="仿宋" w:eastAsia="仿宋_GB2312"/>
          <w:color w:val="auto"/>
          <w:sz w:val="32"/>
          <w:szCs w:val="32"/>
          <w:highlight w:val="none"/>
          <w:lang w:val="en-US" w:eastAsia="zh-CN"/>
        </w:rPr>
        <w:t>26.11</w:t>
      </w:r>
      <w:r>
        <w:rPr>
          <w:rFonts w:hint="eastAsia" w:ascii="仿宋_GB2312" w:hAnsi="仿宋" w:eastAsia="仿宋_GB2312" w:cs="Times New Roman"/>
          <w:color w:val="auto"/>
          <w:sz w:val="32"/>
          <w:szCs w:val="32"/>
          <w:highlight w:val="none"/>
        </w:rPr>
        <w:t>%</w:t>
      </w:r>
      <w:r>
        <w:rPr>
          <w:rFonts w:hint="eastAsia" w:ascii="仿宋_GB2312" w:hAnsi="仿宋" w:eastAsia="仿宋_GB2312" w:cs="Times New Roman"/>
          <w:color w:val="auto"/>
          <w:sz w:val="32"/>
          <w:szCs w:val="32"/>
          <w:highlight w:val="none"/>
          <w:lang w:eastAsia="zh-CN"/>
        </w:rPr>
        <w:t>。</w:t>
      </w:r>
      <w:r>
        <w:rPr>
          <w:rFonts w:hint="eastAsia" w:ascii="仿宋_GB2312" w:hAnsi="仿宋" w:eastAsia="仿宋_GB2312" w:cs="Times New Roman"/>
          <w:color w:val="auto"/>
          <w:sz w:val="32"/>
          <w:szCs w:val="32"/>
          <w:highlight w:val="none"/>
        </w:rPr>
        <w:t>增长原因主要是</w:t>
      </w:r>
      <w:r>
        <w:rPr>
          <w:rFonts w:hint="eastAsia" w:ascii="仿宋_GB2312" w:hAnsi="仿宋" w:eastAsia="仿宋_GB2312"/>
          <w:color w:val="auto"/>
          <w:sz w:val="32"/>
          <w:szCs w:val="32"/>
          <w:highlight w:val="none"/>
          <w:lang w:eastAsia="zh-CN"/>
        </w:rPr>
        <w:t>全县计划生育奖励扶助扩面人数增加，经费相应增加</w:t>
      </w:r>
      <w:r>
        <w:rPr>
          <w:rFonts w:hint="eastAsia" w:ascii="仿宋_GB2312" w:hAnsi="仿宋" w:eastAsia="仿宋_GB2312" w:cs="Times New Roman"/>
          <w:color w:val="auto"/>
          <w:sz w:val="32"/>
          <w:szCs w:val="32"/>
          <w:highlight w:val="none"/>
        </w:rPr>
        <w:t>。</w:t>
      </w:r>
    </w:p>
    <w:p w14:paraId="35D73AC3">
      <w:pPr>
        <w:adjustRightInd w:val="0"/>
        <w:snapToGrid w:val="0"/>
        <w:spacing w:line="600" w:lineRule="exact"/>
        <w:ind w:firstLine="643" w:firstLineChars="200"/>
        <w:rPr>
          <w:rFonts w:hint="eastAsia" w:ascii="仿宋_GB2312" w:hAnsi="仿宋" w:eastAsia="仿宋_GB2312" w:cs="Times New Roman"/>
          <w:color w:val="auto"/>
          <w:sz w:val="32"/>
          <w:szCs w:val="32"/>
          <w:highlight w:val="none"/>
        </w:rPr>
      </w:pPr>
      <w:r>
        <w:rPr>
          <w:rFonts w:hint="eastAsia" w:ascii="仿宋_GB2312" w:hAnsi="仿宋" w:eastAsia="仿宋_GB2312" w:cs="Times New Roman"/>
          <w:b/>
          <w:color w:val="auto"/>
          <w:sz w:val="32"/>
          <w:szCs w:val="32"/>
          <w:highlight w:val="none"/>
          <w:lang w:val="en-US" w:eastAsia="zh-CN"/>
        </w:rPr>
        <w:t>17</w:t>
      </w:r>
      <w:r>
        <w:rPr>
          <w:rFonts w:hint="eastAsia" w:ascii="仿宋_GB2312" w:hAnsi="仿宋" w:eastAsia="仿宋_GB2312" w:cs="Times New Roman"/>
          <w:b/>
          <w:color w:val="auto"/>
          <w:sz w:val="32"/>
          <w:szCs w:val="32"/>
          <w:highlight w:val="none"/>
        </w:rPr>
        <w:t>.卫生健康支出（类）行政事业单位医疗（款）</w:t>
      </w:r>
      <w:r>
        <w:rPr>
          <w:rFonts w:hint="eastAsia" w:ascii="仿宋_GB2312" w:hAnsi="仿宋" w:eastAsia="仿宋_GB2312" w:cs="Times New Roman"/>
          <w:b/>
          <w:color w:val="auto"/>
          <w:sz w:val="32"/>
          <w:szCs w:val="32"/>
          <w:highlight w:val="none"/>
          <w:lang w:eastAsia="zh-CN"/>
        </w:rPr>
        <w:t>行政单位医疗</w:t>
      </w:r>
      <w:r>
        <w:rPr>
          <w:rFonts w:hint="eastAsia" w:ascii="仿宋_GB2312" w:hAnsi="仿宋" w:eastAsia="仿宋_GB2312" w:cs="Times New Roman"/>
          <w:b/>
          <w:color w:val="auto"/>
          <w:sz w:val="32"/>
          <w:szCs w:val="32"/>
          <w:highlight w:val="none"/>
        </w:rPr>
        <w:t>（项）</w:t>
      </w:r>
      <w:r>
        <w:rPr>
          <w:rFonts w:hint="eastAsia" w:ascii="仿宋_GB2312" w:hAnsi="仿宋" w:eastAsia="仿宋_GB2312" w:cs="Times New Roman"/>
          <w:color w:val="auto"/>
          <w:sz w:val="32"/>
          <w:szCs w:val="32"/>
          <w:highlight w:val="none"/>
          <w:lang w:eastAsia="zh-CN"/>
        </w:rPr>
        <w:t>202</w:t>
      </w:r>
      <w:r>
        <w:rPr>
          <w:rFonts w:hint="eastAsia" w:ascii="仿宋_GB2312" w:hAnsi="仿宋" w:eastAsia="仿宋_GB2312" w:cs="Times New Roman"/>
          <w:color w:val="auto"/>
          <w:sz w:val="32"/>
          <w:szCs w:val="32"/>
          <w:highlight w:val="none"/>
          <w:lang w:val="en-US" w:eastAsia="zh-CN"/>
        </w:rPr>
        <w:t>3</w:t>
      </w:r>
      <w:r>
        <w:rPr>
          <w:rFonts w:hint="eastAsia" w:ascii="仿宋_GB2312" w:hAnsi="仿宋" w:eastAsia="仿宋_GB2312" w:cs="Times New Roman"/>
          <w:color w:val="auto"/>
          <w:sz w:val="32"/>
          <w:szCs w:val="32"/>
          <w:highlight w:val="none"/>
          <w:lang w:eastAsia="zh-CN"/>
        </w:rPr>
        <w:t>年</w:t>
      </w:r>
      <w:r>
        <w:rPr>
          <w:rFonts w:hint="eastAsia" w:ascii="仿宋_GB2312" w:hAnsi="仿宋" w:eastAsia="仿宋_GB2312" w:cs="Times New Roman"/>
          <w:color w:val="auto"/>
          <w:sz w:val="32"/>
          <w:szCs w:val="32"/>
          <w:highlight w:val="none"/>
        </w:rPr>
        <w:t>预算</w:t>
      </w:r>
      <w:r>
        <w:rPr>
          <w:rFonts w:hint="eastAsia" w:ascii="仿宋_GB2312" w:hAnsi="仿宋" w:eastAsia="仿宋_GB2312" w:cs="Times New Roman"/>
          <w:color w:val="auto"/>
          <w:sz w:val="32"/>
          <w:szCs w:val="32"/>
          <w:highlight w:val="none"/>
          <w:lang w:val="en-US" w:eastAsia="zh-CN"/>
        </w:rPr>
        <w:t>26.80</w:t>
      </w:r>
      <w:r>
        <w:rPr>
          <w:rFonts w:hint="eastAsia" w:ascii="仿宋_GB2312" w:hAnsi="仿宋" w:eastAsia="仿宋_GB2312" w:cs="Times New Roman"/>
          <w:color w:val="auto"/>
          <w:sz w:val="32"/>
          <w:szCs w:val="32"/>
          <w:highlight w:val="none"/>
        </w:rPr>
        <w:t>万元，比</w:t>
      </w:r>
      <w:r>
        <w:rPr>
          <w:rFonts w:hint="eastAsia" w:ascii="仿宋_GB2312" w:hAnsi="仿宋" w:eastAsia="仿宋_GB2312" w:cs="Times New Roman"/>
          <w:color w:val="auto"/>
          <w:sz w:val="32"/>
          <w:szCs w:val="32"/>
          <w:highlight w:val="none"/>
          <w:lang w:eastAsia="zh-CN"/>
        </w:rPr>
        <w:t>202</w:t>
      </w:r>
      <w:r>
        <w:rPr>
          <w:rFonts w:hint="eastAsia" w:ascii="仿宋_GB2312" w:hAnsi="仿宋" w:eastAsia="仿宋_GB2312" w:cs="Times New Roman"/>
          <w:color w:val="auto"/>
          <w:sz w:val="32"/>
          <w:szCs w:val="32"/>
          <w:highlight w:val="none"/>
          <w:lang w:val="en-US" w:eastAsia="zh-CN"/>
        </w:rPr>
        <w:t>2</w:t>
      </w:r>
      <w:r>
        <w:rPr>
          <w:rFonts w:hint="eastAsia" w:ascii="仿宋_GB2312" w:hAnsi="仿宋" w:eastAsia="仿宋_GB2312" w:cs="Times New Roman"/>
          <w:color w:val="auto"/>
          <w:sz w:val="32"/>
          <w:szCs w:val="32"/>
          <w:highlight w:val="none"/>
          <w:lang w:eastAsia="zh-CN"/>
        </w:rPr>
        <w:t>年</w:t>
      </w:r>
      <w:r>
        <w:rPr>
          <w:rFonts w:hint="eastAsia" w:ascii="仿宋_GB2312" w:hAnsi="仿宋" w:eastAsia="仿宋_GB2312" w:cs="Times New Roman"/>
          <w:color w:val="auto"/>
          <w:sz w:val="32"/>
          <w:szCs w:val="32"/>
          <w:highlight w:val="none"/>
        </w:rPr>
        <w:t>预算</w:t>
      </w:r>
      <w:r>
        <w:rPr>
          <w:rFonts w:hint="eastAsia" w:ascii="仿宋_GB2312" w:hAnsi="仿宋" w:eastAsia="仿宋_GB2312" w:cs="Times New Roman"/>
          <w:color w:val="auto"/>
          <w:sz w:val="32"/>
          <w:szCs w:val="32"/>
          <w:highlight w:val="none"/>
          <w:lang w:val="en-US" w:eastAsia="zh-CN"/>
        </w:rPr>
        <w:t>增加</w:t>
      </w:r>
      <w:r>
        <w:rPr>
          <w:rFonts w:hint="eastAsia" w:ascii="仿宋_GB2312" w:hAnsi="仿宋" w:eastAsia="仿宋_GB2312"/>
          <w:color w:val="auto"/>
          <w:sz w:val="32"/>
          <w:szCs w:val="32"/>
          <w:highlight w:val="none"/>
          <w:lang w:val="en-US" w:eastAsia="zh-CN"/>
        </w:rPr>
        <w:t>7.17</w:t>
      </w:r>
      <w:r>
        <w:rPr>
          <w:rFonts w:hint="eastAsia" w:ascii="仿宋_GB2312" w:hAnsi="仿宋" w:eastAsia="仿宋_GB2312" w:cs="Times New Roman"/>
          <w:color w:val="auto"/>
          <w:sz w:val="32"/>
          <w:szCs w:val="32"/>
          <w:highlight w:val="none"/>
        </w:rPr>
        <w:t>万元，</w:t>
      </w:r>
      <w:r>
        <w:rPr>
          <w:rFonts w:hint="eastAsia" w:ascii="仿宋_GB2312" w:hAnsi="仿宋" w:eastAsia="仿宋_GB2312" w:cs="Times New Roman"/>
          <w:color w:val="auto"/>
          <w:sz w:val="32"/>
          <w:szCs w:val="32"/>
          <w:highlight w:val="none"/>
          <w:lang w:eastAsia="zh-CN"/>
        </w:rPr>
        <w:t>增长</w:t>
      </w:r>
      <w:r>
        <w:rPr>
          <w:rFonts w:hint="eastAsia" w:ascii="仿宋_GB2312" w:hAnsi="仿宋" w:eastAsia="仿宋_GB2312"/>
          <w:color w:val="auto"/>
          <w:sz w:val="32"/>
          <w:szCs w:val="32"/>
          <w:highlight w:val="none"/>
          <w:lang w:val="en-US" w:eastAsia="zh-CN"/>
        </w:rPr>
        <w:t>36.52</w:t>
      </w:r>
      <w:r>
        <w:rPr>
          <w:rFonts w:hint="eastAsia" w:ascii="仿宋_GB2312" w:hAnsi="仿宋" w:eastAsia="仿宋_GB2312" w:cs="Times New Roman"/>
          <w:color w:val="auto"/>
          <w:sz w:val="32"/>
          <w:szCs w:val="32"/>
          <w:highlight w:val="none"/>
        </w:rPr>
        <w:t>%</w:t>
      </w:r>
      <w:r>
        <w:rPr>
          <w:rFonts w:hint="eastAsia" w:ascii="仿宋_GB2312" w:hAnsi="仿宋" w:eastAsia="仿宋_GB2312" w:cs="Times New Roman"/>
          <w:color w:val="auto"/>
          <w:sz w:val="32"/>
          <w:szCs w:val="32"/>
          <w:highlight w:val="none"/>
          <w:lang w:eastAsia="zh-CN"/>
        </w:rPr>
        <w:t>。增加</w:t>
      </w:r>
      <w:r>
        <w:rPr>
          <w:rFonts w:hint="eastAsia" w:ascii="仿宋_GB2312" w:hAnsi="仿宋" w:eastAsia="仿宋_GB2312" w:cs="Times New Roman"/>
          <w:color w:val="auto"/>
          <w:sz w:val="32"/>
          <w:szCs w:val="32"/>
          <w:highlight w:val="none"/>
        </w:rPr>
        <w:t>原因主要是</w:t>
      </w:r>
      <w:r>
        <w:rPr>
          <w:rFonts w:hint="eastAsia" w:ascii="仿宋_GB2312" w:hAnsi="仿宋" w:eastAsia="仿宋_GB2312"/>
          <w:color w:val="auto"/>
          <w:sz w:val="32"/>
          <w:szCs w:val="32"/>
          <w:highlight w:val="none"/>
          <w:lang w:eastAsia="zh-CN"/>
        </w:rPr>
        <w:t>医疗保险调整缴纳比例及补缴以前年度医疗保险金</w:t>
      </w:r>
      <w:r>
        <w:rPr>
          <w:rFonts w:hint="eastAsia" w:ascii="仿宋_GB2312" w:hAnsi="仿宋" w:eastAsia="仿宋_GB2312" w:cs="Times New Roman"/>
          <w:color w:val="auto"/>
          <w:sz w:val="32"/>
          <w:szCs w:val="32"/>
          <w:highlight w:val="none"/>
        </w:rPr>
        <w:t>。</w:t>
      </w:r>
    </w:p>
    <w:p w14:paraId="32D11C10">
      <w:pPr>
        <w:adjustRightInd w:val="0"/>
        <w:snapToGrid w:val="0"/>
        <w:spacing w:line="600" w:lineRule="exact"/>
        <w:ind w:firstLine="643" w:firstLineChars="200"/>
        <w:rPr>
          <w:rFonts w:hint="eastAsia" w:ascii="仿宋_GB2312" w:hAnsi="仿宋" w:eastAsia="仿宋_GB2312" w:cs="Times New Roman"/>
          <w:color w:val="auto"/>
          <w:sz w:val="32"/>
          <w:szCs w:val="32"/>
          <w:highlight w:val="none"/>
        </w:rPr>
      </w:pPr>
      <w:r>
        <w:rPr>
          <w:rFonts w:hint="eastAsia" w:ascii="仿宋_GB2312" w:hAnsi="仿宋" w:eastAsia="仿宋_GB2312" w:cs="Times New Roman"/>
          <w:b/>
          <w:color w:val="auto"/>
          <w:sz w:val="32"/>
          <w:szCs w:val="32"/>
          <w:highlight w:val="none"/>
          <w:lang w:val="en-US" w:eastAsia="zh-CN"/>
        </w:rPr>
        <w:t>18</w:t>
      </w:r>
      <w:r>
        <w:rPr>
          <w:rFonts w:hint="eastAsia" w:ascii="仿宋_GB2312" w:hAnsi="仿宋" w:eastAsia="仿宋_GB2312" w:cs="Times New Roman"/>
          <w:b/>
          <w:color w:val="auto"/>
          <w:sz w:val="32"/>
          <w:szCs w:val="32"/>
          <w:highlight w:val="none"/>
        </w:rPr>
        <w:t>.卫生健康支出（类）行政事业单位医疗（款）</w:t>
      </w:r>
      <w:r>
        <w:rPr>
          <w:rFonts w:hint="eastAsia" w:ascii="仿宋_GB2312" w:hAnsi="仿宋" w:eastAsia="仿宋_GB2312" w:cs="Times New Roman"/>
          <w:b/>
          <w:color w:val="auto"/>
          <w:sz w:val="32"/>
          <w:szCs w:val="32"/>
          <w:highlight w:val="none"/>
          <w:lang w:eastAsia="zh-CN"/>
        </w:rPr>
        <w:t>事业单位医疗</w:t>
      </w:r>
      <w:r>
        <w:rPr>
          <w:rFonts w:hint="eastAsia" w:ascii="仿宋_GB2312" w:hAnsi="仿宋" w:eastAsia="仿宋_GB2312" w:cs="Times New Roman"/>
          <w:b/>
          <w:color w:val="auto"/>
          <w:sz w:val="32"/>
          <w:szCs w:val="32"/>
          <w:highlight w:val="none"/>
        </w:rPr>
        <w:t>（项）</w:t>
      </w:r>
      <w:r>
        <w:rPr>
          <w:rFonts w:hint="eastAsia" w:ascii="仿宋_GB2312" w:hAnsi="仿宋" w:eastAsia="仿宋_GB2312" w:cs="Times New Roman"/>
          <w:color w:val="auto"/>
          <w:sz w:val="32"/>
          <w:szCs w:val="32"/>
          <w:highlight w:val="none"/>
          <w:lang w:eastAsia="zh-CN"/>
        </w:rPr>
        <w:t>202</w:t>
      </w:r>
      <w:r>
        <w:rPr>
          <w:rFonts w:hint="eastAsia" w:ascii="仿宋_GB2312" w:hAnsi="仿宋" w:eastAsia="仿宋_GB2312" w:cs="Times New Roman"/>
          <w:color w:val="auto"/>
          <w:sz w:val="32"/>
          <w:szCs w:val="32"/>
          <w:highlight w:val="none"/>
          <w:lang w:val="en-US" w:eastAsia="zh-CN"/>
        </w:rPr>
        <w:t>3</w:t>
      </w:r>
      <w:r>
        <w:rPr>
          <w:rFonts w:hint="eastAsia" w:ascii="仿宋_GB2312" w:hAnsi="仿宋" w:eastAsia="仿宋_GB2312" w:cs="Times New Roman"/>
          <w:color w:val="auto"/>
          <w:sz w:val="32"/>
          <w:szCs w:val="32"/>
          <w:highlight w:val="none"/>
          <w:lang w:eastAsia="zh-CN"/>
        </w:rPr>
        <w:t>年</w:t>
      </w:r>
      <w:r>
        <w:rPr>
          <w:rFonts w:hint="eastAsia" w:ascii="仿宋_GB2312" w:hAnsi="仿宋" w:eastAsia="仿宋_GB2312" w:cs="Times New Roman"/>
          <w:color w:val="auto"/>
          <w:sz w:val="32"/>
          <w:szCs w:val="32"/>
          <w:highlight w:val="none"/>
        </w:rPr>
        <w:t>预算</w:t>
      </w:r>
      <w:r>
        <w:rPr>
          <w:rFonts w:hint="eastAsia" w:ascii="仿宋_GB2312" w:hAnsi="仿宋" w:eastAsia="仿宋_GB2312" w:cs="Times New Roman"/>
          <w:color w:val="auto"/>
          <w:sz w:val="32"/>
          <w:szCs w:val="32"/>
          <w:highlight w:val="none"/>
          <w:lang w:val="en-US" w:eastAsia="zh-CN"/>
        </w:rPr>
        <w:t>838.22</w:t>
      </w:r>
      <w:r>
        <w:rPr>
          <w:rFonts w:hint="eastAsia" w:ascii="仿宋_GB2312" w:hAnsi="仿宋" w:eastAsia="仿宋_GB2312" w:cs="Times New Roman"/>
          <w:color w:val="auto"/>
          <w:sz w:val="32"/>
          <w:szCs w:val="32"/>
          <w:highlight w:val="none"/>
        </w:rPr>
        <w:t>万元，比</w:t>
      </w:r>
      <w:r>
        <w:rPr>
          <w:rFonts w:hint="eastAsia" w:ascii="仿宋_GB2312" w:hAnsi="仿宋" w:eastAsia="仿宋_GB2312" w:cs="Times New Roman"/>
          <w:color w:val="auto"/>
          <w:sz w:val="32"/>
          <w:szCs w:val="32"/>
          <w:highlight w:val="none"/>
          <w:lang w:eastAsia="zh-CN"/>
        </w:rPr>
        <w:t>202</w:t>
      </w:r>
      <w:r>
        <w:rPr>
          <w:rFonts w:hint="eastAsia" w:ascii="仿宋_GB2312" w:hAnsi="仿宋" w:eastAsia="仿宋_GB2312" w:cs="Times New Roman"/>
          <w:color w:val="auto"/>
          <w:sz w:val="32"/>
          <w:szCs w:val="32"/>
          <w:highlight w:val="none"/>
          <w:lang w:val="en-US" w:eastAsia="zh-CN"/>
        </w:rPr>
        <w:t>2</w:t>
      </w:r>
      <w:r>
        <w:rPr>
          <w:rFonts w:hint="eastAsia" w:ascii="仿宋_GB2312" w:hAnsi="仿宋" w:eastAsia="仿宋_GB2312" w:cs="Times New Roman"/>
          <w:color w:val="auto"/>
          <w:sz w:val="32"/>
          <w:szCs w:val="32"/>
          <w:highlight w:val="none"/>
          <w:lang w:eastAsia="zh-CN"/>
        </w:rPr>
        <w:t>年</w:t>
      </w:r>
      <w:r>
        <w:rPr>
          <w:rFonts w:hint="eastAsia" w:ascii="仿宋_GB2312" w:hAnsi="仿宋" w:eastAsia="仿宋_GB2312" w:cs="Times New Roman"/>
          <w:color w:val="auto"/>
          <w:sz w:val="32"/>
          <w:szCs w:val="32"/>
          <w:highlight w:val="none"/>
        </w:rPr>
        <w:t>预算</w:t>
      </w:r>
      <w:r>
        <w:rPr>
          <w:rFonts w:hint="eastAsia" w:ascii="仿宋_GB2312" w:hAnsi="仿宋" w:eastAsia="仿宋_GB2312" w:cs="Times New Roman"/>
          <w:color w:val="auto"/>
          <w:sz w:val="32"/>
          <w:szCs w:val="32"/>
          <w:highlight w:val="none"/>
          <w:lang w:eastAsia="zh-CN"/>
        </w:rPr>
        <w:t>减少</w:t>
      </w:r>
      <w:r>
        <w:rPr>
          <w:rFonts w:hint="eastAsia" w:ascii="仿宋_GB2312" w:hAnsi="仿宋" w:eastAsia="仿宋_GB2312" w:cs="Times New Roman"/>
          <w:color w:val="auto"/>
          <w:sz w:val="32"/>
          <w:szCs w:val="32"/>
          <w:highlight w:val="none"/>
          <w:lang w:val="en-US" w:eastAsia="zh-CN"/>
        </w:rPr>
        <w:t>209.81</w:t>
      </w:r>
      <w:r>
        <w:rPr>
          <w:rFonts w:hint="eastAsia" w:ascii="仿宋_GB2312" w:hAnsi="仿宋" w:eastAsia="仿宋_GB2312" w:cs="Times New Roman"/>
          <w:color w:val="auto"/>
          <w:sz w:val="32"/>
          <w:szCs w:val="32"/>
          <w:highlight w:val="none"/>
        </w:rPr>
        <w:t>万元，</w:t>
      </w:r>
      <w:r>
        <w:rPr>
          <w:rFonts w:hint="eastAsia" w:ascii="仿宋_GB2312" w:hAnsi="仿宋" w:eastAsia="仿宋_GB2312" w:cs="Times New Roman"/>
          <w:color w:val="auto"/>
          <w:sz w:val="32"/>
          <w:szCs w:val="32"/>
          <w:highlight w:val="none"/>
          <w:lang w:eastAsia="zh-CN"/>
        </w:rPr>
        <w:t>减少</w:t>
      </w:r>
      <w:r>
        <w:rPr>
          <w:rFonts w:hint="eastAsia" w:ascii="仿宋_GB2312" w:hAnsi="仿宋" w:eastAsia="仿宋_GB2312" w:cs="Times New Roman"/>
          <w:color w:val="auto"/>
          <w:sz w:val="32"/>
          <w:szCs w:val="32"/>
          <w:highlight w:val="none"/>
          <w:lang w:val="en-US" w:eastAsia="zh-CN"/>
        </w:rPr>
        <w:t>33.88</w:t>
      </w:r>
      <w:r>
        <w:rPr>
          <w:rFonts w:hint="eastAsia" w:ascii="仿宋_GB2312" w:hAnsi="仿宋" w:eastAsia="仿宋_GB2312" w:cs="Times New Roman"/>
          <w:color w:val="auto"/>
          <w:sz w:val="32"/>
          <w:szCs w:val="32"/>
          <w:highlight w:val="none"/>
        </w:rPr>
        <w:t>%</w:t>
      </w:r>
      <w:r>
        <w:rPr>
          <w:rFonts w:hint="eastAsia" w:ascii="仿宋_GB2312" w:hAnsi="仿宋" w:eastAsia="仿宋_GB2312" w:cs="Times New Roman"/>
          <w:color w:val="auto"/>
          <w:sz w:val="32"/>
          <w:szCs w:val="32"/>
          <w:highlight w:val="none"/>
          <w:lang w:eastAsia="zh-CN"/>
        </w:rPr>
        <w:t>。增加</w:t>
      </w:r>
      <w:r>
        <w:rPr>
          <w:rFonts w:hint="eastAsia" w:ascii="仿宋_GB2312" w:hAnsi="仿宋" w:eastAsia="仿宋_GB2312" w:cs="Times New Roman"/>
          <w:color w:val="auto"/>
          <w:sz w:val="32"/>
          <w:szCs w:val="32"/>
          <w:highlight w:val="none"/>
        </w:rPr>
        <w:t>原因主要是</w:t>
      </w:r>
      <w:r>
        <w:rPr>
          <w:rFonts w:hint="eastAsia" w:ascii="仿宋_GB2312" w:hAnsi="仿宋" w:eastAsia="仿宋_GB2312"/>
          <w:color w:val="auto"/>
          <w:sz w:val="32"/>
          <w:szCs w:val="32"/>
          <w:highlight w:val="none"/>
          <w:lang w:eastAsia="zh-CN"/>
        </w:rPr>
        <w:t>医疗保险调整缴纳比例及补缴以前年度医疗保险金</w:t>
      </w:r>
      <w:r>
        <w:rPr>
          <w:rFonts w:hint="eastAsia" w:ascii="仿宋_GB2312" w:hAnsi="仿宋" w:eastAsia="仿宋_GB2312" w:cs="Times New Roman"/>
          <w:color w:val="auto"/>
          <w:sz w:val="32"/>
          <w:szCs w:val="32"/>
          <w:highlight w:val="none"/>
        </w:rPr>
        <w:t>。</w:t>
      </w:r>
    </w:p>
    <w:p w14:paraId="5ACAD22B">
      <w:pPr>
        <w:adjustRightInd w:val="0"/>
        <w:snapToGrid w:val="0"/>
        <w:spacing w:line="600" w:lineRule="exact"/>
        <w:ind w:firstLine="643" w:firstLineChars="200"/>
        <w:rPr>
          <w:rFonts w:hint="eastAsia" w:ascii="仿宋_GB2312" w:hAnsi="仿宋" w:eastAsia="仿宋_GB2312" w:cs="Times New Roman"/>
          <w:color w:val="auto"/>
          <w:sz w:val="32"/>
          <w:szCs w:val="32"/>
          <w:highlight w:val="none"/>
        </w:rPr>
      </w:pPr>
      <w:r>
        <w:rPr>
          <w:rFonts w:hint="eastAsia" w:ascii="仿宋_GB2312" w:hAnsi="仿宋" w:eastAsia="仿宋_GB2312" w:cs="Times New Roman"/>
          <w:b/>
          <w:color w:val="auto"/>
          <w:sz w:val="32"/>
          <w:szCs w:val="32"/>
          <w:highlight w:val="none"/>
          <w:lang w:val="en-US" w:eastAsia="zh-CN"/>
        </w:rPr>
        <w:t>19</w:t>
      </w:r>
      <w:r>
        <w:rPr>
          <w:rFonts w:hint="eastAsia" w:ascii="仿宋_GB2312" w:hAnsi="仿宋" w:eastAsia="仿宋_GB2312" w:cs="Times New Roman"/>
          <w:b/>
          <w:color w:val="auto"/>
          <w:sz w:val="32"/>
          <w:szCs w:val="32"/>
          <w:highlight w:val="none"/>
        </w:rPr>
        <w:t>.卫生健康支出（类）行政事业单位医疗（款）</w:t>
      </w:r>
      <w:r>
        <w:rPr>
          <w:rFonts w:hint="eastAsia" w:ascii="仿宋_GB2312" w:hAnsi="仿宋" w:eastAsia="仿宋_GB2312" w:cs="Times New Roman"/>
          <w:b/>
          <w:color w:val="auto"/>
          <w:sz w:val="32"/>
          <w:szCs w:val="32"/>
          <w:highlight w:val="none"/>
          <w:lang w:eastAsia="zh-CN"/>
        </w:rPr>
        <w:t>公务员医疗补助</w:t>
      </w:r>
      <w:r>
        <w:rPr>
          <w:rFonts w:hint="eastAsia" w:ascii="仿宋_GB2312" w:hAnsi="仿宋" w:eastAsia="仿宋_GB2312" w:cs="Times New Roman"/>
          <w:b/>
          <w:color w:val="auto"/>
          <w:sz w:val="32"/>
          <w:szCs w:val="32"/>
          <w:highlight w:val="none"/>
        </w:rPr>
        <w:t>（项）</w:t>
      </w:r>
      <w:r>
        <w:rPr>
          <w:rFonts w:hint="eastAsia" w:ascii="仿宋_GB2312" w:hAnsi="仿宋" w:eastAsia="仿宋_GB2312" w:cs="Times New Roman"/>
          <w:color w:val="auto"/>
          <w:sz w:val="32"/>
          <w:szCs w:val="32"/>
          <w:highlight w:val="none"/>
          <w:lang w:eastAsia="zh-CN"/>
        </w:rPr>
        <w:t>202</w:t>
      </w:r>
      <w:r>
        <w:rPr>
          <w:rFonts w:hint="eastAsia" w:ascii="仿宋_GB2312" w:hAnsi="仿宋" w:eastAsia="仿宋_GB2312" w:cs="Times New Roman"/>
          <w:color w:val="auto"/>
          <w:sz w:val="32"/>
          <w:szCs w:val="32"/>
          <w:highlight w:val="none"/>
          <w:lang w:val="en-US" w:eastAsia="zh-CN"/>
        </w:rPr>
        <w:t>3</w:t>
      </w:r>
      <w:r>
        <w:rPr>
          <w:rFonts w:hint="eastAsia" w:ascii="仿宋_GB2312" w:hAnsi="仿宋" w:eastAsia="仿宋_GB2312" w:cs="Times New Roman"/>
          <w:color w:val="auto"/>
          <w:sz w:val="32"/>
          <w:szCs w:val="32"/>
          <w:highlight w:val="none"/>
          <w:lang w:eastAsia="zh-CN"/>
        </w:rPr>
        <w:t>年</w:t>
      </w:r>
      <w:r>
        <w:rPr>
          <w:rFonts w:hint="eastAsia" w:ascii="仿宋_GB2312" w:hAnsi="仿宋" w:eastAsia="仿宋_GB2312" w:cs="Times New Roman"/>
          <w:color w:val="auto"/>
          <w:sz w:val="32"/>
          <w:szCs w:val="32"/>
          <w:highlight w:val="none"/>
        </w:rPr>
        <w:t>预算</w:t>
      </w:r>
      <w:r>
        <w:rPr>
          <w:rFonts w:hint="eastAsia" w:ascii="仿宋_GB2312" w:hAnsi="仿宋" w:eastAsia="仿宋_GB2312" w:cs="Times New Roman"/>
          <w:color w:val="auto"/>
          <w:sz w:val="32"/>
          <w:szCs w:val="32"/>
          <w:highlight w:val="none"/>
          <w:lang w:val="en-US" w:eastAsia="zh-CN"/>
        </w:rPr>
        <w:t>60.18</w:t>
      </w:r>
      <w:r>
        <w:rPr>
          <w:rFonts w:hint="eastAsia" w:ascii="仿宋_GB2312" w:hAnsi="仿宋" w:eastAsia="仿宋_GB2312" w:cs="Times New Roman"/>
          <w:color w:val="auto"/>
          <w:sz w:val="32"/>
          <w:szCs w:val="32"/>
          <w:highlight w:val="none"/>
        </w:rPr>
        <w:t>万元，比</w:t>
      </w:r>
      <w:r>
        <w:rPr>
          <w:rFonts w:hint="eastAsia" w:ascii="仿宋_GB2312" w:hAnsi="仿宋" w:eastAsia="仿宋_GB2312" w:cs="Times New Roman"/>
          <w:color w:val="auto"/>
          <w:sz w:val="32"/>
          <w:szCs w:val="32"/>
          <w:highlight w:val="none"/>
          <w:lang w:eastAsia="zh-CN"/>
        </w:rPr>
        <w:t>202</w:t>
      </w:r>
      <w:r>
        <w:rPr>
          <w:rFonts w:hint="eastAsia" w:ascii="仿宋_GB2312" w:hAnsi="仿宋" w:eastAsia="仿宋_GB2312" w:cs="Times New Roman"/>
          <w:color w:val="auto"/>
          <w:sz w:val="32"/>
          <w:szCs w:val="32"/>
          <w:highlight w:val="none"/>
          <w:lang w:val="en-US" w:eastAsia="zh-CN"/>
        </w:rPr>
        <w:t>2</w:t>
      </w:r>
      <w:r>
        <w:rPr>
          <w:rFonts w:hint="eastAsia" w:ascii="仿宋_GB2312" w:hAnsi="仿宋" w:eastAsia="仿宋_GB2312" w:cs="Times New Roman"/>
          <w:color w:val="auto"/>
          <w:sz w:val="32"/>
          <w:szCs w:val="32"/>
          <w:highlight w:val="none"/>
          <w:lang w:eastAsia="zh-CN"/>
        </w:rPr>
        <w:t>年</w:t>
      </w:r>
      <w:r>
        <w:rPr>
          <w:rFonts w:hint="eastAsia" w:ascii="仿宋_GB2312" w:hAnsi="仿宋" w:eastAsia="仿宋_GB2312" w:cs="Times New Roman"/>
          <w:color w:val="auto"/>
          <w:sz w:val="32"/>
          <w:szCs w:val="32"/>
          <w:highlight w:val="none"/>
        </w:rPr>
        <w:t>预算</w:t>
      </w:r>
      <w:r>
        <w:rPr>
          <w:rFonts w:hint="eastAsia" w:ascii="仿宋_GB2312" w:hAnsi="仿宋" w:eastAsia="仿宋_GB2312" w:cs="Times New Roman"/>
          <w:color w:val="auto"/>
          <w:sz w:val="32"/>
          <w:szCs w:val="32"/>
          <w:highlight w:val="none"/>
          <w:lang w:eastAsia="zh-CN"/>
        </w:rPr>
        <w:t>增加</w:t>
      </w:r>
      <w:r>
        <w:rPr>
          <w:rFonts w:hint="eastAsia" w:ascii="仿宋_GB2312" w:hAnsi="仿宋" w:eastAsia="仿宋_GB2312" w:cs="Times New Roman"/>
          <w:color w:val="auto"/>
          <w:sz w:val="32"/>
          <w:szCs w:val="32"/>
          <w:highlight w:val="none"/>
          <w:lang w:val="en-US" w:eastAsia="zh-CN"/>
        </w:rPr>
        <w:t>8.41</w:t>
      </w:r>
      <w:r>
        <w:rPr>
          <w:rFonts w:hint="eastAsia" w:ascii="仿宋_GB2312" w:hAnsi="仿宋" w:eastAsia="仿宋_GB2312" w:cs="Times New Roman"/>
          <w:color w:val="auto"/>
          <w:sz w:val="32"/>
          <w:szCs w:val="32"/>
          <w:highlight w:val="none"/>
        </w:rPr>
        <w:t>万元，</w:t>
      </w:r>
      <w:r>
        <w:rPr>
          <w:rFonts w:hint="eastAsia" w:ascii="仿宋_GB2312" w:hAnsi="仿宋" w:eastAsia="仿宋_GB2312" w:cs="Times New Roman"/>
          <w:color w:val="auto"/>
          <w:sz w:val="32"/>
          <w:szCs w:val="32"/>
          <w:highlight w:val="none"/>
          <w:lang w:eastAsia="zh-CN"/>
        </w:rPr>
        <w:t>增加</w:t>
      </w:r>
      <w:r>
        <w:rPr>
          <w:rFonts w:hint="eastAsia" w:ascii="仿宋_GB2312" w:hAnsi="仿宋" w:eastAsia="仿宋_GB2312"/>
          <w:color w:val="auto"/>
          <w:sz w:val="32"/>
          <w:szCs w:val="32"/>
          <w:highlight w:val="none"/>
          <w:lang w:val="en-US" w:eastAsia="zh-CN"/>
        </w:rPr>
        <w:t>16.24</w:t>
      </w:r>
      <w:r>
        <w:rPr>
          <w:rFonts w:hint="eastAsia" w:ascii="仿宋_GB2312" w:hAnsi="仿宋" w:eastAsia="仿宋_GB2312" w:cs="Times New Roman"/>
          <w:color w:val="auto"/>
          <w:sz w:val="32"/>
          <w:szCs w:val="32"/>
          <w:highlight w:val="none"/>
        </w:rPr>
        <w:t>%</w:t>
      </w:r>
      <w:r>
        <w:rPr>
          <w:rFonts w:hint="eastAsia" w:ascii="仿宋_GB2312" w:hAnsi="仿宋" w:eastAsia="仿宋_GB2312" w:cs="Times New Roman"/>
          <w:color w:val="auto"/>
          <w:sz w:val="32"/>
          <w:szCs w:val="32"/>
          <w:highlight w:val="none"/>
          <w:lang w:eastAsia="zh-CN"/>
        </w:rPr>
        <w:t>。增加</w:t>
      </w:r>
      <w:r>
        <w:rPr>
          <w:rFonts w:hint="eastAsia" w:ascii="仿宋_GB2312" w:hAnsi="仿宋" w:eastAsia="仿宋_GB2312" w:cs="Times New Roman"/>
          <w:color w:val="auto"/>
          <w:sz w:val="32"/>
          <w:szCs w:val="32"/>
          <w:highlight w:val="none"/>
        </w:rPr>
        <w:t>原因主要是</w:t>
      </w:r>
      <w:r>
        <w:rPr>
          <w:rFonts w:hint="eastAsia" w:ascii="仿宋_GB2312" w:hAnsi="仿宋" w:eastAsia="仿宋_GB2312" w:cs="Times New Roman"/>
          <w:color w:val="auto"/>
          <w:sz w:val="32"/>
          <w:szCs w:val="32"/>
          <w:highlight w:val="none"/>
          <w:lang w:eastAsia="zh-CN"/>
        </w:rPr>
        <w:t>公务员</w:t>
      </w:r>
      <w:r>
        <w:rPr>
          <w:rFonts w:hint="eastAsia" w:ascii="仿宋_GB2312" w:hAnsi="仿宋" w:eastAsia="仿宋_GB2312"/>
          <w:color w:val="auto"/>
          <w:sz w:val="32"/>
          <w:szCs w:val="32"/>
          <w:highlight w:val="none"/>
          <w:lang w:eastAsia="zh-CN"/>
        </w:rPr>
        <w:t>医疗保险类调整缴纳比例</w:t>
      </w:r>
      <w:r>
        <w:rPr>
          <w:rFonts w:hint="eastAsia" w:ascii="仿宋_GB2312" w:hAnsi="仿宋" w:eastAsia="仿宋_GB2312" w:cs="Times New Roman"/>
          <w:color w:val="auto"/>
          <w:sz w:val="32"/>
          <w:szCs w:val="32"/>
          <w:highlight w:val="none"/>
        </w:rPr>
        <w:t>。</w:t>
      </w:r>
    </w:p>
    <w:p w14:paraId="7D1EAE27">
      <w:pPr>
        <w:adjustRightInd w:val="0"/>
        <w:snapToGrid w:val="0"/>
        <w:spacing w:line="600" w:lineRule="exact"/>
        <w:ind w:firstLine="643" w:firstLineChars="200"/>
        <w:rPr>
          <w:rFonts w:hint="eastAsia" w:ascii="仿宋_GB2312" w:hAnsi="仿宋" w:eastAsia="仿宋_GB2312" w:cs="Times New Roman"/>
          <w:color w:val="auto"/>
          <w:sz w:val="32"/>
          <w:szCs w:val="32"/>
          <w:highlight w:val="none"/>
        </w:rPr>
      </w:pPr>
      <w:r>
        <w:rPr>
          <w:rFonts w:hint="eastAsia" w:ascii="仿宋_GB2312" w:hAnsi="仿宋" w:eastAsia="仿宋_GB2312" w:cs="Times New Roman"/>
          <w:b/>
          <w:color w:val="auto"/>
          <w:sz w:val="32"/>
          <w:szCs w:val="32"/>
          <w:highlight w:val="none"/>
          <w:lang w:val="en-US" w:eastAsia="zh-CN"/>
        </w:rPr>
        <w:t>20</w:t>
      </w:r>
      <w:r>
        <w:rPr>
          <w:rFonts w:hint="eastAsia" w:ascii="仿宋_GB2312" w:hAnsi="仿宋" w:eastAsia="仿宋_GB2312" w:cs="Times New Roman"/>
          <w:b/>
          <w:color w:val="auto"/>
          <w:sz w:val="32"/>
          <w:szCs w:val="32"/>
          <w:highlight w:val="none"/>
        </w:rPr>
        <w:t>.卫生健康支出（类）行政事业单位医疗（款）</w:t>
      </w:r>
      <w:r>
        <w:rPr>
          <w:rFonts w:hint="eastAsia" w:ascii="仿宋_GB2312" w:hAnsi="仿宋" w:eastAsia="仿宋_GB2312" w:cs="Times New Roman"/>
          <w:b/>
          <w:color w:val="auto"/>
          <w:sz w:val="32"/>
          <w:szCs w:val="32"/>
          <w:highlight w:val="none"/>
          <w:lang w:eastAsia="zh-CN"/>
        </w:rPr>
        <w:t>其他行政事业单位医疗支出</w:t>
      </w:r>
      <w:r>
        <w:rPr>
          <w:rFonts w:hint="eastAsia" w:ascii="仿宋_GB2312" w:hAnsi="仿宋" w:eastAsia="仿宋_GB2312" w:cs="Times New Roman"/>
          <w:b/>
          <w:color w:val="auto"/>
          <w:sz w:val="32"/>
          <w:szCs w:val="32"/>
          <w:highlight w:val="none"/>
        </w:rPr>
        <w:t>（项）</w:t>
      </w:r>
      <w:r>
        <w:rPr>
          <w:rFonts w:hint="eastAsia" w:ascii="仿宋_GB2312" w:hAnsi="仿宋" w:eastAsia="仿宋_GB2312" w:cs="Times New Roman"/>
          <w:color w:val="auto"/>
          <w:sz w:val="32"/>
          <w:szCs w:val="32"/>
          <w:highlight w:val="none"/>
          <w:lang w:eastAsia="zh-CN"/>
        </w:rPr>
        <w:t>20</w:t>
      </w:r>
      <w:r>
        <w:rPr>
          <w:rFonts w:hint="eastAsia" w:ascii="仿宋_GB2312" w:hAnsi="仿宋" w:eastAsia="仿宋_GB2312" w:cs="Times New Roman"/>
          <w:color w:val="auto"/>
          <w:sz w:val="32"/>
          <w:szCs w:val="32"/>
          <w:highlight w:val="none"/>
          <w:lang w:val="en-US" w:eastAsia="zh-CN"/>
        </w:rPr>
        <w:t>23</w:t>
      </w:r>
      <w:r>
        <w:rPr>
          <w:rFonts w:hint="eastAsia" w:ascii="仿宋_GB2312" w:hAnsi="仿宋" w:eastAsia="仿宋_GB2312" w:cs="Times New Roman"/>
          <w:color w:val="auto"/>
          <w:sz w:val="32"/>
          <w:szCs w:val="32"/>
          <w:highlight w:val="none"/>
          <w:lang w:eastAsia="zh-CN"/>
        </w:rPr>
        <w:t>年</w:t>
      </w:r>
      <w:r>
        <w:rPr>
          <w:rFonts w:hint="eastAsia" w:ascii="仿宋_GB2312" w:hAnsi="仿宋" w:eastAsia="仿宋_GB2312" w:cs="Times New Roman"/>
          <w:color w:val="auto"/>
          <w:sz w:val="32"/>
          <w:szCs w:val="32"/>
          <w:highlight w:val="none"/>
        </w:rPr>
        <w:t>预算</w:t>
      </w:r>
      <w:r>
        <w:rPr>
          <w:rFonts w:hint="eastAsia" w:ascii="仿宋_GB2312" w:hAnsi="仿宋" w:eastAsia="仿宋_GB2312" w:cs="Times New Roman"/>
          <w:color w:val="auto"/>
          <w:sz w:val="32"/>
          <w:szCs w:val="32"/>
          <w:highlight w:val="none"/>
          <w:lang w:val="en-US" w:eastAsia="zh-CN"/>
        </w:rPr>
        <w:t>164.33</w:t>
      </w:r>
      <w:r>
        <w:rPr>
          <w:rFonts w:hint="eastAsia" w:ascii="仿宋_GB2312" w:hAnsi="仿宋" w:eastAsia="仿宋_GB2312" w:cs="Times New Roman"/>
          <w:color w:val="auto"/>
          <w:sz w:val="32"/>
          <w:szCs w:val="32"/>
          <w:highlight w:val="none"/>
        </w:rPr>
        <w:t>万元，比</w:t>
      </w:r>
      <w:r>
        <w:rPr>
          <w:rFonts w:hint="eastAsia" w:ascii="仿宋_GB2312" w:hAnsi="仿宋" w:eastAsia="仿宋_GB2312" w:cs="Times New Roman"/>
          <w:color w:val="auto"/>
          <w:sz w:val="32"/>
          <w:szCs w:val="32"/>
          <w:highlight w:val="none"/>
          <w:lang w:eastAsia="zh-CN"/>
        </w:rPr>
        <w:t>202</w:t>
      </w:r>
      <w:r>
        <w:rPr>
          <w:rFonts w:hint="eastAsia" w:ascii="仿宋_GB2312" w:hAnsi="仿宋" w:eastAsia="仿宋_GB2312" w:cs="Times New Roman"/>
          <w:color w:val="auto"/>
          <w:sz w:val="32"/>
          <w:szCs w:val="32"/>
          <w:highlight w:val="none"/>
          <w:lang w:val="en-US" w:eastAsia="zh-CN"/>
        </w:rPr>
        <w:t>2</w:t>
      </w:r>
      <w:r>
        <w:rPr>
          <w:rFonts w:hint="eastAsia" w:ascii="仿宋_GB2312" w:hAnsi="仿宋" w:eastAsia="仿宋_GB2312" w:cs="Times New Roman"/>
          <w:color w:val="auto"/>
          <w:sz w:val="32"/>
          <w:szCs w:val="32"/>
          <w:highlight w:val="none"/>
          <w:lang w:eastAsia="zh-CN"/>
        </w:rPr>
        <w:t>年</w:t>
      </w:r>
      <w:r>
        <w:rPr>
          <w:rFonts w:hint="eastAsia" w:ascii="仿宋_GB2312" w:hAnsi="仿宋" w:eastAsia="仿宋_GB2312" w:cs="Times New Roman"/>
          <w:color w:val="auto"/>
          <w:sz w:val="32"/>
          <w:szCs w:val="32"/>
          <w:highlight w:val="none"/>
        </w:rPr>
        <w:t>预算</w:t>
      </w:r>
      <w:r>
        <w:rPr>
          <w:rFonts w:hint="eastAsia" w:ascii="仿宋_GB2312" w:hAnsi="仿宋" w:eastAsia="仿宋_GB2312" w:cs="Times New Roman"/>
          <w:color w:val="auto"/>
          <w:sz w:val="32"/>
          <w:szCs w:val="32"/>
          <w:highlight w:val="none"/>
          <w:lang w:eastAsia="zh-CN"/>
        </w:rPr>
        <w:t>增加</w:t>
      </w:r>
      <w:r>
        <w:rPr>
          <w:rFonts w:hint="eastAsia" w:ascii="仿宋_GB2312" w:hAnsi="仿宋" w:eastAsia="仿宋_GB2312"/>
          <w:color w:val="auto"/>
          <w:sz w:val="32"/>
          <w:szCs w:val="32"/>
          <w:highlight w:val="none"/>
          <w:lang w:val="en-US" w:eastAsia="zh-CN"/>
        </w:rPr>
        <w:t>47.09</w:t>
      </w:r>
      <w:r>
        <w:rPr>
          <w:rFonts w:hint="eastAsia" w:ascii="仿宋_GB2312" w:hAnsi="仿宋" w:eastAsia="仿宋_GB2312" w:cs="Times New Roman"/>
          <w:color w:val="auto"/>
          <w:sz w:val="32"/>
          <w:szCs w:val="32"/>
          <w:highlight w:val="none"/>
        </w:rPr>
        <w:t>万元，</w:t>
      </w:r>
      <w:r>
        <w:rPr>
          <w:rFonts w:hint="eastAsia" w:ascii="仿宋_GB2312" w:hAnsi="仿宋" w:eastAsia="仿宋_GB2312" w:cs="Times New Roman"/>
          <w:color w:val="auto"/>
          <w:sz w:val="32"/>
          <w:szCs w:val="32"/>
          <w:highlight w:val="none"/>
          <w:lang w:eastAsia="zh-CN"/>
        </w:rPr>
        <w:t>增加</w:t>
      </w:r>
      <w:r>
        <w:rPr>
          <w:rFonts w:hint="eastAsia" w:ascii="仿宋_GB2312" w:hAnsi="仿宋" w:eastAsia="仿宋_GB2312"/>
          <w:color w:val="auto"/>
          <w:sz w:val="32"/>
          <w:szCs w:val="32"/>
          <w:highlight w:val="none"/>
          <w:lang w:val="en-US" w:eastAsia="zh-CN"/>
        </w:rPr>
        <w:t>40.17</w:t>
      </w:r>
      <w:r>
        <w:rPr>
          <w:rFonts w:hint="eastAsia" w:ascii="仿宋_GB2312" w:hAnsi="仿宋" w:eastAsia="仿宋_GB2312" w:cs="Times New Roman"/>
          <w:color w:val="auto"/>
          <w:sz w:val="32"/>
          <w:szCs w:val="32"/>
          <w:highlight w:val="none"/>
        </w:rPr>
        <w:t>%</w:t>
      </w:r>
      <w:r>
        <w:rPr>
          <w:rFonts w:hint="eastAsia" w:ascii="仿宋_GB2312" w:hAnsi="仿宋" w:eastAsia="仿宋_GB2312" w:cs="Times New Roman"/>
          <w:color w:val="auto"/>
          <w:sz w:val="32"/>
          <w:szCs w:val="32"/>
          <w:highlight w:val="none"/>
          <w:lang w:eastAsia="zh-CN"/>
        </w:rPr>
        <w:t>。增加</w:t>
      </w:r>
      <w:r>
        <w:rPr>
          <w:rFonts w:hint="eastAsia" w:ascii="仿宋_GB2312" w:hAnsi="仿宋" w:eastAsia="仿宋_GB2312" w:cs="Times New Roman"/>
          <w:color w:val="auto"/>
          <w:sz w:val="32"/>
          <w:szCs w:val="32"/>
          <w:highlight w:val="none"/>
        </w:rPr>
        <w:t>原因主要是</w:t>
      </w:r>
      <w:r>
        <w:rPr>
          <w:rFonts w:hint="eastAsia" w:ascii="仿宋_GB2312" w:hAnsi="仿宋" w:eastAsia="仿宋_GB2312"/>
          <w:color w:val="auto"/>
          <w:sz w:val="32"/>
          <w:szCs w:val="32"/>
          <w:highlight w:val="none"/>
          <w:lang w:eastAsia="zh-CN"/>
        </w:rPr>
        <w:t>医疗保险类调整缴纳比例</w:t>
      </w:r>
      <w:r>
        <w:rPr>
          <w:rFonts w:hint="eastAsia" w:ascii="仿宋_GB2312" w:hAnsi="仿宋" w:eastAsia="仿宋_GB2312" w:cs="Times New Roman"/>
          <w:color w:val="auto"/>
          <w:sz w:val="32"/>
          <w:szCs w:val="32"/>
          <w:highlight w:val="none"/>
        </w:rPr>
        <w:t>。</w:t>
      </w:r>
    </w:p>
    <w:p w14:paraId="03A405D4">
      <w:pPr>
        <w:adjustRightInd w:val="0"/>
        <w:snapToGrid w:val="0"/>
        <w:spacing w:line="600" w:lineRule="exact"/>
        <w:ind w:firstLine="643" w:firstLineChars="200"/>
        <w:rPr>
          <w:rFonts w:hint="eastAsia" w:ascii="仿宋_GB2312" w:hAnsi="仿宋" w:eastAsia="仿宋_GB2312" w:cs="Times New Roman"/>
          <w:color w:val="auto"/>
          <w:sz w:val="32"/>
          <w:szCs w:val="32"/>
          <w:highlight w:val="none"/>
        </w:rPr>
      </w:pPr>
      <w:r>
        <w:rPr>
          <w:rFonts w:hint="eastAsia" w:ascii="仿宋_GB2312" w:hAnsi="仿宋" w:eastAsia="仿宋_GB2312" w:cs="Times New Roman"/>
          <w:b/>
          <w:color w:val="auto"/>
          <w:sz w:val="32"/>
          <w:szCs w:val="32"/>
          <w:highlight w:val="none"/>
          <w:lang w:val="en-US" w:eastAsia="zh-CN"/>
        </w:rPr>
        <w:t>21</w:t>
      </w:r>
      <w:r>
        <w:rPr>
          <w:rFonts w:hint="eastAsia" w:ascii="仿宋_GB2312" w:hAnsi="仿宋" w:eastAsia="仿宋_GB2312" w:cs="Times New Roman"/>
          <w:b/>
          <w:color w:val="auto"/>
          <w:sz w:val="32"/>
          <w:szCs w:val="32"/>
          <w:highlight w:val="none"/>
        </w:rPr>
        <w:t>.卫生健康支出（类）优抚对象医疗（款）</w:t>
      </w:r>
      <w:r>
        <w:rPr>
          <w:rFonts w:hint="eastAsia" w:ascii="仿宋_GB2312" w:hAnsi="仿宋" w:eastAsia="仿宋_GB2312" w:cs="Times New Roman"/>
          <w:b/>
          <w:color w:val="auto"/>
          <w:sz w:val="32"/>
          <w:szCs w:val="32"/>
          <w:highlight w:val="none"/>
          <w:lang w:eastAsia="zh-CN"/>
        </w:rPr>
        <w:t>优抚对象医疗补助</w:t>
      </w:r>
      <w:r>
        <w:rPr>
          <w:rFonts w:hint="eastAsia" w:ascii="仿宋_GB2312" w:hAnsi="仿宋" w:eastAsia="仿宋_GB2312" w:cs="Times New Roman"/>
          <w:b/>
          <w:color w:val="auto"/>
          <w:sz w:val="32"/>
          <w:szCs w:val="32"/>
          <w:highlight w:val="none"/>
        </w:rPr>
        <w:t>（项）</w:t>
      </w:r>
      <w:r>
        <w:rPr>
          <w:rFonts w:hint="eastAsia" w:ascii="仿宋_GB2312" w:hAnsi="仿宋" w:eastAsia="仿宋_GB2312" w:cs="Times New Roman"/>
          <w:color w:val="auto"/>
          <w:sz w:val="32"/>
          <w:szCs w:val="32"/>
          <w:highlight w:val="none"/>
          <w:lang w:eastAsia="zh-CN"/>
        </w:rPr>
        <w:t>202</w:t>
      </w:r>
      <w:r>
        <w:rPr>
          <w:rFonts w:hint="eastAsia" w:ascii="仿宋_GB2312" w:hAnsi="仿宋" w:eastAsia="仿宋_GB2312" w:cs="Times New Roman"/>
          <w:color w:val="auto"/>
          <w:sz w:val="32"/>
          <w:szCs w:val="32"/>
          <w:highlight w:val="none"/>
          <w:lang w:val="en-US" w:eastAsia="zh-CN"/>
        </w:rPr>
        <w:t>3</w:t>
      </w:r>
      <w:r>
        <w:rPr>
          <w:rFonts w:hint="eastAsia" w:ascii="仿宋_GB2312" w:hAnsi="仿宋" w:eastAsia="仿宋_GB2312" w:cs="Times New Roman"/>
          <w:color w:val="auto"/>
          <w:sz w:val="32"/>
          <w:szCs w:val="32"/>
          <w:highlight w:val="none"/>
          <w:lang w:eastAsia="zh-CN"/>
        </w:rPr>
        <w:t>年</w:t>
      </w:r>
      <w:r>
        <w:rPr>
          <w:rFonts w:hint="eastAsia" w:ascii="仿宋_GB2312" w:hAnsi="仿宋" w:eastAsia="仿宋_GB2312" w:cs="Times New Roman"/>
          <w:color w:val="auto"/>
          <w:sz w:val="32"/>
          <w:szCs w:val="32"/>
          <w:highlight w:val="none"/>
        </w:rPr>
        <w:t>预算</w:t>
      </w:r>
      <w:r>
        <w:rPr>
          <w:rFonts w:hint="eastAsia" w:ascii="仿宋_GB2312" w:hAnsi="仿宋" w:eastAsia="仿宋_GB2312" w:cs="Times New Roman"/>
          <w:color w:val="auto"/>
          <w:sz w:val="32"/>
          <w:szCs w:val="32"/>
          <w:highlight w:val="none"/>
          <w:lang w:val="en-US" w:eastAsia="zh-CN"/>
        </w:rPr>
        <w:t>99.76</w:t>
      </w:r>
      <w:r>
        <w:rPr>
          <w:rFonts w:hint="eastAsia" w:ascii="仿宋_GB2312" w:hAnsi="仿宋" w:eastAsia="仿宋_GB2312" w:cs="Times New Roman"/>
          <w:color w:val="auto"/>
          <w:sz w:val="32"/>
          <w:szCs w:val="32"/>
          <w:highlight w:val="none"/>
        </w:rPr>
        <w:t>万元，比</w:t>
      </w:r>
      <w:r>
        <w:rPr>
          <w:rFonts w:hint="eastAsia" w:ascii="仿宋_GB2312" w:hAnsi="仿宋" w:eastAsia="仿宋_GB2312" w:cs="Times New Roman"/>
          <w:color w:val="auto"/>
          <w:sz w:val="32"/>
          <w:szCs w:val="32"/>
          <w:highlight w:val="none"/>
          <w:lang w:eastAsia="zh-CN"/>
        </w:rPr>
        <w:t>202</w:t>
      </w:r>
      <w:r>
        <w:rPr>
          <w:rFonts w:hint="eastAsia" w:ascii="仿宋_GB2312" w:hAnsi="仿宋" w:eastAsia="仿宋_GB2312" w:cs="Times New Roman"/>
          <w:color w:val="auto"/>
          <w:sz w:val="32"/>
          <w:szCs w:val="32"/>
          <w:highlight w:val="none"/>
          <w:lang w:val="en-US" w:eastAsia="zh-CN"/>
        </w:rPr>
        <w:t>2</w:t>
      </w:r>
      <w:r>
        <w:rPr>
          <w:rFonts w:hint="eastAsia" w:ascii="仿宋_GB2312" w:hAnsi="仿宋" w:eastAsia="仿宋_GB2312" w:cs="Times New Roman"/>
          <w:color w:val="auto"/>
          <w:sz w:val="32"/>
          <w:szCs w:val="32"/>
          <w:highlight w:val="none"/>
          <w:lang w:eastAsia="zh-CN"/>
        </w:rPr>
        <w:t>年</w:t>
      </w:r>
      <w:r>
        <w:rPr>
          <w:rFonts w:hint="eastAsia" w:ascii="仿宋_GB2312" w:hAnsi="仿宋" w:eastAsia="仿宋_GB2312" w:cs="Times New Roman"/>
          <w:color w:val="auto"/>
          <w:sz w:val="32"/>
          <w:szCs w:val="32"/>
          <w:highlight w:val="none"/>
        </w:rPr>
        <w:t>预算</w:t>
      </w:r>
      <w:r>
        <w:rPr>
          <w:rFonts w:hint="eastAsia" w:ascii="仿宋_GB2312" w:hAnsi="仿宋" w:eastAsia="仿宋_GB2312" w:cs="Times New Roman"/>
          <w:color w:val="auto"/>
          <w:sz w:val="32"/>
          <w:szCs w:val="32"/>
          <w:highlight w:val="none"/>
          <w:lang w:eastAsia="zh-CN"/>
        </w:rPr>
        <w:t>减少</w:t>
      </w:r>
      <w:r>
        <w:rPr>
          <w:rFonts w:hint="eastAsia" w:ascii="仿宋_GB2312" w:hAnsi="仿宋" w:eastAsia="仿宋_GB2312"/>
          <w:color w:val="auto"/>
          <w:sz w:val="32"/>
          <w:szCs w:val="32"/>
          <w:highlight w:val="none"/>
          <w:lang w:val="en-US" w:eastAsia="zh-CN"/>
        </w:rPr>
        <w:t>2.76</w:t>
      </w:r>
      <w:r>
        <w:rPr>
          <w:rFonts w:hint="eastAsia" w:ascii="仿宋_GB2312" w:hAnsi="仿宋" w:eastAsia="仿宋_GB2312" w:cs="Times New Roman"/>
          <w:color w:val="auto"/>
          <w:sz w:val="32"/>
          <w:szCs w:val="32"/>
          <w:highlight w:val="none"/>
        </w:rPr>
        <w:t>万元，</w:t>
      </w:r>
      <w:r>
        <w:rPr>
          <w:rFonts w:hint="eastAsia" w:ascii="仿宋_GB2312" w:hAnsi="仿宋" w:eastAsia="仿宋_GB2312" w:cs="Times New Roman"/>
          <w:color w:val="auto"/>
          <w:sz w:val="32"/>
          <w:szCs w:val="32"/>
          <w:highlight w:val="none"/>
          <w:lang w:eastAsia="zh-CN"/>
        </w:rPr>
        <w:t>减少</w:t>
      </w:r>
      <w:r>
        <w:rPr>
          <w:rFonts w:hint="eastAsia" w:ascii="仿宋_GB2312" w:hAnsi="仿宋" w:eastAsia="仿宋_GB2312"/>
          <w:color w:val="auto"/>
          <w:sz w:val="32"/>
          <w:szCs w:val="32"/>
          <w:highlight w:val="none"/>
          <w:lang w:val="en-US" w:eastAsia="zh-CN"/>
        </w:rPr>
        <w:t>2.68</w:t>
      </w:r>
      <w:r>
        <w:rPr>
          <w:rFonts w:hint="eastAsia" w:ascii="仿宋_GB2312" w:hAnsi="仿宋" w:eastAsia="仿宋_GB2312" w:cs="Times New Roman"/>
          <w:color w:val="auto"/>
          <w:sz w:val="32"/>
          <w:szCs w:val="32"/>
          <w:highlight w:val="none"/>
        </w:rPr>
        <w:t>%</w:t>
      </w:r>
      <w:r>
        <w:rPr>
          <w:rFonts w:hint="eastAsia" w:ascii="仿宋_GB2312" w:hAnsi="仿宋" w:eastAsia="仿宋_GB2312" w:cs="Times New Roman"/>
          <w:color w:val="auto"/>
          <w:sz w:val="32"/>
          <w:szCs w:val="32"/>
          <w:highlight w:val="none"/>
          <w:lang w:eastAsia="zh-CN"/>
        </w:rPr>
        <w:t>。减少</w:t>
      </w:r>
      <w:r>
        <w:rPr>
          <w:rFonts w:hint="eastAsia" w:ascii="仿宋_GB2312" w:hAnsi="仿宋" w:eastAsia="仿宋_GB2312" w:cs="Times New Roman"/>
          <w:color w:val="auto"/>
          <w:sz w:val="32"/>
          <w:szCs w:val="32"/>
          <w:highlight w:val="none"/>
        </w:rPr>
        <w:t>原因主要是</w:t>
      </w:r>
      <w:r>
        <w:rPr>
          <w:rFonts w:hint="eastAsia" w:ascii="仿宋_GB2312" w:hAnsi="仿宋" w:eastAsia="仿宋_GB2312"/>
          <w:color w:val="auto"/>
          <w:sz w:val="32"/>
          <w:szCs w:val="32"/>
          <w:highlight w:val="none"/>
          <w:lang w:eastAsia="zh-CN"/>
        </w:rPr>
        <w:t>优抚对象</w:t>
      </w:r>
      <w:r>
        <w:rPr>
          <w:rFonts w:hint="eastAsia" w:ascii="仿宋_GB2312" w:hAnsi="仿宋" w:eastAsia="仿宋_GB2312"/>
          <w:color w:val="auto"/>
          <w:sz w:val="32"/>
          <w:szCs w:val="32"/>
          <w:highlight w:val="none"/>
        </w:rPr>
        <w:t>人员</w:t>
      </w:r>
      <w:r>
        <w:rPr>
          <w:rFonts w:hint="eastAsia" w:ascii="仿宋_GB2312" w:hAnsi="仿宋" w:eastAsia="仿宋_GB2312" w:cs="Times New Roman"/>
          <w:color w:val="auto"/>
          <w:sz w:val="32"/>
          <w:szCs w:val="32"/>
          <w:highlight w:val="none"/>
          <w:lang w:eastAsia="zh-CN"/>
        </w:rPr>
        <w:t>减少</w:t>
      </w:r>
      <w:r>
        <w:rPr>
          <w:rFonts w:hint="eastAsia" w:ascii="仿宋_GB2312" w:hAnsi="仿宋" w:eastAsia="仿宋_GB2312" w:cs="Times New Roman"/>
          <w:color w:val="auto"/>
          <w:sz w:val="32"/>
          <w:szCs w:val="32"/>
          <w:highlight w:val="none"/>
        </w:rPr>
        <w:t>。</w:t>
      </w:r>
    </w:p>
    <w:p w14:paraId="3C91CA4B">
      <w:pPr>
        <w:widowControl/>
        <w:shd w:val="clear" w:color="auto" w:fill="FFFFFF"/>
        <w:spacing w:line="600" w:lineRule="atLeast"/>
        <w:ind w:firstLine="640"/>
        <w:rPr>
          <w:rFonts w:hint="eastAsia" w:ascii="仿宋_GB2312" w:hAnsi="仿宋" w:eastAsia="仿宋_GB2312" w:cs="Times New Roman"/>
          <w:color w:val="auto"/>
          <w:kern w:val="0"/>
          <w:sz w:val="32"/>
          <w:szCs w:val="32"/>
          <w:highlight w:val="none"/>
        </w:rPr>
      </w:pPr>
      <w:r>
        <w:rPr>
          <w:rFonts w:hint="eastAsia" w:ascii="仿宋_GB2312" w:hAnsi="仿宋" w:eastAsia="仿宋_GB2312" w:cs="Times New Roman"/>
          <w:b/>
          <w:color w:val="auto"/>
          <w:sz w:val="32"/>
          <w:szCs w:val="32"/>
          <w:highlight w:val="none"/>
          <w:lang w:val="en-US" w:eastAsia="zh-CN"/>
        </w:rPr>
        <w:t>22</w:t>
      </w:r>
      <w:r>
        <w:rPr>
          <w:rFonts w:hint="eastAsia" w:ascii="仿宋_GB2312" w:hAnsi="仿宋" w:eastAsia="仿宋_GB2312" w:cs="Times New Roman"/>
          <w:b/>
          <w:color w:val="auto"/>
          <w:sz w:val="32"/>
          <w:szCs w:val="32"/>
          <w:highlight w:val="none"/>
        </w:rPr>
        <w:t>.住房保障支出（类）住房改革支出（款）住房公积金（项）</w:t>
      </w:r>
      <w:r>
        <w:rPr>
          <w:rFonts w:hint="eastAsia" w:ascii="仿宋_GB2312" w:hAnsi="仿宋" w:eastAsia="仿宋_GB2312" w:cs="Times New Roman"/>
          <w:b/>
          <w:color w:val="auto"/>
          <w:sz w:val="32"/>
          <w:szCs w:val="32"/>
          <w:highlight w:val="none"/>
          <w:lang w:val="en-US" w:eastAsia="zh-CN"/>
        </w:rPr>
        <w:t xml:space="preserve"> </w:t>
      </w:r>
      <w:r>
        <w:rPr>
          <w:rFonts w:hint="eastAsia" w:ascii="仿宋_GB2312" w:hAnsi="仿宋" w:eastAsia="仿宋_GB2312" w:cs="Times New Roman"/>
          <w:color w:val="auto"/>
          <w:sz w:val="32"/>
          <w:szCs w:val="32"/>
          <w:highlight w:val="none"/>
          <w:lang w:eastAsia="zh-CN"/>
        </w:rPr>
        <w:t>2024年</w:t>
      </w:r>
      <w:r>
        <w:rPr>
          <w:rFonts w:hint="eastAsia" w:ascii="仿宋_GB2312" w:hAnsi="仿宋" w:eastAsia="仿宋_GB2312" w:cs="Times New Roman"/>
          <w:color w:val="auto"/>
          <w:sz w:val="32"/>
          <w:szCs w:val="32"/>
          <w:highlight w:val="none"/>
        </w:rPr>
        <w:t>预算</w:t>
      </w:r>
      <w:r>
        <w:rPr>
          <w:rFonts w:hint="eastAsia" w:ascii="仿宋_GB2312" w:hAnsi="仿宋" w:eastAsia="仿宋_GB2312" w:cs="Times New Roman"/>
          <w:color w:val="auto"/>
          <w:sz w:val="32"/>
          <w:szCs w:val="32"/>
          <w:highlight w:val="none"/>
          <w:lang w:val="en-US" w:eastAsia="zh-CN"/>
        </w:rPr>
        <w:t>1747.56</w:t>
      </w:r>
      <w:r>
        <w:rPr>
          <w:rFonts w:hint="eastAsia" w:ascii="仿宋_GB2312" w:hAnsi="仿宋" w:eastAsia="仿宋_GB2312" w:cs="Times New Roman"/>
          <w:color w:val="auto"/>
          <w:sz w:val="32"/>
          <w:szCs w:val="32"/>
          <w:highlight w:val="none"/>
        </w:rPr>
        <w:t>万元，</w:t>
      </w:r>
      <w:r>
        <w:rPr>
          <w:rFonts w:hint="eastAsia" w:ascii="仿宋_GB2312" w:hAnsi="仿宋" w:eastAsia="仿宋_GB2312" w:cs="Times New Roman"/>
          <w:color w:val="auto"/>
          <w:sz w:val="32"/>
          <w:szCs w:val="32"/>
          <w:highlight w:val="none"/>
        </w:rPr>
        <w:t>比</w:t>
      </w:r>
      <w:r>
        <w:rPr>
          <w:rFonts w:hint="eastAsia" w:ascii="仿宋_GB2312" w:hAnsi="仿宋" w:eastAsia="仿宋_GB2312" w:cs="Times New Roman"/>
          <w:color w:val="auto"/>
          <w:sz w:val="32"/>
          <w:szCs w:val="32"/>
          <w:highlight w:val="none"/>
          <w:lang w:eastAsia="zh-CN"/>
        </w:rPr>
        <w:t>202</w:t>
      </w:r>
      <w:r>
        <w:rPr>
          <w:rFonts w:hint="eastAsia" w:ascii="仿宋_GB2312" w:hAnsi="仿宋" w:eastAsia="仿宋_GB2312" w:cs="Times New Roman"/>
          <w:color w:val="auto"/>
          <w:sz w:val="32"/>
          <w:szCs w:val="32"/>
          <w:highlight w:val="none"/>
          <w:lang w:val="en-US" w:eastAsia="zh-CN"/>
        </w:rPr>
        <w:t>2</w:t>
      </w:r>
      <w:r>
        <w:rPr>
          <w:rFonts w:hint="eastAsia" w:ascii="仿宋_GB2312" w:hAnsi="仿宋" w:eastAsia="仿宋_GB2312" w:cs="Times New Roman"/>
          <w:color w:val="auto"/>
          <w:sz w:val="32"/>
          <w:szCs w:val="32"/>
          <w:highlight w:val="none"/>
          <w:lang w:eastAsia="zh-CN"/>
        </w:rPr>
        <w:t>年</w:t>
      </w:r>
      <w:r>
        <w:rPr>
          <w:rFonts w:hint="eastAsia" w:ascii="仿宋_GB2312" w:hAnsi="仿宋" w:eastAsia="仿宋_GB2312" w:cs="Times New Roman"/>
          <w:color w:val="auto"/>
          <w:sz w:val="32"/>
          <w:szCs w:val="32"/>
          <w:highlight w:val="none"/>
        </w:rPr>
        <w:t>预算增</w:t>
      </w:r>
      <w:r>
        <w:rPr>
          <w:rFonts w:hint="eastAsia" w:ascii="仿宋_GB2312" w:hAnsi="仿宋" w:eastAsia="仿宋_GB2312" w:cs="Times New Roman"/>
          <w:color w:val="auto"/>
          <w:sz w:val="32"/>
          <w:szCs w:val="32"/>
          <w:highlight w:val="none"/>
        </w:rPr>
        <w:t>加</w:t>
      </w:r>
      <w:r>
        <w:rPr>
          <w:rFonts w:hint="eastAsia" w:ascii="仿宋_GB2312" w:hAnsi="仿宋" w:eastAsia="仿宋_GB2312"/>
          <w:color w:val="auto"/>
          <w:sz w:val="32"/>
          <w:szCs w:val="32"/>
          <w:highlight w:val="none"/>
          <w:lang w:val="en-US" w:eastAsia="zh-CN"/>
        </w:rPr>
        <w:t>16.90</w:t>
      </w:r>
      <w:r>
        <w:rPr>
          <w:rFonts w:hint="eastAsia" w:ascii="仿宋_GB2312" w:hAnsi="仿宋" w:eastAsia="仿宋_GB2312" w:cs="Times New Roman"/>
          <w:color w:val="auto"/>
          <w:sz w:val="32"/>
          <w:szCs w:val="32"/>
          <w:highlight w:val="none"/>
        </w:rPr>
        <w:t>万元，增长</w:t>
      </w:r>
      <w:r>
        <w:rPr>
          <w:rFonts w:hint="eastAsia" w:ascii="仿宋_GB2312" w:hAnsi="仿宋" w:eastAsia="仿宋_GB2312"/>
          <w:color w:val="auto"/>
          <w:sz w:val="32"/>
          <w:szCs w:val="32"/>
          <w:highlight w:val="none"/>
          <w:lang w:val="en-US" w:eastAsia="zh-CN"/>
        </w:rPr>
        <w:t>9.76</w:t>
      </w:r>
      <w:r>
        <w:rPr>
          <w:rFonts w:hint="eastAsia" w:ascii="仿宋_GB2312" w:hAnsi="仿宋" w:eastAsia="仿宋_GB2312" w:cs="Times New Roman"/>
          <w:color w:val="auto"/>
          <w:sz w:val="32"/>
          <w:szCs w:val="32"/>
          <w:highlight w:val="none"/>
        </w:rPr>
        <w:t>%，增长原因主要是</w:t>
      </w:r>
      <w:r>
        <w:rPr>
          <w:rFonts w:hint="eastAsia" w:ascii="仿宋_GB2312" w:hAnsi="仿宋" w:eastAsia="仿宋_GB2312" w:cs="Times New Roman"/>
          <w:color w:val="auto"/>
          <w:kern w:val="0"/>
          <w:sz w:val="32"/>
          <w:szCs w:val="32"/>
          <w:highlight w:val="none"/>
        </w:rPr>
        <w:t>在职人员</w:t>
      </w:r>
      <w:r>
        <w:rPr>
          <w:rFonts w:hint="eastAsia" w:ascii="仿宋_GB2312" w:hAnsi="仿宋" w:eastAsia="仿宋_GB2312" w:cs="Times New Roman"/>
          <w:color w:val="auto"/>
          <w:kern w:val="0"/>
          <w:sz w:val="32"/>
          <w:szCs w:val="32"/>
          <w:highlight w:val="none"/>
          <w:lang w:eastAsia="zh-CN"/>
        </w:rPr>
        <w:t>工资</w:t>
      </w:r>
      <w:r>
        <w:rPr>
          <w:rFonts w:hint="eastAsia" w:ascii="仿宋_GB2312" w:hAnsi="仿宋" w:eastAsia="仿宋_GB2312" w:cs="Times New Roman"/>
          <w:color w:val="auto"/>
          <w:kern w:val="0"/>
          <w:sz w:val="32"/>
          <w:szCs w:val="32"/>
          <w:highlight w:val="none"/>
        </w:rPr>
        <w:t>增加，住房</w:t>
      </w:r>
      <w:r>
        <w:rPr>
          <w:rFonts w:hint="eastAsia" w:ascii="仿宋_GB2312" w:hAnsi="仿宋" w:eastAsia="仿宋_GB2312" w:cs="Times New Roman"/>
          <w:color w:val="auto"/>
          <w:kern w:val="0"/>
          <w:sz w:val="32"/>
          <w:szCs w:val="32"/>
          <w:highlight w:val="none"/>
          <w:lang w:eastAsia="zh-CN"/>
        </w:rPr>
        <w:t>公积金基数</w:t>
      </w:r>
      <w:r>
        <w:rPr>
          <w:rFonts w:hint="eastAsia" w:ascii="仿宋_GB2312" w:hAnsi="仿宋" w:eastAsia="仿宋_GB2312" w:cs="Times New Roman"/>
          <w:color w:val="auto"/>
          <w:kern w:val="0"/>
          <w:sz w:val="32"/>
          <w:szCs w:val="32"/>
          <w:highlight w:val="none"/>
        </w:rPr>
        <w:t>随人员工资增长。</w:t>
      </w:r>
    </w:p>
    <w:p w14:paraId="7342EBCE">
      <w:pPr>
        <w:widowControl/>
        <w:shd w:val="clear" w:color="auto" w:fill="FFFFFF"/>
        <w:spacing w:line="600" w:lineRule="atLeast"/>
        <w:ind w:firstLine="640"/>
        <w:rPr>
          <w:rFonts w:hint="eastAsia" w:ascii="仿宋_GB2312" w:hAnsi="仿宋" w:eastAsia="仿宋_GB2312" w:cs="Times New Roman"/>
          <w:color w:val="auto"/>
          <w:sz w:val="32"/>
          <w:szCs w:val="32"/>
          <w:highlight w:val="none"/>
        </w:rPr>
      </w:pPr>
      <w:r>
        <w:rPr>
          <w:rFonts w:hint="eastAsia" w:ascii="仿宋_GB2312" w:hAnsi="仿宋" w:eastAsia="仿宋_GB2312" w:cs="Times New Roman"/>
          <w:b/>
          <w:color w:val="auto"/>
          <w:sz w:val="32"/>
          <w:szCs w:val="32"/>
          <w:highlight w:val="none"/>
          <w:lang w:val="en-US" w:eastAsia="zh-CN"/>
        </w:rPr>
        <w:t>23</w:t>
      </w:r>
      <w:r>
        <w:rPr>
          <w:rFonts w:hint="eastAsia" w:ascii="仿宋_GB2312" w:hAnsi="仿宋" w:eastAsia="仿宋_GB2312" w:cs="Times New Roman"/>
          <w:b/>
          <w:color w:val="auto"/>
          <w:sz w:val="32"/>
          <w:szCs w:val="32"/>
          <w:highlight w:val="none"/>
        </w:rPr>
        <w:t>.住房保障支出（类）住房改革支出（款）购房补贴（项）</w:t>
      </w:r>
      <w:r>
        <w:rPr>
          <w:rFonts w:hint="eastAsia" w:ascii="仿宋_GB2312" w:hAnsi="仿宋" w:eastAsia="仿宋_GB2312" w:cs="Times New Roman"/>
          <w:color w:val="auto"/>
          <w:sz w:val="32"/>
          <w:szCs w:val="32"/>
          <w:highlight w:val="none"/>
          <w:lang w:eastAsia="zh-CN"/>
        </w:rPr>
        <w:t>202</w:t>
      </w:r>
      <w:r>
        <w:rPr>
          <w:rFonts w:hint="eastAsia" w:ascii="仿宋_GB2312" w:hAnsi="仿宋" w:eastAsia="仿宋_GB2312" w:cs="Times New Roman"/>
          <w:color w:val="auto"/>
          <w:sz w:val="32"/>
          <w:szCs w:val="32"/>
          <w:highlight w:val="none"/>
          <w:lang w:val="en-US" w:eastAsia="zh-CN"/>
        </w:rPr>
        <w:t>3</w:t>
      </w:r>
      <w:r>
        <w:rPr>
          <w:rFonts w:hint="eastAsia" w:ascii="仿宋_GB2312" w:hAnsi="仿宋" w:eastAsia="仿宋_GB2312" w:cs="Times New Roman"/>
          <w:color w:val="auto"/>
          <w:sz w:val="32"/>
          <w:szCs w:val="32"/>
          <w:highlight w:val="none"/>
          <w:lang w:eastAsia="zh-CN"/>
        </w:rPr>
        <w:t>年</w:t>
      </w:r>
      <w:r>
        <w:rPr>
          <w:rFonts w:hint="eastAsia" w:ascii="仿宋_GB2312" w:hAnsi="仿宋" w:eastAsia="仿宋_GB2312" w:cs="Times New Roman"/>
          <w:color w:val="auto"/>
          <w:sz w:val="32"/>
          <w:szCs w:val="32"/>
          <w:highlight w:val="none"/>
        </w:rPr>
        <w:t>预算</w:t>
      </w:r>
      <w:r>
        <w:rPr>
          <w:rFonts w:hint="eastAsia" w:ascii="仿宋_GB2312" w:hAnsi="仿宋" w:eastAsia="仿宋_GB2312" w:cs="Times New Roman"/>
          <w:color w:val="auto"/>
          <w:sz w:val="32"/>
          <w:szCs w:val="32"/>
          <w:highlight w:val="none"/>
          <w:lang w:val="en-US" w:eastAsia="zh-CN"/>
        </w:rPr>
        <w:t>709.89</w:t>
      </w:r>
      <w:r>
        <w:rPr>
          <w:rFonts w:hint="eastAsia" w:ascii="仿宋_GB2312" w:hAnsi="仿宋" w:eastAsia="仿宋_GB2312" w:cs="Times New Roman"/>
          <w:color w:val="auto"/>
          <w:sz w:val="32"/>
          <w:szCs w:val="32"/>
          <w:highlight w:val="none"/>
        </w:rPr>
        <w:t>万元，比</w:t>
      </w:r>
      <w:r>
        <w:rPr>
          <w:rFonts w:hint="eastAsia" w:ascii="仿宋_GB2312" w:hAnsi="仿宋" w:eastAsia="仿宋_GB2312" w:cs="Times New Roman"/>
          <w:color w:val="auto"/>
          <w:sz w:val="32"/>
          <w:szCs w:val="32"/>
          <w:highlight w:val="none"/>
          <w:lang w:eastAsia="zh-CN"/>
        </w:rPr>
        <w:t>202</w:t>
      </w:r>
      <w:r>
        <w:rPr>
          <w:rFonts w:hint="eastAsia" w:ascii="仿宋_GB2312" w:hAnsi="仿宋" w:eastAsia="仿宋_GB2312" w:cs="Times New Roman"/>
          <w:color w:val="auto"/>
          <w:sz w:val="32"/>
          <w:szCs w:val="32"/>
          <w:highlight w:val="none"/>
          <w:lang w:val="en-US" w:eastAsia="zh-CN"/>
        </w:rPr>
        <w:t>2</w:t>
      </w:r>
      <w:r>
        <w:rPr>
          <w:rFonts w:hint="eastAsia" w:ascii="仿宋_GB2312" w:hAnsi="仿宋" w:eastAsia="仿宋_GB2312" w:cs="Times New Roman"/>
          <w:color w:val="auto"/>
          <w:sz w:val="32"/>
          <w:szCs w:val="32"/>
          <w:highlight w:val="none"/>
          <w:lang w:eastAsia="zh-CN"/>
        </w:rPr>
        <w:t>年</w:t>
      </w:r>
      <w:r>
        <w:rPr>
          <w:rFonts w:hint="eastAsia" w:ascii="仿宋_GB2312" w:hAnsi="仿宋" w:eastAsia="仿宋_GB2312" w:cs="Times New Roman"/>
          <w:color w:val="auto"/>
          <w:sz w:val="32"/>
          <w:szCs w:val="32"/>
          <w:highlight w:val="none"/>
        </w:rPr>
        <w:t>预算</w:t>
      </w:r>
      <w:r>
        <w:rPr>
          <w:rFonts w:hint="eastAsia" w:ascii="仿宋_GB2312" w:hAnsi="仿宋" w:eastAsia="仿宋_GB2312" w:cs="Times New Roman"/>
          <w:color w:val="auto"/>
          <w:sz w:val="32"/>
          <w:szCs w:val="32"/>
          <w:highlight w:val="none"/>
          <w:lang w:eastAsia="zh-CN"/>
        </w:rPr>
        <w:t>减少</w:t>
      </w:r>
      <w:r>
        <w:rPr>
          <w:rFonts w:hint="eastAsia" w:ascii="仿宋_GB2312" w:hAnsi="仿宋" w:eastAsia="仿宋_GB2312"/>
          <w:color w:val="auto"/>
          <w:sz w:val="32"/>
          <w:szCs w:val="32"/>
          <w:highlight w:val="none"/>
          <w:lang w:val="en-US" w:eastAsia="zh-CN"/>
        </w:rPr>
        <w:t>11.22</w:t>
      </w:r>
      <w:r>
        <w:rPr>
          <w:rFonts w:hint="eastAsia" w:ascii="仿宋_GB2312" w:hAnsi="仿宋" w:eastAsia="仿宋_GB2312" w:cs="Times New Roman"/>
          <w:color w:val="auto"/>
          <w:sz w:val="32"/>
          <w:szCs w:val="32"/>
          <w:highlight w:val="none"/>
        </w:rPr>
        <w:t>万元，</w:t>
      </w:r>
      <w:r>
        <w:rPr>
          <w:rFonts w:hint="eastAsia" w:ascii="仿宋_GB2312" w:hAnsi="仿宋" w:eastAsia="仿宋_GB2312" w:cs="Times New Roman"/>
          <w:color w:val="auto"/>
          <w:sz w:val="32"/>
          <w:szCs w:val="32"/>
          <w:highlight w:val="none"/>
          <w:lang w:eastAsia="zh-CN"/>
        </w:rPr>
        <w:t>减少</w:t>
      </w:r>
      <w:r>
        <w:rPr>
          <w:rFonts w:hint="eastAsia" w:ascii="仿宋_GB2312" w:hAnsi="仿宋" w:eastAsia="仿宋_GB2312"/>
          <w:color w:val="auto"/>
          <w:sz w:val="32"/>
          <w:szCs w:val="32"/>
          <w:highlight w:val="none"/>
          <w:lang w:val="en-US" w:eastAsia="zh-CN"/>
        </w:rPr>
        <w:t>1.56</w:t>
      </w:r>
      <w:r>
        <w:rPr>
          <w:rFonts w:hint="eastAsia" w:ascii="仿宋_GB2312" w:hAnsi="仿宋" w:eastAsia="仿宋_GB2312" w:cs="Times New Roman"/>
          <w:color w:val="auto"/>
          <w:sz w:val="32"/>
          <w:szCs w:val="32"/>
          <w:highlight w:val="none"/>
        </w:rPr>
        <w:t>%</w:t>
      </w:r>
      <w:r>
        <w:rPr>
          <w:rFonts w:hint="eastAsia" w:ascii="仿宋_GB2312" w:hAnsi="仿宋" w:eastAsia="仿宋_GB2312" w:cs="Times New Roman"/>
          <w:color w:val="auto"/>
          <w:sz w:val="32"/>
          <w:szCs w:val="32"/>
          <w:highlight w:val="none"/>
          <w:lang w:eastAsia="zh-CN"/>
        </w:rPr>
        <w:t>。减少</w:t>
      </w:r>
      <w:r>
        <w:rPr>
          <w:rFonts w:hint="eastAsia" w:ascii="仿宋_GB2312" w:hAnsi="仿宋" w:eastAsia="仿宋_GB2312" w:cs="Times New Roman"/>
          <w:color w:val="auto"/>
          <w:sz w:val="32"/>
          <w:szCs w:val="32"/>
          <w:highlight w:val="none"/>
        </w:rPr>
        <w:t>原因主要是</w:t>
      </w:r>
      <w:r>
        <w:rPr>
          <w:rFonts w:hint="eastAsia" w:ascii="仿宋_GB2312" w:hAnsi="仿宋" w:eastAsia="仿宋_GB2312" w:cs="Times New Roman"/>
          <w:color w:val="auto"/>
          <w:kern w:val="0"/>
          <w:sz w:val="32"/>
          <w:szCs w:val="32"/>
          <w:highlight w:val="none"/>
        </w:rPr>
        <w:t>在职人员</w:t>
      </w:r>
      <w:r>
        <w:rPr>
          <w:rFonts w:hint="eastAsia" w:ascii="仿宋_GB2312" w:hAnsi="仿宋" w:eastAsia="仿宋_GB2312" w:cs="Times New Roman"/>
          <w:color w:val="auto"/>
          <w:kern w:val="0"/>
          <w:sz w:val="32"/>
          <w:szCs w:val="32"/>
          <w:highlight w:val="none"/>
          <w:lang w:eastAsia="zh-CN"/>
        </w:rPr>
        <w:t>工资购房补贴基数减少</w:t>
      </w:r>
      <w:r>
        <w:rPr>
          <w:rFonts w:hint="eastAsia" w:ascii="仿宋_GB2312" w:hAnsi="仿宋" w:eastAsia="仿宋_GB2312" w:cs="Times New Roman"/>
          <w:color w:val="auto"/>
          <w:kern w:val="0"/>
          <w:sz w:val="32"/>
          <w:szCs w:val="32"/>
          <w:highlight w:val="none"/>
        </w:rPr>
        <w:t>。</w:t>
      </w:r>
    </w:p>
    <w:p w14:paraId="1023DAAF">
      <w:pPr>
        <w:pStyle w:val="2"/>
        <w:adjustRightInd w:val="0"/>
        <w:snapToGrid w:val="0"/>
        <w:spacing w:before="0" w:beforeAutospacing="0" w:after="0" w:afterAutospacing="0" w:line="600" w:lineRule="exact"/>
        <w:ind w:firstLine="640" w:firstLineChars="200"/>
        <w:rPr>
          <w:rFonts w:ascii="黑体" w:eastAsia="黑体"/>
          <w:color w:val="auto"/>
          <w:highlight w:val="none"/>
        </w:rPr>
      </w:pPr>
      <w:r>
        <w:rPr>
          <w:rFonts w:hint="eastAsia" w:ascii="黑体" w:hAnsi="仿宋" w:eastAsia="黑体" w:cs="Times New Roman"/>
          <w:color w:val="auto"/>
          <w:kern w:val="2"/>
          <w:sz w:val="32"/>
          <w:szCs w:val="32"/>
          <w:highlight w:val="none"/>
        </w:rPr>
        <w:t>六、关于</w:t>
      </w:r>
      <w:r>
        <w:rPr>
          <w:rFonts w:hint="eastAsia" w:ascii="黑体" w:hAnsi="仿宋" w:eastAsia="黑体" w:cs="Times New Roman"/>
          <w:color w:val="auto"/>
          <w:kern w:val="2"/>
          <w:sz w:val="32"/>
          <w:szCs w:val="32"/>
          <w:highlight w:val="none"/>
          <w:lang w:eastAsia="zh-CN"/>
        </w:rPr>
        <w:t>2023年</w:t>
      </w:r>
      <w:r>
        <w:rPr>
          <w:rFonts w:hint="eastAsia" w:ascii="黑体" w:hAnsi="仿宋" w:eastAsia="黑体" w:cs="Times New Roman"/>
          <w:color w:val="auto"/>
          <w:kern w:val="2"/>
          <w:sz w:val="32"/>
          <w:szCs w:val="32"/>
          <w:highlight w:val="none"/>
        </w:rPr>
        <w:t>一般公共预算基本支出表的说明</w:t>
      </w:r>
    </w:p>
    <w:p w14:paraId="6A367587">
      <w:pPr>
        <w:ind w:firstLine="640" w:firstLineChars="200"/>
        <w:rPr>
          <w:rFonts w:ascii="仿宋_GB2312" w:hAnsi="仿宋" w:eastAsia="仿宋_GB2312" w:cs="Times New Roman"/>
          <w:color w:val="auto"/>
          <w:sz w:val="32"/>
          <w:szCs w:val="32"/>
          <w:highlight w:val="none"/>
        </w:rPr>
      </w:pPr>
      <w:r>
        <w:rPr>
          <w:rFonts w:hint="eastAsia" w:ascii="仿宋_GB2312" w:hAnsi="仿宋" w:eastAsia="仿宋_GB2312" w:cs="Times New Roman"/>
          <w:color w:val="auto"/>
          <w:sz w:val="32"/>
          <w:szCs w:val="32"/>
          <w:highlight w:val="none"/>
        </w:rPr>
        <w:t>濉溪县</w:t>
      </w:r>
      <w:r>
        <w:rPr>
          <w:rFonts w:hint="eastAsia" w:ascii="仿宋_GB2312" w:hAnsi="仿宋" w:eastAsia="仿宋_GB2312"/>
          <w:color w:val="auto"/>
          <w:sz w:val="32"/>
          <w:szCs w:val="32"/>
          <w:highlight w:val="none"/>
        </w:rPr>
        <w:t>卫健委</w:t>
      </w:r>
      <w:r>
        <w:rPr>
          <w:rFonts w:hint="eastAsia" w:ascii="仿宋_GB2312" w:hAnsi="仿宋" w:eastAsia="仿宋_GB2312" w:cs="Times New Roman"/>
          <w:color w:val="auto"/>
          <w:sz w:val="32"/>
          <w:szCs w:val="32"/>
          <w:highlight w:val="none"/>
          <w:lang w:eastAsia="zh-CN"/>
        </w:rPr>
        <w:t>2023年</w:t>
      </w:r>
      <w:r>
        <w:rPr>
          <w:rFonts w:hint="eastAsia" w:ascii="仿宋_GB2312" w:hAnsi="仿宋" w:eastAsia="仿宋_GB2312" w:cs="Times New Roman"/>
          <w:color w:val="auto"/>
          <w:sz w:val="32"/>
          <w:szCs w:val="32"/>
          <w:highlight w:val="none"/>
        </w:rPr>
        <w:t>一般公共预算基本支出</w:t>
      </w:r>
      <w:r>
        <w:rPr>
          <w:rFonts w:hint="eastAsia" w:ascii="仿宋_GB2312" w:hAnsi="仿宋" w:eastAsia="仿宋_GB2312"/>
          <w:color w:val="auto"/>
          <w:sz w:val="32"/>
          <w:szCs w:val="32"/>
          <w:highlight w:val="none"/>
          <w:lang w:val="en-US" w:eastAsia="zh-CN"/>
        </w:rPr>
        <w:t>23761.09</w:t>
      </w:r>
      <w:r>
        <w:rPr>
          <w:rFonts w:hint="eastAsia" w:ascii="仿宋_GB2312" w:hAnsi="仿宋" w:eastAsia="仿宋_GB2312" w:cs="Times New Roman"/>
          <w:color w:val="auto"/>
          <w:sz w:val="32"/>
          <w:szCs w:val="32"/>
          <w:highlight w:val="none"/>
        </w:rPr>
        <w:t>万元，其中，人员经费</w:t>
      </w:r>
      <w:r>
        <w:rPr>
          <w:rFonts w:hint="eastAsia" w:ascii="仿宋_GB2312" w:hAnsi="仿宋" w:eastAsia="仿宋_GB2312"/>
          <w:color w:val="auto"/>
          <w:sz w:val="32"/>
          <w:szCs w:val="32"/>
          <w:highlight w:val="none"/>
          <w:lang w:val="en-US" w:eastAsia="zh-CN"/>
        </w:rPr>
        <w:t>22653.27</w:t>
      </w:r>
      <w:r>
        <w:rPr>
          <w:rFonts w:hint="eastAsia" w:ascii="仿宋_GB2312" w:hAnsi="仿宋" w:eastAsia="仿宋_GB2312" w:cs="Times New Roman"/>
          <w:color w:val="auto"/>
          <w:sz w:val="32"/>
          <w:szCs w:val="32"/>
          <w:highlight w:val="none"/>
        </w:rPr>
        <w:t>万元，公用经费</w:t>
      </w:r>
      <w:r>
        <w:rPr>
          <w:rFonts w:hint="eastAsia" w:ascii="仿宋_GB2312" w:hAnsi="仿宋" w:eastAsia="仿宋_GB2312"/>
          <w:color w:val="auto"/>
          <w:sz w:val="32"/>
          <w:szCs w:val="32"/>
          <w:highlight w:val="none"/>
          <w:lang w:val="en-US" w:eastAsia="zh-CN"/>
        </w:rPr>
        <w:t>1107.83</w:t>
      </w:r>
      <w:r>
        <w:rPr>
          <w:rFonts w:hint="eastAsia" w:ascii="仿宋_GB2312" w:hAnsi="仿宋" w:eastAsia="仿宋_GB2312" w:cs="Times New Roman"/>
          <w:color w:val="auto"/>
          <w:sz w:val="32"/>
          <w:szCs w:val="32"/>
          <w:highlight w:val="none"/>
        </w:rPr>
        <w:t>万元。</w:t>
      </w:r>
    </w:p>
    <w:p w14:paraId="5C7FB865">
      <w:pPr>
        <w:ind w:firstLine="640" w:firstLineChars="200"/>
        <w:rPr>
          <w:rFonts w:ascii="仿宋_GB2312" w:hAnsi="仿宋" w:eastAsia="仿宋_GB2312" w:cs="Times New Roman"/>
          <w:color w:val="auto"/>
          <w:sz w:val="32"/>
          <w:szCs w:val="32"/>
          <w:highlight w:val="none"/>
        </w:rPr>
      </w:pPr>
      <w:r>
        <w:rPr>
          <w:rFonts w:hint="eastAsia" w:ascii="仿宋_GB2312" w:hAnsi="仿宋" w:eastAsia="仿宋_GB2312" w:cs="Times New Roman"/>
          <w:color w:val="auto"/>
          <w:sz w:val="32"/>
          <w:szCs w:val="32"/>
          <w:highlight w:val="none"/>
        </w:rPr>
        <w:t>（一）人员经费</w:t>
      </w:r>
      <w:r>
        <w:rPr>
          <w:rFonts w:hint="eastAsia" w:ascii="仿宋_GB2312" w:hAnsi="仿宋" w:eastAsia="仿宋_GB2312"/>
          <w:color w:val="auto"/>
          <w:sz w:val="32"/>
          <w:szCs w:val="32"/>
          <w:highlight w:val="none"/>
          <w:lang w:val="en-US" w:eastAsia="zh-CN"/>
        </w:rPr>
        <w:t>22653.27</w:t>
      </w:r>
      <w:r>
        <w:rPr>
          <w:rFonts w:hint="eastAsia" w:ascii="仿宋_GB2312" w:hAnsi="仿宋" w:eastAsia="仿宋_GB2312" w:cs="Times New Roman"/>
          <w:color w:val="auto"/>
          <w:sz w:val="32"/>
          <w:szCs w:val="32"/>
          <w:highlight w:val="none"/>
        </w:rPr>
        <w:t>万元，主要包括:基本工资、津贴补贴、奖金、伙食补助费、绩效工资、机关事业单位基本养老保险费、职业年金缴费、职工基本医疗保险缴费、公务员医疗补助缴费、其他社会保障缴费、住房公积金、离休费、对其他个人和家庭的补助支出。</w:t>
      </w:r>
    </w:p>
    <w:p w14:paraId="1061D892">
      <w:pPr>
        <w:ind w:firstLine="640" w:firstLineChars="200"/>
        <w:rPr>
          <w:rFonts w:ascii="仿宋_GB2312" w:hAnsi="仿宋" w:eastAsia="仿宋_GB2312" w:cs="Times New Roman"/>
          <w:color w:val="auto"/>
          <w:sz w:val="32"/>
          <w:szCs w:val="32"/>
          <w:highlight w:val="none"/>
        </w:rPr>
      </w:pPr>
      <w:r>
        <w:rPr>
          <w:rFonts w:hint="eastAsia" w:ascii="仿宋_GB2312" w:hAnsi="仿宋" w:eastAsia="仿宋_GB2312" w:cs="Times New Roman"/>
          <w:color w:val="auto"/>
          <w:sz w:val="32"/>
          <w:szCs w:val="32"/>
          <w:highlight w:val="none"/>
        </w:rPr>
        <w:t>（二）公用经费</w:t>
      </w:r>
      <w:r>
        <w:rPr>
          <w:rFonts w:hint="eastAsia" w:ascii="仿宋_GB2312" w:hAnsi="仿宋" w:eastAsia="仿宋_GB2312"/>
          <w:color w:val="auto"/>
          <w:sz w:val="32"/>
          <w:szCs w:val="32"/>
          <w:highlight w:val="none"/>
          <w:lang w:val="en-US" w:eastAsia="zh-CN"/>
        </w:rPr>
        <w:t>1107.83</w:t>
      </w:r>
      <w:r>
        <w:rPr>
          <w:rFonts w:hint="eastAsia" w:ascii="仿宋_GB2312" w:hAnsi="仿宋" w:eastAsia="仿宋_GB2312" w:cs="Times New Roman"/>
          <w:color w:val="auto"/>
          <w:sz w:val="32"/>
          <w:szCs w:val="32"/>
          <w:highlight w:val="none"/>
        </w:rPr>
        <w:t>万元，主要包括：办公费、印刷费、咨询费、手续费、水费、电费、邮电费、取暖费、物业管理费、差旅费、因公出国（境）费、维修（护）费、租赁费、会议费、培训费、公务接待费、专用材料费、被装购置费、专用燃料费、劳务费、委托业务费、公务用车运行维护费、其他交通费用、其他商品服务支出、房屋建筑物购建、办公设备购置、专用设备购置、基础设施建设、大型修缮、信息网络及软件购置更新、公务用车购置、其他交通工具购置、无形资产购置、其他资本性支出等。</w:t>
      </w:r>
    </w:p>
    <w:p w14:paraId="6807E793">
      <w:pPr>
        <w:pStyle w:val="2"/>
        <w:adjustRightInd w:val="0"/>
        <w:snapToGrid w:val="0"/>
        <w:spacing w:before="0" w:beforeAutospacing="0" w:after="0" w:afterAutospacing="0" w:line="600" w:lineRule="exact"/>
        <w:ind w:firstLine="640" w:firstLineChars="200"/>
        <w:rPr>
          <w:rFonts w:ascii="黑体" w:hAnsi="仿宋" w:eastAsia="黑体"/>
          <w:color w:val="auto"/>
          <w:sz w:val="32"/>
          <w:szCs w:val="32"/>
          <w:highlight w:val="none"/>
        </w:rPr>
      </w:pPr>
      <w:r>
        <w:rPr>
          <w:rFonts w:hint="eastAsia" w:ascii="黑体" w:hAnsi="仿宋" w:eastAsia="黑体"/>
          <w:color w:val="auto"/>
          <w:sz w:val="32"/>
          <w:szCs w:val="32"/>
          <w:highlight w:val="none"/>
        </w:rPr>
        <w:t>七、关于</w:t>
      </w:r>
      <w:r>
        <w:rPr>
          <w:rFonts w:hint="eastAsia" w:ascii="黑体" w:hAnsi="仿宋" w:eastAsia="黑体"/>
          <w:color w:val="auto"/>
          <w:sz w:val="32"/>
          <w:szCs w:val="32"/>
          <w:highlight w:val="none"/>
          <w:lang w:eastAsia="zh-CN"/>
        </w:rPr>
        <w:t>2023年</w:t>
      </w:r>
      <w:r>
        <w:rPr>
          <w:rFonts w:hint="eastAsia" w:ascii="黑体" w:hAnsi="仿宋" w:eastAsia="黑体"/>
          <w:color w:val="auto"/>
          <w:sz w:val="32"/>
          <w:szCs w:val="32"/>
          <w:highlight w:val="none"/>
        </w:rPr>
        <w:t>政府性基金预算支出表的说明</w:t>
      </w:r>
    </w:p>
    <w:p w14:paraId="3142E744">
      <w:pPr>
        <w:pStyle w:val="2"/>
        <w:adjustRightInd w:val="0"/>
        <w:snapToGrid w:val="0"/>
        <w:spacing w:before="0" w:beforeAutospacing="0" w:after="0" w:afterAutospacing="0" w:line="600" w:lineRule="exact"/>
        <w:ind w:firstLine="640" w:firstLineChars="200"/>
        <w:rPr>
          <w:rFonts w:ascii="仿宋_GB2312" w:hAnsi="仿宋" w:eastAsia="仿宋_GB2312"/>
          <w:color w:val="auto"/>
          <w:sz w:val="32"/>
          <w:szCs w:val="32"/>
          <w:highlight w:val="none"/>
        </w:rPr>
      </w:pPr>
      <w:r>
        <w:rPr>
          <w:rFonts w:hint="eastAsia" w:ascii="仿宋_GB2312" w:hAnsi="仿宋" w:eastAsia="仿宋_GB2312" w:cs="宋体"/>
          <w:color w:val="auto"/>
          <w:kern w:val="0"/>
          <w:sz w:val="32"/>
          <w:szCs w:val="32"/>
          <w:highlight w:val="none"/>
        </w:rPr>
        <w:t>濉溪县卫健委</w:t>
      </w:r>
      <w:r>
        <w:rPr>
          <w:rFonts w:hint="eastAsia" w:ascii="仿宋" w:hAnsi="仿宋" w:eastAsia="仿宋" w:cs="宋体"/>
          <w:color w:val="auto"/>
          <w:kern w:val="0"/>
          <w:sz w:val="32"/>
          <w:szCs w:val="32"/>
          <w:highlight w:val="none"/>
          <w:lang w:eastAsia="zh-CN"/>
        </w:rPr>
        <w:t>2023年</w:t>
      </w:r>
      <w:r>
        <w:rPr>
          <w:rFonts w:hint="eastAsia" w:ascii="仿宋_GB2312" w:hAnsi="仿宋" w:eastAsia="仿宋_GB2312" w:cs="宋体"/>
          <w:color w:val="auto"/>
          <w:kern w:val="0"/>
          <w:sz w:val="32"/>
          <w:szCs w:val="32"/>
          <w:highlight w:val="none"/>
        </w:rPr>
        <w:t>政府性基金预算拨款收入</w:t>
      </w:r>
      <w:r>
        <w:rPr>
          <w:rFonts w:hint="eastAsia" w:ascii="仿宋" w:hAnsi="仿宋" w:eastAsia="仿宋" w:cs="宋体"/>
          <w:color w:val="auto"/>
          <w:kern w:val="0"/>
          <w:sz w:val="32"/>
          <w:szCs w:val="32"/>
          <w:highlight w:val="none"/>
        </w:rPr>
        <w:t>100万元。</w:t>
      </w:r>
      <w:r>
        <w:rPr>
          <w:rFonts w:hint="eastAsia" w:ascii="仿宋_GB2312" w:hAnsi="仿宋" w:eastAsia="仿宋_GB2312"/>
          <w:color w:val="auto"/>
          <w:sz w:val="32"/>
          <w:szCs w:val="32"/>
          <w:highlight w:val="none"/>
        </w:rPr>
        <w:t>比202</w:t>
      </w:r>
      <w:r>
        <w:rPr>
          <w:rFonts w:hint="eastAsia" w:ascii="仿宋_GB2312" w:hAnsi="仿宋" w:eastAsia="仿宋_GB2312"/>
          <w:color w:val="auto"/>
          <w:sz w:val="32"/>
          <w:szCs w:val="32"/>
          <w:highlight w:val="none"/>
          <w:lang w:val="en-US" w:eastAsia="zh-CN"/>
        </w:rPr>
        <w:t>2</w:t>
      </w:r>
      <w:r>
        <w:rPr>
          <w:rFonts w:hint="eastAsia" w:ascii="仿宋_GB2312" w:hAnsi="仿宋" w:eastAsia="仿宋_GB2312"/>
          <w:color w:val="auto"/>
          <w:sz w:val="32"/>
          <w:szCs w:val="32"/>
          <w:highlight w:val="none"/>
        </w:rPr>
        <w:t>年预算增加</w:t>
      </w:r>
      <w:r>
        <w:rPr>
          <w:rFonts w:hint="eastAsia" w:ascii="仿宋_GB2312" w:hAnsi="仿宋" w:eastAsia="仿宋_GB2312"/>
          <w:color w:val="auto"/>
          <w:sz w:val="32"/>
          <w:szCs w:val="32"/>
          <w:highlight w:val="none"/>
          <w:lang w:val="en-US" w:eastAsia="zh-CN"/>
        </w:rPr>
        <w:t>0</w:t>
      </w:r>
      <w:r>
        <w:rPr>
          <w:rFonts w:hint="eastAsia" w:ascii="仿宋_GB2312" w:hAnsi="仿宋" w:eastAsia="仿宋_GB2312"/>
          <w:color w:val="auto"/>
          <w:sz w:val="32"/>
          <w:szCs w:val="32"/>
          <w:highlight w:val="none"/>
        </w:rPr>
        <w:t>万元，增长</w:t>
      </w:r>
      <w:r>
        <w:rPr>
          <w:rFonts w:hint="eastAsia" w:ascii="仿宋_GB2312" w:hAnsi="仿宋" w:eastAsia="仿宋_GB2312"/>
          <w:color w:val="auto"/>
          <w:sz w:val="32"/>
          <w:szCs w:val="32"/>
          <w:highlight w:val="none"/>
          <w:lang w:val="en-US" w:eastAsia="zh-CN"/>
        </w:rPr>
        <w:t>0</w:t>
      </w:r>
      <w:r>
        <w:rPr>
          <w:rFonts w:hint="eastAsia" w:ascii="仿宋_GB2312" w:hAnsi="仿宋" w:eastAsia="仿宋_GB2312"/>
          <w:color w:val="auto"/>
          <w:sz w:val="32"/>
          <w:szCs w:val="32"/>
          <w:highlight w:val="none"/>
        </w:rPr>
        <w:t>%。具体情况如下：</w:t>
      </w:r>
    </w:p>
    <w:p w14:paraId="3B7FF3D5">
      <w:pPr>
        <w:pStyle w:val="2"/>
        <w:adjustRightInd w:val="0"/>
        <w:snapToGrid w:val="0"/>
        <w:spacing w:before="0" w:beforeAutospacing="0" w:after="0" w:afterAutospacing="0" w:line="600" w:lineRule="exact"/>
        <w:ind w:firstLine="643" w:firstLineChars="200"/>
        <w:rPr>
          <w:rFonts w:hint="eastAsia" w:ascii="仿宋_GB2312" w:hAnsi="仿宋" w:eastAsia="仿宋_GB2312"/>
          <w:color w:val="auto"/>
          <w:sz w:val="32"/>
          <w:szCs w:val="32"/>
          <w:highlight w:val="none"/>
        </w:rPr>
      </w:pPr>
      <w:r>
        <w:rPr>
          <w:rFonts w:hint="eastAsia" w:ascii="仿宋_GB2312" w:hAnsi="仿宋" w:eastAsia="仿宋_GB2312"/>
          <w:b/>
          <w:color w:val="auto"/>
          <w:sz w:val="32"/>
          <w:szCs w:val="32"/>
          <w:highlight w:val="none"/>
        </w:rPr>
        <w:t>（一）其他支出—彩票公益金安排的支出</w:t>
      </w:r>
      <w:r>
        <w:rPr>
          <w:rFonts w:hint="eastAsia" w:ascii="仿宋_GB2312" w:hAnsi="仿宋" w:eastAsia="仿宋_GB2312"/>
          <w:color w:val="auto"/>
          <w:sz w:val="32"/>
          <w:szCs w:val="32"/>
          <w:highlight w:val="none"/>
          <w:lang w:val="en-US" w:eastAsia="zh-CN"/>
        </w:rPr>
        <w:t>100</w:t>
      </w:r>
      <w:r>
        <w:rPr>
          <w:rFonts w:hint="eastAsia" w:ascii="仿宋_GB2312" w:hAnsi="仿宋" w:eastAsia="仿宋_GB2312"/>
          <w:color w:val="auto"/>
          <w:sz w:val="32"/>
          <w:szCs w:val="32"/>
          <w:highlight w:val="none"/>
        </w:rPr>
        <w:t>万元，比202</w:t>
      </w:r>
      <w:r>
        <w:rPr>
          <w:rFonts w:hint="eastAsia" w:ascii="仿宋_GB2312" w:hAnsi="仿宋" w:eastAsia="仿宋_GB2312"/>
          <w:color w:val="auto"/>
          <w:sz w:val="32"/>
          <w:szCs w:val="32"/>
          <w:highlight w:val="none"/>
          <w:lang w:val="en-US" w:eastAsia="zh-CN"/>
        </w:rPr>
        <w:t>2</w:t>
      </w:r>
      <w:r>
        <w:rPr>
          <w:rFonts w:hint="eastAsia" w:ascii="仿宋_GB2312" w:hAnsi="仿宋" w:eastAsia="仿宋_GB2312"/>
          <w:color w:val="auto"/>
          <w:sz w:val="32"/>
          <w:szCs w:val="32"/>
          <w:highlight w:val="none"/>
        </w:rPr>
        <w:t>年预算增加</w:t>
      </w:r>
      <w:r>
        <w:rPr>
          <w:rFonts w:hint="eastAsia" w:ascii="仿宋_GB2312" w:hAnsi="仿宋" w:eastAsia="仿宋_GB2312"/>
          <w:color w:val="auto"/>
          <w:sz w:val="32"/>
          <w:szCs w:val="32"/>
          <w:highlight w:val="none"/>
          <w:lang w:val="en-US" w:eastAsia="zh-CN"/>
        </w:rPr>
        <w:t>0</w:t>
      </w:r>
      <w:r>
        <w:rPr>
          <w:rFonts w:hint="eastAsia" w:ascii="仿宋_GB2312" w:hAnsi="仿宋" w:eastAsia="仿宋_GB2312"/>
          <w:color w:val="auto"/>
          <w:sz w:val="32"/>
          <w:szCs w:val="32"/>
          <w:highlight w:val="none"/>
        </w:rPr>
        <w:t>万元，增长</w:t>
      </w:r>
      <w:r>
        <w:rPr>
          <w:rFonts w:hint="eastAsia" w:ascii="仿宋_GB2312" w:hAnsi="仿宋" w:eastAsia="仿宋_GB2312"/>
          <w:color w:val="auto"/>
          <w:sz w:val="32"/>
          <w:szCs w:val="32"/>
          <w:highlight w:val="none"/>
          <w:lang w:val="en-US" w:eastAsia="zh-CN"/>
        </w:rPr>
        <w:t>0</w:t>
      </w:r>
      <w:r>
        <w:rPr>
          <w:rFonts w:hint="eastAsia" w:ascii="仿宋_GB2312" w:hAnsi="仿宋" w:eastAsia="仿宋_GB2312"/>
          <w:color w:val="auto"/>
          <w:sz w:val="32"/>
          <w:szCs w:val="32"/>
          <w:highlight w:val="none"/>
        </w:rPr>
        <w:t>%。</w:t>
      </w:r>
    </w:p>
    <w:p w14:paraId="6EFE5589">
      <w:pPr>
        <w:pStyle w:val="2"/>
        <w:adjustRightInd w:val="0"/>
        <w:snapToGrid w:val="0"/>
        <w:spacing w:before="0" w:beforeAutospacing="0" w:after="0" w:afterAutospacing="0" w:line="600" w:lineRule="exact"/>
        <w:ind w:firstLine="640" w:firstLineChars="200"/>
        <w:rPr>
          <w:rFonts w:ascii="黑体" w:hAnsi="仿宋" w:eastAsia="黑体"/>
          <w:color w:val="auto"/>
          <w:sz w:val="32"/>
          <w:szCs w:val="32"/>
          <w:highlight w:val="none"/>
        </w:rPr>
      </w:pPr>
      <w:r>
        <w:rPr>
          <w:rFonts w:hint="eastAsia" w:ascii="黑体" w:hAnsi="仿宋" w:eastAsia="黑体"/>
          <w:color w:val="auto"/>
          <w:sz w:val="32"/>
          <w:szCs w:val="32"/>
          <w:highlight w:val="none"/>
        </w:rPr>
        <w:t>八、关于</w:t>
      </w:r>
      <w:r>
        <w:rPr>
          <w:rFonts w:hint="eastAsia" w:ascii="黑体" w:hAnsi="仿宋" w:eastAsia="黑体"/>
          <w:color w:val="auto"/>
          <w:sz w:val="32"/>
          <w:szCs w:val="32"/>
          <w:highlight w:val="none"/>
          <w:lang w:eastAsia="zh-CN"/>
        </w:rPr>
        <w:t>2023年</w:t>
      </w:r>
      <w:r>
        <w:rPr>
          <w:rFonts w:hint="eastAsia" w:ascii="黑体" w:hAnsi="仿宋" w:eastAsia="黑体"/>
          <w:color w:val="auto"/>
          <w:sz w:val="32"/>
          <w:szCs w:val="32"/>
          <w:highlight w:val="none"/>
        </w:rPr>
        <w:t>国有资本经营预算支出表的说明</w:t>
      </w:r>
    </w:p>
    <w:p w14:paraId="390BEF24">
      <w:pPr>
        <w:pStyle w:val="2"/>
        <w:adjustRightInd w:val="0"/>
        <w:snapToGrid w:val="0"/>
        <w:spacing w:before="0" w:beforeAutospacing="0" w:after="0" w:afterAutospacing="0" w:line="600" w:lineRule="exact"/>
        <w:ind w:firstLine="640" w:firstLineChars="200"/>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濉溪县卫健委</w:t>
      </w:r>
      <w:r>
        <w:rPr>
          <w:rFonts w:hint="eastAsia" w:ascii="仿宋_GB2312" w:hAnsi="仿宋" w:eastAsia="仿宋_GB2312"/>
          <w:color w:val="auto"/>
          <w:sz w:val="32"/>
          <w:szCs w:val="32"/>
          <w:highlight w:val="none"/>
          <w:lang w:eastAsia="zh-CN"/>
        </w:rPr>
        <w:t>2023年</w:t>
      </w:r>
      <w:r>
        <w:rPr>
          <w:rFonts w:hint="eastAsia" w:ascii="仿宋_GB2312" w:hAnsi="仿宋" w:eastAsia="仿宋_GB2312"/>
          <w:color w:val="auto"/>
          <w:sz w:val="32"/>
          <w:szCs w:val="32"/>
          <w:highlight w:val="none"/>
        </w:rPr>
        <w:t>没有国有资本经营预算拨款收入，也没有使用国有资本经营预算拨款安排的支出。</w:t>
      </w:r>
    </w:p>
    <w:p w14:paraId="10CF7EAF">
      <w:pPr>
        <w:pStyle w:val="2"/>
        <w:adjustRightInd w:val="0"/>
        <w:snapToGrid w:val="0"/>
        <w:spacing w:before="0" w:beforeAutospacing="0" w:after="0" w:afterAutospacing="0" w:line="600" w:lineRule="exact"/>
        <w:ind w:firstLine="640" w:firstLineChars="200"/>
        <w:rPr>
          <w:rFonts w:ascii="黑体" w:hAnsi="仿宋" w:eastAsia="黑体"/>
          <w:color w:val="auto"/>
          <w:sz w:val="32"/>
          <w:szCs w:val="32"/>
          <w:highlight w:val="none"/>
        </w:rPr>
      </w:pPr>
      <w:r>
        <w:rPr>
          <w:rFonts w:hint="eastAsia" w:ascii="黑体" w:hAnsi="仿宋" w:eastAsia="黑体"/>
          <w:color w:val="auto"/>
          <w:sz w:val="32"/>
          <w:szCs w:val="32"/>
          <w:highlight w:val="none"/>
        </w:rPr>
        <w:t>九、关于</w:t>
      </w:r>
      <w:r>
        <w:rPr>
          <w:rFonts w:hint="eastAsia" w:ascii="黑体" w:hAnsi="仿宋" w:eastAsia="黑体"/>
          <w:color w:val="auto"/>
          <w:sz w:val="32"/>
          <w:szCs w:val="32"/>
          <w:highlight w:val="none"/>
          <w:lang w:eastAsia="zh-CN"/>
        </w:rPr>
        <w:t>2023年</w:t>
      </w:r>
      <w:r>
        <w:rPr>
          <w:rFonts w:hint="eastAsia" w:ascii="黑体" w:hAnsi="仿宋" w:eastAsia="黑体"/>
          <w:color w:val="auto"/>
          <w:sz w:val="32"/>
          <w:szCs w:val="32"/>
          <w:highlight w:val="none"/>
        </w:rPr>
        <w:t>项目支出表的说明</w:t>
      </w:r>
    </w:p>
    <w:p w14:paraId="46490289">
      <w:pPr>
        <w:pStyle w:val="2"/>
        <w:adjustRightInd w:val="0"/>
        <w:snapToGrid w:val="0"/>
        <w:spacing w:before="0" w:beforeAutospacing="0" w:after="0" w:afterAutospacing="0" w:line="600" w:lineRule="exact"/>
        <w:ind w:firstLine="640" w:firstLineChars="200"/>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濉溪县卫健委</w:t>
      </w:r>
      <w:r>
        <w:rPr>
          <w:rFonts w:hint="eastAsia" w:ascii="仿宋_GB2312" w:hAnsi="仿宋" w:eastAsia="仿宋_GB2312"/>
          <w:color w:val="auto"/>
          <w:sz w:val="32"/>
          <w:szCs w:val="32"/>
          <w:highlight w:val="none"/>
          <w:lang w:eastAsia="zh-CN"/>
        </w:rPr>
        <w:t>2023年</w:t>
      </w:r>
      <w:r>
        <w:rPr>
          <w:rFonts w:hint="eastAsia" w:ascii="仿宋_GB2312" w:hAnsi="仿宋" w:eastAsia="仿宋_GB2312"/>
          <w:color w:val="auto"/>
          <w:sz w:val="32"/>
          <w:szCs w:val="32"/>
          <w:highlight w:val="none"/>
        </w:rPr>
        <w:t>预算共安排项目支出</w:t>
      </w:r>
      <w:r>
        <w:rPr>
          <w:rFonts w:hint="eastAsia" w:ascii="仿宋_GB2312" w:hAnsi="仿宋" w:eastAsia="仿宋_GB2312"/>
          <w:color w:val="auto"/>
          <w:sz w:val="32"/>
          <w:szCs w:val="32"/>
          <w:highlight w:val="none"/>
          <w:lang w:val="en-US" w:eastAsia="zh-CN"/>
        </w:rPr>
        <w:t>5913.21</w:t>
      </w:r>
      <w:r>
        <w:rPr>
          <w:rFonts w:hint="eastAsia" w:ascii="仿宋_GB2312" w:hAnsi="仿宋" w:eastAsia="仿宋_GB2312"/>
          <w:color w:val="auto"/>
          <w:sz w:val="32"/>
          <w:szCs w:val="32"/>
          <w:highlight w:val="none"/>
        </w:rPr>
        <w:t>万元，比</w:t>
      </w:r>
      <w:r>
        <w:rPr>
          <w:rFonts w:hint="eastAsia" w:ascii="仿宋_GB2312" w:hAnsi="仿宋" w:eastAsia="仿宋_GB2312"/>
          <w:color w:val="auto"/>
          <w:sz w:val="32"/>
          <w:szCs w:val="32"/>
          <w:highlight w:val="none"/>
          <w:lang w:eastAsia="zh-CN"/>
        </w:rPr>
        <w:t>2022年</w:t>
      </w:r>
      <w:r>
        <w:rPr>
          <w:rFonts w:hint="eastAsia" w:ascii="仿宋_GB2312" w:hAnsi="仿宋" w:eastAsia="仿宋_GB2312"/>
          <w:color w:val="auto"/>
          <w:sz w:val="32"/>
          <w:szCs w:val="32"/>
          <w:highlight w:val="none"/>
        </w:rPr>
        <w:t>预算</w:t>
      </w:r>
      <w:r>
        <w:rPr>
          <w:rFonts w:hint="eastAsia" w:ascii="仿宋_GB2312" w:hAnsi="仿宋" w:eastAsia="仿宋_GB2312"/>
          <w:color w:val="auto"/>
          <w:sz w:val="32"/>
          <w:szCs w:val="32"/>
          <w:highlight w:val="none"/>
          <w:lang w:eastAsia="zh-CN"/>
        </w:rPr>
        <w:t>增加</w:t>
      </w:r>
      <w:r>
        <w:rPr>
          <w:rFonts w:hint="eastAsia" w:ascii="仿宋_GB2312" w:hAnsi="仿宋" w:eastAsia="仿宋_GB2312"/>
          <w:color w:val="auto"/>
          <w:sz w:val="32"/>
          <w:szCs w:val="32"/>
          <w:highlight w:val="none"/>
          <w:lang w:val="en-US" w:eastAsia="zh-CN"/>
        </w:rPr>
        <w:t>209.09</w:t>
      </w:r>
      <w:r>
        <w:rPr>
          <w:rFonts w:hint="eastAsia" w:ascii="仿宋_GB2312" w:hAnsi="仿宋" w:eastAsia="仿宋_GB2312"/>
          <w:color w:val="auto"/>
          <w:sz w:val="32"/>
          <w:szCs w:val="32"/>
          <w:highlight w:val="none"/>
        </w:rPr>
        <w:t>万元，下降63.8%，</w:t>
      </w:r>
      <w:r>
        <w:rPr>
          <w:rFonts w:hint="eastAsia" w:ascii="仿宋_GB2312" w:hAnsi="仿宋" w:eastAsia="仿宋_GB2312"/>
          <w:color w:val="auto"/>
          <w:sz w:val="32"/>
          <w:szCs w:val="32"/>
          <w:highlight w:val="none"/>
          <w:lang w:eastAsia="zh-CN"/>
        </w:rPr>
        <w:t>增加</w:t>
      </w:r>
      <w:r>
        <w:rPr>
          <w:rFonts w:hint="eastAsia" w:ascii="仿宋_GB2312" w:hAnsi="仿宋" w:eastAsia="仿宋_GB2312"/>
          <w:color w:val="auto"/>
          <w:sz w:val="32"/>
          <w:szCs w:val="32"/>
          <w:highlight w:val="none"/>
        </w:rPr>
        <w:t>原因主要是</w:t>
      </w:r>
      <w:r>
        <w:rPr>
          <w:rFonts w:hint="eastAsia" w:ascii="仿宋_GB2312" w:hAnsi="仿宋" w:eastAsia="仿宋_GB2312"/>
          <w:color w:val="auto"/>
          <w:sz w:val="32"/>
          <w:szCs w:val="32"/>
          <w:highlight w:val="none"/>
          <w:lang w:eastAsia="zh-CN"/>
        </w:rPr>
        <w:t>全县村卫生室运转经费、退出村医生活补助及计生家庭奖特扶扩面支出增加</w:t>
      </w:r>
      <w:r>
        <w:rPr>
          <w:rFonts w:hint="eastAsia" w:ascii="仿宋_GB2312" w:hAnsi="仿宋" w:eastAsia="仿宋_GB2312"/>
          <w:color w:val="auto"/>
          <w:sz w:val="32"/>
          <w:szCs w:val="32"/>
          <w:highlight w:val="none"/>
        </w:rPr>
        <w:t>。主要包括：本年财政拨款安排</w:t>
      </w:r>
      <w:r>
        <w:rPr>
          <w:rFonts w:hint="eastAsia" w:ascii="仿宋_GB2312" w:hAnsi="仿宋" w:eastAsia="仿宋_GB2312"/>
          <w:color w:val="auto"/>
          <w:sz w:val="32"/>
          <w:szCs w:val="32"/>
          <w:highlight w:val="none"/>
          <w:lang w:val="en-US" w:eastAsia="zh-CN"/>
        </w:rPr>
        <w:t>5913.21</w:t>
      </w:r>
      <w:r>
        <w:rPr>
          <w:rFonts w:hint="eastAsia" w:ascii="仿宋_GB2312" w:hAnsi="仿宋" w:eastAsia="仿宋_GB2312"/>
          <w:color w:val="auto"/>
          <w:sz w:val="32"/>
          <w:szCs w:val="32"/>
          <w:highlight w:val="none"/>
        </w:rPr>
        <w:t>万元（其中，一般公共预算拨款安排</w:t>
      </w:r>
      <w:r>
        <w:rPr>
          <w:rFonts w:hint="eastAsia" w:ascii="仿宋_GB2312" w:hAnsi="仿宋" w:eastAsia="仿宋_GB2312"/>
          <w:color w:val="auto"/>
          <w:sz w:val="32"/>
          <w:szCs w:val="32"/>
          <w:highlight w:val="none"/>
          <w:lang w:val="en-US" w:eastAsia="zh-CN"/>
        </w:rPr>
        <w:t>5813.21</w:t>
      </w:r>
      <w:r>
        <w:rPr>
          <w:rFonts w:hint="eastAsia" w:ascii="仿宋_GB2312" w:hAnsi="仿宋" w:eastAsia="仿宋_GB2312"/>
          <w:color w:val="auto"/>
          <w:sz w:val="32"/>
          <w:szCs w:val="32"/>
          <w:highlight w:val="none"/>
        </w:rPr>
        <w:t>万元，政府性基金预算拨款安排100万元</w:t>
      </w:r>
      <w:r>
        <w:rPr>
          <w:rFonts w:hint="eastAsia" w:ascii="仿宋_GB2312" w:hAnsi="仿宋" w:eastAsia="仿宋_GB2312"/>
          <w:color w:val="auto"/>
          <w:sz w:val="32"/>
          <w:szCs w:val="32"/>
          <w:highlight w:val="none"/>
          <w:lang w:eastAsia="zh-CN"/>
        </w:rPr>
        <w:t>）</w:t>
      </w:r>
      <w:r>
        <w:rPr>
          <w:rFonts w:hint="eastAsia" w:ascii="仿宋_GB2312" w:hAnsi="仿宋" w:eastAsia="仿宋_GB2312"/>
          <w:color w:val="auto"/>
          <w:sz w:val="32"/>
          <w:szCs w:val="32"/>
          <w:highlight w:val="none"/>
        </w:rPr>
        <w:t>。</w:t>
      </w:r>
    </w:p>
    <w:p w14:paraId="21BF325C">
      <w:pPr>
        <w:pStyle w:val="2"/>
        <w:adjustRightInd w:val="0"/>
        <w:snapToGrid w:val="0"/>
        <w:spacing w:before="0" w:beforeAutospacing="0" w:after="0" w:afterAutospacing="0" w:line="600" w:lineRule="exact"/>
        <w:ind w:firstLine="640" w:firstLineChars="200"/>
        <w:rPr>
          <w:rFonts w:ascii="黑体" w:hAnsi="仿宋" w:eastAsia="黑体"/>
          <w:color w:val="auto"/>
          <w:sz w:val="32"/>
          <w:szCs w:val="32"/>
          <w:highlight w:val="none"/>
        </w:rPr>
      </w:pPr>
      <w:r>
        <w:rPr>
          <w:rFonts w:hint="eastAsia" w:ascii="黑体" w:hAnsi="仿宋" w:eastAsia="黑体"/>
          <w:color w:val="auto"/>
          <w:sz w:val="32"/>
          <w:szCs w:val="32"/>
          <w:highlight w:val="none"/>
        </w:rPr>
        <w:t>十、关于</w:t>
      </w:r>
      <w:r>
        <w:rPr>
          <w:rFonts w:hint="eastAsia" w:ascii="黑体" w:hAnsi="仿宋" w:eastAsia="黑体"/>
          <w:color w:val="auto"/>
          <w:sz w:val="32"/>
          <w:szCs w:val="32"/>
          <w:highlight w:val="none"/>
          <w:lang w:eastAsia="zh-CN"/>
        </w:rPr>
        <w:t>2023年</w:t>
      </w:r>
      <w:r>
        <w:rPr>
          <w:rFonts w:hint="eastAsia" w:ascii="黑体" w:hAnsi="仿宋" w:eastAsia="黑体"/>
          <w:color w:val="auto"/>
          <w:sz w:val="32"/>
          <w:szCs w:val="32"/>
          <w:highlight w:val="none"/>
        </w:rPr>
        <w:t>政府采购支出表的说明</w:t>
      </w:r>
    </w:p>
    <w:p w14:paraId="2BB2A2A7">
      <w:pPr>
        <w:pStyle w:val="2"/>
        <w:adjustRightInd w:val="0"/>
        <w:snapToGrid w:val="0"/>
        <w:spacing w:before="0" w:beforeAutospacing="0" w:after="0" w:afterAutospacing="0" w:line="600" w:lineRule="exact"/>
        <w:ind w:firstLine="640" w:firstLineChars="200"/>
        <w:outlineLvl w:val="0"/>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濉溪县卫健委</w:t>
      </w:r>
      <w:r>
        <w:rPr>
          <w:rFonts w:hint="eastAsia" w:ascii="仿宋_GB2312" w:hAnsi="仿宋" w:eastAsia="仿宋_GB2312"/>
          <w:color w:val="auto"/>
          <w:sz w:val="32"/>
          <w:szCs w:val="32"/>
          <w:highlight w:val="none"/>
          <w:lang w:eastAsia="zh-CN"/>
        </w:rPr>
        <w:t>2023年</w:t>
      </w:r>
      <w:r>
        <w:rPr>
          <w:rFonts w:hint="eastAsia" w:ascii="仿宋_GB2312" w:hAnsi="仿宋" w:eastAsia="仿宋_GB2312"/>
          <w:color w:val="auto"/>
          <w:sz w:val="32"/>
          <w:szCs w:val="32"/>
          <w:highlight w:val="none"/>
        </w:rPr>
        <w:t>预算安排政府采购支出</w:t>
      </w:r>
      <w:r>
        <w:rPr>
          <w:rFonts w:hint="eastAsia" w:ascii="仿宋_GB2312" w:hAnsi="仿宋" w:eastAsia="仿宋_GB2312"/>
          <w:color w:val="auto"/>
          <w:sz w:val="32"/>
          <w:szCs w:val="32"/>
          <w:highlight w:val="none"/>
          <w:lang w:val="en-US" w:eastAsia="zh-CN"/>
        </w:rPr>
        <w:t>7949.24</w:t>
      </w:r>
      <w:r>
        <w:rPr>
          <w:rFonts w:hint="eastAsia" w:ascii="仿宋_GB2312" w:hAnsi="仿宋" w:eastAsia="仿宋_GB2312"/>
          <w:color w:val="auto"/>
          <w:sz w:val="32"/>
          <w:szCs w:val="32"/>
          <w:highlight w:val="none"/>
        </w:rPr>
        <w:t>万元，比</w:t>
      </w:r>
      <w:r>
        <w:rPr>
          <w:rFonts w:hint="eastAsia" w:ascii="仿宋_GB2312" w:hAnsi="仿宋" w:eastAsia="仿宋_GB2312"/>
          <w:color w:val="auto"/>
          <w:sz w:val="32"/>
          <w:szCs w:val="32"/>
          <w:highlight w:val="none"/>
          <w:lang w:eastAsia="zh-CN"/>
        </w:rPr>
        <w:t>2022年</w:t>
      </w:r>
      <w:r>
        <w:rPr>
          <w:rFonts w:hint="eastAsia" w:ascii="仿宋_GB2312" w:hAnsi="仿宋" w:eastAsia="仿宋_GB2312"/>
          <w:color w:val="auto"/>
          <w:sz w:val="32"/>
          <w:szCs w:val="32"/>
          <w:highlight w:val="none"/>
        </w:rPr>
        <w:t>预算增加</w:t>
      </w:r>
      <w:r>
        <w:rPr>
          <w:rFonts w:hint="eastAsia" w:ascii="仿宋_GB2312" w:hAnsi="仿宋" w:eastAsia="仿宋_GB2312"/>
          <w:color w:val="auto"/>
          <w:sz w:val="32"/>
          <w:szCs w:val="32"/>
          <w:highlight w:val="none"/>
          <w:lang w:val="en-US" w:eastAsia="zh-CN"/>
        </w:rPr>
        <w:t>7407.69</w:t>
      </w:r>
      <w:r>
        <w:rPr>
          <w:rFonts w:hint="eastAsia" w:ascii="仿宋_GB2312" w:hAnsi="仿宋" w:eastAsia="仿宋_GB2312"/>
          <w:color w:val="auto"/>
          <w:sz w:val="32"/>
          <w:szCs w:val="32"/>
          <w:highlight w:val="none"/>
        </w:rPr>
        <w:t>万元，</w:t>
      </w:r>
      <w:r>
        <w:rPr>
          <w:rFonts w:hint="eastAsia" w:ascii="仿宋_GB2312" w:hAnsi="仿宋" w:eastAsia="仿宋_GB2312"/>
          <w:color w:val="auto"/>
          <w:sz w:val="32"/>
          <w:szCs w:val="32"/>
          <w:highlight w:val="none"/>
        </w:rPr>
        <w:t>增长</w:t>
      </w:r>
      <w:r>
        <w:rPr>
          <w:rFonts w:hint="eastAsia" w:ascii="仿宋_GB2312" w:hAnsi="仿宋" w:eastAsia="仿宋_GB2312"/>
          <w:color w:val="auto"/>
          <w:sz w:val="32"/>
          <w:szCs w:val="32"/>
          <w:highlight w:val="none"/>
          <w:lang w:val="en-US" w:eastAsia="zh-CN"/>
        </w:rPr>
        <w:t>1367.87</w:t>
      </w:r>
      <w:r>
        <w:rPr>
          <w:rFonts w:hint="eastAsia" w:ascii="仿宋_GB2312" w:hAnsi="仿宋" w:eastAsia="仿宋_GB2312"/>
          <w:color w:val="auto"/>
          <w:sz w:val="32"/>
          <w:szCs w:val="32"/>
          <w:highlight w:val="none"/>
        </w:rPr>
        <w:t>%</w:t>
      </w:r>
      <w:r>
        <w:rPr>
          <w:rFonts w:hint="eastAsia" w:ascii="仿宋_GB2312" w:hAnsi="仿宋" w:eastAsia="仿宋_GB2312"/>
          <w:color w:val="auto"/>
          <w:sz w:val="32"/>
          <w:szCs w:val="32"/>
          <w:highlight w:val="none"/>
          <w:lang w:eastAsia="zh-CN"/>
        </w:rPr>
        <w:t>。</w:t>
      </w:r>
      <w:r>
        <w:rPr>
          <w:rFonts w:hint="eastAsia" w:ascii="仿宋_GB2312" w:hAnsi="仿宋" w:eastAsia="仿宋_GB2312"/>
          <w:color w:val="auto"/>
          <w:sz w:val="32"/>
          <w:szCs w:val="32"/>
          <w:highlight w:val="none"/>
        </w:rPr>
        <w:t>增长原因主要是202</w:t>
      </w:r>
      <w:r>
        <w:rPr>
          <w:rFonts w:hint="eastAsia" w:ascii="仿宋_GB2312" w:hAnsi="仿宋" w:eastAsia="仿宋_GB2312"/>
          <w:color w:val="auto"/>
          <w:sz w:val="32"/>
          <w:szCs w:val="32"/>
          <w:highlight w:val="none"/>
          <w:lang w:val="en-US" w:eastAsia="zh-CN"/>
        </w:rPr>
        <w:t>3</w:t>
      </w:r>
      <w:r>
        <w:rPr>
          <w:rFonts w:hint="eastAsia" w:ascii="仿宋_GB2312" w:hAnsi="仿宋" w:eastAsia="仿宋_GB2312"/>
          <w:color w:val="auto"/>
          <w:sz w:val="32"/>
          <w:szCs w:val="32"/>
          <w:highlight w:val="none"/>
        </w:rPr>
        <w:t>年</w:t>
      </w:r>
      <w:r>
        <w:rPr>
          <w:rFonts w:hint="eastAsia" w:ascii="仿宋_GB2312" w:hAnsi="仿宋" w:eastAsia="仿宋_GB2312"/>
          <w:color w:val="auto"/>
          <w:sz w:val="32"/>
          <w:szCs w:val="32"/>
          <w:highlight w:val="none"/>
          <w:lang w:eastAsia="zh-CN"/>
        </w:rPr>
        <w:t>妇幼保健院整体搬迁办公设备采购支出增加</w:t>
      </w:r>
      <w:r>
        <w:rPr>
          <w:rFonts w:hint="eastAsia" w:ascii="仿宋_GB2312" w:hAnsi="仿宋" w:eastAsia="仿宋_GB2312"/>
          <w:color w:val="auto"/>
          <w:sz w:val="32"/>
          <w:szCs w:val="32"/>
          <w:highlight w:val="none"/>
        </w:rPr>
        <w:t>。其中，一般公共预算安排</w:t>
      </w:r>
      <w:r>
        <w:rPr>
          <w:rFonts w:hint="eastAsia" w:ascii="仿宋_GB2312" w:hAnsi="仿宋" w:eastAsia="仿宋_GB2312"/>
          <w:color w:val="auto"/>
          <w:sz w:val="32"/>
          <w:szCs w:val="32"/>
          <w:highlight w:val="none"/>
          <w:lang w:val="en-US" w:eastAsia="zh-CN"/>
        </w:rPr>
        <w:t>141.94</w:t>
      </w:r>
      <w:r>
        <w:rPr>
          <w:rFonts w:hint="eastAsia" w:ascii="仿宋_GB2312" w:hAnsi="仿宋" w:eastAsia="仿宋_GB2312"/>
          <w:color w:val="auto"/>
          <w:sz w:val="32"/>
          <w:szCs w:val="32"/>
          <w:highlight w:val="none"/>
        </w:rPr>
        <w:t>万元，占</w:t>
      </w:r>
      <w:r>
        <w:rPr>
          <w:rFonts w:hint="eastAsia" w:ascii="仿宋_GB2312" w:hAnsi="仿宋" w:eastAsia="仿宋_GB2312"/>
          <w:color w:val="auto"/>
          <w:sz w:val="32"/>
          <w:szCs w:val="32"/>
          <w:highlight w:val="none"/>
          <w:lang w:val="en-US" w:eastAsia="zh-CN"/>
        </w:rPr>
        <w:t>1.78</w:t>
      </w:r>
      <w:r>
        <w:rPr>
          <w:rFonts w:hint="eastAsia" w:ascii="仿宋_GB2312" w:hAnsi="仿宋" w:eastAsia="仿宋_GB2312"/>
          <w:color w:val="auto"/>
          <w:sz w:val="32"/>
          <w:szCs w:val="32"/>
          <w:highlight w:val="none"/>
        </w:rPr>
        <w:t>%；单位资金安排</w:t>
      </w:r>
      <w:r>
        <w:rPr>
          <w:rFonts w:hint="eastAsia" w:ascii="仿宋_GB2312" w:hAnsi="仿宋" w:eastAsia="仿宋_GB2312"/>
          <w:color w:val="auto"/>
          <w:sz w:val="32"/>
          <w:szCs w:val="32"/>
          <w:highlight w:val="none"/>
          <w:lang w:val="en-US" w:eastAsia="zh-CN"/>
        </w:rPr>
        <w:t>7807.30</w:t>
      </w:r>
      <w:r>
        <w:rPr>
          <w:rFonts w:hint="eastAsia" w:ascii="仿宋_GB2312" w:hAnsi="仿宋" w:eastAsia="仿宋_GB2312"/>
          <w:color w:val="auto"/>
          <w:sz w:val="32"/>
          <w:szCs w:val="32"/>
          <w:highlight w:val="none"/>
        </w:rPr>
        <w:t>万元，占</w:t>
      </w:r>
      <w:r>
        <w:rPr>
          <w:rFonts w:hint="eastAsia" w:ascii="仿宋_GB2312" w:hAnsi="仿宋" w:eastAsia="仿宋_GB2312"/>
          <w:color w:val="auto"/>
          <w:sz w:val="32"/>
          <w:szCs w:val="32"/>
          <w:highlight w:val="none"/>
          <w:lang w:val="en-US" w:eastAsia="zh-CN"/>
        </w:rPr>
        <w:t>98.21</w:t>
      </w:r>
      <w:r>
        <w:rPr>
          <w:rFonts w:hint="eastAsia" w:ascii="仿宋_GB2312" w:hAnsi="仿宋" w:eastAsia="仿宋_GB2312"/>
          <w:color w:val="auto"/>
          <w:sz w:val="32"/>
          <w:szCs w:val="32"/>
          <w:highlight w:val="none"/>
        </w:rPr>
        <w:t>%。</w:t>
      </w:r>
    </w:p>
    <w:p w14:paraId="05EEEB4B">
      <w:pPr>
        <w:pStyle w:val="2"/>
        <w:adjustRightInd w:val="0"/>
        <w:snapToGrid w:val="0"/>
        <w:spacing w:before="0" w:beforeAutospacing="0" w:after="0" w:afterAutospacing="0" w:line="600" w:lineRule="exact"/>
        <w:ind w:firstLine="640" w:firstLineChars="200"/>
        <w:rPr>
          <w:rFonts w:ascii="黑体" w:hAnsi="仿宋" w:eastAsia="黑体"/>
          <w:color w:val="auto"/>
          <w:sz w:val="32"/>
          <w:szCs w:val="32"/>
          <w:highlight w:val="none"/>
        </w:rPr>
      </w:pPr>
      <w:r>
        <w:rPr>
          <w:rFonts w:hint="eastAsia" w:ascii="黑体" w:hAnsi="仿宋" w:eastAsia="黑体"/>
          <w:color w:val="auto"/>
          <w:sz w:val="32"/>
          <w:szCs w:val="32"/>
          <w:highlight w:val="none"/>
        </w:rPr>
        <w:t>十一、关于</w:t>
      </w:r>
      <w:r>
        <w:rPr>
          <w:rFonts w:hint="eastAsia" w:ascii="黑体" w:hAnsi="仿宋" w:eastAsia="黑体"/>
          <w:color w:val="auto"/>
          <w:sz w:val="32"/>
          <w:szCs w:val="32"/>
          <w:highlight w:val="none"/>
          <w:lang w:eastAsia="zh-CN"/>
        </w:rPr>
        <w:t>2023年</w:t>
      </w:r>
      <w:r>
        <w:rPr>
          <w:rFonts w:hint="eastAsia" w:ascii="黑体" w:hAnsi="仿宋" w:eastAsia="黑体"/>
          <w:color w:val="auto"/>
          <w:sz w:val="32"/>
          <w:szCs w:val="32"/>
          <w:highlight w:val="none"/>
        </w:rPr>
        <w:t>政府购买服务支出表的说明</w:t>
      </w:r>
    </w:p>
    <w:p w14:paraId="79FAD5DA">
      <w:pPr>
        <w:pStyle w:val="2"/>
        <w:adjustRightInd w:val="0"/>
        <w:snapToGrid w:val="0"/>
        <w:spacing w:before="0" w:beforeAutospacing="0" w:after="0" w:afterAutospacing="0" w:line="600" w:lineRule="exact"/>
        <w:ind w:firstLine="640" w:firstLineChars="200"/>
        <w:outlineLvl w:val="0"/>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濉溪县卫健委</w:t>
      </w:r>
      <w:r>
        <w:rPr>
          <w:rFonts w:hint="eastAsia" w:ascii="仿宋_GB2312" w:hAnsi="仿宋" w:eastAsia="仿宋_GB2312"/>
          <w:color w:val="auto"/>
          <w:sz w:val="32"/>
          <w:szCs w:val="32"/>
          <w:highlight w:val="none"/>
          <w:lang w:eastAsia="zh-CN"/>
        </w:rPr>
        <w:t>2023年</w:t>
      </w:r>
      <w:r>
        <w:rPr>
          <w:rFonts w:hint="eastAsia" w:ascii="仿宋_GB2312" w:hAnsi="仿宋" w:eastAsia="仿宋_GB2312"/>
          <w:color w:val="auto"/>
          <w:sz w:val="32"/>
          <w:szCs w:val="32"/>
          <w:highlight w:val="none"/>
        </w:rPr>
        <w:t>没有安排政府购买服务支出。</w:t>
      </w:r>
    </w:p>
    <w:p w14:paraId="3AB25E62">
      <w:pPr>
        <w:adjustRightInd w:val="0"/>
        <w:snapToGrid w:val="0"/>
        <w:spacing w:line="600" w:lineRule="exact"/>
        <w:ind w:firstLine="640" w:firstLineChars="200"/>
        <w:rPr>
          <w:rFonts w:ascii="黑体" w:hAnsi="黑体" w:eastAsia="黑体" w:cs="Times New Roman"/>
          <w:color w:val="auto"/>
          <w:sz w:val="32"/>
          <w:szCs w:val="32"/>
          <w:highlight w:val="none"/>
        </w:rPr>
      </w:pPr>
      <w:r>
        <w:rPr>
          <w:rFonts w:hint="eastAsia" w:ascii="黑体" w:hAnsi="黑体" w:eastAsia="黑体" w:cs="Times New Roman"/>
          <w:color w:val="auto"/>
          <w:sz w:val="32"/>
          <w:szCs w:val="32"/>
          <w:highlight w:val="none"/>
        </w:rPr>
        <w:t>十二、其他重要事项情况说明</w:t>
      </w:r>
    </w:p>
    <w:p w14:paraId="361D4EFE">
      <w:pPr>
        <w:adjustRightInd w:val="0"/>
        <w:snapToGrid w:val="0"/>
        <w:spacing w:line="600" w:lineRule="exact"/>
        <w:ind w:firstLine="643" w:firstLineChars="200"/>
        <w:rPr>
          <w:rFonts w:ascii="仿宋_GB2312" w:hAnsi="楷体" w:eastAsia="仿宋_GB2312" w:cs="Times New Roman"/>
          <w:b/>
          <w:color w:val="auto"/>
          <w:sz w:val="32"/>
          <w:szCs w:val="32"/>
          <w:highlight w:val="none"/>
        </w:rPr>
      </w:pPr>
      <w:r>
        <w:rPr>
          <w:rFonts w:hint="eastAsia" w:ascii="仿宋_GB2312" w:hAnsi="楷体" w:eastAsia="仿宋_GB2312" w:cs="Times New Roman"/>
          <w:b/>
          <w:color w:val="auto"/>
          <w:sz w:val="32"/>
          <w:szCs w:val="32"/>
          <w:highlight w:val="none"/>
        </w:rPr>
        <w:t>（一）项目及绩效目标情况。</w:t>
      </w:r>
    </w:p>
    <w:p w14:paraId="433A6E02">
      <w:pPr>
        <w:widowControl/>
        <w:numPr>
          <w:ilvl w:val="0"/>
          <w:numId w:val="0"/>
        </w:numPr>
        <w:shd w:val="clear" w:color="auto" w:fill="FFFFFF"/>
        <w:spacing w:line="600" w:lineRule="atLeast"/>
        <w:ind w:left="638" w:leftChars="304" w:firstLine="0" w:firstLineChars="0"/>
        <w:rPr>
          <w:rFonts w:hint="eastAsia" w:ascii="宋体" w:hAnsi="宋体" w:eastAsia="宋体" w:cs="宋体"/>
          <w:b w:val="0"/>
          <w:bCs/>
          <w:color w:val="auto"/>
          <w:sz w:val="30"/>
          <w:szCs w:val="30"/>
          <w:highlight w:val="none"/>
        </w:rPr>
      </w:pPr>
      <w:r>
        <w:rPr>
          <w:rFonts w:hint="eastAsia" w:ascii="仿宋_GB2312" w:hAnsi="楷体" w:eastAsia="仿宋_GB2312" w:cs="Times New Roman"/>
          <w:b/>
          <w:color w:val="auto"/>
          <w:sz w:val="32"/>
          <w:szCs w:val="32"/>
          <w:highlight w:val="none"/>
        </w:rPr>
        <w:t>1</w:t>
      </w:r>
      <w:r>
        <w:rPr>
          <w:rFonts w:hint="eastAsia" w:ascii="宋体" w:hAnsi="宋体" w:eastAsia="宋体" w:cs="宋体"/>
          <w:b w:val="0"/>
          <w:bCs/>
          <w:color w:val="auto"/>
          <w:sz w:val="30"/>
          <w:szCs w:val="30"/>
          <w:highlight w:val="none"/>
        </w:rPr>
        <w:t>.基本公共卫生服务</w:t>
      </w:r>
      <w:r>
        <w:rPr>
          <w:rFonts w:hint="eastAsia" w:ascii="宋体" w:hAnsi="宋体" w:eastAsia="宋体" w:cs="宋体"/>
          <w:b w:val="0"/>
          <w:bCs/>
          <w:color w:val="auto"/>
          <w:sz w:val="30"/>
          <w:szCs w:val="30"/>
          <w:highlight w:val="none"/>
          <w:lang w:val="en-US" w:eastAsia="zh-CN"/>
        </w:rPr>
        <w:t>补助</w:t>
      </w:r>
      <w:r>
        <w:rPr>
          <w:rFonts w:hint="eastAsia" w:ascii="宋体" w:hAnsi="宋体" w:eastAsia="宋体" w:cs="宋体"/>
          <w:b w:val="0"/>
          <w:bCs/>
          <w:color w:val="auto"/>
          <w:sz w:val="30"/>
          <w:szCs w:val="30"/>
          <w:highlight w:val="none"/>
          <w:lang w:eastAsia="zh-CN"/>
        </w:rPr>
        <w:t>县级配套项目</w:t>
      </w:r>
    </w:p>
    <w:p w14:paraId="057D7268">
      <w:pPr>
        <w:widowControl/>
        <w:numPr>
          <w:ilvl w:val="0"/>
          <w:numId w:val="0"/>
        </w:numPr>
        <w:shd w:val="clear" w:color="auto" w:fill="FFFFFF"/>
        <w:spacing w:line="600" w:lineRule="atLeast"/>
        <w:ind w:left="638" w:leftChars="304" w:firstLine="0" w:firstLineChars="0"/>
        <w:rPr>
          <w:rFonts w:ascii="仿宋_GB2312" w:hAnsi="楷体" w:eastAsia="仿宋_GB2312"/>
          <w:color w:val="auto"/>
          <w:sz w:val="32"/>
          <w:szCs w:val="32"/>
          <w:highlight w:val="none"/>
        </w:rPr>
      </w:pPr>
      <w:r>
        <w:rPr>
          <w:rFonts w:hint="eastAsia" w:ascii="仿宋_GB2312" w:hAnsi="楷体" w:eastAsia="仿宋_GB2312"/>
          <w:color w:val="auto"/>
          <w:sz w:val="32"/>
          <w:szCs w:val="32"/>
          <w:highlight w:val="none"/>
        </w:rPr>
        <w:t>（</w:t>
      </w:r>
      <w:r>
        <w:rPr>
          <w:rFonts w:ascii="仿宋_GB2312" w:hAnsi="楷体" w:eastAsia="仿宋_GB2312"/>
          <w:color w:val="auto"/>
          <w:sz w:val="32"/>
          <w:szCs w:val="32"/>
          <w:highlight w:val="none"/>
        </w:rPr>
        <w:t>1</w:t>
      </w:r>
      <w:r>
        <w:rPr>
          <w:rFonts w:hint="eastAsia" w:ascii="仿宋_GB2312" w:hAnsi="楷体" w:eastAsia="仿宋_GB2312"/>
          <w:color w:val="auto"/>
          <w:sz w:val="32"/>
          <w:szCs w:val="32"/>
          <w:highlight w:val="none"/>
        </w:rPr>
        <w:t>）项目概述：由疾病预防控制机构、乡镇卫生院等</w:t>
      </w:r>
      <w:r>
        <w:rPr>
          <w:rFonts w:hint="eastAsia" w:ascii="仿宋_GB2312" w:hAnsi="楷体" w:eastAsia="仿宋_GB2312"/>
          <w:color w:val="auto"/>
          <w:sz w:val="32"/>
          <w:szCs w:val="32"/>
          <w:highlight w:val="none"/>
          <w:lang w:eastAsia="zh-CN"/>
        </w:rPr>
        <w:t>基层</w:t>
      </w:r>
      <w:r>
        <w:rPr>
          <w:rFonts w:hint="eastAsia" w:ascii="仿宋_GB2312" w:hAnsi="楷体" w:eastAsia="仿宋_GB2312"/>
          <w:color w:val="auto"/>
          <w:sz w:val="32"/>
          <w:szCs w:val="32"/>
          <w:highlight w:val="none"/>
        </w:rPr>
        <w:t>医疗卫生机构向全体居民提供，是公益性的公共卫生干预措施，主要起疾病预防控制作用。</w:t>
      </w:r>
    </w:p>
    <w:p w14:paraId="4645DCF5">
      <w:pPr>
        <w:widowControl/>
        <w:spacing w:line="560" w:lineRule="exact"/>
        <w:ind w:left="638" w:leftChars="304" w:firstLine="0" w:firstLineChars="0"/>
        <w:rPr>
          <w:rFonts w:ascii="仿宋_GB2312" w:hAnsi="仿宋" w:eastAsia="仿宋_GB2312"/>
          <w:color w:val="auto"/>
          <w:sz w:val="32"/>
          <w:szCs w:val="32"/>
          <w:highlight w:val="none"/>
        </w:rPr>
      </w:pPr>
      <w:r>
        <w:rPr>
          <w:rFonts w:hint="eastAsia" w:ascii="仿宋_GB2312" w:hAnsi="楷体" w:eastAsia="仿宋_GB2312"/>
          <w:color w:val="auto"/>
          <w:sz w:val="32"/>
          <w:szCs w:val="32"/>
          <w:highlight w:val="none"/>
        </w:rPr>
        <w:t>（</w:t>
      </w:r>
      <w:r>
        <w:rPr>
          <w:rFonts w:ascii="仿宋_GB2312" w:hAnsi="楷体" w:eastAsia="仿宋_GB2312"/>
          <w:color w:val="auto"/>
          <w:sz w:val="32"/>
          <w:szCs w:val="32"/>
          <w:highlight w:val="none"/>
        </w:rPr>
        <w:t>2</w:t>
      </w:r>
      <w:r>
        <w:rPr>
          <w:rFonts w:hint="eastAsia" w:ascii="仿宋_GB2312" w:hAnsi="楷体" w:eastAsia="仿宋_GB2312"/>
          <w:color w:val="auto"/>
          <w:sz w:val="32"/>
          <w:szCs w:val="32"/>
          <w:highlight w:val="none"/>
        </w:rPr>
        <w:t>）立项依据：</w:t>
      </w:r>
      <w:r>
        <w:rPr>
          <w:rFonts w:hint="eastAsia" w:ascii="仿宋_GB2312" w:hAnsi="仿宋" w:eastAsia="仿宋_GB2312"/>
          <w:color w:val="auto"/>
          <w:sz w:val="32"/>
          <w:szCs w:val="32"/>
          <w:highlight w:val="none"/>
        </w:rPr>
        <w:t>中央民生工程项目，</w:t>
      </w:r>
      <w:r>
        <w:rPr>
          <w:rFonts w:hint="eastAsia" w:ascii="仿宋_GB2312" w:hAnsi="仿宋" w:eastAsia="仿宋_GB2312"/>
          <w:color w:val="auto"/>
          <w:sz w:val="32"/>
          <w:szCs w:val="32"/>
          <w:highlight w:val="none"/>
          <w:lang w:eastAsia="zh-CN"/>
        </w:rPr>
        <w:t>县</w:t>
      </w:r>
      <w:r>
        <w:rPr>
          <w:rFonts w:hint="eastAsia" w:ascii="仿宋_GB2312" w:hAnsi="仿宋" w:eastAsia="仿宋_GB2312"/>
          <w:color w:val="auto"/>
          <w:sz w:val="32"/>
          <w:szCs w:val="32"/>
          <w:highlight w:val="none"/>
        </w:rPr>
        <w:t>级根据上级文件配套资金。</w:t>
      </w:r>
    </w:p>
    <w:p w14:paraId="37CB9FB9">
      <w:pPr>
        <w:adjustRightInd w:val="0"/>
        <w:snapToGrid w:val="0"/>
        <w:spacing w:line="600" w:lineRule="exact"/>
        <w:ind w:firstLine="640" w:firstLineChars="200"/>
        <w:rPr>
          <w:rFonts w:ascii="仿宋_GB2312" w:hAnsi="仿宋" w:eastAsia="仿宋_GB2312"/>
          <w:color w:val="auto"/>
          <w:sz w:val="32"/>
          <w:szCs w:val="32"/>
          <w:highlight w:val="none"/>
        </w:rPr>
      </w:pPr>
      <w:r>
        <w:rPr>
          <w:rFonts w:hint="eastAsia" w:ascii="仿宋_GB2312" w:hAnsi="楷体" w:eastAsia="仿宋_GB2312"/>
          <w:color w:val="auto"/>
          <w:sz w:val="32"/>
          <w:szCs w:val="32"/>
          <w:highlight w:val="none"/>
        </w:rPr>
        <w:t>（</w:t>
      </w:r>
      <w:r>
        <w:rPr>
          <w:rFonts w:ascii="仿宋_GB2312" w:hAnsi="楷体" w:eastAsia="仿宋_GB2312"/>
          <w:color w:val="auto"/>
          <w:sz w:val="32"/>
          <w:szCs w:val="32"/>
          <w:highlight w:val="none"/>
        </w:rPr>
        <w:t>3</w:t>
      </w:r>
      <w:r>
        <w:rPr>
          <w:rFonts w:hint="eastAsia" w:ascii="仿宋_GB2312" w:hAnsi="楷体" w:eastAsia="仿宋_GB2312"/>
          <w:color w:val="auto"/>
          <w:sz w:val="32"/>
          <w:szCs w:val="32"/>
          <w:highlight w:val="none"/>
        </w:rPr>
        <w:t>）起止时间：</w:t>
      </w:r>
      <w:r>
        <w:rPr>
          <w:rFonts w:hint="eastAsia" w:ascii="仿宋_GB2312" w:hAnsi="楷体" w:eastAsia="仿宋_GB2312"/>
          <w:color w:val="auto"/>
          <w:sz w:val="32"/>
          <w:szCs w:val="32"/>
          <w:highlight w:val="none"/>
          <w:lang w:eastAsia="zh-CN"/>
        </w:rPr>
        <w:t>2023年</w:t>
      </w:r>
      <w:r>
        <w:rPr>
          <w:rFonts w:ascii="仿宋_GB2312" w:hAnsi="楷体" w:eastAsia="仿宋_GB2312"/>
          <w:color w:val="auto"/>
          <w:sz w:val="32"/>
          <w:szCs w:val="32"/>
          <w:highlight w:val="none"/>
        </w:rPr>
        <w:t>1-12</w:t>
      </w:r>
      <w:r>
        <w:rPr>
          <w:rFonts w:hint="eastAsia" w:ascii="仿宋_GB2312" w:hAnsi="楷体" w:eastAsia="仿宋_GB2312"/>
          <w:color w:val="auto"/>
          <w:sz w:val="32"/>
          <w:szCs w:val="32"/>
          <w:highlight w:val="none"/>
        </w:rPr>
        <w:t>月。</w:t>
      </w:r>
    </w:p>
    <w:p w14:paraId="2E4FAC1D">
      <w:pPr>
        <w:spacing w:line="600" w:lineRule="exact"/>
        <w:ind w:left="638" w:leftChars="304" w:firstLine="0" w:firstLineChars="0"/>
        <w:rPr>
          <w:rFonts w:ascii="仿宋_GB2312" w:hAnsi="仿宋_GB2312" w:eastAsia="仿宋_GB2312" w:cs="仿宋_GB2312"/>
          <w:bCs/>
          <w:color w:val="auto"/>
          <w:sz w:val="30"/>
          <w:szCs w:val="30"/>
          <w:highlight w:val="none"/>
        </w:rPr>
      </w:pPr>
      <w:r>
        <w:rPr>
          <w:rFonts w:hint="eastAsia" w:ascii="仿宋_GB2312" w:hAnsi="楷体" w:eastAsia="仿宋_GB2312"/>
          <w:color w:val="auto"/>
          <w:sz w:val="32"/>
          <w:szCs w:val="32"/>
          <w:highlight w:val="none"/>
        </w:rPr>
        <w:t>（</w:t>
      </w:r>
      <w:r>
        <w:rPr>
          <w:rFonts w:ascii="仿宋_GB2312" w:hAnsi="楷体" w:eastAsia="仿宋_GB2312"/>
          <w:color w:val="auto"/>
          <w:sz w:val="32"/>
          <w:szCs w:val="32"/>
          <w:highlight w:val="none"/>
        </w:rPr>
        <w:t>4</w:t>
      </w:r>
      <w:r>
        <w:rPr>
          <w:rFonts w:hint="eastAsia" w:ascii="仿宋_GB2312" w:hAnsi="楷体" w:eastAsia="仿宋_GB2312"/>
          <w:color w:val="auto"/>
          <w:sz w:val="32"/>
          <w:szCs w:val="32"/>
          <w:highlight w:val="none"/>
        </w:rPr>
        <w:t>）项目内容：</w:t>
      </w:r>
      <w:r>
        <w:rPr>
          <w:rFonts w:hint="eastAsia" w:ascii="仿宋_GB2312" w:hAnsi="仿宋" w:eastAsia="仿宋_GB2312"/>
          <w:color w:val="auto"/>
          <w:sz w:val="32"/>
          <w:szCs w:val="32"/>
          <w:highlight w:val="none"/>
        </w:rPr>
        <w:t>实施建立居民健康档案、健康教育、预防接种、儿童健康管理、孕产妇健康管理、老年人健康管理、高血压和</w:t>
      </w:r>
      <w:r>
        <w:rPr>
          <w:rFonts w:ascii="仿宋_GB2312" w:hAnsi="仿宋" w:eastAsia="仿宋_GB2312"/>
          <w:color w:val="auto"/>
          <w:sz w:val="32"/>
          <w:szCs w:val="32"/>
          <w:highlight w:val="none"/>
        </w:rPr>
        <w:t>2</w:t>
      </w:r>
      <w:r>
        <w:rPr>
          <w:rFonts w:hint="eastAsia" w:ascii="仿宋_GB2312" w:hAnsi="仿宋" w:eastAsia="仿宋_GB2312"/>
          <w:color w:val="auto"/>
          <w:sz w:val="32"/>
          <w:szCs w:val="32"/>
          <w:highlight w:val="none"/>
        </w:rPr>
        <w:t>型糖尿病等慢性病患者健康管理、严重精神障碍患者管理、肺结核患者健康管理、中医药健康管理、传染病和突发公共卫生事件报告和处理、卫生计生监督协管</w:t>
      </w:r>
      <w:r>
        <w:rPr>
          <w:rFonts w:ascii="仿宋_GB2312" w:hAnsi="仿宋" w:eastAsia="仿宋_GB2312"/>
          <w:color w:val="auto"/>
          <w:sz w:val="32"/>
          <w:szCs w:val="32"/>
          <w:highlight w:val="none"/>
        </w:rPr>
        <w:t>12</w:t>
      </w:r>
      <w:r>
        <w:rPr>
          <w:rFonts w:hint="eastAsia" w:ascii="仿宋_GB2312" w:hAnsi="仿宋" w:eastAsia="仿宋_GB2312"/>
          <w:color w:val="auto"/>
          <w:sz w:val="32"/>
          <w:szCs w:val="32"/>
          <w:highlight w:val="none"/>
        </w:rPr>
        <w:t>类项目</w:t>
      </w:r>
    </w:p>
    <w:p w14:paraId="7CFE673D">
      <w:pPr>
        <w:adjustRightInd w:val="0"/>
        <w:snapToGrid w:val="0"/>
        <w:spacing w:line="600" w:lineRule="exact"/>
        <w:ind w:left="638" w:leftChars="304" w:firstLine="0" w:firstLineChars="0"/>
        <w:rPr>
          <w:rFonts w:ascii="仿宋_GB2312" w:hAnsi="仿宋" w:eastAsia="仿宋_GB2312"/>
          <w:color w:val="auto"/>
          <w:sz w:val="32"/>
          <w:szCs w:val="32"/>
          <w:highlight w:val="none"/>
        </w:rPr>
      </w:pPr>
      <w:r>
        <w:rPr>
          <w:rFonts w:hint="eastAsia" w:ascii="仿宋_GB2312" w:hAnsi="楷体" w:eastAsia="仿宋_GB2312"/>
          <w:color w:val="auto"/>
          <w:sz w:val="32"/>
          <w:szCs w:val="32"/>
          <w:highlight w:val="none"/>
        </w:rPr>
        <w:t>（</w:t>
      </w:r>
      <w:r>
        <w:rPr>
          <w:rFonts w:ascii="仿宋_GB2312" w:hAnsi="楷体" w:eastAsia="仿宋_GB2312"/>
          <w:color w:val="auto"/>
          <w:sz w:val="32"/>
          <w:szCs w:val="32"/>
          <w:highlight w:val="none"/>
        </w:rPr>
        <w:t>5</w:t>
      </w:r>
      <w:r>
        <w:rPr>
          <w:rFonts w:hint="eastAsia" w:ascii="仿宋_GB2312" w:hAnsi="楷体" w:eastAsia="仿宋_GB2312"/>
          <w:color w:val="auto"/>
          <w:sz w:val="32"/>
          <w:szCs w:val="32"/>
          <w:highlight w:val="none"/>
        </w:rPr>
        <w:t>）年度预算安排：</w:t>
      </w:r>
      <w:r>
        <w:rPr>
          <w:rFonts w:hint="eastAsia" w:ascii="仿宋_GB2312" w:hAnsi="楷体" w:eastAsia="仿宋_GB2312"/>
          <w:color w:val="auto"/>
          <w:sz w:val="32"/>
          <w:szCs w:val="32"/>
          <w:highlight w:val="none"/>
          <w:lang w:val="en-US" w:eastAsia="zh-CN"/>
        </w:rPr>
        <w:t>1491.84</w:t>
      </w:r>
      <w:r>
        <w:rPr>
          <w:rFonts w:hint="eastAsia" w:ascii="仿宋_GB2312" w:hAnsi="楷体" w:eastAsia="仿宋_GB2312"/>
          <w:color w:val="auto"/>
          <w:sz w:val="32"/>
          <w:szCs w:val="32"/>
          <w:highlight w:val="none"/>
        </w:rPr>
        <w:t>万元。</w:t>
      </w:r>
    </w:p>
    <w:p w14:paraId="2BB25B94">
      <w:pPr>
        <w:widowControl/>
        <w:numPr>
          <w:ilvl w:val="0"/>
          <w:numId w:val="0"/>
        </w:numPr>
        <w:shd w:val="clear" w:color="auto" w:fill="FFFFFF"/>
        <w:spacing w:line="600" w:lineRule="atLeast"/>
        <w:ind w:left="638" w:leftChars="304" w:firstLine="0" w:firstLineChars="0"/>
        <w:rPr>
          <w:rFonts w:hint="eastAsia" w:ascii="仿宋_GB2312" w:hAnsi="楷体" w:eastAsia="仿宋_GB2312"/>
          <w:color w:val="auto"/>
          <w:sz w:val="32"/>
          <w:szCs w:val="32"/>
          <w:highlight w:val="none"/>
        </w:rPr>
      </w:pPr>
      <w:r>
        <w:rPr>
          <w:rFonts w:hint="eastAsia" w:ascii="仿宋_GB2312" w:hAnsi="楷体" w:eastAsia="仿宋_GB2312"/>
          <w:color w:val="auto"/>
          <w:sz w:val="32"/>
          <w:szCs w:val="32"/>
          <w:highlight w:val="none"/>
        </w:rPr>
        <w:t>（</w:t>
      </w:r>
      <w:r>
        <w:rPr>
          <w:rFonts w:ascii="仿宋_GB2312" w:hAnsi="楷体" w:eastAsia="仿宋_GB2312"/>
          <w:color w:val="auto"/>
          <w:sz w:val="32"/>
          <w:szCs w:val="32"/>
          <w:highlight w:val="none"/>
        </w:rPr>
        <w:t>6</w:t>
      </w:r>
      <w:r>
        <w:rPr>
          <w:rFonts w:hint="eastAsia" w:ascii="仿宋_GB2312" w:hAnsi="楷体" w:eastAsia="仿宋_GB2312"/>
          <w:color w:val="auto"/>
          <w:sz w:val="32"/>
          <w:szCs w:val="32"/>
          <w:highlight w:val="none"/>
        </w:rPr>
        <w:t>）绩效目标和指标：推进我市基层医改向纵深发展，全面提高基本公共卫生服务能力和水平，增强城乡居民基本公共卫生服务的获得感。</w:t>
      </w:r>
    </w:p>
    <w:p w14:paraId="1694DA17">
      <w:pPr>
        <w:widowControl/>
        <w:numPr>
          <w:ilvl w:val="0"/>
          <w:numId w:val="0"/>
        </w:numPr>
        <w:shd w:val="clear" w:color="auto" w:fill="FFFFFF"/>
        <w:spacing w:line="600" w:lineRule="atLeast"/>
        <w:ind w:left="638" w:leftChars="304" w:firstLine="0" w:firstLineChars="0"/>
        <w:rPr>
          <w:rFonts w:hint="eastAsia" w:ascii="仿宋_GB2312" w:hAnsi="楷体" w:eastAsia="仿宋_GB2312"/>
          <w:color w:val="auto"/>
          <w:sz w:val="32"/>
          <w:szCs w:val="32"/>
          <w:highlight w:val="none"/>
        </w:rPr>
      </w:pPr>
    </w:p>
    <w:p w14:paraId="4734B704">
      <w:pPr>
        <w:widowControl/>
        <w:numPr>
          <w:ilvl w:val="0"/>
          <w:numId w:val="0"/>
        </w:numPr>
        <w:shd w:val="clear" w:color="auto" w:fill="FFFFFF"/>
        <w:spacing w:line="600" w:lineRule="atLeast"/>
        <w:ind w:left="638" w:leftChars="304" w:firstLine="0" w:firstLineChars="0"/>
        <w:rPr>
          <w:rFonts w:hint="eastAsia" w:ascii="仿宋_GB2312" w:hAnsi="楷体" w:eastAsia="仿宋_GB2312"/>
          <w:color w:val="auto"/>
          <w:sz w:val="32"/>
          <w:szCs w:val="32"/>
          <w:highlight w:val="none"/>
        </w:rPr>
      </w:pPr>
    </w:p>
    <w:p w14:paraId="0379C4F5">
      <w:pPr>
        <w:rPr>
          <w:rFonts w:hint="eastAsia" w:ascii="仿宋_GB2312" w:hAnsi="楷体" w:eastAsia="仿宋_GB2312"/>
          <w:color w:val="auto"/>
          <w:sz w:val="32"/>
          <w:szCs w:val="32"/>
          <w:highlight w:val="none"/>
          <w:lang w:eastAsia="zh-CN"/>
        </w:rPr>
      </w:pPr>
      <w:r>
        <w:rPr>
          <w:rFonts w:hint="eastAsia" w:ascii="仿宋_GB2312" w:hAnsi="楷体" w:eastAsia="仿宋_GB2312"/>
          <w:color w:val="auto"/>
          <w:sz w:val="32"/>
          <w:szCs w:val="32"/>
          <w:highlight w:val="none"/>
          <w:lang w:eastAsia="zh-CN"/>
        </w:rPr>
        <w:br w:type="page"/>
      </w:r>
    </w:p>
    <w:p w14:paraId="67B2B586">
      <w:pPr>
        <w:widowControl/>
        <w:numPr>
          <w:ilvl w:val="0"/>
          <w:numId w:val="0"/>
        </w:numPr>
        <w:shd w:val="clear" w:color="auto" w:fill="FFFFFF"/>
        <w:spacing w:line="600" w:lineRule="atLeast"/>
        <w:ind w:left="638" w:leftChars="304" w:firstLine="0" w:firstLineChars="0"/>
        <w:rPr>
          <w:rFonts w:hint="eastAsia" w:ascii="仿宋_GB2312" w:hAnsi="楷体" w:eastAsia="仿宋_GB2312"/>
          <w:color w:val="auto"/>
          <w:sz w:val="32"/>
          <w:szCs w:val="32"/>
          <w:highlight w:val="none"/>
          <w:lang w:eastAsia="zh-CN"/>
        </w:rPr>
      </w:pPr>
    </w:p>
    <w:p w14:paraId="154EA310">
      <w:pPr>
        <w:pStyle w:val="8"/>
        <w:jc w:val="center"/>
        <w:rPr>
          <w:rFonts w:ascii="Times New Roman" w:hAnsi="Times New Roman" w:cs="Times New Roman"/>
          <w:b/>
          <w:color w:val="auto"/>
          <w:sz w:val="44"/>
          <w:szCs w:val="44"/>
          <w:highlight w:val="none"/>
        </w:rPr>
      </w:pPr>
      <w:r>
        <w:rPr>
          <w:rFonts w:hint="eastAsia" w:ascii="宋体" w:hAnsi="宋体" w:eastAsia="宋体" w:cs="宋体"/>
          <w:b w:val="0"/>
          <w:bCs w:val="0"/>
          <w:color w:val="auto"/>
          <w:sz w:val="32"/>
          <w:szCs w:val="32"/>
          <w:highlight w:val="none"/>
          <w:lang w:val="en-US" w:eastAsia="zh-CN"/>
        </w:rPr>
        <w:t>国家基本公共卫生服务项目</w:t>
      </w:r>
      <w:r>
        <w:rPr>
          <w:rFonts w:hint="eastAsia" w:eastAsia="宋体" w:cs="宋体"/>
          <w:b w:val="0"/>
          <w:bCs w:val="0"/>
          <w:color w:val="auto"/>
          <w:sz w:val="32"/>
          <w:szCs w:val="32"/>
          <w:highlight w:val="none"/>
          <w:lang w:val="en-US" w:eastAsia="zh-CN"/>
        </w:rPr>
        <w:t>县级配套</w:t>
      </w:r>
      <w:r>
        <w:rPr>
          <w:rFonts w:hint="eastAsia" w:ascii="宋体" w:hAnsi="宋体" w:eastAsia="宋体" w:cs="宋体"/>
          <w:b w:val="0"/>
          <w:bCs w:val="0"/>
          <w:color w:val="auto"/>
          <w:sz w:val="32"/>
          <w:szCs w:val="32"/>
          <w:highlight w:val="none"/>
        </w:rPr>
        <w:t>绩效目标表</w:t>
      </w:r>
    </w:p>
    <w:p w14:paraId="6EFFDB31">
      <w:pPr>
        <w:pStyle w:val="9"/>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rPr>
        <w:t>（</w:t>
      </w:r>
      <w:r>
        <w:rPr>
          <w:rFonts w:hint="eastAsia" w:ascii="Times New Roman" w:hAnsi="Times New Roman" w:cs="Times New Roman"/>
          <w:color w:val="auto"/>
          <w:sz w:val="24"/>
          <w:szCs w:val="24"/>
          <w:highlight w:val="none"/>
          <w:lang w:eastAsia="zh-CN"/>
        </w:rPr>
        <w:t>2023年</w:t>
      </w:r>
      <w:r>
        <w:rPr>
          <w:rFonts w:ascii="Times New Roman" w:hAnsi="Times New Roman" w:cs="Times New Roman"/>
          <w:color w:val="auto"/>
          <w:sz w:val="24"/>
          <w:szCs w:val="24"/>
          <w:highlight w:val="none"/>
        </w:rPr>
        <w:t>度）</w:t>
      </w:r>
    </w:p>
    <w:tbl>
      <w:tblPr>
        <w:tblStyle w:val="3"/>
        <w:tblpPr w:leftFromText="180" w:rightFromText="180" w:vertAnchor="text" w:horzAnchor="page" w:tblpX="612" w:tblpY="55"/>
        <w:tblOverlap w:val="never"/>
        <w:tblW w:w="10286" w:type="dxa"/>
        <w:tblInd w:w="0" w:type="dxa"/>
        <w:tblLayout w:type="fixed"/>
        <w:tblCellMar>
          <w:top w:w="0" w:type="dxa"/>
          <w:left w:w="10" w:type="dxa"/>
          <w:bottom w:w="0" w:type="dxa"/>
          <w:right w:w="10" w:type="dxa"/>
        </w:tblCellMar>
      </w:tblPr>
      <w:tblGrid>
        <w:gridCol w:w="900"/>
        <w:gridCol w:w="1371"/>
        <w:gridCol w:w="1080"/>
        <w:gridCol w:w="3230"/>
        <w:gridCol w:w="2162"/>
        <w:gridCol w:w="1543"/>
      </w:tblGrid>
      <w:tr w14:paraId="5DC8BAE5">
        <w:tblPrEx>
          <w:tblCellMar>
            <w:top w:w="0" w:type="dxa"/>
            <w:left w:w="10" w:type="dxa"/>
            <w:bottom w:w="0" w:type="dxa"/>
            <w:right w:w="10" w:type="dxa"/>
          </w:tblCellMar>
        </w:tblPrEx>
        <w:trPr>
          <w:trHeight w:val="810" w:hRule="exact"/>
        </w:trPr>
        <w:tc>
          <w:tcPr>
            <w:tcW w:w="3351" w:type="dxa"/>
            <w:gridSpan w:val="3"/>
            <w:tcBorders>
              <w:top w:val="single" w:color="000000" w:sz="8" w:space="0"/>
              <w:left w:val="single" w:color="000000" w:sz="8" w:space="0"/>
              <w:bottom w:val="single" w:color="000000" w:sz="8" w:space="0"/>
              <w:right w:val="single" w:color="000000" w:sz="8" w:space="0"/>
            </w:tcBorders>
            <w:shd w:val="clear" w:color="auto" w:fill="FFFFFF"/>
            <w:noWrap/>
            <w:vAlign w:val="top"/>
          </w:tcPr>
          <w:p w14:paraId="683411F6">
            <w:pPr>
              <w:pStyle w:val="10"/>
              <w:spacing w:line="240" w:lineRule="auto"/>
              <w:ind w:firstLine="0"/>
              <w:jc w:val="left"/>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专项名称</w:t>
            </w:r>
          </w:p>
        </w:tc>
        <w:tc>
          <w:tcPr>
            <w:tcW w:w="6935" w:type="dxa"/>
            <w:gridSpan w:val="3"/>
            <w:tcBorders>
              <w:top w:val="single" w:color="000000" w:sz="8" w:space="0"/>
              <w:left w:val="single" w:color="000000" w:sz="8" w:space="0"/>
              <w:bottom w:val="single" w:color="000000" w:sz="8" w:space="0"/>
              <w:right w:val="single" w:color="000000" w:sz="8" w:space="0"/>
            </w:tcBorders>
            <w:shd w:val="clear" w:color="auto" w:fill="FFFFFF"/>
            <w:noWrap/>
            <w:vAlign w:val="top"/>
          </w:tcPr>
          <w:p w14:paraId="74637D31">
            <w:pPr>
              <w:jc w:val="left"/>
              <w:rPr>
                <w:rFonts w:ascii="Times New Roman" w:hAnsi="Times New Roman"/>
                <w:color w:val="auto"/>
                <w:szCs w:val="21"/>
                <w:highlight w:val="none"/>
              </w:rPr>
            </w:pPr>
            <w:r>
              <w:rPr>
                <w:rFonts w:ascii="Times New Roman" w:hAnsi="Times New Roman"/>
                <w:color w:val="auto"/>
                <w:szCs w:val="21"/>
                <w:highlight w:val="none"/>
              </w:rPr>
              <w:t>国家基本公共卫生服务项目</w:t>
            </w:r>
          </w:p>
        </w:tc>
      </w:tr>
      <w:tr w14:paraId="06888340">
        <w:tblPrEx>
          <w:tblCellMar>
            <w:top w:w="0" w:type="dxa"/>
            <w:left w:w="10" w:type="dxa"/>
            <w:bottom w:w="0" w:type="dxa"/>
            <w:right w:w="10" w:type="dxa"/>
          </w:tblCellMar>
        </w:tblPrEx>
        <w:trPr>
          <w:trHeight w:val="1526" w:hRule="exact"/>
        </w:trPr>
        <w:tc>
          <w:tcPr>
            <w:tcW w:w="3351" w:type="dxa"/>
            <w:gridSpan w:val="3"/>
            <w:tcBorders>
              <w:top w:val="single" w:color="000000" w:sz="8" w:space="0"/>
              <w:left w:val="single" w:color="000000" w:sz="8" w:space="0"/>
              <w:bottom w:val="single" w:color="000000" w:sz="8" w:space="0"/>
              <w:right w:val="single" w:color="000000" w:sz="8" w:space="0"/>
            </w:tcBorders>
            <w:shd w:val="clear" w:color="auto" w:fill="FFFFFF"/>
            <w:noWrap/>
            <w:vAlign w:val="top"/>
          </w:tcPr>
          <w:p w14:paraId="0C0B575D">
            <w:pPr>
              <w:pStyle w:val="10"/>
              <w:spacing w:line="240" w:lineRule="auto"/>
              <w:ind w:firstLine="0"/>
              <w:jc w:val="left"/>
              <w:rPr>
                <w:rFonts w:ascii="Times New Roman" w:hAnsi="Times New Roman" w:cs="Times New Roman"/>
                <w:color w:val="auto"/>
                <w:sz w:val="21"/>
                <w:szCs w:val="21"/>
                <w:highlight w:val="none"/>
                <w:vertAlign w:val="baseline"/>
              </w:rPr>
            </w:pPr>
            <w:r>
              <w:rPr>
                <w:rFonts w:ascii="Times New Roman" w:hAnsi="Times New Roman" w:cs="Times New Roman"/>
                <w:color w:val="auto"/>
                <w:sz w:val="21"/>
                <w:szCs w:val="21"/>
                <w:highlight w:val="none"/>
              </w:rPr>
              <w:t>中央主管部门</w:t>
            </w:r>
          </w:p>
          <w:p w14:paraId="0F362E6C">
            <w:pPr>
              <w:pStyle w:val="10"/>
              <w:spacing w:line="240" w:lineRule="auto"/>
              <w:ind w:firstLine="0"/>
              <w:jc w:val="left"/>
              <w:rPr>
                <w:rFonts w:ascii="Times New Roman" w:hAnsi="Times New Roman" w:cs="Times New Roman"/>
                <w:color w:val="auto"/>
                <w:sz w:val="21"/>
                <w:szCs w:val="21"/>
                <w:highlight w:val="none"/>
              </w:rPr>
            </w:pPr>
          </w:p>
        </w:tc>
        <w:tc>
          <w:tcPr>
            <w:tcW w:w="6935" w:type="dxa"/>
            <w:gridSpan w:val="3"/>
            <w:tcBorders>
              <w:top w:val="single" w:color="000000" w:sz="8" w:space="0"/>
              <w:left w:val="single" w:color="000000" w:sz="8" w:space="0"/>
              <w:bottom w:val="single" w:color="000000" w:sz="8" w:space="0"/>
              <w:right w:val="single" w:color="000000" w:sz="8" w:space="0"/>
            </w:tcBorders>
            <w:shd w:val="clear" w:color="auto" w:fill="FFFFFF"/>
            <w:noWrap/>
            <w:vAlign w:val="top"/>
          </w:tcPr>
          <w:p w14:paraId="7A5F0A2A">
            <w:pPr>
              <w:jc w:val="left"/>
              <w:rPr>
                <w:rFonts w:ascii="Times New Roman" w:hAnsi="Times New Roman"/>
                <w:color w:val="auto"/>
                <w:szCs w:val="21"/>
                <w:highlight w:val="none"/>
              </w:rPr>
            </w:pPr>
            <w:r>
              <w:rPr>
                <w:rFonts w:ascii="Times New Roman" w:hAnsi="Times New Roman"/>
                <w:color w:val="auto"/>
                <w:szCs w:val="21"/>
                <w:highlight w:val="none"/>
              </w:rPr>
              <w:t>国家卫生健康委</w:t>
            </w:r>
          </w:p>
        </w:tc>
      </w:tr>
      <w:tr w14:paraId="5FB513B8">
        <w:tblPrEx>
          <w:tblCellMar>
            <w:top w:w="0" w:type="dxa"/>
            <w:left w:w="10" w:type="dxa"/>
            <w:bottom w:w="0" w:type="dxa"/>
            <w:right w:w="10" w:type="dxa"/>
          </w:tblCellMar>
        </w:tblPrEx>
        <w:trPr>
          <w:trHeight w:val="721" w:hRule="exact"/>
        </w:trPr>
        <w:tc>
          <w:tcPr>
            <w:tcW w:w="3351" w:type="dxa"/>
            <w:gridSpan w:val="3"/>
            <w:tcBorders>
              <w:top w:val="single" w:color="000000" w:sz="8" w:space="0"/>
              <w:left w:val="single" w:color="000000" w:sz="8" w:space="0"/>
              <w:bottom w:val="single" w:color="000000" w:sz="8" w:space="0"/>
              <w:right w:val="single" w:color="000000" w:sz="8" w:space="0"/>
            </w:tcBorders>
            <w:shd w:val="clear" w:color="auto" w:fill="FFFFFF"/>
            <w:noWrap/>
            <w:vAlign w:val="top"/>
          </w:tcPr>
          <w:p w14:paraId="4E25B083">
            <w:pPr>
              <w:pStyle w:val="10"/>
              <w:spacing w:line="240" w:lineRule="auto"/>
              <w:ind w:firstLine="0"/>
              <w:jc w:val="left"/>
              <w:rPr>
                <w:rFonts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县级财政</w:t>
            </w:r>
            <w:r>
              <w:rPr>
                <w:rFonts w:ascii="Times New Roman" w:hAnsi="Times New Roman" w:cs="Times New Roman"/>
                <w:color w:val="auto"/>
                <w:sz w:val="21"/>
                <w:szCs w:val="21"/>
                <w:highlight w:val="none"/>
              </w:rPr>
              <w:t>部门</w:t>
            </w:r>
          </w:p>
        </w:tc>
        <w:tc>
          <w:tcPr>
            <w:tcW w:w="3230" w:type="dxa"/>
            <w:tcBorders>
              <w:top w:val="single" w:color="000000" w:sz="8" w:space="0"/>
              <w:left w:val="single" w:color="000000" w:sz="8" w:space="0"/>
              <w:bottom w:val="single" w:color="000000" w:sz="8" w:space="0"/>
              <w:right w:val="single" w:color="000000" w:sz="8" w:space="0"/>
            </w:tcBorders>
            <w:shd w:val="clear" w:color="auto" w:fill="FFFFFF"/>
            <w:noWrap/>
            <w:vAlign w:val="top"/>
          </w:tcPr>
          <w:p w14:paraId="3C74BCF1">
            <w:pPr>
              <w:jc w:val="left"/>
              <w:rPr>
                <w:rFonts w:ascii="Times New Roman" w:hAnsi="Times New Roman"/>
                <w:color w:val="auto"/>
                <w:szCs w:val="21"/>
                <w:highlight w:val="none"/>
              </w:rPr>
            </w:pPr>
            <w:r>
              <w:rPr>
                <w:rFonts w:hint="eastAsia" w:ascii="Times New Roman" w:hAnsi="Times New Roman"/>
                <w:color w:val="auto"/>
                <w:szCs w:val="21"/>
                <w:highlight w:val="none"/>
              </w:rPr>
              <w:t>濉溪县财政局</w:t>
            </w:r>
          </w:p>
        </w:tc>
        <w:tc>
          <w:tcPr>
            <w:tcW w:w="2162" w:type="dxa"/>
            <w:tcBorders>
              <w:top w:val="single" w:color="000000" w:sz="8" w:space="0"/>
              <w:left w:val="single" w:color="000000" w:sz="8" w:space="0"/>
              <w:bottom w:val="single" w:color="000000" w:sz="8" w:space="0"/>
              <w:right w:val="single" w:color="000000" w:sz="8" w:space="0"/>
            </w:tcBorders>
            <w:shd w:val="clear" w:color="auto" w:fill="FFFFFF"/>
            <w:noWrap/>
            <w:vAlign w:val="top"/>
          </w:tcPr>
          <w:p w14:paraId="386E8C36">
            <w:pPr>
              <w:pStyle w:val="10"/>
              <w:spacing w:line="240" w:lineRule="auto"/>
              <w:ind w:firstLine="0"/>
              <w:jc w:val="left"/>
              <w:rPr>
                <w:rFonts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县级主管</w:t>
            </w:r>
            <w:r>
              <w:rPr>
                <w:rFonts w:ascii="Times New Roman" w:hAnsi="Times New Roman" w:cs="Times New Roman"/>
                <w:color w:val="auto"/>
                <w:sz w:val="21"/>
                <w:szCs w:val="21"/>
                <w:highlight w:val="none"/>
              </w:rPr>
              <w:t>部门</w:t>
            </w:r>
          </w:p>
        </w:tc>
        <w:tc>
          <w:tcPr>
            <w:tcW w:w="1543" w:type="dxa"/>
            <w:tcBorders>
              <w:top w:val="single" w:color="000000" w:sz="8" w:space="0"/>
              <w:left w:val="single" w:color="000000" w:sz="8" w:space="0"/>
              <w:bottom w:val="single" w:color="000000" w:sz="8" w:space="0"/>
              <w:right w:val="single" w:color="000000" w:sz="8" w:space="0"/>
            </w:tcBorders>
            <w:shd w:val="clear" w:color="auto" w:fill="FFFFFF"/>
            <w:noWrap/>
            <w:vAlign w:val="top"/>
          </w:tcPr>
          <w:p w14:paraId="5B1FD344">
            <w:pPr>
              <w:jc w:val="left"/>
              <w:rPr>
                <w:rFonts w:ascii="Times New Roman" w:hAnsi="Times New Roman"/>
                <w:color w:val="auto"/>
                <w:szCs w:val="21"/>
                <w:highlight w:val="none"/>
              </w:rPr>
            </w:pPr>
            <w:r>
              <w:rPr>
                <w:rFonts w:hint="eastAsia" w:ascii="Times New Roman" w:hAnsi="Times New Roman"/>
                <w:color w:val="auto"/>
                <w:szCs w:val="21"/>
                <w:highlight w:val="none"/>
              </w:rPr>
              <w:t>濉溪县卫生健康委</w:t>
            </w:r>
          </w:p>
        </w:tc>
      </w:tr>
      <w:tr w14:paraId="31D624C5">
        <w:tblPrEx>
          <w:tblCellMar>
            <w:top w:w="0" w:type="dxa"/>
            <w:left w:w="10" w:type="dxa"/>
            <w:bottom w:w="0" w:type="dxa"/>
            <w:right w:w="10" w:type="dxa"/>
          </w:tblCellMar>
        </w:tblPrEx>
        <w:trPr>
          <w:trHeight w:val="478" w:hRule="exact"/>
        </w:trPr>
        <w:tc>
          <w:tcPr>
            <w:tcW w:w="3351" w:type="dxa"/>
            <w:gridSpan w:val="3"/>
            <w:vMerge w:val="restart"/>
            <w:tcBorders>
              <w:top w:val="single" w:color="000000" w:sz="8" w:space="0"/>
              <w:left w:val="single" w:color="000000" w:sz="8" w:space="0"/>
              <w:bottom w:val="single" w:color="000000" w:sz="8" w:space="0"/>
              <w:right w:val="single" w:color="000000" w:sz="8" w:space="0"/>
            </w:tcBorders>
            <w:shd w:val="clear" w:color="auto" w:fill="FFFFFF"/>
            <w:noWrap/>
            <w:vAlign w:val="top"/>
          </w:tcPr>
          <w:p w14:paraId="14D6AF35">
            <w:pPr>
              <w:jc w:val="left"/>
              <w:rPr>
                <w:rFonts w:ascii="Times New Roman" w:hAnsi="Times New Roman"/>
                <w:color w:val="auto"/>
                <w:szCs w:val="21"/>
                <w:highlight w:val="none"/>
              </w:rPr>
            </w:pPr>
            <w:r>
              <w:rPr>
                <w:rFonts w:hint="eastAsia" w:ascii="Times New Roman" w:hAnsi="Times New Roman"/>
                <w:color w:val="auto"/>
                <w:szCs w:val="21"/>
                <w:highlight w:val="none"/>
              </w:rPr>
              <w:t>资金情况（万元）</w:t>
            </w:r>
          </w:p>
        </w:tc>
        <w:tc>
          <w:tcPr>
            <w:tcW w:w="3230" w:type="dxa"/>
            <w:tcBorders>
              <w:top w:val="single" w:color="000000" w:sz="8" w:space="0"/>
              <w:left w:val="single" w:color="000000" w:sz="8" w:space="0"/>
              <w:bottom w:val="single" w:color="000000" w:sz="8" w:space="0"/>
              <w:right w:val="single" w:color="000000" w:sz="8" w:space="0"/>
            </w:tcBorders>
            <w:shd w:val="clear" w:color="auto" w:fill="FFFFFF"/>
            <w:noWrap/>
            <w:vAlign w:val="top"/>
          </w:tcPr>
          <w:p w14:paraId="6ED0177C">
            <w:pPr>
              <w:pStyle w:val="10"/>
              <w:spacing w:line="240" w:lineRule="auto"/>
              <w:ind w:left="0" w:leftChars="0" w:firstLine="0" w:firstLineChars="0"/>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年度资金：</w:t>
            </w:r>
          </w:p>
        </w:tc>
        <w:tc>
          <w:tcPr>
            <w:tcW w:w="3705" w:type="dxa"/>
            <w:gridSpan w:val="2"/>
            <w:tcBorders>
              <w:top w:val="single" w:color="000000" w:sz="8" w:space="0"/>
              <w:left w:val="single" w:color="000000" w:sz="8" w:space="0"/>
              <w:bottom w:val="single" w:color="000000" w:sz="8" w:space="0"/>
              <w:right w:val="single" w:color="000000" w:sz="8" w:space="0"/>
            </w:tcBorders>
            <w:shd w:val="clear" w:color="auto" w:fill="FFFFFF"/>
            <w:noWrap/>
            <w:vAlign w:val="top"/>
          </w:tcPr>
          <w:p w14:paraId="4080F482">
            <w:pPr>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1491.84</w:t>
            </w:r>
          </w:p>
        </w:tc>
      </w:tr>
      <w:tr w14:paraId="790AF94D">
        <w:tblPrEx>
          <w:tblCellMar>
            <w:top w:w="0" w:type="dxa"/>
            <w:left w:w="10" w:type="dxa"/>
            <w:bottom w:w="0" w:type="dxa"/>
            <w:right w:w="10" w:type="dxa"/>
          </w:tblCellMar>
        </w:tblPrEx>
        <w:trPr>
          <w:trHeight w:val="309" w:hRule="exact"/>
        </w:trPr>
        <w:tc>
          <w:tcPr>
            <w:tcW w:w="3351" w:type="dxa"/>
            <w:gridSpan w:val="3"/>
            <w:vMerge w:val="continue"/>
            <w:tcBorders>
              <w:top w:val="single" w:color="000000" w:sz="8" w:space="0"/>
              <w:left w:val="single" w:color="000000" w:sz="8" w:space="0"/>
              <w:bottom w:val="single" w:color="000000" w:sz="8" w:space="0"/>
              <w:right w:val="single" w:color="000000" w:sz="8" w:space="0"/>
            </w:tcBorders>
            <w:shd w:val="clear" w:color="auto" w:fill="FFFFFF"/>
            <w:noWrap/>
            <w:vAlign w:val="top"/>
          </w:tcPr>
          <w:p w14:paraId="1634E707">
            <w:pPr>
              <w:jc w:val="left"/>
              <w:rPr>
                <w:rFonts w:ascii="Times New Roman" w:hAnsi="Times New Roman"/>
                <w:color w:val="auto"/>
                <w:szCs w:val="21"/>
                <w:highlight w:val="none"/>
              </w:rPr>
            </w:pPr>
          </w:p>
        </w:tc>
        <w:tc>
          <w:tcPr>
            <w:tcW w:w="3230" w:type="dxa"/>
            <w:tcBorders>
              <w:top w:val="single" w:color="000000" w:sz="8" w:space="0"/>
              <w:left w:val="single" w:color="000000" w:sz="8" w:space="0"/>
              <w:bottom w:val="single" w:color="000000" w:sz="8" w:space="0"/>
              <w:right w:val="single" w:color="000000" w:sz="8" w:space="0"/>
            </w:tcBorders>
            <w:shd w:val="clear" w:color="auto" w:fill="FFFFFF"/>
            <w:noWrap/>
            <w:vAlign w:val="top"/>
          </w:tcPr>
          <w:p w14:paraId="170AEAE3">
            <w:pPr>
              <w:pStyle w:val="10"/>
              <w:spacing w:line="223" w:lineRule="exact"/>
              <w:ind w:left="0" w:leftChars="0" w:firstLine="0" w:firstLineChars="0"/>
              <w:jc w:val="center"/>
              <w:rPr>
                <w:rFonts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县级配套</w:t>
            </w:r>
          </w:p>
        </w:tc>
        <w:tc>
          <w:tcPr>
            <w:tcW w:w="3705" w:type="dxa"/>
            <w:gridSpan w:val="2"/>
            <w:tcBorders>
              <w:top w:val="single" w:color="000000" w:sz="8" w:space="0"/>
              <w:left w:val="single" w:color="000000" w:sz="8" w:space="0"/>
              <w:bottom w:val="single" w:color="000000" w:sz="8" w:space="0"/>
              <w:right w:val="single" w:color="000000" w:sz="8" w:space="0"/>
            </w:tcBorders>
            <w:shd w:val="clear" w:color="auto" w:fill="FFFFFF"/>
            <w:noWrap/>
            <w:vAlign w:val="top"/>
          </w:tcPr>
          <w:p w14:paraId="7A9F75C4">
            <w:pPr>
              <w:jc w:val="center"/>
              <w:rPr>
                <w:rFonts w:hint="default" w:ascii="Times New Roman" w:hAnsi="Times New Roman" w:eastAsia="宋体"/>
                <w:color w:val="auto"/>
                <w:szCs w:val="21"/>
                <w:highlight w:val="none"/>
                <w:lang w:val="en-US" w:eastAsia="zh-CN"/>
              </w:rPr>
            </w:pPr>
            <w:r>
              <w:rPr>
                <w:rFonts w:hint="eastAsia" w:ascii="Times New Roman" w:hAnsi="Times New Roman"/>
                <w:color w:val="auto"/>
                <w:szCs w:val="21"/>
                <w:highlight w:val="none"/>
                <w:lang w:val="en-US" w:eastAsia="zh-CN"/>
              </w:rPr>
              <w:t>1491.84</w:t>
            </w:r>
          </w:p>
        </w:tc>
      </w:tr>
      <w:tr w14:paraId="0959EBBA">
        <w:tblPrEx>
          <w:tblCellMar>
            <w:top w:w="0" w:type="dxa"/>
            <w:left w:w="10" w:type="dxa"/>
            <w:bottom w:w="0" w:type="dxa"/>
            <w:right w:w="10" w:type="dxa"/>
          </w:tblCellMar>
        </w:tblPrEx>
        <w:trPr>
          <w:trHeight w:val="1134" w:hRule="atLeast"/>
        </w:trPr>
        <w:tc>
          <w:tcPr>
            <w:tcW w:w="900" w:type="dxa"/>
            <w:tcBorders>
              <w:top w:val="single" w:color="000000" w:sz="8" w:space="0"/>
              <w:left w:val="single" w:color="000000" w:sz="8" w:space="0"/>
              <w:bottom w:val="single" w:color="000000" w:sz="8" w:space="0"/>
              <w:right w:val="single" w:color="000000" w:sz="8" w:space="0"/>
            </w:tcBorders>
            <w:shd w:val="clear" w:color="auto" w:fill="FFFFFF"/>
            <w:noWrap/>
            <w:textDirection w:val="tbLrV"/>
            <w:vAlign w:val="center"/>
          </w:tcPr>
          <w:p w14:paraId="110958AF">
            <w:pPr>
              <w:ind w:left="113" w:right="113"/>
              <w:jc w:val="center"/>
              <w:rPr>
                <w:rFonts w:ascii="Times New Roman" w:hAnsi="Times New Roman"/>
                <w:color w:val="auto"/>
                <w:szCs w:val="21"/>
                <w:highlight w:val="none"/>
              </w:rPr>
            </w:pPr>
            <w:r>
              <w:rPr>
                <w:rFonts w:ascii="Times New Roman" w:hAnsi="Times New Roman"/>
                <w:color w:val="auto"/>
                <w:szCs w:val="21"/>
                <w:highlight w:val="none"/>
              </w:rPr>
              <w:t>年度总体目标</w:t>
            </w:r>
          </w:p>
        </w:tc>
        <w:tc>
          <w:tcPr>
            <w:tcW w:w="9386" w:type="dxa"/>
            <w:gridSpan w:val="5"/>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5BE25B6D">
            <w:pPr>
              <w:jc w:val="both"/>
              <w:rPr>
                <w:rFonts w:ascii="Times New Roman" w:hAnsi="Times New Roman"/>
                <w:color w:val="auto"/>
                <w:szCs w:val="21"/>
                <w:highlight w:val="none"/>
                <w:lang w:bidi="zh-TW"/>
              </w:rPr>
            </w:pPr>
            <w:r>
              <w:rPr>
                <w:rFonts w:hint="eastAsia" w:ascii="Times New Roman" w:hAnsi="Times New Roman"/>
                <w:color w:val="auto"/>
                <w:szCs w:val="21"/>
                <w:highlight w:val="none"/>
                <w:lang w:bidi="zh-TW"/>
              </w:rPr>
              <w:t>目标1：免费向城乡居民继续提供基本公共卫生服务。</w:t>
            </w:r>
          </w:p>
          <w:p w14:paraId="130587AC">
            <w:pPr>
              <w:jc w:val="both"/>
              <w:rPr>
                <w:rFonts w:ascii="Times New Roman" w:hAnsi="Times New Roman"/>
                <w:color w:val="auto"/>
                <w:szCs w:val="21"/>
                <w:highlight w:val="none"/>
                <w:lang w:bidi="zh-TW"/>
              </w:rPr>
            </w:pPr>
            <w:r>
              <w:rPr>
                <w:rFonts w:hint="eastAsia" w:ascii="Times New Roman" w:hAnsi="Times New Roman"/>
                <w:color w:val="auto"/>
                <w:szCs w:val="21"/>
                <w:highlight w:val="none"/>
                <w:lang w:bidi="zh-TW"/>
              </w:rPr>
              <w:t>目标2：逐步提高基本公共卫生服务居民满意度和知晓率。</w:t>
            </w:r>
          </w:p>
        </w:tc>
      </w:tr>
      <w:tr w14:paraId="3E0F4567">
        <w:tblPrEx>
          <w:tblCellMar>
            <w:top w:w="0" w:type="dxa"/>
            <w:left w:w="10" w:type="dxa"/>
            <w:bottom w:w="0" w:type="dxa"/>
            <w:right w:w="10" w:type="dxa"/>
          </w:tblCellMar>
        </w:tblPrEx>
        <w:trPr>
          <w:trHeight w:val="526" w:hRule="exact"/>
        </w:trPr>
        <w:tc>
          <w:tcPr>
            <w:tcW w:w="900" w:type="dxa"/>
            <w:vMerge w:val="restart"/>
            <w:tcBorders>
              <w:top w:val="single" w:color="000000" w:sz="8" w:space="0"/>
              <w:left w:val="single" w:color="000000" w:sz="8" w:space="0"/>
              <w:bottom w:val="single" w:color="000000" w:sz="8" w:space="0"/>
              <w:right w:val="single" w:color="000000" w:sz="8" w:space="0"/>
            </w:tcBorders>
            <w:shd w:val="clear" w:color="auto" w:fill="FFFFFF"/>
            <w:noWrap/>
            <w:textDirection w:val="tbRlV"/>
            <w:vAlign w:val="center"/>
          </w:tcPr>
          <w:p w14:paraId="7FA2CF3D">
            <w:pPr>
              <w:pStyle w:val="11"/>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绩效指标</w:t>
            </w:r>
          </w:p>
        </w:tc>
        <w:tc>
          <w:tcPr>
            <w:tcW w:w="1371"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5734C463">
            <w:pPr>
              <w:pStyle w:val="10"/>
              <w:spacing w:line="240" w:lineRule="auto"/>
              <w:ind w:firstLine="0"/>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一级指标</w:t>
            </w:r>
          </w:p>
        </w:tc>
        <w:tc>
          <w:tcPr>
            <w:tcW w:w="108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7DF81236">
            <w:pPr>
              <w:pStyle w:val="10"/>
              <w:spacing w:line="240" w:lineRule="auto"/>
              <w:ind w:firstLine="0"/>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二级指标</w:t>
            </w:r>
          </w:p>
        </w:tc>
        <w:tc>
          <w:tcPr>
            <w:tcW w:w="323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3CC08734">
            <w:pPr>
              <w:pStyle w:val="10"/>
              <w:spacing w:line="240" w:lineRule="auto"/>
              <w:ind w:firstLine="0"/>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三级指标</w:t>
            </w:r>
          </w:p>
        </w:tc>
        <w:tc>
          <w:tcPr>
            <w:tcW w:w="2162"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7EEF84B0">
            <w:pPr>
              <w:pStyle w:val="10"/>
              <w:spacing w:line="240" w:lineRule="auto"/>
              <w:ind w:firstLine="0"/>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指标值</w:t>
            </w:r>
          </w:p>
        </w:tc>
        <w:tc>
          <w:tcPr>
            <w:tcW w:w="1543"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068804C4">
            <w:pPr>
              <w:pStyle w:val="10"/>
              <w:spacing w:line="240" w:lineRule="auto"/>
              <w:ind w:firstLine="0"/>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完成值</w:t>
            </w:r>
          </w:p>
        </w:tc>
      </w:tr>
      <w:tr w14:paraId="42AF4490">
        <w:tblPrEx>
          <w:tblCellMar>
            <w:top w:w="0" w:type="dxa"/>
            <w:left w:w="10" w:type="dxa"/>
            <w:bottom w:w="0" w:type="dxa"/>
            <w:right w:w="10" w:type="dxa"/>
          </w:tblCellMar>
        </w:tblPrEx>
        <w:trPr>
          <w:trHeight w:val="532" w:hRule="exact"/>
        </w:trPr>
        <w:tc>
          <w:tcPr>
            <w:tcW w:w="900" w:type="dxa"/>
            <w:vMerge w:val="continue"/>
            <w:tcBorders>
              <w:top w:val="single" w:color="000000" w:sz="8" w:space="0"/>
              <w:left w:val="single" w:color="000000" w:sz="8" w:space="0"/>
              <w:bottom w:val="single" w:color="000000" w:sz="8" w:space="0"/>
              <w:right w:val="single" w:color="000000" w:sz="8" w:space="0"/>
            </w:tcBorders>
            <w:shd w:val="clear" w:color="auto" w:fill="FFFFFF"/>
            <w:noWrap/>
            <w:textDirection w:val="tbRlV"/>
            <w:vAlign w:val="center"/>
          </w:tcPr>
          <w:p w14:paraId="3072A0C5">
            <w:pPr>
              <w:rPr>
                <w:rFonts w:ascii="Times New Roman" w:hAnsi="Times New Roman"/>
                <w:color w:val="auto"/>
                <w:szCs w:val="21"/>
                <w:highlight w:val="none"/>
              </w:rPr>
            </w:pPr>
          </w:p>
        </w:tc>
        <w:tc>
          <w:tcPr>
            <w:tcW w:w="1371" w:type="dxa"/>
            <w:vMerge w:val="restart"/>
            <w:tcBorders>
              <w:top w:val="single" w:color="000000" w:sz="8" w:space="0"/>
              <w:left w:val="single" w:color="000000" w:sz="8" w:space="0"/>
              <w:bottom w:val="single" w:color="000000" w:sz="8" w:space="0"/>
              <w:right w:val="single" w:color="000000" w:sz="8" w:space="0"/>
            </w:tcBorders>
            <w:shd w:val="clear" w:color="auto" w:fill="FFFFFF"/>
            <w:noWrap/>
            <w:textDirection w:val="tbRlV"/>
            <w:vAlign w:val="center"/>
          </w:tcPr>
          <w:p w14:paraId="64B58F7C">
            <w:pPr>
              <w:pStyle w:val="11"/>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产出指标</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077AA6E4">
            <w:pPr>
              <w:pStyle w:val="10"/>
              <w:spacing w:line="240" w:lineRule="auto"/>
              <w:ind w:firstLine="0"/>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数量指标</w:t>
            </w:r>
          </w:p>
        </w:tc>
        <w:tc>
          <w:tcPr>
            <w:tcW w:w="323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2D67BBAE">
            <w:pPr>
              <w:rPr>
                <w:rFonts w:ascii="Times New Roman" w:hAnsi="Times New Roman"/>
                <w:color w:val="auto"/>
                <w:szCs w:val="21"/>
                <w:highlight w:val="none"/>
              </w:rPr>
            </w:pPr>
            <w:r>
              <w:rPr>
                <w:rFonts w:ascii="Times New Roman" w:hAnsi="Times New Roman"/>
                <w:color w:val="auto"/>
                <w:szCs w:val="21"/>
                <w:highlight w:val="none"/>
              </w:rPr>
              <w:t>指标</w:t>
            </w:r>
            <w:r>
              <w:rPr>
                <w:rFonts w:hint="eastAsia" w:ascii="Times New Roman" w:hAnsi="Times New Roman"/>
                <w:color w:val="auto"/>
                <w:szCs w:val="21"/>
                <w:highlight w:val="none"/>
              </w:rPr>
              <w:t>1</w:t>
            </w:r>
            <w:r>
              <w:rPr>
                <w:rFonts w:ascii="Times New Roman" w:hAnsi="Times New Roman"/>
                <w:color w:val="auto"/>
                <w:szCs w:val="21"/>
                <w:highlight w:val="none"/>
              </w:rPr>
              <w:t>：适龄儿童国家免疫规划疫苗接种率</w:t>
            </w:r>
          </w:p>
        </w:tc>
        <w:tc>
          <w:tcPr>
            <w:tcW w:w="2162"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34288B3E">
            <w:pPr>
              <w:jc w:val="center"/>
              <w:rPr>
                <w:rFonts w:ascii="Times New Roman" w:hAnsi="Times New Roman"/>
                <w:color w:val="auto"/>
                <w:szCs w:val="21"/>
                <w:highlight w:val="none"/>
              </w:rPr>
            </w:pPr>
            <w:r>
              <w:rPr>
                <w:rFonts w:ascii="Times New Roman" w:hAnsi="Times New Roman"/>
                <w:color w:val="auto"/>
                <w:szCs w:val="21"/>
                <w:highlight w:val="none"/>
              </w:rPr>
              <w:t>≥90%</w:t>
            </w:r>
          </w:p>
        </w:tc>
        <w:tc>
          <w:tcPr>
            <w:tcW w:w="1543"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37D104E0">
            <w:pPr>
              <w:jc w:val="center"/>
              <w:rPr>
                <w:rFonts w:ascii="Times New Roman" w:hAnsi="Times New Roman"/>
                <w:color w:val="auto"/>
                <w:szCs w:val="21"/>
                <w:highlight w:val="none"/>
              </w:rPr>
            </w:pPr>
            <w:r>
              <w:rPr>
                <w:rFonts w:hint="eastAsia" w:ascii="Times New Roman" w:hAnsi="Times New Roman"/>
                <w:color w:val="auto"/>
                <w:szCs w:val="21"/>
                <w:highlight w:val="none"/>
              </w:rPr>
              <w:t>83.47%</w:t>
            </w:r>
          </w:p>
        </w:tc>
      </w:tr>
      <w:tr w14:paraId="49130E18">
        <w:tblPrEx>
          <w:tblCellMar>
            <w:top w:w="0" w:type="dxa"/>
            <w:left w:w="10" w:type="dxa"/>
            <w:bottom w:w="0" w:type="dxa"/>
            <w:right w:w="10" w:type="dxa"/>
          </w:tblCellMar>
        </w:tblPrEx>
        <w:trPr>
          <w:trHeight w:val="533" w:hRule="exact"/>
        </w:trPr>
        <w:tc>
          <w:tcPr>
            <w:tcW w:w="900" w:type="dxa"/>
            <w:vMerge w:val="continue"/>
            <w:tcBorders>
              <w:top w:val="single" w:color="000000" w:sz="8" w:space="0"/>
              <w:left w:val="single" w:color="000000" w:sz="8" w:space="0"/>
              <w:bottom w:val="single" w:color="000000" w:sz="8" w:space="0"/>
              <w:right w:val="single" w:color="000000" w:sz="8" w:space="0"/>
            </w:tcBorders>
            <w:shd w:val="clear" w:color="auto" w:fill="FFFFFF"/>
            <w:noWrap/>
            <w:textDirection w:val="tbRlV"/>
            <w:vAlign w:val="center"/>
          </w:tcPr>
          <w:p w14:paraId="5701F197">
            <w:pPr>
              <w:rPr>
                <w:rFonts w:ascii="Times New Roman" w:hAnsi="Times New Roman"/>
                <w:color w:val="auto"/>
                <w:szCs w:val="21"/>
                <w:highlight w:val="none"/>
              </w:rPr>
            </w:pPr>
          </w:p>
        </w:tc>
        <w:tc>
          <w:tcPr>
            <w:tcW w:w="1371" w:type="dxa"/>
            <w:vMerge w:val="continue"/>
            <w:tcBorders>
              <w:top w:val="single" w:color="000000" w:sz="8" w:space="0"/>
              <w:left w:val="single" w:color="000000" w:sz="8" w:space="0"/>
              <w:bottom w:val="single" w:color="000000" w:sz="8" w:space="0"/>
              <w:right w:val="single" w:color="000000" w:sz="8" w:space="0"/>
            </w:tcBorders>
            <w:shd w:val="clear" w:color="auto" w:fill="FFFFFF"/>
            <w:noWrap/>
            <w:textDirection w:val="tbRlV"/>
            <w:vAlign w:val="bottom"/>
          </w:tcPr>
          <w:p w14:paraId="26199A2F">
            <w:pPr>
              <w:rPr>
                <w:rFonts w:ascii="Times New Roman" w:hAnsi="Times New Roman"/>
                <w:color w:val="auto"/>
                <w:szCs w:val="21"/>
                <w:highlight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3500AC06">
            <w:pPr>
              <w:pStyle w:val="10"/>
              <w:spacing w:line="240" w:lineRule="auto"/>
              <w:rPr>
                <w:rFonts w:ascii="Times New Roman" w:hAnsi="Times New Roman" w:cs="Times New Roman"/>
                <w:color w:val="auto"/>
                <w:sz w:val="21"/>
                <w:szCs w:val="21"/>
                <w:highlight w:val="none"/>
                <w:lang w:eastAsia="zh-CN"/>
              </w:rPr>
            </w:pPr>
          </w:p>
        </w:tc>
        <w:tc>
          <w:tcPr>
            <w:tcW w:w="323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107FE16C">
            <w:pPr>
              <w:rPr>
                <w:rFonts w:ascii="Times New Roman" w:hAnsi="Times New Roman"/>
                <w:color w:val="auto"/>
                <w:szCs w:val="21"/>
                <w:highlight w:val="none"/>
              </w:rPr>
            </w:pPr>
            <w:r>
              <w:rPr>
                <w:rFonts w:ascii="Times New Roman" w:hAnsi="Times New Roman"/>
                <w:color w:val="auto"/>
                <w:szCs w:val="21"/>
                <w:highlight w:val="none"/>
              </w:rPr>
              <w:t>指标</w:t>
            </w:r>
            <w:r>
              <w:rPr>
                <w:rFonts w:hint="eastAsia" w:ascii="Times New Roman" w:hAnsi="Times New Roman"/>
                <w:color w:val="auto"/>
                <w:szCs w:val="21"/>
                <w:highlight w:val="none"/>
              </w:rPr>
              <w:t>2</w:t>
            </w:r>
            <w:r>
              <w:rPr>
                <w:rFonts w:ascii="Times New Roman" w:hAnsi="Times New Roman"/>
                <w:color w:val="auto"/>
                <w:szCs w:val="21"/>
                <w:highlight w:val="none"/>
              </w:rPr>
              <w:t>：</w:t>
            </w:r>
            <w:r>
              <w:rPr>
                <w:rFonts w:hint="eastAsia" w:ascii="Times New Roman" w:hAnsi="Times New Roman"/>
                <w:color w:val="auto"/>
                <w:szCs w:val="21"/>
                <w:highlight w:val="none"/>
              </w:rPr>
              <w:t>7</w:t>
            </w:r>
            <w:r>
              <w:rPr>
                <w:rFonts w:ascii="Times New Roman" w:hAnsi="Times New Roman"/>
                <w:color w:val="auto"/>
                <w:szCs w:val="21"/>
                <w:highlight w:val="none"/>
              </w:rPr>
              <w:t>岁</w:t>
            </w:r>
            <w:r>
              <w:rPr>
                <w:rFonts w:hint="eastAsia" w:ascii="Times New Roman" w:hAnsi="Times New Roman"/>
                <w:color w:val="auto"/>
                <w:szCs w:val="21"/>
                <w:highlight w:val="none"/>
              </w:rPr>
              <w:t>以下</w:t>
            </w:r>
            <w:r>
              <w:rPr>
                <w:rFonts w:ascii="Times New Roman" w:hAnsi="Times New Roman"/>
                <w:color w:val="auto"/>
                <w:szCs w:val="21"/>
                <w:highlight w:val="none"/>
              </w:rPr>
              <w:t>儿童健康管理率</w:t>
            </w:r>
          </w:p>
        </w:tc>
        <w:tc>
          <w:tcPr>
            <w:tcW w:w="2162"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1211113B">
            <w:pPr>
              <w:jc w:val="center"/>
              <w:rPr>
                <w:rFonts w:ascii="Times New Roman" w:hAnsi="Times New Roman"/>
                <w:color w:val="auto"/>
                <w:szCs w:val="21"/>
                <w:highlight w:val="none"/>
              </w:rPr>
            </w:pPr>
            <w:r>
              <w:rPr>
                <w:rFonts w:ascii="Times New Roman" w:hAnsi="Times New Roman"/>
                <w:color w:val="auto"/>
                <w:szCs w:val="21"/>
                <w:highlight w:val="none"/>
              </w:rPr>
              <w:t>≥</w:t>
            </w:r>
            <w:r>
              <w:rPr>
                <w:rFonts w:hint="eastAsia" w:ascii="Times New Roman" w:hAnsi="Times New Roman"/>
                <w:color w:val="auto"/>
                <w:szCs w:val="21"/>
                <w:highlight w:val="none"/>
              </w:rPr>
              <w:t>90</w:t>
            </w:r>
            <w:r>
              <w:rPr>
                <w:rFonts w:ascii="Times New Roman" w:hAnsi="Times New Roman"/>
                <w:color w:val="auto"/>
                <w:szCs w:val="21"/>
                <w:highlight w:val="none"/>
              </w:rPr>
              <w:t>%</w:t>
            </w:r>
          </w:p>
        </w:tc>
        <w:tc>
          <w:tcPr>
            <w:tcW w:w="1543"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4DD21E4D">
            <w:pPr>
              <w:jc w:val="center"/>
              <w:rPr>
                <w:rFonts w:ascii="Times New Roman" w:hAnsi="Times New Roman"/>
                <w:color w:val="auto"/>
                <w:szCs w:val="21"/>
                <w:highlight w:val="none"/>
              </w:rPr>
            </w:pPr>
            <w:r>
              <w:rPr>
                <w:rFonts w:hint="eastAsia" w:ascii="Times New Roman" w:hAnsi="Times New Roman"/>
                <w:color w:val="auto"/>
                <w:szCs w:val="21"/>
                <w:highlight w:val="none"/>
              </w:rPr>
              <w:t>90%</w:t>
            </w:r>
          </w:p>
        </w:tc>
      </w:tr>
      <w:tr w14:paraId="28361335">
        <w:tblPrEx>
          <w:tblCellMar>
            <w:top w:w="0" w:type="dxa"/>
            <w:left w:w="10" w:type="dxa"/>
            <w:bottom w:w="0" w:type="dxa"/>
            <w:right w:w="10" w:type="dxa"/>
          </w:tblCellMar>
        </w:tblPrEx>
        <w:trPr>
          <w:trHeight w:val="533" w:hRule="exact"/>
        </w:trPr>
        <w:tc>
          <w:tcPr>
            <w:tcW w:w="900" w:type="dxa"/>
            <w:vMerge w:val="continue"/>
            <w:tcBorders>
              <w:top w:val="single" w:color="000000" w:sz="8" w:space="0"/>
              <w:left w:val="single" w:color="000000" w:sz="8" w:space="0"/>
              <w:bottom w:val="single" w:color="000000" w:sz="8" w:space="0"/>
              <w:right w:val="single" w:color="000000" w:sz="8" w:space="0"/>
            </w:tcBorders>
            <w:shd w:val="clear" w:color="auto" w:fill="FFFFFF"/>
            <w:noWrap/>
            <w:textDirection w:val="tbRlV"/>
            <w:vAlign w:val="center"/>
          </w:tcPr>
          <w:p w14:paraId="75E136CC">
            <w:pPr>
              <w:rPr>
                <w:rFonts w:ascii="Times New Roman" w:hAnsi="Times New Roman"/>
                <w:color w:val="auto"/>
                <w:szCs w:val="21"/>
                <w:highlight w:val="none"/>
              </w:rPr>
            </w:pPr>
          </w:p>
        </w:tc>
        <w:tc>
          <w:tcPr>
            <w:tcW w:w="1371" w:type="dxa"/>
            <w:vMerge w:val="continue"/>
            <w:tcBorders>
              <w:top w:val="single" w:color="000000" w:sz="8" w:space="0"/>
              <w:left w:val="single" w:color="000000" w:sz="8" w:space="0"/>
              <w:bottom w:val="single" w:color="000000" w:sz="8" w:space="0"/>
              <w:right w:val="single" w:color="000000" w:sz="8" w:space="0"/>
            </w:tcBorders>
            <w:shd w:val="clear" w:color="auto" w:fill="FFFFFF"/>
            <w:noWrap/>
            <w:textDirection w:val="tbRlV"/>
            <w:vAlign w:val="bottom"/>
          </w:tcPr>
          <w:p w14:paraId="6F372D30">
            <w:pPr>
              <w:rPr>
                <w:rFonts w:ascii="Times New Roman" w:hAnsi="Times New Roman"/>
                <w:color w:val="auto"/>
                <w:szCs w:val="21"/>
                <w:highlight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06996CBF">
            <w:pPr>
              <w:pStyle w:val="10"/>
              <w:spacing w:line="240" w:lineRule="auto"/>
              <w:rPr>
                <w:rFonts w:ascii="Times New Roman" w:hAnsi="Times New Roman" w:cs="Times New Roman"/>
                <w:color w:val="auto"/>
                <w:sz w:val="21"/>
                <w:szCs w:val="21"/>
                <w:highlight w:val="none"/>
                <w:lang w:eastAsia="zh-CN"/>
              </w:rPr>
            </w:pPr>
          </w:p>
        </w:tc>
        <w:tc>
          <w:tcPr>
            <w:tcW w:w="323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3DB24827">
            <w:pPr>
              <w:rPr>
                <w:rFonts w:ascii="Times New Roman" w:hAnsi="Times New Roman"/>
                <w:color w:val="auto"/>
                <w:szCs w:val="21"/>
                <w:highlight w:val="none"/>
              </w:rPr>
            </w:pPr>
            <w:r>
              <w:rPr>
                <w:rFonts w:ascii="Times New Roman" w:hAnsi="Times New Roman"/>
                <w:color w:val="auto"/>
                <w:szCs w:val="21"/>
                <w:highlight w:val="none"/>
              </w:rPr>
              <w:t>指标</w:t>
            </w:r>
            <w:r>
              <w:rPr>
                <w:rFonts w:hint="eastAsia" w:ascii="Times New Roman" w:hAnsi="Times New Roman"/>
                <w:color w:val="auto"/>
                <w:szCs w:val="21"/>
                <w:highlight w:val="none"/>
              </w:rPr>
              <w:t>3</w:t>
            </w:r>
            <w:r>
              <w:rPr>
                <w:rFonts w:ascii="Times New Roman" w:hAnsi="Times New Roman"/>
                <w:color w:val="auto"/>
                <w:szCs w:val="21"/>
                <w:highlight w:val="none"/>
              </w:rPr>
              <w:t>：孕产妇系统管理率</w:t>
            </w:r>
          </w:p>
        </w:tc>
        <w:tc>
          <w:tcPr>
            <w:tcW w:w="2162"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39E4E743">
            <w:pPr>
              <w:jc w:val="center"/>
              <w:rPr>
                <w:rFonts w:ascii="Times New Roman" w:hAnsi="Times New Roman"/>
                <w:color w:val="auto"/>
                <w:szCs w:val="21"/>
                <w:highlight w:val="none"/>
              </w:rPr>
            </w:pPr>
            <w:r>
              <w:rPr>
                <w:rFonts w:ascii="Times New Roman" w:hAnsi="Times New Roman"/>
                <w:color w:val="auto"/>
                <w:szCs w:val="21"/>
                <w:highlight w:val="none"/>
              </w:rPr>
              <w:t>≥</w:t>
            </w:r>
            <w:r>
              <w:rPr>
                <w:rFonts w:hint="eastAsia" w:ascii="Times New Roman" w:hAnsi="Times New Roman"/>
                <w:color w:val="auto"/>
                <w:szCs w:val="21"/>
                <w:highlight w:val="none"/>
              </w:rPr>
              <w:t>90</w:t>
            </w:r>
            <w:r>
              <w:rPr>
                <w:rFonts w:ascii="Times New Roman" w:hAnsi="Times New Roman"/>
                <w:color w:val="auto"/>
                <w:szCs w:val="21"/>
                <w:highlight w:val="none"/>
              </w:rPr>
              <w:t>%</w:t>
            </w:r>
          </w:p>
        </w:tc>
        <w:tc>
          <w:tcPr>
            <w:tcW w:w="1543"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487F986D">
            <w:pPr>
              <w:jc w:val="center"/>
              <w:rPr>
                <w:rFonts w:ascii="Times New Roman" w:hAnsi="Times New Roman"/>
                <w:color w:val="auto"/>
                <w:szCs w:val="21"/>
                <w:highlight w:val="none"/>
              </w:rPr>
            </w:pPr>
            <w:r>
              <w:rPr>
                <w:rFonts w:hint="eastAsia" w:ascii="Times New Roman" w:hAnsi="Times New Roman"/>
                <w:color w:val="auto"/>
                <w:szCs w:val="21"/>
                <w:highlight w:val="none"/>
              </w:rPr>
              <w:t>62.96%</w:t>
            </w:r>
          </w:p>
        </w:tc>
      </w:tr>
      <w:tr w14:paraId="7CFA2938">
        <w:tblPrEx>
          <w:tblCellMar>
            <w:top w:w="0" w:type="dxa"/>
            <w:left w:w="10" w:type="dxa"/>
            <w:bottom w:w="0" w:type="dxa"/>
            <w:right w:w="10" w:type="dxa"/>
          </w:tblCellMar>
        </w:tblPrEx>
        <w:trPr>
          <w:trHeight w:val="597" w:hRule="exact"/>
        </w:trPr>
        <w:tc>
          <w:tcPr>
            <w:tcW w:w="900" w:type="dxa"/>
            <w:vMerge w:val="continue"/>
            <w:tcBorders>
              <w:top w:val="single" w:color="000000" w:sz="8" w:space="0"/>
              <w:left w:val="single" w:color="000000" w:sz="8" w:space="0"/>
              <w:bottom w:val="single" w:color="000000" w:sz="8" w:space="0"/>
              <w:right w:val="single" w:color="000000" w:sz="8" w:space="0"/>
            </w:tcBorders>
            <w:shd w:val="clear" w:color="auto" w:fill="FFFFFF"/>
            <w:noWrap/>
            <w:textDirection w:val="tbRlV"/>
            <w:vAlign w:val="center"/>
          </w:tcPr>
          <w:p w14:paraId="525A57DE">
            <w:pPr>
              <w:rPr>
                <w:rFonts w:ascii="Times New Roman" w:hAnsi="Times New Roman"/>
                <w:color w:val="auto"/>
                <w:szCs w:val="21"/>
                <w:highlight w:val="none"/>
              </w:rPr>
            </w:pPr>
          </w:p>
        </w:tc>
        <w:tc>
          <w:tcPr>
            <w:tcW w:w="1371" w:type="dxa"/>
            <w:vMerge w:val="continue"/>
            <w:tcBorders>
              <w:top w:val="single" w:color="000000" w:sz="8" w:space="0"/>
              <w:left w:val="single" w:color="000000" w:sz="8" w:space="0"/>
              <w:bottom w:val="single" w:color="000000" w:sz="8" w:space="0"/>
              <w:right w:val="single" w:color="000000" w:sz="8" w:space="0"/>
            </w:tcBorders>
            <w:shd w:val="clear" w:color="auto" w:fill="FFFFFF"/>
            <w:noWrap/>
            <w:textDirection w:val="tbRlV"/>
            <w:vAlign w:val="bottom"/>
          </w:tcPr>
          <w:p w14:paraId="6ACCA1BD">
            <w:pPr>
              <w:rPr>
                <w:rFonts w:ascii="Times New Roman" w:hAnsi="Times New Roman"/>
                <w:color w:val="auto"/>
                <w:szCs w:val="21"/>
                <w:highlight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31EBEABE">
            <w:pPr>
              <w:pStyle w:val="10"/>
              <w:spacing w:line="240" w:lineRule="auto"/>
              <w:rPr>
                <w:rFonts w:ascii="Times New Roman" w:hAnsi="Times New Roman" w:cs="Times New Roman"/>
                <w:color w:val="auto"/>
                <w:sz w:val="21"/>
                <w:szCs w:val="21"/>
                <w:highlight w:val="none"/>
              </w:rPr>
            </w:pPr>
          </w:p>
        </w:tc>
        <w:tc>
          <w:tcPr>
            <w:tcW w:w="323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4B1CCD0B">
            <w:pPr>
              <w:rPr>
                <w:rFonts w:ascii="Times New Roman" w:hAnsi="Times New Roman"/>
                <w:color w:val="auto"/>
                <w:szCs w:val="21"/>
                <w:highlight w:val="none"/>
              </w:rPr>
            </w:pPr>
            <w:r>
              <w:rPr>
                <w:rFonts w:ascii="Times New Roman" w:hAnsi="Times New Roman"/>
                <w:color w:val="auto"/>
                <w:szCs w:val="21"/>
                <w:highlight w:val="none"/>
              </w:rPr>
              <w:t>指标</w:t>
            </w:r>
            <w:r>
              <w:rPr>
                <w:rFonts w:hint="eastAsia" w:ascii="Times New Roman" w:hAnsi="Times New Roman"/>
                <w:color w:val="auto"/>
                <w:szCs w:val="21"/>
                <w:highlight w:val="none"/>
              </w:rPr>
              <w:t>4</w:t>
            </w:r>
            <w:r>
              <w:rPr>
                <w:rFonts w:ascii="Times New Roman" w:hAnsi="Times New Roman"/>
                <w:color w:val="auto"/>
                <w:szCs w:val="21"/>
                <w:highlight w:val="none"/>
              </w:rPr>
              <w:t>：老年人健康管理率</w:t>
            </w:r>
          </w:p>
        </w:tc>
        <w:tc>
          <w:tcPr>
            <w:tcW w:w="2162"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0B66338E">
            <w:pPr>
              <w:jc w:val="center"/>
              <w:rPr>
                <w:rFonts w:ascii="Times New Roman" w:hAnsi="Times New Roman"/>
                <w:color w:val="auto"/>
                <w:szCs w:val="21"/>
                <w:highlight w:val="none"/>
              </w:rPr>
            </w:pPr>
            <w:r>
              <w:rPr>
                <w:rFonts w:ascii="Times New Roman" w:hAnsi="Times New Roman"/>
                <w:color w:val="auto"/>
                <w:szCs w:val="21"/>
                <w:highlight w:val="none"/>
              </w:rPr>
              <w:t>≥70%</w:t>
            </w:r>
          </w:p>
        </w:tc>
        <w:tc>
          <w:tcPr>
            <w:tcW w:w="1543"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5076498B">
            <w:pPr>
              <w:jc w:val="center"/>
              <w:rPr>
                <w:rFonts w:ascii="Times New Roman" w:hAnsi="Times New Roman"/>
                <w:color w:val="auto"/>
                <w:szCs w:val="21"/>
                <w:highlight w:val="none"/>
              </w:rPr>
            </w:pPr>
            <w:r>
              <w:rPr>
                <w:rFonts w:hint="eastAsia" w:ascii="Times New Roman" w:hAnsi="Times New Roman"/>
                <w:color w:val="auto"/>
                <w:szCs w:val="21"/>
                <w:highlight w:val="none"/>
              </w:rPr>
              <w:t>67.88%</w:t>
            </w:r>
          </w:p>
        </w:tc>
      </w:tr>
      <w:tr w14:paraId="362837F7">
        <w:tblPrEx>
          <w:tblCellMar>
            <w:top w:w="0" w:type="dxa"/>
            <w:left w:w="10" w:type="dxa"/>
            <w:bottom w:w="0" w:type="dxa"/>
            <w:right w:w="10" w:type="dxa"/>
          </w:tblCellMar>
        </w:tblPrEx>
        <w:trPr>
          <w:trHeight w:val="575" w:hRule="exact"/>
        </w:trPr>
        <w:tc>
          <w:tcPr>
            <w:tcW w:w="900" w:type="dxa"/>
            <w:vMerge w:val="continue"/>
            <w:tcBorders>
              <w:top w:val="single" w:color="000000" w:sz="8" w:space="0"/>
              <w:left w:val="single" w:color="000000" w:sz="8" w:space="0"/>
              <w:bottom w:val="single" w:color="000000" w:sz="8" w:space="0"/>
              <w:right w:val="single" w:color="000000" w:sz="8" w:space="0"/>
            </w:tcBorders>
            <w:shd w:val="clear" w:color="auto" w:fill="FFFFFF"/>
            <w:noWrap/>
            <w:textDirection w:val="tbRlV"/>
            <w:vAlign w:val="center"/>
          </w:tcPr>
          <w:p w14:paraId="4F99CE14">
            <w:pPr>
              <w:rPr>
                <w:rFonts w:ascii="Times New Roman" w:hAnsi="Times New Roman"/>
                <w:color w:val="auto"/>
                <w:szCs w:val="21"/>
                <w:highlight w:val="none"/>
              </w:rPr>
            </w:pPr>
          </w:p>
        </w:tc>
        <w:tc>
          <w:tcPr>
            <w:tcW w:w="1371" w:type="dxa"/>
            <w:vMerge w:val="continue"/>
            <w:tcBorders>
              <w:top w:val="single" w:color="000000" w:sz="8" w:space="0"/>
              <w:left w:val="single" w:color="000000" w:sz="8" w:space="0"/>
              <w:bottom w:val="single" w:color="000000" w:sz="8" w:space="0"/>
              <w:right w:val="single" w:color="000000" w:sz="8" w:space="0"/>
            </w:tcBorders>
            <w:shd w:val="clear" w:color="auto" w:fill="FFFFFF"/>
            <w:noWrap/>
            <w:textDirection w:val="tbRlV"/>
            <w:vAlign w:val="bottom"/>
          </w:tcPr>
          <w:p w14:paraId="4E968E33">
            <w:pPr>
              <w:rPr>
                <w:rFonts w:ascii="Times New Roman" w:hAnsi="Times New Roman"/>
                <w:color w:val="auto"/>
                <w:szCs w:val="21"/>
                <w:highlight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342A867F">
            <w:pPr>
              <w:pStyle w:val="10"/>
              <w:spacing w:line="240" w:lineRule="auto"/>
              <w:rPr>
                <w:rFonts w:ascii="Times New Roman" w:hAnsi="Times New Roman" w:cs="Times New Roman"/>
                <w:color w:val="auto"/>
                <w:sz w:val="21"/>
                <w:szCs w:val="21"/>
                <w:highlight w:val="none"/>
                <w:lang w:eastAsia="zh-CN"/>
              </w:rPr>
            </w:pPr>
          </w:p>
        </w:tc>
        <w:tc>
          <w:tcPr>
            <w:tcW w:w="323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413208B7">
            <w:pPr>
              <w:rPr>
                <w:rFonts w:ascii="Times New Roman" w:hAnsi="Times New Roman"/>
                <w:color w:val="auto"/>
                <w:szCs w:val="21"/>
                <w:highlight w:val="none"/>
              </w:rPr>
            </w:pPr>
            <w:r>
              <w:rPr>
                <w:rFonts w:ascii="Times New Roman" w:hAnsi="Times New Roman"/>
                <w:color w:val="auto"/>
                <w:szCs w:val="21"/>
                <w:highlight w:val="none"/>
              </w:rPr>
              <w:t>指标</w:t>
            </w:r>
            <w:r>
              <w:rPr>
                <w:rFonts w:hint="eastAsia" w:ascii="Times New Roman" w:hAnsi="Times New Roman"/>
                <w:color w:val="auto"/>
                <w:szCs w:val="21"/>
                <w:highlight w:val="none"/>
              </w:rPr>
              <w:t>5</w:t>
            </w:r>
            <w:r>
              <w:rPr>
                <w:rFonts w:ascii="Times New Roman" w:hAnsi="Times New Roman"/>
                <w:color w:val="auto"/>
                <w:szCs w:val="21"/>
                <w:highlight w:val="none"/>
              </w:rPr>
              <w:t>：高血压患者管理人数</w:t>
            </w:r>
          </w:p>
        </w:tc>
        <w:tc>
          <w:tcPr>
            <w:tcW w:w="2162"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610CF880">
            <w:pPr>
              <w:jc w:val="center"/>
              <w:rPr>
                <w:rFonts w:ascii="Times New Roman" w:hAnsi="Times New Roman"/>
                <w:color w:val="auto"/>
                <w:szCs w:val="21"/>
                <w:highlight w:val="none"/>
              </w:rPr>
            </w:pPr>
            <w:r>
              <w:rPr>
                <w:rFonts w:hint="eastAsia" w:ascii="Times New Roman" w:hAnsi="Times New Roman"/>
                <w:color w:val="auto"/>
                <w:szCs w:val="21"/>
                <w:highlight w:val="none"/>
              </w:rPr>
              <w:t>20.32万</w:t>
            </w:r>
          </w:p>
        </w:tc>
        <w:tc>
          <w:tcPr>
            <w:tcW w:w="1543"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2421EE0E">
            <w:pPr>
              <w:jc w:val="center"/>
              <w:rPr>
                <w:rFonts w:ascii="Times New Roman" w:hAnsi="Times New Roman"/>
                <w:color w:val="auto"/>
                <w:szCs w:val="21"/>
                <w:highlight w:val="none"/>
              </w:rPr>
            </w:pPr>
            <w:r>
              <w:rPr>
                <w:rFonts w:hint="eastAsia" w:ascii="Times New Roman" w:hAnsi="Times New Roman"/>
                <w:color w:val="auto"/>
                <w:szCs w:val="21"/>
                <w:highlight w:val="none"/>
              </w:rPr>
              <w:t>125627人</w:t>
            </w:r>
          </w:p>
        </w:tc>
      </w:tr>
      <w:tr w14:paraId="617A06BB">
        <w:tblPrEx>
          <w:tblCellMar>
            <w:top w:w="0" w:type="dxa"/>
            <w:left w:w="10" w:type="dxa"/>
            <w:bottom w:w="0" w:type="dxa"/>
            <w:right w:w="10" w:type="dxa"/>
          </w:tblCellMar>
        </w:tblPrEx>
        <w:trPr>
          <w:trHeight w:val="598" w:hRule="exact"/>
        </w:trPr>
        <w:tc>
          <w:tcPr>
            <w:tcW w:w="900" w:type="dxa"/>
            <w:vMerge w:val="continue"/>
            <w:tcBorders>
              <w:top w:val="single" w:color="000000" w:sz="8" w:space="0"/>
              <w:left w:val="single" w:color="000000" w:sz="8" w:space="0"/>
              <w:bottom w:val="single" w:color="000000" w:sz="8" w:space="0"/>
              <w:right w:val="single" w:color="000000" w:sz="8" w:space="0"/>
            </w:tcBorders>
            <w:shd w:val="clear" w:color="auto" w:fill="FFFFFF"/>
            <w:noWrap/>
            <w:textDirection w:val="tbRlV"/>
            <w:vAlign w:val="center"/>
          </w:tcPr>
          <w:p w14:paraId="7CE141A4">
            <w:pPr>
              <w:rPr>
                <w:rFonts w:ascii="Times New Roman" w:hAnsi="Times New Roman"/>
                <w:color w:val="auto"/>
                <w:szCs w:val="21"/>
                <w:highlight w:val="none"/>
              </w:rPr>
            </w:pPr>
          </w:p>
        </w:tc>
        <w:tc>
          <w:tcPr>
            <w:tcW w:w="1371" w:type="dxa"/>
            <w:vMerge w:val="continue"/>
            <w:tcBorders>
              <w:top w:val="single" w:color="000000" w:sz="8" w:space="0"/>
              <w:left w:val="single" w:color="000000" w:sz="8" w:space="0"/>
              <w:bottom w:val="single" w:color="000000" w:sz="8" w:space="0"/>
              <w:right w:val="single" w:color="000000" w:sz="8" w:space="0"/>
            </w:tcBorders>
            <w:shd w:val="clear" w:color="auto" w:fill="FFFFFF"/>
            <w:noWrap/>
            <w:textDirection w:val="tbRlV"/>
            <w:vAlign w:val="bottom"/>
          </w:tcPr>
          <w:p w14:paraId="08BD4D68">
            <w:pPr>
              <w:rPr>
                <w:rFonts w:ascii="Times New Roman" w:hAnsi="Times New Roman"/>
                <w:color w:val="auto"/>
                <w:szCs w:val="21"/>
                <w:highlight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39C87BAF">
            <w:pPr>
              <w:pStyle w:val="10"/>
              <w:spacing w:line="240" w:lineRule="auto"/>
              <w:rPr>
                <w:rFonts w:ascii="Times New Roman" w:hAnsi="Times New Roman" w:cs="Times New Roman"/>
                <w:color w:val="auto"/>
                <w:sz w:val="21"/>
                <w:szCs w:val="21"/>
                <w:highlight w:val="none"/>
                <w:lang w:eastAsia="zh-CN"/>
              </w:rPr>
            </w:pPr>
          </w:p>
        </w:tc>
        <w:tc>
          <w:tcPr>
            <w:tcW w:w="323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0E076FA9">
            <w:pPr>
              <w:rPr>
                <w:rFonts w:ascii="Times New Roman" w:hAnsi="Times New Roman"/>
                <w:color w:val="auto"/>
                <w:szCs w:val="21"/>
                <w:highlight w:val="none"/>
              </w:rPr>
            </w:pPr>
            <w:r>
              <w:rPr>
                <w:rFonts w:ascii="Times New Roman" w:hAnsi="Times New Roman"/>
                <w:color w:val="auto"/>
                <w:szCs w:val="21"/>
                <w:highlight w:val="none"/>
              </w:rPr>
              <w:t>指标</w:t>
            </w:r>
            <w:r>
              <w:rPr>
                <w:rFonts w:hint="eastAsia" w:ascii="Times New Roman" w:hAnsi="Times New Roman"/>
                <w:color w:val="auto"/>
                <w:szCs w:val="21"/>
                <w:highlight w:val="none"/>
              </w:rPr>
              <w:t>6</w:t>
            </w:r>
            <w:r>
              <w:rPr>
                <w:rFonts w:ascii="Times New Roman" w:hAnsi="Times New Roman"/>
                <w:color w:val="auto"/>
                <w:szCs w:val="21"/>
                <w:highlight w:val="none"/>
              </w:rPr>
              <w:t>：2型糖尿病患者管理人数</w:t>
            </w:r>
          </w:p>
        </w:tc>
        <w:tc>
          <w:tcPr>
            <w:tcW w:w="2162"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5007370B">
            <w:pPr>
              <w:jc w:val="center"/>
              <w:rPr>
                <w:rFonts w:ascii="Times New Roman" w:hAnsi="Times New Roman"/>
                <w:color w:val="auto"/>
                <w:szCs w:val="21"/>
                <w:highlight w:val="none"/>
              </w:rPr>
            </w:pPr>
            <w:r>
              <w:rPr>
                <w:rFonts w:hint="eastAsia" w:ascii="Times New Roman" w:hAnsi="Times New Roman"/>
                <w:color w:val="auto"/>
                <w:szCs w:val="21"/>
                <w:highlight w:val="none"/>
              </w:rPr>
              <w:t>6.42万</w:t>
            </w:r>
          </w:p>
        </w:tc>
        <w:tc>
          <w:tcPr>
            <w:tcW w:w="1543"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60E69FA8">
            <w:pPr>
              <w:jc w:val="center"/>
              <w:rPr>
                <w:rFonts w:ascii="Times New Roman" w:hAnsi="Times New Roman"/>
                <w:color w:val="auto"/>
                <w:szCs w:val="21"/>
                <w:highlight w:val="none"/>
              </w:rPr>
            </w:pPr>
            <w:r>
              <w:rPr>
                <w:rFonts w:hint="eastAsia" w:ascii="Times New Roman" w:hAnsi="Times New Roman"/>
                <w:color w:val="auto"/>
                <w:szCs w:val="21"/>
                <w:highlight w:val="none"/>
              </w:rPr>
              <w:t>110361人</w:t>
            </w:r>
          </w:p>
        </w:tc>
      </w:tr>
      <w:tr w14:paraId="3C414048">
        <w:tblPrEx>
          <w:tblCellMar>
            <w:top w:w="0" w:type="dxa"/>
            <w:left w:w="10" w:type="dxa"/>
            <w:bottom w:w="0" w:type="dxa"/>
            <w:right w:w="10" w:type="dxa"/>
          </w:tblCellMar>
        </w:tblPrEx>
        <w:trPr>
          <w:trHeight w:val="522" w:hRule="exact"/>
        </w:trPr>
        <w:tc>
          <w:tcPr>
            <w:tcW w:w="900" w:type="dxa"/>
            <w:vMerge w:val="continue"/>
            <w:tcBorders>
              <w:top w:val="single" w:color="000000" w:sz="8" w:space="0"/>
              <w:left w:val="single" w:color="000000" w:sz="8" w:space="0"/>
              <w:bottom w:val="single" w:color="000000" w:sz="8" w:space="0"/>
              <w:right w:val="single" w:color="000000" w:sz="8" w:space="0"/>
            </w:tcBorders>
            <w:shd w:val="clear" w:color="auto" w:fill="FFFFFF"/>
            <w:noWrap/>
            <w:textDirection w:val="tbRlV"/>
            <w:vAlign w:val="center"/>
          </w:tcPr>
          <w:p w14:paraId="571BB54E">
            <w:pPr>
              <w:rPr>
                <w:rFonts w:ascii="Times New Roman" w:hAnsi="Times New Roman"/>
                <w:color w:val="auto"/>
                <w:szCs w:val="21"/>
                <w:highlight w:val="none"/>
              </w:rPr>
            </w:pPr>
          </w:p>
        </w:tc>
        <w:tc>
          <w:tcPr>
            <w:tcW w:w="1371" w:type="dxa"/>
            <w:vMerge w:val="continue"/>
            <w:tcBorders>
              <w:top w:val="single" w:color="000000" w:sz="8" w:space="0"/>
              <w:left w:val="single" w:color="000000" w:sz="8" w:space="0"/>
              <w:bottom w:val="single" w:color="000000" w:sz="8" w:space="0"/>
              <w:right w:val="single" w:color="000000" w:sz="8" w:space="0"/>
            </w:tcBorders>
            <w:shd w:val="clear" w:color="auto" w:fill="FFFFFF"/>
            <w:noWrap/>
            <w:textDirection w:val="tbRlV"/>
            <w:vAlign w:val="bottom"/>
          </w:tcPr>
          <w:p w14:paraId="04B17C0A">
            <w:pPr>
              <w:rPr>
                <w:rFonts w:ascii="Times New Roman" w:hAnsi="Times New Roman"/>
                <w:color w:val="auto"/>
                <w:szCs w:val="21"/>
                <w:highlight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348A64E9">
            <w:pPr>
              <w:pStyle w:val="10"/>
              <w:spacing w:line="240" w:lineRule="auto"/>
              <w:ind w:firstLine="0"/>
              <w:rPr>
                <w:rFonts w:ascii="Times New Roman" w:hAnsi="Times New Roman" w:cs="Times New Roman"/>
                <w:color w:val="auto"/>
                <w:sz w:val="21"/>
                <w:szCs w:val="21"/>
                <w:highlight w:val="none"/>
              </w:rPr>
            </w:pPr>
          </w:p>
        </w:tc>
        <w:tc>
          <w:tcPr>
            <w:tcW w:w="323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58F9E3A6">
            <w:pPr>
              <w:rPr>
                <w:rFonts w:ascii="Times New Roman" w:hAnsi="Times New Roman"/>
                <w:color w:val="auto"/>
                <w:szCs w:val="21"/>
                <w:highlight w:val="none"/>
              </w:rPr>
            </w:pPr>
            <w:r>
              <w:rPr>
                <w:rFonts w:ascii="Times New Roman" w:hAnsi="Times New Roman"/>
                <w:color w:val="auto"/>
                <w:szCs w:val="21"/>
                <w:highlight w:val="none"/>
              </w:rPr>
              <w:t>指标</w:t>
            </w:r>
            <w:r>
              <w:rPr>
                <w:rFonts w:hint="eastAsia" w:ascii="Times New Roman" w:hAnsi="Times New Roman"/>
                <w:color w:val="auto"/>
                <w:szCs w:val="21"/>
                <w:highlight w:val="none"/>
              </w:rPr>
              <w:t>7</w:t>
            </w:r>
            <w:r>
              <w:rPr>
                <w:rFonts w:ascii="Times New Roman" w:hAnsi="Times New Roman"/>
                <w:color w:val="auto"/>
                <w:szCs w:val="21"/>
                <w:highlight w:val="none"/>
              </w:rPr>
              <w:t>：老年人中医药健康管理率</w:t>
            </w:r>
          </w:p>
        </w:tc>
        <w:tc>
          <w:tcPr>
            <w:tcW w:w="2162"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3F10564F">
            <w:pPr>
              <w:jc w:val="center"/>
              <w:rPr>
                <w:rFonts w:ascii="Times New Roman" w:hAnsi="Times New Roman"/>
                <w:color w:val="auto"/>
                <w:szCs w:val="21"/>
                <w:highlight w:val="none"/>
              </w:rPr>
            </w:pPr>
            <w:r>
              <w:rPr>
                <w:rFonts w:ascii="Times New Roman" w:hAnsi="Times New Roman"/>
                <w:color w:val="auto"/>
                <w:szCs w:val="21"/>
                <w:highlight w:val="none"/>
              </w:rPr>
              <w:t>≥65%</w:t>
            </w:r>
          </w:p>
        </w:tc>
        <w:tc>
          <w:tcPr>
            <w:tcW w:w="1543"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18B3C930">
            <w:pPr>
              <w:jc w:val="center"/>
              <w:rPr>
                <w:rFonts w:ascii="Times New Roman" w:hAnsi="Times New Roman"/>
                <w:color w:val="auto"/>
                <w:szCs w:val="21"/>
                <w:highlight w:val="none"/>
              </w:rPr>
            </w:pPr>
            <w:r>
              <w:rPr>
                <w:rFonts w:hint="eastAsia" w:ascii="Times New Roman" w:hAnsi="Times New Roman"/>
                <w:color w:val="auto"/>
                <w:szCs w:val="21"/>
                <w:highlight w:val="none"/>
              </w:rPr>
              <w:t>84.86%</w:t>
            </w:r>
          </w:p>
        </w:tc>
      </w:tr>
      <w:tr w14:paraId="4818D1AB">
        <w:tblPrEx>
          <w:tblCellMar>
            <w:top w:w="0" w:type="dxa"/>
            <w:left w:w="10" w:type="dxa"/>
            <w:bottom w:w="0" w:type="dxa"/>
            <w:right w:w="10" w:type="dxa"/>
          </w:tblCellMar>
        </w:tblPrEx>
        <w:trPr>
          <w:trHeight w:val="586" w:hRule="exact"/>
        </w:trPr>
        <w:tc>
          <w:tcPr>
            <w:tcW w:w="900" w:type="dxa"/>
            <w:vMerge w:val="continue"/>
            <w:tcBorders>
              <w:top w:val="single" w:color="000000" w:sz="8" w:space="0"/>
              <w:left w:val="single" w:color="000000" w:sz="8" w:space="0"/>
              <w:bottom w:val="single" w:color="000000" w:sz="8" w:space="0"/>
              <w:right w:val="single" w:color="000000" w:sz="8" w:space="0"/>
            </w:tcBorders>
            <w:shd w:val="clear" w:color="auto" w:fill="FFFFFF"/>
            <w:noWrap/>
            <w:textDirection w:val="tbRlV"/>
            <w:vAlign w:val="center"/>
          </w:tcPr>
          <w:p w14:paraId="0E7C9B9D">
            <w:pPr>
              <w:rPr>
                <w:rFonts w:ascii="Times New Roman" w:hAnsi="Times New Roman"/>
                <w:color w:val="auto"/>
                <w:szCs w:val="21"/>
                <w:highlight w:val="none"/>
              </w:rPr>
            </w:pPr>
          </w:p>
        </w:tc>
        <w:tc>
          <w:tcPr>
            <w:tcW w:w="1371" w:type="dxa"/>
            <w:vMerge w:val="continue"/>
            <w:tcBorders>
              <w:top w:val="single" w:color="000000" w:sz="8" w:space="0"/>
              <w:left w:val="single" w:color="000000" w:sz="8" w:space="0"/>
              <w:bottom w:val="single" w:color="000000" w:sz="8" w:space="0"/>
              <w:right w:val="single" w:color="000000" w:sz="8" w:space="0"/>
            </w:tcBorders>
            <w:shd w:val="clear" w:color="auto" w:fill="FFFFFF"/>
            <w:noWrap/>
            <w:textDirection w:val="tbRlV"/>
            <w:vAlign w:val="bottom"/>
          </w:tcPr>
          <w:p w14:paraId="375D5E7C">
            <w:pPr>
              <w:rPr>
                <w:rFonts w:ascii="Times New Roman" w:hAnsi="Times New Roman"/>
                <w:color w:val="auto"/>
                <w:szCs w:val="21"/>
                <w:highlight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4F56CF76">
            <w:pPr>
              <w:rPr>
                <w:rFonts w:ascii="Times New Roman" w:hAnsi="Times New Roman"/>
                <w:color w:val="auto"/>
                <w:szCs w:val="21"/>
                <w:highlight w:val="none"/>
              </w:rPr>
            </w:pPr>
          </w:p>
        </w:tc>
        <w:tc>
          <w:tcPr>
            <w:tcW w:w="323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18E36164">
            <w:pPr>
              <w:rPr>
                <w:rFonts w:ascii="Times New Roman" w:hAnsi="Times New Roman"/>
                <w:color w:val="auto"/>
                <w:szCs w:val="21"/>
                <w:highlight w:val="none"/>
              </w:rPr>
            </w:pPr>
            <w:r>
              <w:rPr>
                <w:rFonts w:ascii="Times New Roman" w:hAnsi="Times New Roman"/>
                <w:color w:val="auto"/>
                <w:szCs w:val="21"/>
                <w:highlight w:val="none"/>
              </w:rPr>
              <w:t>指标</w:t>
            </w:r>
            <w:r>
              <w:rPr>
                <w:rFonts w:hint="eastAsia" w:ascii="Times New Roman" w:hAnsi="Times New Roman"/>
                <w:color w:val="auto"/>
                <w:szCs w:val="21"/>
                <w:highlight w:val="none"/>
              </w:rPr>
              <w:t>8</w:t>
            </w:r>
            <w:r>
              <w:rPr>
                <w:rFonts w:ascii="Times New Roman" w:hAnsi="Times New Roman"/>
                <w:color w:val="auto"/>
                <w:szCs w:val="21"/>
                <w:highlight w:val="none"/>
              </w:rPr>
              <w:t>：儿童中医药健康管理率</w:t>
            </w:r>
          </w:p>
        </w:tc>
        <w:tc>
          <w:tcPr>
            <w:tcW w:w="2162"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2A42817C">
            <w:pPr>
              <w:jc w:val="center"/>
              <w:rPr>
                <w:rFonts w:ascii="Times New Roman" w:hAnsi="Times New Roman"/>
                <w:color w:val="auto"/>
                <w:szCs w:val="21"/>
                <w:highlight w:val="none"/>
              </w:rPr>
            </w:pPr>
            <w:r>
              <w:rPr>
                <w:rFonts w:ascii="Times New Roman" w:hAnsi="Times New Roman"/>
                <w:color w:val="auto"/>
                <w:szCs w:val="21"/>
                <w:highlight w:val="none"/>
              </w:rPr>
              <w:t>≥65%</w:t>
            </w:r>
          </w:p>
        </w:tc>
        <w:tc>
          <w:tcPr>
            <w:tcW w:w="1543"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39111F42">
            <w:pPr>
              <w:jc w:val="center"/>
              <w:rPr>
                <w:rFonts w:ascii="Times New Roman" w:hAnsi="Times New Roman"/>
                <w:color w:val="auto"/>
                <w:szCs w:val="21"/>
                <w:highlight w:val="none"/>
              </w:rPr>
            </w:pPr>
            <w:r>
              <w:rPr>
                <w:rFonts w:hint="eastAsia" w:ascii="Times New Roman" w:hAnsi="Times New Roman"/>
                <w:color w:val="auto"/>
                <w:szCs w:val="21"/>
                <w:highlight w:val="none"/>
              </w:rPr>
              <w:t>84.38%</w:t>
            </w:r>
          </w:p>
        </w:tc>
      </w:tr>
      <w:tr w14:paraId="29F42C35">
        <w:tblPrEx>
          <w:tblCellMar>
            <w:top w:w="0" w:type="dxa"/>
            <w:left w:w="10" w:type="dxa"/>
            <w:bottom w:w="0" w:type="dxa"/>
            <w:right w:w="10" w:type="dxa"/>
          </w:tblCellMar>
        </w:tblPrEx>
        <w:trPr>
          <w:trHeight w:val="587" w:hRule="exact"/>
        </w:trPr>
        <w:tc>
          <w:tcPr>
            <w:tcW w:w="900" w:type="dxa"/>
            <w:vMerge w:val="continue"/>
            <w:tcBorders>
              <w:top w:val="single" w:color="000000" w:sz="8" w:space="0"/>
              <w:left w:val="single" w:color="000000" w:sz="8" w:space="0"/>
              <w:bottom w:val="single" w:color="000000" w:sz="8" w:space="0"/>
              <w:right w:val="single" w:color="000000" w:sz="8" w:space="0"/>
            </w:tcBorders>
            <w:shd w:val="clear" w:color="auto" w:fill="FFFFFF"/>
            <w:noWrap/>
            <w:textDirection w:val="tbRlV"/>
            <w:vAlign w:val="center"/>
          </w:tcPr>
          <w:p w14:paraId="2DAA08BC">
            <w:pPr>
              <w:rPr>
                <w:rFonts w:ascii="Times New Roman" w:hAnsi="Times New Roman"/>
                <w:color w:val="auto"/>
                <w:szCs w:val="21"/>
                <w:highlight w:val="none"/>
              </w:rPr>
            </w:pPr>
          </w:p>
        </w:tc>
        <w:tc>
          <w:tcPr>
            <w:tcW w:w="1371" w:type="dxa"/>
            <w:vMerge w:val="continue"/>
            <w:tcBorders>
              <w:top w:val="single" w:color="000000" w:sz="8" w:space="0"/>
              <w:left w:val="single" w:color="000000" w:sz="8" w:space="0"/>
              <w:bottom w:val="single" w:color="000000" w:sz="8" w:space="0"/>
              <w:right w:val="single" w:color="000000" w:sz="8" w:space="0"/>
            </w:tcBorders>
            <w:shd w:val="clear" w:color="auto" w:fill="FFFFFF"/>
            <w:noWrap/>
            <w:textDirection w:val="tbRlV"/>
            <w:vAlign w:val="bottom"/>
          </w:tcPr>
          <w:p w14:paraId="43A26890">
            <w:pPr>
              <w:rPr>
                <w:rFonts w:ascii="Times New Roman" w:hAnsi="Times New Roman"/>
                <w:color w:val="auto"/>
                <w:szCs w:val="21"/>
                <w:highlight w:val="none"/>
              </w:rPr>
            </w:pP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3095DA20">
            <w:pPr>
              <w:pStyle w:val="10"/>
              <w:spacing w:line="240" w:lineRule="auto"/>
              <w:ind w:firstLine="0"/>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质量指标</w:t>
            </w:r>
          </w:p>
        </w:tc>
        <w:tc>
          <w:tcPr>
            <w:tcW w:w="323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5608A252">
            <w:pPr>
              <w:rPr>
                <w:rFonts w:ascii="Times New Roman" w:hAnsi="Times New Roman"/>
                <w:color w:val="auto"/>
                <w:szCs w:val="21"/>
                <w:highlight w:val="none"/>
              </w:rPr>
            </w:pPr>
            <w:r>
              <w:rPr>
                <w:rFonts w:ascii="Times New Roman" w:hAnsi="Times New Roman"/>
                <w:color w:val="auto"/>
                <w:szCs w:val="21"/>
                <w:highlight w:val="none"/>
              </w:rPr>
              <w:t>指标1：高血压患者规范管理率</w:t>
            </w:r>
          </w:p>
        </w:tc>
        <w:tc>
          <w:tcPr>
            <w:tcW w:w="2162"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390CFFEA">
            <w:pPr>
              <w:jc w:val="center"/>
              <w:rPr>
                <w:rFonts w:ascii="Times New Roman" w:hAnsi="Times New Roman"/>
                <w:color w:val="auto"/>
                <w:szCs w:val="21"/>
                <w:highlight w:val="none"/>
              </w:rPr>
            </w:pPr>
            <w:r>
              <w:rPr>
                <w:rFonts w:ascii="Times New Roman" w:hAnsi="Times New Roman"/>
                <w:color w:val="auto"/>
                <w:szCs w:val="21"/>
                <w:highlight w:val="none"/>
              </w:rPr>
              <w:t>≥60%</w:t>
            </w:r>
          </w:p>
        </w:tc>
        <w:tc>
          <w:tcPr>
            <w:tcW w:w="1543"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49D1C7AC">
            <w:pPr>
              <w:jc w:val="center"/>
              <w:rPr>
                <w:rFonts w:ascii="Times New Roman" w:hAnsi="Times New Roman"/>
                <w:color w:val="auto"/>
                <w:szCs w:val="21"/>
                <w:highlight w:val="none"/>
              </w:rPr>
            </w:pPr>
            <w:r>
              <w:rPr>
                <w:rFonts w:hint="eastAsia" w:ascii="Times New Roman" w:hAnsi="Times New Roman"/>
                <w:color w:val="auto"/>
                <w:szCs w:val="21"/>
                <w:highlight w:val="none"/>
              </w:rPr>
              <w:t>76.51%</w:t>
            </w:r>
          </w:p>
        </w:tc>
      </w:tr>
      <w:tr w14:paraId="741E5C63">
        <w:tblPrEx>
          <w:tblCellMar>
            <w:top w:w="0" w:type="dxa"/>
            <w:left w:w="10" w:type="dxa"/>
            <w:bottom w:w="0" w:type="dxa"/>
            <w:right w:w="10" w:type="dxa"/>
          </w:tblCellMar>
        </w:tblPrEx>
        <w:trPr>
          <w:trHeight w:val="586" w:hRule="exact"/>
        </w:trPr>
        <w:tc>
          <w:tcPr>
            <w:tcW w:w="900" w:type="dxa"/>
            <w:vMerge w:val="continue"/>
            <w:tcBorders>
              <w:top w:val="single" w:color="000000" w:sz="8" w:space="0"/>
              <w:left w:val="single" w:color="000000" w:sz="8" w:space="0"/>
              <w:bottom w:val="single" w:color="000000" w:sz="8" w:space="0"/>
              <w:right w:val="single" w:color="000000" w:sz="8" w:space="0"/>
            </w:tcBorders>
            <w:shd w:val="clear" w:color="auto" w:fill="FFFFFF"/>
            <w:noWrap/>
            <w:textDirection w:val="tbRlV"/>
            <w:vAlign w:val="center"/>
          </w:tcPr>
          <w:p w14:paraId="34B5F8CF">
            <w:pPr>
              <w:rPr>
                <w:rFonts w:ascii="Times New Roman" w:hAnsi="Times New Roman"/>
                <w:color w:val="auto"/>
                <w:szCs w:val="21"/>
                <w:highlight w:val="none"/>
              </w:rPr>
            </w:pPr>
          </w:p>
        </w:tc>
        <w:tc>
          <w:tcPr>
            <w:tcW w:w="1371" w:type="dxa"/>
            <w:vMerge w:val="continue"/>
            <w:tcBorders>
              <w:top w:val="single" w:color="000000" w:sz="8" w:space="0"/>
              <w:left w:val="single" w:color="000000" w:sz="8" w:space="0"/>
              <w:bottom w:val="single" w:color="000000" w:sz="8" w:space="0"/>
              <w:right w:val="single" w:color="000000" w:sz="8" w:space="0"/>
            </w:tcBorders>
            <w:shd w:val="clear" w:color="auto" w:fill="FFFFFF"/>
            <w:noWrap/>
            <w:textDirection w:val="tbRlV"/>
            <w:vAlign w:val="bottom"/>
          </w:tcPr>
          <w:p w14:paraId="6188540A">
            <w:pPr>
              <w:rPr>
                <w:rFonts w:ascii="Times New Roman" w:hAnsi="Times New Roman"/>
                <w:color w:val="auto"/>
                <w:szCs w:val="21"/>
                <w:highlight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62DEF889">
            <w:pPr>
              <w:rPr>
                <w:rFonts w:ascii="Times New Roman" w:hAnsi="Times New Roman"/>
                <w:color w:val="auto"/>
                <w:szCs w:val="21"/>
                <w:highlight w:val="none"/>
              </w:rPr>
            </w:pPr>
          </w:p>
        </w:tc>
        <w:tc>
          <w:tcPr>
            <w:tcW w:w="323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122FDD7D">
            <w:pPr>
              <w:rPr>
                <w:rFonts w:ascii="Times New Roman" w:hAnsi="Times New Roman"/>
                <w:color w:val="auto"/>
                <w:szCs w:val="21"/>
                <w:highlight w:val="none"/>
              </w:rPr>
            </w:pPr>
            <w:r>
              <w:rPr>
                <w:rFonts w:ascii="Times New Roman" w:hAnsi="Times New Roman"/>
                <w:color w:val="auto"/>
                <w:szCs w:val="21"/>
                <w:highlight w:val="none"/>
              </w:rPr>
              <w:t>指标2：2型糖尿病患者规范管理率</w:t>
            </w:r>
          </w:p>
        </w:tc>
        <w:tc>
          <w:tcPr>
            <w:tcW w:w="2162"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66334340">
            <w:pPr>
              <w:jc w:val="center"/>
              <w:rPr>
                <w:rFonts w:ascii="Times New Roman" w:hAnsi="Times New Roman"/>
                <w:color w:val="auto"/>
                <w:szCs w:val="21"/>
                <w:highlight w:val="none"/>
              </w:rPr>
            </w:pPr>
            <w:r>
              <w:rPr>
                <w:rFonts w:ascii="Times New Roman" w:hAnsi="Times New Roman"/>
                <w:color w:val="auto"/>
                <w:szCs w:val="21"/>
                <w:highlight w:val="none"/>
              </w:rPr>
              <w:t>≥60%</w:t>
            </w:r>
          </w:p>
        </w:tc>
        <w:tc>
          <w:tcPr>
            <w:tcW w:w="1543"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7AFD29A2">
            <w:pPr>
              <w:jc w:val="center"/>
              <w:rPr>
                <w:rFonts w:ascii="Times New Roman" w:hAnsi="Times New Roman"/>
                <w:color w:val="auto"/>
                <w:szCs w:val="21"/>
                <w:highlight w:val="none"/>
              </w:rPr>
            </w:pPr>
            <w:r>
              <w:rPr>
                <w:rFonts w:hint="eastAsia" w:ascii="Times New Roman" w:hAnsi="Times New Roman"/>
                <w:color w:val="auto"/>
                <w:szCs w:val="21"/>
                <w:highlight w:val="none"/>
              </w:rPr>
              <w:t>78.17%</w:t>
            </w:r>
          </w:p>
        </w:tc>
      </w:tr>
      <w:tr w14:paraId="3FC18693">
        <w:tblPrEx>
          <w:tblCellMar>
            <w:top w:w="0" w:type="dxa"/>
            <w:left w:w="10" w:type="dxa"/>
            <w:bottom w:w="0" w:type="dxa"/>
            <w:right w:w="10" w:type="dxa"/>
          </w:tblCellMar>
        </w:tblPrEx>
        <w:trPr>
          <w:trHeight w:val="522" w:hRule="exact"/>
        </w:trPr>
        <w:tc>
          <w:tcPr>
            <w:tcW w:w="900" w:type="dxa"/>
            <w:vMerge w:val="continue"/>
            <w:tcBorders>
              <w:top w:val="single" w:color="000000" w:sz="8" w:space="0"/>
              <w:left w:val="single" w:color="000000" w:sz="8" w:space="0"/>
              <w:bottom w:val="single" w:color="000000" w:sz="8" w:space="0"/>
              <w:right w:val="single" w:color="000000" w:sz="8" w:space="0"/>
            </w:tcBorders>
            <w:shd w:val="clear" w:color="auto" w:fill="FFFFFF"/>
            <w:noWrap/>
            <w:textDirection w:val="tbRlV"/>
            <w:vAlign w:val="center"/>
          </w:tcPr>
          <w:p w14:paraId="3D035493">
            <w:pPr>
              <w:rPr>
                <w:rFonts w:ascii="Times New Roman" w:hAnsi="Times New Roman"/>
                <w:color w:val="auto"/>
                <w:szCs w:val="21"/>
                <w:highlight w:val="none"/>
              </w:rPr>
            </w:pPr>
          </w:p>
        </w:tc>
        <w:tc>
          <w:tcPr>
            <w:tcW w:w="1371" w:type="dxa"/>
            <w:vMerge w:val="continue"/>
            <w:tcBorders>
              <w:top w:val="single" w:color="000000" w:sz="8" w:space="0"/>
              <w:left w:val="single" w:color="000000" w:sz="8" w:space="0"/>
              <w:bottom w:val="single" w:color="000000" w:sz="8" w:space="0"/>
              <w:right w:val="single" w:color="000000" w:sz="8" w:space="0"/>
            </w:tcBorders>
            <w:shd w:val="clear" w:color="auto" w:fill="FFFFFF"/>
            <w:noWrap/>
            <w:textDirection w:val="tbRlV"/>
            <w:vAlign w:val="bottom"/>
          </w:tcPr>
          <w:p w14:paraId="0A4775BA">
            <w:pPr>
              <w:rPr>
                <w:rFonts w:ascii="Times New Roman" w:hAnsi="Times New Roman"/>
                <w:color w:val="auto"/>
                <w:szCs w:val="21"/>
                <w:highlight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758E9315">
            <w:pPr>
              <w:rPr>
                <w:rFonts w:ascii="Times New Roman" w:hAnsi="Times New Roman"/>
                <w:color w:val="auto"/>
                <w:szCs w:val="21"/>
                <w:highlight w:val="none"/>
              </w:rPr>
            </w:pPr>
          </w:p>
        </w:tc>
        <w:tc>
          <w:tcPr>
            <w:tcW w:w="323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0414F136">
            <w:pPr>
              <w:rPr>
                <w:rFonts w:ascii="Times New Roman" w:hAnsi="Times New Roman"/>
                <w:color w:val="auto"/>
                <w:szCs w:val="21"/>
                <w:highlight w:val="none"/>
              </w:rPr>
            </w:pPr>
            <w:r>
              <w:rPr>
                <w:rFonts w:ascii="Times New Roman" w:hAnsi="Times New Roman"/>
                <w:color w:val="auto"/>
                <w:szCs w:val="21"/>
                <w:highlight w:val="none"/>
              </w:rPr>
              <w:t>指标3：严重精神障碍患者健康管理率</w:t>
            </w:r>
          </w:p>
        </w:tc>
        <w:tc>
          <w:tcPr>
            <w:tcW w:w="2162"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772F263F">
            <w:pPr>
              <w:jc w:val="center"/>
              <w:rPr>
                <w:rFonts w:ascii="Times New Roman" w:hAnsi="Times New Roman"/>
                <w:color w:val="auto"/>
                <w:szCs w:val="21"/>
                <w:highlight w:val="none"/>
              </w:rPr>
            </w:pPr>
            <w:r>
              <w:rPr>
                <w:rFonts w:ascii="Times New Roman" w:hAnsi="Times New Roman"/>
                <w:color w:val="auto"/>
                <w:szCs w:val="21"/>
                <w:highlight w:val="none"/>
              </w:rPr>
              <w:t>≥80%</w:t>
            </w:r>
          </w:p>
        </w:tc>
        <w:tc>
          <w:tcPr>
            <w:tcW w:w="1543"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24DC30A7">
            <w:pPr>
              <w:jc w:val="center"/>
              <w:rPr>
                <w:rFonts w:ascii="Times New Roman" w:hAnsi="Times New Roman"/>
                <w:color w:val="auto"/>
                <w:szCs w:val="21"/>
                <w:highlight w:val="none"/>
              </w:rPr>
            </w:pPr>
            <w:r>
              <w:rPr>
                <w:rFonts w:hint="eastAsia" w:ascii="Times New Roman" w:hAnsi="Times New Roman"/>
                <w:color w:val="auto"/>
                <w:szCs w:val="21"/>
                <w:highlight w:val="none"/>
              </w:rPr>
              <w:t>96.52%</w:t>
            </w:r>
          </w:p>
        </w:tc>
      </w:tr>
      <w:tr w14:paraId="5FCBA78F">
        <w:tblPrEx>
          <w:tblCellMar>
            <w:top w:w="0" w:type="dxa"/>
            <w:left w:w="10" w:type="dxa"/>
            <w:bottom w:w="0" w:type="dxa"/>
            <w:right w:w="10" w:type="dxa"/>
          </w:tblCellMar>
        </w:tblPrEx>
        <w:trPr>
          <w:trHeight w:val="522" w:hRule="exact"/>
        </w:trPr>
        <w:tc>
          <w:tcPr>
            <w:tcW w:w="900" w:type="dxa"/>
            <w:vMerge w:val="continue"/>
            <w:tcBorders>
              <w:top w:val="single" w:color="000000" w:sz="8" w:space="0"/>
              <w:left w:val="single" w:color="000000" w:sz="8" w:space="0"/>
              <w:bottom w:val="single" w:color="000000" w:sz="8" w:space="0"/>
              <w:right w:val="single" w:color="000000" w:sz="8" w:space="0"/>
            </w:tcBorders>
            <w:shd w:val="clear" w:color="auto" w:fill="FFFFFF"/>
            <w:noWrap/>
            <w:textDirection w:val="tbRlV"/>
            <w:vAlign w:val="center"/>
          </w:tcPr>
          <w:p w14:paraId="17CCD8D2">
            <w:pPr>
              <w:rPr>
                <w:rFonts w:ascii="Times New Roman" w:hAnsi="Times New Roman"/>
                <w:color w:val="auto"/>
                <w:szCs w:val="21"/>
                <w:highlight w:val="none"/>
              </w:rPr>
            </w:pPr>
          </w:p>
        </w:tc>
        <w:tc>
          <w:tcPr>
            <w:tcW w:w="1371" w:type="dxa"/>
            <w:vMerge w:val="continue"/>
            <w:tcBorders>
              <w:top w:val="single" w:color="000000" w:sz="8" w:space="0"/>
              <w:left w:val="single" w:color="000000" w:sz="8" w:space="0"/>
              <w:bottom w:val="single" w:color="000000" w:sz="8" w:space="0"/>
              <w:right w:val="single" w:color="000000" w:sz="8" w:space="0"/>
            </w:tcBorders>
            <w:shd w:val="clear" w:color="auto" w:fill="FFFFFF"/>
            <w:noWrap/>
            <w:textDirection w:val="tbRlV"/>
            <w:vAlign w:val="bottom"/>
          </w:tcPr>
          <w:p w14:paraId="2318C403">
            <w:pPr>
              <w:rPr>
                <w:rFonts w:ascii="Times New Roman" w:hAnsi="Times New Roman"/>
                <w:color w:val="auto"/>
                <w:szCs w:val="21"/>
                <w:highlight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3167F71A">
            <w:pPr>
              <w:pStyle w:val="10"/>
              <w:tabs>
                <w:tab w:val="left" w:leader="dot" w:pos="360"/>
              </w:tabs>
              <w:spacing w:line="240" w:lineRule="auto"/>
              <w:ind w:firstLine="0"/>
              <w:jc w:val="center"/>
              <w:rPr>
                <w:rFonts w:ascii="Times New Roman" w:hAnsi="Times New Roman" w:cs="Times New Roman"/>
                <w:color w:val="auto"/>
                <w:sz w:val="21"/>
                <w:szCs w:val="21"/>
                <w:highlight w:val="none"/>
                <w:lang w:val="en-US" w:eastAsia="zh-CN" w:bidi="en-US"/>
              </w:rPr>
            </w:pPr>
          </w:p>
        </w:tc>
        <w:tc>
          <w:tcPr>
            <w:tcW w:w="323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38FF56BC">
            <w:pPr>
              <w:rPr>
                <w:rFonts w:ascii="Times New Roman" w:hAnsi="Times New Roman"/>
                <w:color w:val="auto"/>
                <w:szCs w:val="21"/>
                <w:highlight w:val="none"/>
              </w:rPr>
            </w:pPr>
            <w:r>
              <w:rPr>
                <w:rFonts w:ascii="Times New Roman" w:hAnsi="Times New Roman"/>
                <w:color w:val="auto"/>
                <w:szCs w:val="21"/>
                <w:highlight w:val="none"/>
              </w:rPr>
              <w:t>指标4：肺结核患者管理率</w:t>
            </w:r>
          </w:p>
        </w:tc>
        <w:tc>
          <w:tcPr>
            <w:tcW w:w="2162"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215F4C58">
            <w:pPr>
              <w:jc w:val="center"/>
              <w:rPr>
                <w:rFonts w:ascii="Times New Roman" w:hAnsi="Times New Roman"/>
                <w:color w:val="auto"/>
                <w:szCs w:val="21"/>
                <w:highlight w:val="none"/>
              </w:rPr>
            </w:pPr>
            <w:r>
              <w:rPr>
                <w:rFonts w:ascii="Times New Roman" w:hAnsi="Times New Roman"/>
                <w:color w:val="auto"/>
                <w:szCs w:val="21"/>
                <w:highlight w:val="none"/>
              </w:rPr>
              <w:t>≥90%</w:t>
            </w:r>
          </w:p>
        </w:tc>
        <w:tc>
          <w:tcPr>
            <w:tcW w:w="1543"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48F6143A">
            <w:pPr>
              <w:jc w:val="center"/>
              <w:rPr>
                <w:rFonts w:ascii="Times New Roman" w:hAnsi="Times New Roman"/>
                <w:color w:val="auto"/>
                <w:szCs w:val="21"/>
                <w:highlight w:val="none"/>
              </w:rPr>
            </w:pPr>
            <w:r>
              <w:rPr>
                <w:rFonts w:hint="eastAsia" w:ascii="Times New Roman" w:hAnsi="Times New Roman"/>
                <w:color w:val="auto"/>
                <w:szCs w:val="21"/>
                <w:highlight w:val="none"/>
              </w:rPr>
              <w:t>100%</w:t>
            </w:r>
          </w:p>
        </w:tc>
      </w:tr>
      <w:tr w14:paraId="2BC12951">
        <w:tblPrEx>
          <w:tblCellMar>
            <w:top w:w="0" w:type="dxa"/>
            <w:left w:w="10" w:type="dxa"/>
            <w:bottom w:w="0" w:type="dxa"/>
            <w:right w:w="10" w:type="dxa"/>
          </w:tblCellMar>
        </w:tblPrEx>
        <w:trPr>
          <w:trHeight w:val="683" w:hRule="exact"/>
        </w:trPr>
        <w:tc>
          <w:tcPr>
            <w:tcW w:w="900" w:type="dxa"/>
            <w:vMerge w:val="continue"/>
            <w:tcBorders>
              <w:top w:val="single" w:color="000000" w:sz="8" w:space="0"/>
              <w:left w:val="single" w:color="000000" w:sz="8" w:space="0"/>
              <w:bottom w:val="single" w:color="000000" w:sz="8" w:space="0"/>
              <w:right w:val="single" w:color="000000" w:sz="8" w:space="0"/>
            </w:tcBorders>
            <w:shd w:val="clear" w:color="auto" w:fill="FFFFFF"/>
            <w:noWrap/>
            <w:textDirection w:val="tbRlV"/>
            <w:vAlign w:val="center"/>
          </w:tcPr>
          <w:p w14:paraId="6E2D928E">
            <w:pPr>
              <w:rPr>
                <w:rFonts w:ascii="Times New Roman" w:hAnsi="Times New Roman"/>
                <w:color w:val="auto"/>
                <w:szCs w:val="21"/>
                <w:highlight w:val="none"/>
              </w:rPr>
            </w:pPr>
          </w:p>
        </w:tc>
        <w:tc>
          <w:tcPr>
            <w:tcW w:w="1371" w:type="dxa"/>
            <w:vMerge w:val="continue"/>
            <w:tcBorders>
              <w:top w:val="single" w:color="000000" w:sz="8" w:space="0"/>
              <w:left w:val="single" w:color="000000" w:sz="8" w:space="0"/>
              <w:bottom w:val="single" w:color="000000" w:sz="8" w:space="0"/>
              <w:right w:val="single" w:color="000000" w:sz="8" w:space="0"/>
            </w:tcBorders>
            <w:shd w:val="clear" w:color="auto" w:fill="FFFFFF"/>
            <w:noWrap/>
            <w:textDirection w:val="tbRlV"/>
            <w:vAlign w:val="bottom"/>
          </w:tcPr>
          <w:p w14:paraId="22B350E8">
            <w:pPr>
              <w:rPr>
                <w:rFonts w:ascii="Times New Roman" w:hAnsi="Times New Roman"/>
                <w:color w:val="auto"/>
                <w:szCs w:val="21"/>
                <w:highlight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65700AB6">
            <w:pPr>
              <w:pStyle w:val="10"/>
              <w:tabs>
                <w:tab w:val="left" w:leader="dot" w:pos="360"/>
              </w:tabs>
              <w:spacing w:line="240" w:lineRule="auto"/>
              <w:ind w:firstLine="0"/>
              <w:jc w:val="center"/>
              <w:rPr>
                <w:rFonts w:ascii="Times New Roman" w:hAnsi="Times New Roman" w:cs="Times New Roman"/>
                <w:color w:val="auto"/>
                <w:sz w:val="21"/>
                <w:szCs w:val="21"/>
                <w:highlight w:val="none"/>
                <w:lang w:val="en-US" w:eastAsia="zh-CN" w:bidi="en-US"/>
              </w:rPr>
            </w:pPr>
          </w:p>
        </w:tc>
        <w:tc>
          <w:tcPr>
            <w:tcW w:w="323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65F8AB88">
            <w:pPr>
              <w:rPr>
                <w:rFonts w:ascii="Times New Roman" w:hAnsi="Times New Roman"/>
                <w:color w:val="auto"/>
                <w:szCs w:val="21"/>
                <w:highlight w:val="none"/>
              </w:rPr>
            </w:pPr>
            <w:r>
              <w:rPr>
                <w:rFonts w:ascii="Times New Roman" w:hAnsi="Times New Roman"/>
                <w:color w:val="auto"/>
                <w:szCs w:val="21"/>
                <w:highlight w:val="none"/>
              </w:rPr>
              <w:t>指标5：传染病和突发公共卫生事件报告率</w:t>
            </w:r>
          </w:p>
        </w:tc>
        <w:tc>
          <w:tcPr>
            <w:tcW w:w="2162"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17A3BCD7">
            <w:pPr>
              <w:jc w:val="center"/>
              <w:rPr>
                <w:rFonts w:ascii="Times New Roman" w:hAnsi="Times New Roman"/>
                <w:color w:val="auto"/>
                <w:szCs w:val="21"/>
                <w:highlight w:val="none"/>
              </w:rPr>
            </w:pPr>
            <w:r>
              <w:rPr>
                <w:rFonts w:ascii="Times New Roman" w:hAnsi="Times New Roman"/>
                <w:color w:val="auto"/>
                <w:szCs w:val="21"/>
                <w:highlight w:val="none"/>
              </w:rPr>
              <w:t>≥95%</w:t>
            </w:r>
          </w:p>
        </w:tc>
        <w:tc>
          <w:tcPr>
            <w:tcW w:w="1543"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20961B28">
            <w:pPr>
              <w:jc w:val="center"/>
              <w:rPr>
                <w:rFonts w:ascii="Times New Roman" w:hAnsi="Times New Roman"/>
                <w:color w:val="auto"/>
                <w:szCs w:val="21"/>
                <w:highlight w:val="none"/>
              </w:rPr>
            </w:pPr>
            <w:r>
              <w:rPr>
                <w:rFonts w:hint="eastAsia" w:ascii="Times New Roman" w:hAnsi="Times New Roman"/>
                <w:color w:val="auto"/>
                <w:szCs w:val="21"/>
                <w:highlight w:val="none"/>
              </w:rPr>
              <w:t>100%</w:t>
            </w:r>
          </w:p>
        </w:tc>
      </w:tr>
      <w:tr w14:paraId="4F12C231">
        <w:tblPrEx>
          <w:tblCellMar>
            <w:top w:w="0" w:type="dxa"/>
            <w:left w:w="10" w:type="dxa"/>
            <w:bottom w:w="0" w:type="dxa"/>
            <w:right w:w="10" w:type="dxa"/>
          </w:tblCellMar>
        </w:tblPrEx>
        <w:trPr>
          <w:trHeight w:val="689" w:hRule="exact"/>
        </w:trPr>
        <w:tc>
          <w:tcPr>
            <w:tcW w:w="900" w:type="dxa"/>
            <w:vMerge w:val="continue"/>
            <w:tcBorders>
              <w:top w:val="single" w:color="000000" w:sz="8" w:space="0"/>
              <w:left w:val="single" w:color="000000" w:sz="8" w:space="0"/>
              <w:bottom w:val="single" w:color="000000" w:sz="8" w:space="0"/>
              <w:right w:val="single" w:color="000000" w:sz="8" w:space="0"/>
            </w:tcBorders>
            <w:shd w:val="clear" w:color="auto" w:fill="FFFFFF"/>
            <w:noWrap/>
            <w:textDirection w:val="tbRlV"/>
            <w:vAlign w:val="center"/>
          </w:tcPr>
          <w:p w14:paraId="558E7526">
            <w:pPr>
              <w:rPr>
                <w:rFonts w:ascii="Times New Roman" w:hAnsi="Times New Roman"/>
                <w:color w:val="auto"/>
                <w:szCs w:val="21"/>
                <w:highlight w:val="none"/>
              </w:rPr>
            </w:pPr>
          </w:p>
        </w:tc>
        <w:tc>
          <w:tcPr>
            <w:tcW w:w="1371" w:type="dxa"/>
            <w:vMerge w:val="restar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666B7A17">
            <w:pPr>
              <w:pStyle w:val="10"/>
              <w:spacing w:line="245" w:lineRule="exact"/>
              <w:ind w:firstLine="0"/>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效益指标</w:t>
            </w:r>
          </w:p>
        </w:tc>
        <w:tc>
          <w:tcPr>
            <w:tcW w:w="108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5AC49C30">
            <w:pPr>
              <w:pStyle w:val="10"/>
              <w:spacing w:line="245" w:lineRule="exact"/>
              <w:ind w:firstLine="0"/>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社会效益指标</w:t>
            </w:r>
          </w:p>
        </w:tc>
        <w:tc>
          <w:tcPr>
            <w:tcW w:w="323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149EB225">
            <w:pPr>
              <w:pStyle w:val="10"/>
              <w:spacing w:line="245" w:lineRule="exact"/>
              <w:ind w:firstLine="0"/>
              <w:rPr>
                <w:rFonts w:ascii="Times New Roman" w:hAnsi="Times New Roman"/>
                <w:color w:val="auto"/>
                <w:sz w:val="21"/>
                <w:szCs w:val="21"/>
                <w:highlight w:val="none"/>
              </w:rPr>
            </w:pPr>
            <w:r>
              <w:rPr>
                <w:rFonts w:ascii="Times New Roman" w:hAnsi="Times New Roman" w:cs="Times New Roman"/>
                <w:color w:val="auto"/>
                <w:sz w:val="21"/>
                <w:szCs w:val="21"/>
                <w:highlight w:val="none"/>
              </w:rPr>
              <w:t>指标1：城乡居民公共卫生差距</w:t>
            </w:r>
          </w:p>
        </w:tc>
        <w:tc>
          <w:tcPr>
            <w:tcW w:w="2162"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33161EA7">
            <w:pPr>
              <w:jc w:val="center"/>
              <w:rPr>
                <w:rFonts w:ascii="Times New Roman" w:hAnsi="Times New Roman"/>
                <w:color w:val="auto"/>
                <w:szCs w:val="21"/>
                <w:highlight w:val="none"/>
              </w:rPr>
            </w:pPr>
            <w:r>
              <w:rPr>
                <w:rFonts w:ascii="Times New Roman" w:hAnsi="Times New Roman"/>
                <w:color w:val="auto"/>
                <w:szCs w:val="21"/>
                <w:highlight w:val="none"/>
              </w:rPr>
              <w:t>不断缩小</w:t>
            </w:r>
          </w:p>
        </w:tc>
        <w:tc>
          <w:tcPr>
            <w:tcW w:w="1543"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1E4271C9">
            <w:pPr>
              <w:jc w:val="center"/>
              <w:rPr>
                <w:rFonts w:ascii="Times New Roman" w:hAnsi="Times New Roman"/>
                <w:color w:val="auto"/>
                <w:szCs w:val="21"/>
                <w:highlight w:val="none"/>
              </w:rPr>
            </w:pPr>
            <w:r>
              <w:rPr>
                <w:rFonts w:ascii="Times New Roman" w:hAnsi="Times New Roman"/>
                <w:color w:val="auto"/>
                <w:szCs w:val="21"/>
                <w:highlight w:val="none"/>
              </w:rPr>
              <w:t>不断缩小</w:t>
            </w:r>
          </w:p>
        </w:tc>
      </w:tr>
      <w:tr w14:paraId="244B1126">
        <w:tblPrEx>
          <w:tblCellMar>
            <w:top w:w="0" w:type="dxa"/>
            <w:left w:w="10" w:type="dxa"/>
            <w:bottom w:w="0" w:type="dxa"/>
            <w:right w:w="10" w:type="dxa"/>
          </w:tblCellMar>
        </w:tblPrEx>
        <w:trPr>
          <w:trHeight w:val="655" w:hRule="exact"/>
        </w:trPr>
        <w:tc>
          <w:tcPr>
            <w:tcW w:w="900" w:type="dxa"/>
            <w:vMerge w:val="continue"/>
            <w:tcBorders>
              <w:top w:val="single" w:color="000000" w:sz="8" w:space="0"/>
              <w:left w:val="single" w:color="000000" w:sz="8" w:space="0"/>
              <w:bottom w:val="single" w:color="000000" w:sz="8" w:space="0"/>
              <w:right w:val="single" w:color="000000" w:sz="8" w:space="0"/>
            </w:tcBorders>
            <w:shd w:val="clear" w:color="auto" w:fill="FFFFFF"/>
            <w:noWrap/>
            <w:textDirection w:val="tbRlV"/>
            <w:vAlign w:val="center"/>
          </w:tcPr>
          <w:p w14:paraId="6A6A7543">
            <w:pPr>
              <w:rPr>
                <w:rFonts w:ascii="Times New Roman" w:hAnsi="Times New Roman"/>
                <w:color w:val="auto"/>
                <w:szCs w:val="21"/>
                <w:highlight w:val="none"/>
              </w:rPr>
            </w:pPr>
          </w:p>
        </w:tc>
        <w:tc>
          <w:tcPr>
            <w:tcW w:w="1371" w:type="dxa"/>
            <w:vMerge w:val="continue"/>
            <w:tcBorders>
              <w:top w:val="single" w:color="000000" w:sz="8" w:space="0"/>
              <w:left w:val="single" w:color="000000" w:sz="8" w:space="0"/>
              <w:bottom w:val="single" w:color="000000" w:sz="8" w:space="0"/>
              <w:right w:val="single" w:color="000000" w:sz="8" w:space="0"/>
            </w:tcBorders>
            <w:shd w:val="clear" w:color="auto" w:fill="FFFFFF"/>
            <w:noWrap/>
            <w:textDirection w:val="tbRlV"/>
            <w:vAlign w:val="center"/>
          </w:tcPr>
          <w:p w14:paraId="380B3BCE">
            <w:pPr>
              <w:jc w:val="center"/>
              <w:rPr>
                <w:rFonts w:ascii="Times New Roman" w:hAnsi="Times New Roman"/>
                <w:color w:val="auto"/>
                <w:szCs w:val="21"/>
                <w:highlight w:val="none"/>
              </w:rPr>
            </w:pPr>
          </w:p>
        </w:tc>
        <w:tc>
          <w:tcPr>
            <w:tcW w:w="108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616A4F0E">
            <w:pPr>
              <w:pStyle w:val="10"/>
              <w:spacing w:line="245" w:lineRule="exact"/>
              <w:ind w:firstLine="0"/>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可持续影响指标</w:t>
            </w:r>
          </w:p>
        </w:tc>
        <w:tc>
          <w:tcPr>
            <w:tcW w:w="323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4D4BBCB6">
            <w:pPr>
              <w:pStyle w:val="10"/>
              <w:spacing w:line="245" w:lineRule="exact"/>
              <w:ind w:firstLine="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指标1：基本公共卫生服务水平</w:t>
            </w:r>
          </w:p>
        </w:tc>
        <w:tc>
          <w:tcPr>
            <w:tcW w:w="2162"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70C9A208">
            <w:pPr>
              <w:jc w:val="center"/>
              <w:rPr>
                <w:rFonts w:ascii="Times New Roman" w:hAnsi="Times New Roman"/>
                <w:color w:val="auto"/>
                <w:szCs w:val="21"/>
                <w:highlight w:val="none"/>
              </w:rPr>
            </w:pPr>
            <w:r>
              <w:rPr>
                <w:rFonts w:ascii="Times New Roman" w:hAnsi="Times New Roman"/>
                <w:color w:val="auto"/>
                <w:szCs w:val="21"/>
                <w:highlight w:val="none"/>
              </w:rPr>
              <w:t>不断提高</w:t>
            </w:r>
          </w:p>
        </w:tc>
        <w:tc>
          <w:tcPr>
            <w:tcW w:w="1543"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6AF3CF53">
            <w:pPr>
              <w:jc w:val="center"/>
              <w:rPr>
                <w:rFonts w:ascii="Times New Roman" w:hAnsi="Times New Roman"/>
                <w:color w:val="auto"/>
                <w:szCs w:val="21"/>
                <w:highlight w:val="none"/>
              </w:rPr>
            </w:pPr>
            <w:r>
              <w:rPr>
                <w:rFonts w:ascii="Times New Roman" w:hAnsi="Times New Roman"/>
                <w:color w:val="auto"/>
                <w:szCs w:val="21"/>
                <w:highlight w:val="none"/>
              </w:rPr>
              <w:t>不断提高</w:t>
            </w:r>
          </w:p>
        </w:tc>
      </w:tr>
      <w:tr w14:paraId="5B1BD4E1">
        <w:tblPrEx>
          <w:tblCellMar>
            <w:top w:w="0" w:type="dxa"/>
            <w:left w:w="10" w:type="dxa"/>
            <w:bottom w:w="0" w:type="dxa"/>
            <w:right w:w="10" w:type="dxa"/>
          </w:tblCellMar>
        </w:tblPrEx>
        <w:trPr>
          <w:trHeight w:val="915" w:hRule="exact"/>
        </w:trPr>
        <w:tc>
          <w:tcPr>
            <w:tcW w:w="900" w:type="dxa"/>
            <w:vMerge w:val="continue"/>
            <w:tcBorders>
              <w:top w:val="single" w:color="000000" w:sz="8" w:space="0"/>
              <w:left w:val="single" w:color="000000" w:sz="8" w:space="0"/>
              <w:bottom w:val="single" w:color="000000" w:sz="8" w:space="0"/>
              <w:right w:val="single" w:color="000000" w:sz="8" w:space="0"/>
            </w:tcBorders>
            <w:shd w:val="clear" w:color="auto" w:fill="FFFFFF"/>
            <w:noWrap/>
            <w:textDirection w:val="tbRlV"/>
            <w:vAlign w:val="center"/>
          </w:tcPr>
          <w:p w14:paraId="29B7FB79">
            <w:pPr>
              <w:rPr>
                <w:rFonts w:ascii="Times New Roman" w:hAnsi="Times New Roman"/>
                <w:color w:val="auto"/>
                <w:szCs w:val="21"/>
                <w:highlight w:val="none"/>
              </w:rPr>
            </w:pPr>
          </w:p>
        </w:tc>
        <w:tc>
          <w:tcPr>
            <w:tcW w:w="1371"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4B026A0E">
            <w:pPr>
              <w:pStyle w:val="10"/>
              <w:spacing w:line="248" w:lineRule="exact"/>
              <w:ind w:firstLine="0"/>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满意度指标</w:t>
            </w:r>
          </w:p>
        </w:tc>
        <w:tc>
          <w:tcPr>
            <w:tcW w:w="108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0F41ADC1">
            <w:pPr>
              <w:pStyle w:val="10"/>
              <w:spacing w:line="245" w:lineRule="exact"/>
              <w:ind w:firstLine="0"/>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服务对象满意度指标</w:t>
            </w:r>
          </w:p>
        </w:tc>
        <w:tc>
          <w:tcPr>
            <w:tcW w:w="323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38AB17E3">
            <w:pPr>
              <w:pStyle w:val="10"/>
              <w:spacing w:line="245" w:lineRule="exact"/>
              <w:ind w:firstLine="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指标</w:t>
            </w:r>
            <w:r>
              <w:rPr>
                <w:rFonts w:hint="eastAsia" w:ascii="Times New Roman" w:hAnsi="Times New Roman" w:cs="Times New Roman"/>
                <w:color w:val="auto"/>
                <w:sz w:val="21"/>
                <w:szCs w:val="21"/>
                <w:highlight w:val="none"/>
                <w:lang w:val="en-US" w:eastAsia="zh-CN"/>
              </w:rPr>
              <w:t>1</w:t>
            </w:r>
            <w:r>
              <w:rPr>
                <w:rFonts w:ascii="Times New Roman" w:hAnsi="Times New Roman" w:cs="Times New Roman"/>
                <w:color w:val="auto"/>
                <w:sz w:val="21"/>
                <w:szCs w:val="21"/>
                <w:highlight w:val="none"/>
              </w:rPr>
              <w:t>：服务对象满意度</w:t>
            </w:r>
          </w:p>
        </w:tc>
        <w:tc>
          <w:tcPr>
            <w:tcW w:w="2162"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6F1B3FEC">
            <w:pPr>
              <w:jc w:val="center"/>
              <w:rPr>
                <w:rFonts w:ascii="Times New Roman" w:hAnsi="Times New Roman"/>
                <w:color w:val="auto"/>
                <w:szCs w:val="21"/>
                <w:highlight w:val="none"/>
              </w:rPr>
            </w:pPr>
            <w:r>
              <w:rPr>
                <w:rFonts w:ascii="Times New Roman" w:hAnsi="Times New Roman"/>
                <w:color w:val="auto"/>
                <w:szCs w:val="21"/>
                <w:highlight w:val="none"/>
              </w:rPr>
              <w:t>80%</w:t>
            </w:r>
          </w:p>
        </w:tc>
        <w:tc>
          <w:tcPr>
            <w:tcW w:w="1543"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5AA6A1DF">
            <w:pPr>
              <w:jc w:val="center"/>
              <w:rPr>
                <w:rFonts w:ascii="Times New Roman" w:hAnsi="Times New Roman"/>
                <w:color w:val="auto"/>
                <w:szCs w:val="21"/>
                <w:highlight w:val="none"/>
              </w:rPr>
            </w:pPr>
            <w:r>
              <w:rPr>
                <w:rFonts w:hint="eastAsia" w:ascii="Times New Roman" w:hAnsi="Times New Roman"/>
                <w:color w:val="auto"/>
                <w:szCs w:val="21"/>
                <w:highlight w:val="none"/>
              </w:rPr>
              <w:t>90%</w:t>
            </w:r>
          </w:p>
        </w:tc>
      </w:tr>
    </w:tbl>
    <w:p w14:paraId="1DEFD2E6">
      <w:pPr>
        <w:pStyle w:val="9"/>
        <w:rPr>
          <w:rFonts w:ascii="Times New Roman" w:hAnsi="Times New Roman" w:cs="Times New Roman"/>
          <w:color w:val="auto"/>
          <w:sz w:val="19"/>
          <w:szCs w:val="19"/>
          <w:highlight w:val="none"/>
          <w:lang w:eastAsia="zh-CN"/>
        </w:rPr>
      </w:pPr>
    </w:p>
    <w:p w14:paraId="3709AEAB">
      <w:pPr>
        <w:numPr>
          <w:ilvl w:val="0"/>
          <w:numId w:val="2"/>
        </w:numPr>
        <w:adjustRightInd w:val="0"/>
        <w:snapToGrid w:val="0"/>
        <w:spacing w:line="600" w:lineRule="exact"/>
        <w:ind w:firstLine="643" w:firstLineChars="200"/>
        <w:rPr>
          <w:rFonts w:hint="eastAsia" w:ascii="仿宋_GB2312" w:hAnsi="楷体" w:eastAsia="仿宋_GB2312"/>
          <w:b/>
          <w:color w:val="auto"/>
          <w:sz w:val="32"/>
          <w:szCs w:val="32"/>
          <w:highlight w:val="none"/>
          <w:lang w:eastAsia="zh-CN"/>
        </w:rPr>
      </w:pPr>
      <w:r>
        <w:rPr>
          <w:rFonts w:hint="eastAsia" w:ascii="仿宋_GB2312" w:hAnsi="楷体" w:eastAsia="仿宋_GB2312"/>
          <w:b/>
          <w:color w:val="auto"/>
          <w:sz w:val="32"/>
          <w:szCs w:val="32"/>
          <w:highlight w:val="none"/>
        </w:rPr>
        <w:t>“预防性体检、委托性卫生防疫服务费</w:t>
      </w:r>
      <w:r>
        <w:rPr>
          <w:rFonts w:hint="eastAsia" w:ascii="仿宋_GB2312" w:hAnsi="楷体" w:eastAsia="仿宋_GB2312"/>
          <w:b/>
          <w:color w:val="auto"/>
          <w:sz w:val="32"/>
          <w:szCs w:val="32"/>
          <w:highlight w:val="none"/>
          <w:lang w:eastAsia="zh-CN"/>
        </w:rPr>
        <w:t>”</w:t>
      </w:r>
    </w:p>
    <w:p w14:paraId="67847914">
      <w:pPr>
        <w:numPr>
          <w:ilvl w:val="0"/>
          <w:numId w:val="0"/>
        </w:numPr>
        <w:adjustRightInd w:val="0"/>
        <w:snapToGrid w:val="0"/>
        <w:spacing w:line="600" w:lineRule="exact"/>
        <w:ind w:left="0" w:leftChars="0"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1</w:t>
      </w:r>
      <w:r>
        <w:rPr>
          <w:rFonts w:ascii="仿宋" w:hAnsi="仿宋" w:eastAsia="仿宋"/>
          <w:color w:val="auto"/>
          <w:sz w:val="32"/>
          <w:szCs w:val="32"/>
          <w:highlight w:val="none"/>
        </w:rPr>
        <w:t>）项目概述：依据《财政部 国家发展改革委关于清理规范一批行政事业性收费有关政策的通知》（财税[2017]20号文件），预防性体检费已取消。单位依法履行管理职能所需相关经费，由同级财政预算予以保障，不得影响依法履行职责。为了广大市民的食品等公共卫生安全，在公共场所从业的人员必须进行预防性体检。根据20</w:t>
      </w:r>
      <w:r>
        <w:rPr>
          <w:rFonts w:hint="eastAsia" w:ascii="仿宋" w:hAnsi="仿宋" w:eastAsia="仿宋"/>
          <w:color w:val="auto"/>
          <w:sz w:val="32"/>
          <w:szCs w:val="32"/>
          <w:highlight w:val="none"/>
          <w:lang w:val="en-US" w:eastAsia="zh-CN"/>
        </w:rPr>
        <w:t>22</w:t>
      </w:r>
      <w:r>
        <w:rPr>
          <w:rFonts w:ascii="仿宋" w:hAnsi="仿宋" w:eastAsia="仿宋"/>
          <w:color w:val="auto"/>
          <w:sz w:val="32"/>
          <w:szCs w:val="32"/>
          <w:highlight w:val="none"/>
        </w:rPr>
        <w:t>年接待的体检人员约</w:t>
      </w:r>
      <w:r>
        <w:rPr>
          <w:rFonts w:hint="eastAsia" w:ascii="仿宋" w:hAnsi="仿宋" w:eastAsia="仿宋"/>
          <w:color w:val="auto"/>
          <w:sz w:val="32"/>
          <w:szCs w:val="32"/>
          <w:highlight w:val="none"/>
          <w:lang w:val="en-US" w:eastAsia="zh-CN"/>
        </w:rPr>
        <w:t>2.2</w:t>
      </w:r>
      <w:r>
        <w:rPr>
          <w:rFonts w:ascii="仿宋" w:hAnsi="仿宋" w:eastAsia="仿宋"/>
          <w:color w:val="auto"/>
          <w:sz w:val="32"/>
          <w:szCs w:val="32"/>
          <w:highlight w:val="none"/>
        </w:rPr>
        <w:t>万人次，需预算</w:t>
      </w:r>
      <w:r>
        <w:rPr>
          <w:rFonts w:hint="eastAsia" w:ascii="仿宋" w:hAnsi="仿宋" w:eastAsia="仿宋"/>
          <w:color w:val="auto"/>
          <w:sz w:val="32"/>
          <w:szCs w:val="32"/>
          <w:highlight w:val="none"/>
          <w:lang w:val="en-US" w:eastAsia="zh-CN"/>
        </w:rPr>
        <w:t>50</w:t>
      </w:r>
      <w:r>
        <w:rPr>
          <w:rFonts w:ascii="仿宋" w:hAnsi="仿宋" w:eastAsia="仿宋"/>
          <w:color w:val="auto"/>
          <w:sz w:val="32"/>
          <w:szCs w:val="32"/>
          <w:highlight w:val="none"/>
        </w:rPr>
        <w:t>万元。主要用于办公、耗材、劳务、印刷、检验设备以及打印健康证设备的购置和维修维护等支出。</w:t>
      </w:r>
      <w:r>
        <w:rPr>
          <w:rFonts w:ascii="仿宋" w:hAnsi="仿宋" w:eastAsia="仿宋"/>
          <w:color w:val="auto"/>
          <w:sz w:val="32"/>
          <w:szCs w:val="32"/>
          <w:highlight w:val="none"/>
        </w:rPr>
        <w:tab/>
      </w:r>
      <w:r>
        <w:rPr>
          <w:rFonts w:ascii="仿宋" w:hAnsi="仿宋" w:eastAsia="仿宋"/>
          <w:color w:val="auto"/>
          <w:sz w:val="32"/>
          <w:szCs w:val="32"/>
          <w:highlight w:val="none"/>
        </w:rPr>
        <w:tab/>
      </w:r>
      <w:r>
        <w:rPr>
          <w:rFonts w:ascii="仿宋" w:hAnsi="仿宋" w:eastAsia="仿宋"/>
          <w:color w:val="auto"/>
          <w:sz w:val="32"/>
          <w:szCs w:val="32"/>
          <w:highlight w:val="none"/>
        </w:rPr>
        <w:tab/>
      </w:r>
      <w:r>
        <w:rPr>
          <w:rFonts w:ascii="仿宋" w:hAnsi="仿宋" w:eastAsia="仿宋"/>
          <w:color w:val="auto"/>
          <w:sz w:val="32"/>
          <w:szCs w:val="32"/>
          <w:highlight w:val="none"/>
        </w:rPr>
        <w:tab/>
      </w:r>
      <w:r>
        <w:rPr>
          <w:rFonts w:ascii="仿宋" w:hAnsi="仿宋" w:eastAsia="仿宋"/>
          <w:color w:val="auto"/>
          <w:sz w:val="32"/>
          <w:szCs w:val="32"/>
          <w:highlight w:val="none"/>
        </w:rPr>
        <w:tab/>
      </w:r>
      <w:r>
        <w:rPr>
          <w:rFonts w:ascii="仿宋" w:hAnsi="仿宋" w:eastAsia="仿宋"/>
          <w:color w:val="auto"/>
          <w:sz w:val="32"/>
          <w:szCs w:val="32"/>
          <w:highlight w:val="none"/>
        </w:rPr>
        <w:tab/>
      </w:r>
    </w:p>
    <w:p w14:paraId="15849483">
      <w:pPr>
        <w:adjustRightInd w:val="0"/>
        <w:snapToGrid w:val="0"/>
        <w:spacing w:line="60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（2）立项依据：《财政部 国家发展改革委关于清理规范一批行政事业性收费有关政策的通知》（财税[2017]20号文件）。</w:t>
      </w:r>
    </w:p>
    <w:p w14:paraId="31449DA7">
      <w:pPr>
        <w:adjustRightInd w:val="0"/>
        <w:snapToGrid w:val="0"/>
        <w:spacing w:line="60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（3）实施主体：</w:t>
      </w:r>
      <w:r>
        <w:rPr>
          <w:rFonts w:hint="eastAsia" w:ascii="仿宋" w:hAnsi="仿宋" w:eastAsia="仿宋"/>
          <w:color w:val="auto"/>
          <w:sz w:val="32"/>
          <w:szCs w:val="32"/>
          <w:highlight w:val="none"/>
          <w:lang w:eastAsia="zh-CN"/>
        </w:rPr>
        <w:t>濉溪县</w:t>
      </w:r>
      <w:r>
        <w:rPr>
          <w:rFonts w:ascii="仿宋" w:hAnsi="仿宋" w:eastAsia="仿宋"/>
          <w:color w:val="auto"/>
          <w:sz w:val="32"/>
          <w:szCs w:val="32"/>
          <w:highlight w:val="none"/>
        </w:rPr>
        <w:t>疾病预防控制中心　</w:t>
      </w:r>
    </w:p>
    <w:p w14:paraId="107A4C58">
      <w:pPr>
        <w:adjustRightInd w:val="0"/>
        <w:snapToGrid w:val="0"/>
        <w:spacing w:line="60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（4）起止时间：202</w:t>
      </w:r>
      <w:r>
        <w:rPr>
          <w:rFonts w:hint="eastAsia" w:ascii="仿宋" w:hAnsi="仿宋" w:eastAsia="仿宋"/>
          <w:color w:val="auto"/>
          <w:sz w:val="32"/>
          <w:szCs w:val="32"/>
          <w:highlight w:val="none"/>
          <w:lang w:val="en-US" w:eastAsia="zh-CN"/>
        </w:rPr>
        <w:t>3</w:t>
      </w:r>
      <w:r>
        <w:rPr>
          <w:rFonts w:ascii="仿宋" w:hAnsi="仿宋" w:eastAsia="仿宋"/>
          <w:color w:val="auto"/>
          <w:sz w:val="32"/>
          <w:szCs w:val="32"/>
          <w:highlight w:val="none"/>
        </w:rPr>
        <w:t>年1-12月</w:t>
      </w:r>
    </w:p>
    <w:p w14:paraId="1FC23F0E">
      <w:pPr>
        <w:adjustRightInd w:val="0"/>
        <w:snapToGrid w:val="0"/>
        <w:spacing w:line="60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（5）项目内容：为在公共场所从业的人员提供免费体检。</w:t>
      </w:r>
    </w:p>
    <w:p w14:paraId="6D824678">
      <w:pPr>
        <w:adjustRightInd w:val="0"/>
        <w:snapToGrid w:val="0"/>
        <w:spacing w:line="60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（6）年度预算安排：</w:t>
      </w:r>
      <w:r>
        <w:rPr>
          <w:rFonts w:hint="eastAsia" w:ascii="仿宋" w:hAnsi="仿宋" w:eastAsia="仿宋"/>
          <w:color w:val="auto"/>
          <w:sz w:val="32"/>
          <w:szCs w:val="32"/>
          <w:highlight w:val="none"/>
          <w:lang w:val="en-US" w:eastAsia="zh-CN"/>
        </w:rPr>
        <w:t>50</w:t>
      </w:r>
      <w:r>
        <w:rPr>
          <w:rFonts w:ascii="仿宋" w:hAnsi="仿宋" w:eastAsia="仿宋"/>
          <w:color w:val="auto"/>
          <w:sz w:val="32"/>
          <w:szCs w:val="32"/>
          <w:highlight w:val="none"/>
        </w:rPr>
        <w:t>万元</w:t>
      </w:r>
    </w:p>
    <w:p w14:paraId="1A7DF7A2">
      <w:pPr>
        <w:adjustRightInd w:val="0"/>
        <w:snapToGrid w:val="0"/>
        <w:spacing w:line="600" w:lineRule="exact"/>
        <w:ind w:firstLine="640" w:firstLineChars="200"/>
        <w:rPr>
          <w:rFonts w:ascii="仿宋" w:hAnsi="仿宋" w:eastAsia="仿宋"/>
          <w:b/>
          <w:bCs/>
          <w:color w:val="auto"/>
          <w:sz w:val="32"/>
          <w:szCs w:val="32"/>
          <w:highlight w:val="none"/>
        </w:rPr>
      </w:pPr>
      <w:r>
        <w:rPr>
          <w:rFonts w:ascii="仿宋" w:hAnsi="仿宋" w:eastAsia="仿宋"/>
          <w:color w:val="auto"/>
          <w:sz w:val="32"/>
          <w:szCs w:val="32"/>
          <w:highlight w:val="none"/>
        </w:rPr>
        <w:t>（7）绩效目标：为了广大市民的食品等公共卫生安全，在公共场所从业的人员必须进行预防性体检，根据2</w:t>
      </w:r>
      <w:r>
        <w:rPr>
          <w:rFonts w:hint="eastAsia" w:ascii="仿宋" w:hAnsi="仿宋" w:eastAsia="仿宋"/>
          <w:color w:val="auto"/>
          <w:sz w:val="32"/>
          <w:szCs w:val="32"/>
          <w:highlight w:val="none"/>
          <w:lang w:val="en-US" w:eastAsia="zh-CN"/>
        </w:rPr>
        <w:t>022</w:t>
      </w:r>
      <w:r>
        <w:rPr>
          <w:rFonts w:ascii="仿宋" w:hAnsi="仿宋" w:eastAsia="仿宋"/>
          <w:color w:val="auto"/>
          <w:sz w:val="32"/>
          <w:szCs w:val="32"/>
          <w:highlight w:val="none"/>
        </w:rPr>
        <w:t>年接待的体检人员约</w:t>
      </w:r>
      <w:r>
        <w:rPr>
          <w:rFonts w:hint="eastAsia" w:ascii="仿宋" w:hAnsi="仿宋" w:eastAsia="仿宋"/>
          <w:color w:val="auto"/>
          <w:sz w:val="32"/>
          <w:szCs w:val="32"/>
          <w:highlight w:val="none"/>
          <w:lang w:val="en-US" w:eastAsia="zh-CN"/>
        </w:rPr>
        <w:t>2.2</w:t>
      </w:r>
      <w:r>
        <w:rPr>
          <w:rFonts w:ascii="仿宋" w:hAnsi="仿宋" w:eastAsia="仿宋"/>
          <w:color w:val="auto"/>
          <w:sz w:val="32"/>
          <w:szCs w:val="32"/>
          <w:highlight w:val="none"/>
        </w:rPr>
        <w:t>万人次，，预计202</w:t>
      </w:r>
      <w:r>
        <w:rPr>
          <w:rFonts w:hint="eastAsia" w:ascii="仿宋" w:hAnsi="仿宋" w:eastAsia="仿宋"/>
          <w:color w:val="auto"/>
          <w:sz w:val="32"/>
          <w:szCs w:val="32"/>
          <w:highlight w:val="none"/>
          <w:lang w:val="en-US" w:eastAsia="zh-CN"/>
        </w:rPr>
        <w:t>3</w:t>
      </w:r>
      <w:r>
        <w:rPr>
          <w:rFonts w:ascii="仿宋" w:hAnsi="仿宋" w:eastAsia="仿宋"/>
          <w:color w:val="auto"/>
          <w:sz w:val="32"/>
          <w:szCs w:val="32"/>
          <w:highlight w:val="none"/>
        </w:rPr>
        <w:t>将年接待的体检人员约</w:t>
      </w:r>
      <w:r>
        <w:rPr>
          <w:rFonts w:hint="eastAsia" w:ascii="仿宋" w:hAnsi="仿宋" w:eastAsia="仿宋"/>
          <w:color w:val="auto"/>
          <w:sz w:val="32"/>
          <w:szCs w:val="32"/>
          <w:highlight w:val="none"/>
          <w:lang w:val="en-US" w:eastAsia="zh-CN"/>
        </w:rPr>
        <w:t>2.3</w:t>
      </w:r>
      <w:r>
        <w:rPr>
          <w:rFonts w:ascii="仿宋" w:hAnsi="仿宋" w:eastAsia="仿宋"/>
          <w:color w:val="auto"/>
          <w:sz w:val="32"/>
          <w:szCs w:val="32"/>
          <w:highlight w:val="none"/>
        </w:rPr>
        <w:t>万人次。</w:t>
      </w:r>
    </w:p>
    <w:tbl>
      <w:tblPr>
        <w:tblStyle w:val="3"/>
        <w:tblpPr w:leftFromText="180" w:rightFromText="180" w:vertAnchor="text" w:horzAnchor="page" w:tblpX="2065" w:tblpY="1214"/>
        <w:tblOverlap w:val="never"/>
        <w:tblW w:w="9020" w:type="dxa"/>
        <w:tblInd w:w="0" w:type="dxa"/>
        <w:tblLayout w:type="fixed"/>
        <w:tblCellMar>
          <w:top w:w="0" w:type="dxa"/>
          <w:left w:w="108" w:type="dxa"/>
          <w:bottom w:w="0" w:type="dxa"/>
          <w:right w:w="108" w:type="dxa"/>
        </w:tblCellMar>
      </w:tblPr>
      <w:tblGrid>
        <w:gridCol w:w="416"/>
        <w:gridCol w:w="733"/>
        <w:gridCol w:w="87"/>
        <w:gridCol w:w="764"/>
        <w:gridCol w:w="176"/>
        <w:gridCol w:w="674"/>
        <w:gridCol w:w="993"/>
        <w:gridCol w:w="333"/>
        <w:gridCol w:w="801"/>
        <w:gridCol w:w="992"/>
        <w:gridCol w:w="850"/>
        <w:gridCol w:w="937"/>
        <w:gridCol w:w="56"/>
        <w:gridCol w:w="1208"/>
      </w:tblGrid>
      <w:tr w14:paraId="17CB1A6B">
        <w:tblPrEx>
          <w:tblCellMar>
            <w:top w:w="0" w:type="dxa"/>
            <w:left w:w="108" w:type="dxa"/>
            <w:bottom w:w="0" w:type="dxa"/>
            <w:right w:w="108" w:type="dxa"/>
          </w:tblCellMar>
        </w:tblPrEx>
        <w:trPr>
          <w:trHeight w:val="849" w:hRule="atLeast"/>
        </w:trPr>
        <w:tc>
          <w:tcPr>
            <w:tcW w:w="9020" w:type="dxa"/>
            <w:gridSpan w:val="14"/>
            <w:tcBorders>
              <w:top w:val="nil"/>
              <w:left w:val="nil"/>
              <w:bottom w:val="nil"/>
              <w:right w:val="nil"/>
            </w:tcBorders>
            <w:noWrap w:val="0"/>
            <w:vAlign w:val="center"/>
          </w:tcPr>
          <w:p w14:paraId="56EF6785">
            <w:pPr>
              <w:adjustRightInd w:val="0"/>
              <w:snapToGrid w:val="0"/>
              <w:spacing w:line="600" w:lineRule="exact"/>
              <w:rPr>
                <w:rFonts w:ascii="仿宋" w:hAnsi="仿宋" w:eastAsia="仿宋"/>
                <w:b/>
                <w:bCs/>
                <w:color w:val="auto"/>
                <w:sz w:val="32"/>
                <w:szCs w:val="32"/>
                <w:highlight w:val="none"/>
              </w:rPr>
            </w:pPr>
          </w:p>
          <w:p w14:paraId="7F99521A">
            <w:pPr>
              <w:jc w:val="center"/>
              <w:rPr>
                <w:b/>
                <w:bCs/>
                <w:color w:val="auto"/>
                <w:sz w:val="32"/>
                <w:szCs w:val="32"/>
                <w:highlight w:val="none"/>
              </w:rPr>
            </w:pPr>
            <w:r>
              <w:rPr>
                <w:b/>
                <w:bCs/>
                <w:color w:val="auto"/>
                <w:sz w:val="32"/>
                <w:szCs w:val="32"/>
                <w:highlight w:val="none"/>
              </w:rPr>
              <w:t>项目支出绩效目标表</w:t>
            </w:r>
          </w:p>
        </w:tc>
      </w:tr>
      <w:tr w14:paraId="3FE10ADE">
        <w:tblPrEx>
          <w:tblCellMar>
            <w:top w:w="0" w:type="dxa"/>
            <w:left w:w="108" w:type="dxa"/>
            <w:bottom w:w="0" w:type="dxa"/>
            <w:right w:w="108" w:type="dxa"/>
          </w:tblCellMar>
        </w:tblPrEx>
        <w:trPr>
          <w:trHeight w:val="270" w:hRule="atLeast"/>
        </w:trPr>
        <w:tc>
          <w:tcPr>
            <w:tcW w:w="9020" w:type="dxa"/>
            <w:gridSpan w:val="14"/>
            <w:tcBorders>
              <w:top w:val="nil"/>
              <w:left w:val="nil"/>
              <w:bottom w:val="nil"/>
              <w:right w:val="nil"/>
            </w:tcBorders>
            <w:noWrap w:val="0"/>
            <w:vAlign w:val="center"/>
          </w:tcPr>
          <w:p w14:paraId="62497AFC">
            <w:pPr>
              <w:jc w:val="center"/>
              <w:rPr>
                <w:color w:val="auto"/>
                <w:sz w:val="20"/>
                <w:szCs w:val="20"/>
                <w:highlight w:val="none"/>
              </w:rPr>
            </w:pPr>
            <w:r>
              <w:rPr>
                <w:color w:val="auto"/>
                <w:sz w:val="20"/>
                <w:szCs w:val="20"/>
                <w:highlight w:val="none"/>
              </w:rPr>
              <w:t>（202</w:t>
            </w:r>
            <w:r>
              <w:rPr>
                <w:rFonts w:hint="eastAsia"/>
                <w:color w:val="auto"/>
                <w:sz w:val="20"/>
                <w:szCs w:val="20"/>
                <w:highlight w:val="none"/>
                <w:lang w:val="en-US" w:eastAsia="zh-CN"/>
              </w:rPr>
              <w:t>3</w:t>
            </w:r>
            <w:r>
              <w:rPr>
                <w:color w:val="auto"/>
                <w:sz w:val="20"/>
                <w:szCs w:val="20"/>
                <w:highlight w:val="none"/>
              </w:rPr>
              <w:t xml:space="preserve"> 年度）</w:t>
            </w:r>
          </w:p>
        </w:tc>
      </w:tr>
      <w:tr w14:paraId="432FDD8C">
        <w:tblPrEx>
          <w:tblCellMar>
            <w:top w:w="0" w:type="dxa"/>
            <w:left w:w="108" w:type="dxa"/>
            <w:bottom w:w="0" w:type="dxa"/>
            <w:right w:w="108" w:type="dxa"/>
          </w:tblCellMar>
        </w:tblPrEx>
        <w:trPr>
          <w:trHeight w:val="330" w:hRule="atLeast"/>
        </w:trPr>
        <w:tc>
          <w:tcPr>
            <w:tcW w:w="1236" w:type="dxa"/>
            <w:gridSpan w:val="3"/>
            <w:tcBorders>
              <w:top w:val="single" w:color="auto" w:sz="4" w:space="0"/>
              <w:left w:val="single" w:color="auto" w:sz="4" w:space="0"/>
              <w:bottom w:val="single" w:color="auto" w:sz="4" w:space="0"/>
              <w:right w:val="single" w:color="auto" w:sz="4" w:space="0"/>
            </w:tcBorders>
            <w:noWrap w:val="0"/>
            <w:vAlign w:val="center"/>
          </w:tcPr>
          <w:p w14:paraId="62DC0B33">
            <w:pPr>
              <w:jc w:val="center"/>
              <w:rPr>
                <w:color w:val="auto"/>
                <w:sz w:val="20"/>
                <w:szCs w:val="20"/>
                <w:highlight w:val="none"/>
              </w:rPr>
            </w:pPr>
            <w:r>
              <w:rPr>
                <w:color w:val="auto"/>
                <w:sz w:val="20"/>
                <w:szCs w:val="20"/>
                <w:highlight w:val="none"/>
              </w:rPr>
              <w:t>项目名称</w:t>
            </w:r>
          </w:p>
        </w:tc>
        <w:tc>
          <w:tcPr>
            <w:tcW w:w="7784" w:type="dxa"/>
            <w:gridSpan w:val="11"/>
            <w:tcBorders>
              <w:top w:val="single" w:color="auto" w:sz="4" w:space="0"/>
              <w:left w:val="nil"/>
              <w:bottom w:val="single" w:color="auto" w:sz="4" w:space="0"/>
              <w:right w:val="single" w:color="000000" w:sz="4" w:space="0"/>
            </w:tcBorders>
            <w:noWrap w:val="0"/>
            <w:vAlign w:val="center"/>
          </w:tcPr>
          <w:p w14:paraId="330C5246">
            <w:pPr>
              <w:ind w:firstLine="2400" w:firstLineChars="1200"/>
              <w:rPr>
                <w:color w:val="auto"/>
                <w:sz w:val="20"/>
                <w:szCs w:val="20"/>
                <w:highlight w:val="none"/>
              </w:rPr>
            </w:pPr>
            <w:r>
              <w:rPr>
                <w:color w:val="auto"/>
                <w:sz w:val="20"/>
                <w:szCs w:val="20"/>
                <w:highlight w:val="none"/>
              </w:rPr>
              <w:t>从业人员免费体检项目　</w:t>
            </w:r>
          </w:p>
        </w:tc>
      </w:tr>
      <w:tr w14:paraId="1D46B08C">
        <w:tblPrEx>
          <w:tblCellMar>
            <w:top w:w="0" w:type="dxa"/>
            <w:left w:w="108" w:type="dxa"/>
            <w:bottom w:w="0" w:type="dxa"/>
            <w:right w:w="108" w:type="dxa"/>
          </w:tblCellMar>
        </w:tblPrEx>
        <w:trPr>
          <w:trHeight w:val="330" w:hRule="atLeast"/>
        </w:trPr>
        <w:tc>
          <w:tcPr>
            <w:tcW w:w="1236" w:type="dxa"/>
            <w:gridSpan w:val="3"/>
            <w:tcBorders>
              <w:top w:val="single" w:color="auto" w:sz="4" w:space="0"/>
              <w:left w:val="single" w:color="auto" w:sz="4" w:space="0"/>
              <w:bottom w:val="single" w:color="auto" w:sz="4" w:space="0"/>
              <w:right w:val="single" w:color="auto" w:sz="4" w:space="0"/>
            </w:tcBorders>
            <w:noWrap w:val="0"/>
            <w:vAlign w:val="center"/>
          </w:tcPr>
          <w:p w14:paraId="7432111E">
            <w:pPr>
              <w:jc w:val="center"/>
              <w:rPr>
                <w:color w:val="auto"/>
                <w:sz w:val="20"/>
                <w:szCs w:val="20"/>
                <w:highlight w:val="none"/>
              </w:rPr>
            </w:pPr>
            <w:r>
              <w:rPr>
                <w:color w:val="auto"/>
                <w:sz w:val="20"/>
                <w:szCs w:val="20"/>
                <w:highlight w:val="none"/>
              </w:rPr>
              <w:t>实施单位</w:t>
            </w:r>
          </w:p>
        </w:tc>
        <w:tc>
          <w:tcPr>
            <w:tcW w:w="7784" w:type="dxa"/>
            <w:gridSpan w:val="11"/>
            <w:tcBorders>
              <w:top w:val="single" w:color="auto" w:sz="4" w:space="0"/>
              <w:left w:val="nil"/>
              <w:bottom w:val="single" w:color="auto" w:sz="4" w:space="0"/>
              <w:right w:val="single" w:color="auto" w:sz="4" w:space="0"/>
            </w:tcBorders>
            <w:noWrap w:val="0"/>
            <w:vAlign w:val="center"/>
          </w:tcPr>
          <w:p w14:paraId="00A9A05F">
            <w:pPr>
              <w:ind w:firstLine="2400" w:firstLineChars="1200"/>
              <w:rPr>
                <w:color w:val="auto"/>
                <w:sz w:val="20"/>
                <w:szCs w:val="20"/>
                <w:highlight w:val="none"/>
              </w:rPr>
            </w:pPr>
            <w:r>
              <w:rPr>
                <w:rFonts w:hint="eastAsia"/>
                <w:color w:val="auto"/>
                <w:sz w:val="20"/>
                <w:szCs w:val="20"/>
                <w:highlight w:val="none"/>
                <w:lang w:eastAsia="zh-CN"/>
              </w:rPr>
              <w:t>濉溪县</w:t>
            </w:r>
            <w:r>
              <w:rPr>
                <w:color w:val="auto"/>
                <w:sz w:val="20"/>
                <w:szCs w:val="20"/>
                <w:highlight w:val="none"/>
              </w:rPr>
              <w:t>疾病预防控制中心　</w:t>
            </w:r>
          </w:p>
        </w:tc>
      </w:tr>
      <w:tr w14:paraId="0C12D25A">
        <w:tblPrEx>
          <w:tblCellMar>
            <w:top w:w="0" w:type="dxa"/>
            <w:left w:w="108" w:type="dxa"/>
            <w:bottom w:w="0" w:type="dxa"/>
            <w:right w:w="108" w:type="dxa"/>
          </w:tblCellMar>
        </w:tblPrEx>
        <w:trPr>
          <w:trHeight w:val="330" w:hRule="atLeast"/>
        </w:trPr>
        <w:tc>
          <w:tcPr>
            <w:tcW w:w="1236" w:type="dxa"/>
            <w:gridSpan w:val="3"/>
            <w:tcBorders>
              <w:top w:val="single" w:color="auto" w:sz="4" w:space="0"/>
              <w:left w:val="single" w:color="auto" w:sz="4" w:space="0"/>
              <w:bottom w:val="single" w:color="auto" w:sz="4" w:space="0"/>
              <w:right w:val="single" w:color="auto" w:sz="4" w:space="0"/>
            </w:tcBorders>
            <w:noWrap w:val="0"/>
            <w:vAlign w:val="center"/>
          </w:tcPr>
          <w:p w14:paraId="5D488817">
            <w:pPr>
              <w:jc w:val="center"/>
              <w:rPr>
                <w:color w:val="auto"/>
                <w:sz w:val="20"/>
                <w:szCs w:val="20"/>
                <w:highlight w:val="none"/>
              </w:rPr>
            </w:pPr>
            <w:r>
              <w:rPr>
                <w:color w:val="auto"/>
                <w:sz w:val="20"/>
                <w:szCs w:val="20"/>
                <w:highlight w:val="none"/>
              </w:rPr>
              <w:t>项目属性</w:t>
            </w:r>
          </w:p>
        </w:tc>
        <w:tc>
          <w:tcPr>
            <w:tcW w:w="7784" w:type="dxa"/>
            <w:gridSpan w:val="11"/>
            <w:tcBorders>
              <w:top w:val="single" w:color="auto" w:sz="4" w:space="0"/>
              <w:left w:val="nil"/>
              <w:bottom w:val="single" w:color="auto" w:sz="4" w:space="0"/>
              <w:right w:val="single" w:color="auto" w:sz="4" w:space="0"/>
            </w:tcBorders>
            <w:noWrap w:val="0"/>
            <w:vAlign w:val="center"/>
          </w:tcPr>
          <w:p w14:paraId="5A75B837">
            <w:pPr>
              <w:ind w:firstLine="3000" w:firstLineChars="1500"/>
              <w:rPr>
                <w:color w:val="auto"/>
                <w:sz w:val="20"/>
                <w:szCs w:val="20"/>
                <w:highlight w:val="none"/>
              </w:rPr>
            </w:pPr>
            <w:r>
              <w:rPr>
                <w:color w:val="auto"/>
                <w:sz w:val="20"/>
                <w:szCs w:val="20"/>
                <w:highlight w:val="none"/>
              </w:rPr>
              <w:t>经常性项目　</w:t>
            </w:r>
          </w:p>
        </w:tc>
      </w:tr>
      <w:tr w14:paraId="65ED6F80">
        <w:tblPrEx>
          <w:tblCellMar>
            <w:top w:w="0" w:type="dxa"/>
            <w:left w:w="108" w:type="dxa"/>
            <w:bottom w:w="0" w:type="dxa"/>
            <w:right w:w="108" w:type="dxa"/>
          </w:tblCellMar>
        </w:tblPrEx>
        <w:trPr>
          <w:trHeight w:val="330" w:hRule="atLeast"/>
        </w:trPr>
        <w:tc>
          <w:tcPr>
            <w:tcW w:w="2176" w:type="dxa"/>
            <w:gridSpan w:val="5"/>
            <w:vMerge w:val="restart"/>
            <w:tcBorders>
              <w:top w:val="single" w:color="auto" w:sz="4" w:space="0"/>
              <w:left w:val="single" w:color="auto" w:sz="4" w:space="0"/>
              <w:bottom w:val="single" w:color="000000" w:sz="4" w:space="0"/>
              <w:right w:val="single" w:color="000000" w:sz="4" w:space="0"/>
            </w:tcBorders>
            <w:noWrap w:val="0"/>
            <w:vAlign w:val="center"/>
          </w:tcPr>
          <w:p w14:paraId="2545A548">
            <w:pPr>
              <w:jc w:val="center"/>
              <w:rPr>
                <w:color w:val="auto"/>
                <w:sz w:val="20"/>
                <w:szCs w:val="20"/>
                <w:highlight w:val="none"/>
              </w:rPr>
            </w:pPr>
            <w:r>
              <w:rPr>
                <w:color w:val="auto"/>
                <w:sz w:val="20"/>
                <w:szCs w:val="20"/>
                <w:highlight w:val="none"/>
              </w:rPr>
              <w:t>项目资金</w:t>
            </w:r>
            <w:r>
              <w:rPr>
                <w:color w:val="auto"/>
                <w:sz w:val="20"/>
                <w:szCs w:val="20"/>
                <w:highlight w:val="none"/>
              </w:rPr>
              <w:br w:type="textWrapping"/>
            </w:r>
            <w:r>
              <w:rPr>
                <w:color w:val="auto"/>
                <w:sz w:val="20"/>
                <w:szCs w:val="20"/>
                <w:highlight w:val="none"/>
              </w:rPr>
              <w:t>（万元）</w:t>
            </w:r>
          </w:p>
        </w:tc>
        <w:tc>
          <w:tcPr>
            <w:tcW w:w="2000" w:type="dxa"/>
            <w:gridSpan w:val="3"/>
            <w:tcBorders>
              <w:top w:val="nil"/>
              <w:left w:val="nil"/>
              <w:bottom w:val="single" w:color="auto" w:sz="4" w:space="0"/>
              <w:right w:val="single" w:color="auto" w:sz="4" w:space="0"/>
            </w:tcBorders>
            <w:noWrap w:val="0"/>
            <w:vAlign w:val="center"/>
          </w:tcPr>
          <w:p w14:paraId="5FE31392">
            <w:pPr>
              <w:rPr>
                <w:color w:val="auto"/>
                <w:sz w:val="20"/>
                <w:szCs w:val="20"/>
                <w:highlight w:val="none"/>
              </w:rPr>
            </w:pPr>
            <w:r>
              <w:rPr>
                <w:color w:val="auto"/>
                <w:sz w:val="20"/>
                <w:szCs w:val="20"/>
                <w:highlight w:val="none"/>
              </w:rPr>
              <w:t xml:space="preserve"> 中期资金总额：</w:t>
            </w:r>
          </w:p>
        </w:tc>
        <w:tc>
          <w:tcPr>
            <w:tcW w:w="801" w:type="dxa"/>
            <w:tcBorders>
              <w:top w:val="single" w:color="auto" w:sz="4" w:space="0"/>
              <w:left w:val="nil"/>
              <w:bottom w:val="single" w:color="auto" w:sz="4" w:space="0"/>
              <w:right w:val="single" w:color="auto" w:sz="4" w:space="0"/>
            </w:tcBorders>
            <w:noWrap w:val="0"/>
            <w:vAlign w:val="center"/>
          </w:tcPr>
          <w:p w14:paraId="47D11846">
            <w:pPr>
              <w:rPr>
                <w:rFonts w:hint="default" w:eastAsia="宋体"/>
                <w:color w:val="auto"/>
                <w:sz w:val="20"/>
                <w:szCs w:val="20"/>
                <w:highlight w:val="none"/>
                <w:lang w:val="en-US" w:eastAsia="zh-CN"/>
              </w:rPr>
            </w:pPr>
            <w:r>
              <w:rPr>
                <w:rFonts w:hint="eastAsia"/>
                <w:color w:val="auto"/>
                <w:sz w:val="20"/>
                <w:szCs w:val="20"/>
                <w:highlight w:val="none"/>
                <w:lang w:val="en-US" w:eastAsia="zh-CN"/>
              </w:rPr>
              <w:t>186.6</w:t>
            </w:r>
          </w:p>
        </w:tc>
        <w:tc>
          <w:tcPr>
            <w:tcW w:w="2779" w:type="dxa"/>
            <w:gridSpan w:val="3"/>
            <w:tcBorders>
              <w:top w:val="single" w:color="auto" w:sz="4" w:space="0"/>
              <w:left w:val="nil"/>
              <w:bottom w:val="single" w:color="auto" w:sz="4" w:space="0"/>
              <w:right w:val="single" w:color="auto" w:sz="4" w:space="0"/>
            </w:tcBorders>
            <w:noWrap w:val="0"/>
            <w:vAlign w:val="center"/>
          </w:tcPr>
          <w:p w14:paraId="148393D5">
            <w:pPr>
              <w:rPr>
                <w:color w:val="auto"/>
                <w:sz w:val="20"/>
                <w:szCs w:val="20"/>
                <w:highlight w:val="none"/>
              </w:rPr>
            </w:pPr>
            <w:r>
              <w:rPr>
                <w:color w:val="auto"/>
                <w:sz w:val="20"/>
                <w:szCs w:val="20"/>
                <w:highlight w:val="none"/>
              </w:rPr>
              <w:t xml:space="preserve"> 年度资金总额：</w:t>
            </w:r>
          </w:p>
        </w:tc>
        <w:tc>
          <w:tcPr>
            <w:tcW w:w="1264" w:type="dxa"/>
            <w:gridSpan w:val="2"/>
            <w:tcBorders>
              <w:top w:val="single" w:color="auto" w:sz="4" w:space="0"/>
              <w:left w:val="nil"/>
              <w:bottom w:val="single" w:color="auto" w:sz="4" w:space="0"/>
              <w:right w:val="single" w:color="000000" w:sz="4" w:space="0"/>
            </w:tcBorders>
            <w:noWrap w:val="0"/>
            <w:vAlign w:val="center"/>
          </w:tcPr>
          <w:p w14:paraId="0CEFF19F">
            <w:pPr>
              <w:jc w:val="center"/>
              <w:rPr>
                <w:rFonts w:hint="default" w:eastAsia="宋体"/>
                <w:color w:val="auto"/>
                <w:sz w:val="20"/>
                <w:szCs w:val="20"/>
                <w:highlight w:val="none"/>
                <w:lang w:val="en-US" w:eastAsia="zh-CN"/>
              </w:rPr>
            </w:pPr>
            <w:r>
              <w:rPr>
                <w:rFonts w:hint="eastAsia"/>
                <w:color w:val="auto"/>
                <w:sz w:val="20"/>
                <w:szCs w:val="20"/>
                <w:highlight w:val="none"/>
                <w:lang w:val="en-US" w:eastAsia="zh-CN"/>
              </w:rPr>
              <w:t>50</w:t>
            </w:r>
          </w:p>
        </w:tc>
      </w:tr>
      <w:tr w14:paraId="78BDE608">
        <w:tblPrEx>
          <w:tblCellMar>
            <w:top w:w="0" w:type="dxa"/>
            <w:left w:w="108" w:type="dxa"/>
            <w:bottom w:w="0" w:type="dxa"/>
            <w:right w:w="108" w:type="dxa"/>
          </w:tblCellMar>
        </w:tblPrEx>
        <w:trPr>
          <w:trHeight w:val="330" w:hRule="atLeast"/>
        </w:trPr>
        <w:tc>
          <w:tcPr>
            <w:tcW w:w="2176" w:type="dxa"/>
            <w:gridSpan w:val="5"/>
            <w:vMerge w:val="continue"/>
            <w:tcBorders>
              <w:top w:val="single" w:color="auto" w:sz="4" w:space="0"/>
              <w:left w:val="single" w:color="auto" w:sz="4" w:space="0"/>
              <w:bottom w:val="single" w:color="000000" w:sz="4" w:space="0"/>
              <w:right w:val="single" w:color="000000" w:sz="4" w:space="0"/>
            </w:tcBorders>
            <w:noWrap w:val="0"/>
            <w:vAlign w:val="center"/>
          </w:tcPr>
          <w:p w14:paraId="4BEFC534">
            <w:pPr>
              <w:rPr>
                <w:color w:val="auto"/>
                <w:sz w:val="20"/>
                <w:szCs w:val="20"/>
                <w:highlight w:val="none"/>
              </w:rPr>
            </w:pPr>
          </w:p>
        </w:tc>
        <w:tc>
          <w:tcPr>
            <w:tcW w:w="2000" w:type="dxa"/>
            <w:gridSpan w:val="3"/>
            <w:tcBorders>
              <w:top w:val="nil"/>
              <w:left w:val="nil"/>
              <w:bottom w:val="single" w:color="auto" w:sz="4" w:space="0"/>
              <w:right w:val="single" w:color="auto" w:sz="4" w:space="0"/>
            </w:tcBorders>
            <w:noWrap w:val="0"/>
            <w:vAlign w:val="center"/>
          </w:tcPr>
          <w:p w14:paraId="35E818FC">
            <w:pPr>
              <w:rPr>
                <w:color w:val="auto"/>
                <w:sz w:val="20"/>
                <w:szCs w:val="20"/>
                <w:highlight w:val="none"/>
              </w:rPr>
            </w:pPr>
            <w:r>
              <w:rPr>
                <w:color w:val="auto"/>
                <w:sz w:val="20"/>
                <w:szCs w:val="20"/>
                <w:highlight w:val="none"/>
              </w:rPr>
              <w:t xml:space="preserve">   其中：财政拨款</w:t>
            </w:r>
          </w:p>
        </w:tc>
        <w:tc>
          <w:tcPr>
            <w:tcW w:w="801" w:type="dxa"/>
            <w:tcBorders>
              <w:top w:val="single" w:color="auto" w:sz="4" w:space="0"/>
              <w:left w:val="nil"/>
              <w:bottom w:val="single" w:color="auto" w:sz="4" w:space="0"/>
              <w:right w:val="single" w:color="auto" w:sz="4" w:space="0"/>
            </w:tcBorders>
            <w:noWrap w:val="0"/>
            <w:vAlign w:val="center"/>
          </w:tcPr>
          <w:p w14:paraId="0F1B112C">
            <w:pPr>
              <w:jc w:val="center"/>
              <w:rPr>
                <w:color w:val="auto"/>
                <w:sz w:val="20"/>
                <w:szCs w:val="20"/>
                <w:highlight w:val="none"/>
              </w:rPr>
            </w:pPr>
            <w:r>
              <w:rPr>
                <w:rFonts w:hint="eastAsia"/>
                <w:color w:val="auto"/>
                <w:sz w:val="20"/>
                <w:szCs w:val="20"/>
                <w:highlight w:val="none"/>
                <w:lang w:val="en-US" w:eastAsia="zh-CN"/>
              </w:rPr>
              <w:t>186.6</w:t>
            </w:r>
            <w:r>
              <w:rPr>
                <w:color w:val="auto"/>
                <w:sz w:val="20"/>
                <w:szCs w:val="20"/>
                <w:highlight w:val="none"/>
              </w:rPr>
              <w:t>　</w:t>
            </w:r>
          </w:p>
        </w:tc>
        <w:tc>
          <w:tcPr>
            <w:tcW w:w="2779" w:type="dxa"/>
            <w:gridSpan w:val="3"/>
            <w:tcBorders>
              <w:top w:val="single" w:color="auto" w:sz="4" w:space="0"/>
              <w:left w:val="nil"/>
              <w:bottom w:val="single" w:color="auto" w:sz="4" w:space="0"/>
              <w:right w:val="single" w:color="auto" w:sz="4" w:space="0"/>
            </w:tcBorders>
            <w:noWrap w:val="0"/>
            <w:vAlign w:val="center"/>
          </w:tcPr>
          <w:p w14:paraId="447FDE8C">
            <w:pPr>
              <w:rPr>
                <w:color w:val="auto"/>
                <w:sz w:val="20"/>
                <w:szCs w:val="20"/>
                <w:highlight w:val="none"/>
              </w:rPr>
            </w:pPr>
            <w:r>
              <w:rPr>
                <w:color w:val="auto"/>
                <w:sz w:val="20"/>
                <w:szCs w:val="20"/>
                <w:highlight w:val="none"/>
              </w:rPr>
              <w:t xml:space="preserve">   其中：财政拨款</w:t>
            </w:r>
          </w:p>
        </w:tc>
        <w:tc>
          <w:tcPr>
            <w:tcW w:w="1264" w:type="dxa"/>
            <w:gridSpan w:val="2"/>
            <w:tcBorders>
              <w:top w:val="single" w:color="auto" w:sz="4" w:space="0"/>
              <w:left w:val="nil"/>
              <w:bottom w:val="single" w:color="auto" w:sz="4" w:space="0"/>
              <w:right w:val="single" w:color="000000" w:sz="4" w:space="0"/>
            </w:tcBorders>
            <w:noWrap w:val="0"/>
            <w:vAlign w:val="center"/>
          </w:tcPr>
          <w:p w14:paraId="2C5AAEDC">
            <w:pPr>
              <w:jc w:val="center"/>
              <w:rPr>
                <w:color w:val="auto"/>
                <w:sz w:val="20"/>
                <w:szCs w:val="20"/>
                <w:highlight w:val="none"/>
              </w:rPr>
            </w:pPr>
            <w:r>
              <w:rPr>
                <w:rFonts w:hint="eastAsia"/>
                <w:color w:val="auto"/>
                <w:sz w:val="20"/>
                <w:szCs w:val="20"/>
                <w:highlight w:val="none"/>
                <w:lang w:val="en-US" w:eastAsia="zh-CN"/>
              </w:rPr>
              <w:t>50</w:t>
            </w:r>
            <w:r>
              <w:rPr>
                <w:color w:val="auto"/>
                <w:sz w:val="20"/>
                <w:szCs w:val="20"/>
                <w:highlight w:val="none"/>
              </w:rPr>
              <w:t>　</w:t>
            </w:r>
          </w:p>
        </w:tc>
      </w:tr>
      <w:tr w14:paraId="4A5C346B">
        <w:tblPrEx>
          <w:tblCellMar>
            <w:top w:w="0" w:type="dxa"/>
            <w:left w:w="108" w:type="dxa"/>
            <w:bottom w:w="0" w:type="dxa"/>
            <w:right w:w="108" w:type="dxa"/>
          </w:tblCellMar>
        </w:tblPrEx>
        <w:trPr>
          <w:trHeight w:val="330" w:hRule="atLeast"/>
        </w:trPr>
        <w:tc>
          <w:tcPr>
            <w:tcW w:w="2176" w:type="dxa"/>
            <w:gridSpan w:val="5"/>
            <w:vMerge w:val="continue"/>
            <w:tcBorders>
              <w:top w:val="single" w:color="auto" w:sz="4" w:space="0"/>
              <w:left w:val="single" w:color="auto" w:sz="4" w:space="0"/>
              <w:bottom w:val="single" w:color="000000" w:sz="4" w:space="0"/>
              <w:right w:val="single" w:color="000000" w:sz="4" w:space="0"/>
            </w:tcBorders>
            <w:noWrap w:val="0"/>
            <w:vAlign w:val="center"/>
          </w:tcPr>
          <w:p w14:paraId="2DD13334">
            <w:pPr>
              <w:rPr>
                <w:color w:val="auto"/>
                <w:sz w:val="20"/>
                <w:szCs w:val="20"/>
                <w:highlight w:val="none"/>
              </w:rPr>
            </w:pPr>
          </w:p>
        </w:tc>
        <w:tc>
          <w:tcPr>
            <w:tcW w:w="2000" w:type="dxa"/>
            <w:gridSpan w:val="3"/>
            <w:tcBorders>
              <w:top w:val="nil"/>
              <w:left w:val="nil"/>
              <w:bottom w:val="single" w:color="auto" w:sz="4" w:space="0"/>
              <w:right w:val="single" w:color="auto" w:sz="4" w:space="0"/>
            </w:tcBorders>
            <w:noWrap w:val="0"/>
            <w:vAlign w:val="center"/>
          </w:tcPr>
          <w:p w14:paraId="2EFF3830">
            <w:pPr>
              <w:rPr>
                <w:color w:val="auto"/>
                <w:sz w:val="20"/>
                <w:szCs w:val="20"/>
                <w:highlight w:val="none"/>
              </w:rPr>
            </w:pPr>
            <w:r>
              <w:rPr>
                <w:color w:val="auto"/>
                <w:sz w:val="20"/>
                <w:szCs w:val="20"/>
                <w:highlight w:val="none"/>
              </w:rPr>
              <w:t xml:space="preserve">        其他资金</w:t>
            </w:r>
          </w:p>
        </w:tc>
        <w:tc>
          <w:tcPr>
            <w:tcW w:w="801" w:type="dxa"/>
            <w:tcBorders>
              <w:top w:val="single" w:color="auto" w:sz="4" w:space="0"/>
              <w:left w:val="nil"/>
              <w:bottom w:val="single" w:color="auto" w:sz="4" w:space="0"/>
              <w:right w:val="single" w:color="000000" w:sz="4" w:space="0"/>
            </w:tcBorders>
            <w:noWrap w:val="0"/>
            <w:vAlign w:val="center"/>
          </w:tcPr>
          <w:p w14:paraId="789D38EC">
            <w:pPr>
              <w:jc w:val="center"/>
              <w:rPr>
                <w:color w:val="auto"/>
                <w:sz w:val="20"/>
                <w:szCs w:val="20"/>
                <w:highlight w:val="none"/>
              </w:rPr>
            </w:pPr>
            <w:r>
              <w:rPr>
                <w:color w:val="auto"/>
                <w:sz w:val="20"/>
                <w:szCs w:val="20"/>
                <w:highlight w:val="none"/>
              </w:rPr>
              <w:t>　</w:t>
            </w:r>
          </w:p>
        </w:tc>
        <w:tc>
          <w:tcPr>
            <w:tcW w:w="2779" w:type="dxa"/>
            <w:gridSpan w:val="3"/>
            <w:tcBorders>
              <w:top w:val="single" w:color="auto" w:sz="4" w:space="0"/>
              <w:left w:val="nil"/>
              <w:bottom w:val="single" w:color="auto" w:sz="4" w:space="0"/>
              <w:right w:val="single" w:color="auto" w:sz="4" w:space="0"/>
            </w:tcBorders>
            <w:noWrap w:val="0"/>
            <w:vAlign w:val="center"/>
          </w:tcPr>
          <w:p w14:paraId="7999EB92">
            <w:pPr>
              <w:rPr>
                <w:color w:val="auto"/>
                <w:sz w:val="20"/>
                <w:szCs w:val="20"/>
                <w:highlight w:val="none"/>
              </w:rPr>
            </w:pPr>
            <w:r>
              <w:rPr>
                <w:color w:val="auto"/>
                <w:sz w:val="20"/>
                <w:szCs w:val="20"/>
                <w:highlight w:val="none"/>
              </w:rPr>
              <w:t xml:space="preserve">         其他资金</w:t>
            </w:r>
          </w:p>
        </w:tc>
        <w:tc>
          <w:tcPr>
            <w:tcW w:w="1264" w:type="dxa"/>
            <w:gridSpan w:val="2"/>
            <w:tcBorders>
              <w:top w:val="single" w:color="auto" w:sz="4" w:space="0"/>
              <w:left w:val="nil"/>
              <w:bottom w:val="single" w:color="auto" w:sz="4" w:space="0"/>
              <w:right w:val="single" w:color="000000" w:sz="4" w:space="0"/>
            </w:tcBorders>
            <w:noWrap w:val="0"/>
            <w:vAlign w:val="center"/>
          </w:tcPr>
          <w:p w14:paraId="394017E6">
            <w:pPr>
              <w:jc w:val="center"/>
              <w:rPr>
                <w:color w:val="auto"/>
                <w:sz w:val="20"/>
                <w:szCs w:val="20"/>
                <w:highlight w:val="none"/>
              </w:rPr>
            </w:pPr>
            <w:r>
              <w:rPr>
                <w:color w:val="auto"/>
                <w:sz w:val="20"/>
                <w:szCs w:val="20"/>
                <w:highlight w:val="none"/>
              </w:rPr>
              <w:t>　</w:t>
            </w:r>
          </w:p>
        </w:tc>
      </w:tr>
      <w:tr w14:paraId="50428708">
        <w:tblPrEx>
          <w:tblCellMar>
            <w:top w:w="0" w:type="dxa"/>
            <w:left w:w="108" w:type="dxa"/>
            <w:bottom w:w="0" w:type="dxa"/>
            <w:right w:w="108" w:type="dxa"/>
          </w:tblCellMar>
        </w:tblPrEx>
        <w:trPr>
          <w:trHeight w:val="330" w:hRule="atLeast"/>
        </w:trPr>
        <w:tc>
          <w:tcPr>
            <w:tcW w:w="416" w:type="dxa"/>
            <w:vMerge w:val="restart"/>
            <w:tcBorders>
              <w:top w:val="nil"/>
              <w:left w:val="single" w:color="auto" w:sz="4" w:space="0"/>
              <w:bottom w:val="single" w:color="auto" w:sz="4" w:space="0"/>
              <w:right w:val="single" w:color="auto" w:sz="4" w:space="0"/>
            </w:tcBorders>
            <w:noWrap w:val="0"/>
            <w:vAlign w:val="center"/>
          </w:tcPr>
          <w:p w14:paraId="5D3144AC">
            <w:pPr>
              <w:jc w:val="center"/>
              <w:rPr>
                <w:color w:val="auto"/>
                <w:sz w:val="20"/>
                <w:szCs w:val="20"/>
                <w:highlight w:val="none"/>
              </w:rPr>
            </w:pPr>
            <w:r>
              <w:rPr>
                <w:color w:val="auto"/>
                <w:sz w:val="20"/>
                <w:szCs w:val="20"/>
                <w:highlight w:val="none"/>
              </w:rPr>
              <w:t>总</w:t>
            </w:r>
            <w:r>
              <w:rPr>
                <w:color w:val="auto"/>
                <w:sz w:val="20"/>
                <w:szCs w:val="20"/>
                <w:highlight w:val="none"/>
              </w:rPr>
              <w:br w:type="textWrapping"/>
            </w:r>
            <w:r>
              <w:rPr>
                <w:color w:val="auto"/>
                <w:sz w:val="20"/>
                <w:szCs w:val="20"/>
                <w:highlight w:val="none"/>
              </w:rPr>
              <w:t>体</w:t>
            </w:r>
            <w:r>
              <w:rPr>
                <w:color w:val="auto"/>
                <w:sz w:val="20"/>
                <w:szCs w:val="20"/>
                <w:highlight w:val="none"/>
              </w:rPr>
              <w:br w:type="textWrapping"/>
            </w:r>
            <w:r>
              <w:rPr>
                <w:color w:val="auto"/>
                <w:sz w:val="20"/>
                <w:szCs w:val="20"/>
                <w:highlight w:val="none"/>
              </w:rPr>
              <w:t>目</w:t>
            </w:r>
            <w:r>
              <w:rPr>
                <w:color w:val="auto"/>
                <w:sz w:val="20"/>
                <w:szCs w:val="20"/>
                <w:highlight w:val="none"/>
              </w:rPr>
              <w:br w:type="textWrapping"/>
            </w:r>
            <w:r>
              <w:rPr>
                <w:color w:val="auto"/>
                <w:sz w:val="20"/>
                <w:szCs w:val="20"/>
                <w:highlight w:val="none"/>
              </w:rPr>
              <w:t>标</w:t>
            </w:r>
          </w:p>
        </w:tc>
        <w:tc>
          <w:tcPr>
            <w:tcW w:w="4561" w:type="dxa"/>
            <w:gridSpan w:val="8"/>
            <w:tcBorders>
              <w:top w:val="single" w:color="auto" w:sz="4" w:space="0"/>
              <w:left w:val="nil"/>
              <w:bottom w:val="single" w:color="auto" w:sz="4" w:space="0"/>
              <w:right w:val="nil"/>
            </w:tcBorders>
            <w:noWrap w:val="0"/>
            <w:vAlign w:val="center"/>
          </w:tcPr>
          <w:p w14:paraId="1DF7F3B4">
            <w:pPr>
              <w:jc w:val="center"/>
              <w:rPr>
                <w:color w:val="auto"/>
                <w:sz w:val="20"/>
                <w:szCs w:val="20"/>
                <w:highlight w:val="none"/>
              </w:rPr>
            </w:pPr>
            <w:r>
              <w:rPr>
                <w:color w:val="auto"/>
                <w:sz w:val="20"/>
                <w:szCs w:val="20"/>
                <w:highlight w:val="none"/>
              </w:rPr>
              <w:t>中期目标（2022年—2024年）</w:t>
            </w:r>
          </w:p>
        </w:tc>
        <w:tc>
          <w:tcPr>
            <w:tcW w:w="4043" w:type="dxa"/>
            <w:gridSpan w:val="5"/>
            <w:tcBorders>
              <w:top w:val="single" w:color="auto" w:sz="4" w:space="0"/>
              <w:left w:val="single" w:color="auto" w:sz="4" w:space="0"/>
              <w:bottom w:val="single" w:color="auto" w:sz="4" w:space="0"/>
              <w:right w:val="single" w:color="000000" w:sz="4" w:space="0"/>
            </w:tcBorders>
            <w:noWrap w:val="0"/>
            <w:vAlign w:val="center"/>
          </w:tcPr>
          <w:p w14:paraId="52862A7F">
            <w:pPr>
              <w:jc w:val="center"/>
              <w:rPr>
                <w:color w:val="auto"/>
                <w:sz w:val="20"/>
                <w:szCs w:val="20"/>
                <w:highlight w:val="none"/>
              </w:rPr>
            </w:pPr>
            <w:r>
              <w:rPr>
                <w:color w:val="auto"/>
                <w:sz w:val="20"/>
                <w:szCs w:val="20"/>
                <w:highlight w:val="none"/>
              </w:rPr>
              <w:t>年度目标</w:t>
            </w:r>
          </w:p>
        </w:tc>
      </w:tr>
      <w:tr w14:paraId="628566D9">
        <w:tblPrEx>
          <w:tblCellMar>
            <w:top w:w="0" w:type="dxa"/>
            <w:left w:w="108" w:type="dxa"/>
            <w:bottom w:w="0" w:type="dxa"/>
            <w:right w:w="108" w:type="dxa"/>
          </w:tblCellMar>
        </w:tblPrEx>
        <w:trPr>
          <w:trHeight w:val="660" w:hRule="atLeast"/>
        </w:trPr>
        <w:tc>
          <w:tcPr>
            <w:tcW w:w="416" w:type="dxa"/>
            <w:vMerge w:val="continue"/>
            <w:tcBorders>
              <w:top w:val="nil"/>
              <w:left w:val="single" w:color="auto" w:sz="4" w:space="0"/>
              <w:bottom w:val="single" w:color="auto" w:sz="4" w:space="0"/>
              <w:right w:val="single" w:color="auto" w:sz="4" w:space="0"/>
            </w:tcBorders>
            <w:noWrap w:val="0"/>
            <w:vAlign w:val="center"/>
          </w:tcPr>
          <w:p w14:paraId="66DB8CFE">
            <w:pPr>
              <w:rPr>
                <w:color w:val="auto"/>
                <w:sz w:val="20"/>
                <w:szCs w:val="20"/>
                <w:highlight w:val="none"/>
              </w:rPr>
            </w:pPr>
          </w:p>
        </w:tc>
        <w:tc>
          <w:tcPr>
            <w:tcW w:w="4561" w:type="dxa"/>
            <w:gridSpan w:val="8"/>
            <w:tcBorders>
              <w:top w:val="single" w:color="auto" w:sz="4" w:space="0"/>
              <w:left w:val="nil"/>
              <w:bottom w:val="single" w:color="auto" w:sz="4" w:space="0"/>
              <w:right w:val="nil"/>
            </w:tcBorders>
            <w:noWrap w:val="0"/>
            <w:vAlign w:val="top"/>
          </w:tcPr>
          <w:p w14:paraId="402C2D94">
            <w:pPr>
              <w:rPr>
                <w:color w:val="auto"/>
                <w:sz w:val="20"/>
                <w:szCs w:val="20"/>
                <w:highlight w:val="none"/>
              </w:rPr>
            </w:pPr>
            <w:r>
              <w:rPr>
                <w:color w:val="auto"/>
                <w:sz w:val="20"/>
                <w:szCs w:val="20"/>
                <w:highlight w:val="none"/>
              </w:rPr>
              <w:t>目标1：为了广大市民的食品等公共卫生安全，在公共场所从业的人员必须进行预防性体检，根据20</w:t>
            </w:r>
            <w:r>
              <w:rPr>
                <w:rFonts w:hint="eastAsia"/>
                <w:color w:val="auto"/>
                <w:sz w:val="20"/>
                <w:szCs w:val="20"/>
                <w:highlight w:val="none"/>
                <w:lang w:val="en-US" w:eastAsia="zh-CN"/>
              </w:rPr>
              <w:t>22</w:t>
            </w:r>
            <w:r>
              <w:rPr>
                <w:color w:val="auto"/>
                <w:sz w:val="20"/>
                <w:szCs w:val="20"/>
                <w:highlight w:val="none"/>
              </w:rPr>
              <w:t>年接待的体检人员约</w:t>
            </w:r>
            <w:r>
              <w:rPr>
                <w:rFonts w:hint="eastAsia"/>
                <w:color w:val="auto"/>
                <w:sz w:val="20"/>
                <w:szCs w:val="20"/>
                <w:highlight w:val="none"/>
                <w:lang w:val="en-US" w:eastAsia="zh-CN"/>
              </w:rPr>
              <w:t>2.2</w:t>
            </w:r>
            <w:r>
              <w:rPr>
                <w:color w:val="auto"/>
                <w:sz w:val="20"/>
                <w:szCs w:val="20"/>
                <w:highlight w:val="none"/>
              </w:rPr>
              <w:t>万人次，预计202</w:t>
            </w:r>
            <w:r>
              <w:rPr>
                <w:rFonts w:hint="eastAsia"/>
                <w:color w:val="auto"/>
                <w:sz w:val="20"/>
                <w:szCs w:val="20"/>
                <w:highlight w:val="none"/>
                <w:lang w:val="en-US" w:eastAsia="zh-CN"/>
              </w:rPr>
              <w:t>3</w:t>
            </w:r>
            <w:r>
              <w:rPr>
                <w:color w:val="auto"/>
                <w:sz w:val="20"/>
                <w:szCs w:val="20"/>
                <w:highlight w:val="none"/>
              </w:rPr>
              <w:t>年—2024将年接待的体检人员约</w:t>
            </w:r>
            <w:r>
              <w:rPr>
                <w:rFonts w:hint="eastAsia"/>
                <w:color w:val="auto"/>
                <w:sz w:val="20"/>
                <w:szCs w:val="20"/>
                <w:highlight w:val="none"/>
                <w:lang w:val="en-US" w:eastAsia="zh-CN"/>
              </w:rPr>
              <w:t>4.4</w:t>
            </w:r>
            <w:r>
              <w:rPr>
                <w:color w:val="auto"/>
                <w:sz w:val="20"/>
                <w:szCs w:val="20"/>
                <w:highlight w:val="none"/>
              </w:rPr>
              <w:t>万人次。</w:t>
            </w:r>
          </w:p>
        </w:tc>
        <w:tc>
          <w:tcPr>
            <w:tcW w:w="4043" w:type="dxa"/>
            <w:gridSpan w:val="5"/>
            <w:tcBorders>
              <w:top w:val="single" w:color="auto" w:sz="4" w:space="0"/>
              <w:left w:val="single" w:color="auto" w:sz="4" w:space="0"/>
              <w:bottom w:val="single" w:color="auto" w:sz="4" w:space="0"/>
              <w:right w:val="single" w:color="000000" w:sz="4" w:space="0"/>
            </w:tcBorders>
            <w:noWrap w:val="0"/>
            <w:vAlign w:val="top"/>
          </w:tcPr>
          <w:p w14:paraId="228BF9AB">
            <w:pPr>
              <w:rPr>
                <w:color w:val="auto"/>
                <w:sz w:val="20"/>
                <w:szCs w:val="20"/>
                <w:highlight w:val="none"/>
              </w:rPr>
            </w:pPr>
            <w:r>
              <w:rPr>
                <w:color w:val="auto"/>
                <w:sz w:val="20"/>
                <w:szCs w:val="20"/>
                <w:highlight w:val="none"/>
              </w:rPr>
              <w:t>目标1：为了广大市民的食品等公共卫生安全，在公共场所从业的人员必须进行预防性体检，根据20</w:t>
            </w:r>
            <w:r>
              <w:rPr>
                <w:rFonts w:hint="eastAsia"/>
                <w:color w:val="auto"/>
                <w:sz w:val="20"/>
                <w:szCs w:val="20"/>
                <w:highlight w:val="none"/>
                <w:lang w:val="en-US" w:eastAsia="zh-CN"/>
              </w:rPr>
              <w:t>22</w:t>
            </w:r>
            <w:r>
              <w:rPr>
                <w:color w:val="auto"/>
                <w:sz w:val="20"/>
                <w:szCs w:val="20"/>
                <w:highlight w:val="none"/>
              </w:rPr>
              <w:t>年接待的体检人员约</w:t>
            </w:r>
            <w:r>
              <w:rPr>
                <w:rFonts w:hint="eastAsia"/>
                <w:color w:val="auto"/>
                <w:sz w:val="20"/>
                <w:szCs w:val="20"/>
                <w:highlight w:val="none"/>
                <w:lang w:val="en-US" w:eastAsia="zh-CN"/>
              </w:rPr>
              <w:t>2.2</w:t>
            </w:r>
            <w:r>
              <w:rPr>
                <w:color w:val="auto"/>
                <w:sz w:val="20"/>
                <w:szCs w:val="20"/>
                <w:highlight w:val="none"/>
              </w:rPr>
              <w:t>万人次，预计202</w:t>
            </w:r>
            <w:r>
              <w:rPr>
                <w:rFonts w:hint="eastAsia"/>
                <w:color w:val="auto"/>
                <w:sz w:val="20"/>
                <w:szCs w:val="20"/>
                <w:highlight w:val="none"/>
                <w:lang w:val="en-US" w:eastAsia="zh-CN"/>
              </w:rPr>
              <w:t>3</w:t>
            </w:r>
            <w:r>
              <w:rPr>
                <w:color w:val="auto"/>
                <w:sz w:val="20"/>
                <w:szCs w:val="20"/>
                <w:highlight w:val="none"/>
              </w:rPr>
              <w:t>将年接待的体检人员约</w:t>
            </w:r>
            <w:r>
              <w:rPr>
                <w:rFonts w:hint="eastAsia"/>
                <w:color w:val="auto"/>
                <w:sz w:val="20"/>
                <w:szCs w:val="20"/>
                <w:highlight w:val="none"/>
                <w:lang w:val="en-US" w:eastAsia="zh-CN"/>
              </w:rPr>
              <w:t>2.3</w:t>
            </w:r>
            <w:r>
              <w:rPr>
                <w:color w:val="auto"/>
                <w:sz w:val="20"/>
                <w:szCs w:val="20"/>
                <w:highlight w:val="none"/>
              </w:rPr>
              <w:t>万人次。</w:t>
            </w:r>
          </w:p>
        </w:tc>
      </w:tr>
      <w:tr w14:paraId="46F95744">
        <w:tblPrEx>
          <w:tblCellMar>
            <w:top w:w="0" w:type="dxa"/>
            <w:left w:w="108" w:type="dxa"/>
            <w:bottom w:w="0" w:type="dxa"/>
            <w:right w:w="108" w:type="dxa"/>
          </w:tblCellMar>
        </w:tblPrEx>
        <w:trPr>
          <w:trHeight w:val="830" w:hRule="atLeast"/>
        </w:trPr>
        <w:tc>
          <w:tcPr>
            <w:tcW w:w="416" w:type="dxa"/>
            <w:vMerge w:val="restart"/>
            <w:tcBorders>
              <w:top w:val="nil"/>
              <w:left w:val="single" w:color="auto" w:sz="4" w:space="0"/>
              <w:bottom w:val="single" w:color="000000" w:sz="4" w:space="0"/>
              <w:right w:val="single" w:color="auto" w:sz="4" w:space="0"/>
            </w:tcBorders>
            <w:noWrap w:val="0"/>
            <w:vAlign w:val="center"/>
          </w:tcPr>
          <w:p w14:paraId="173A44E6">
            <w:pPr>
              <w:jc w:val="center"/>
              <w:rPr>
                <w:color w:val="auto"/>
                <w:sz w:val="20"/>
                <w:szCs w:val="20"/>
                <w:highlight w:val="none"/>
              </w:rPr>
            </w:pPr>
            <w:r>
              <w:rPr>
                <w:color w:val="auto"/>
                <w:sz w:val="20"/>
                <w:szCs w:val="20"/>
                <w:highlight w:val="none"/>
              </w:rPr>
              <w:t>绩</w:t>
            </w:r>
            <w:r>
              <w:rPr>
                <w:color w:val="auto"/>
                <w:sz w:val="20"/>
                <w:szCs w:val="20"/>
                <w:highlight w:val="none"/>
              </w:rPr>
              <w:br w:type="textWrapping"/>
            </w:r>
            <w:r>
              <w:rPr>
                <w:color w:val="auto"/>
                <w:sz w:val="20"/>
                <w:szCs w:val="20"/>
                <w:highlight w:val="none"/>
              </w:rPr>
              <w:t>效</w:t>
            </w:r>
            <w:r>
              <w:rPr>
                <w:color w:val="auto"/>
                <w:sz w:val="20"/>
                <w:szCs w:val="20"/>
                <w:highlight w:val="none"/>
              </w:rPr>
              <w:br w:type="textWrapping"/>
            </w:r>
            <w:r>
              <w:rPr>
                <w:color w:val="auto"/>
                <w:sz w:val="20"/>
                <w:szCs w:val="20"/>
                <w:highlight w:val="none"/>
              </w:rPr>
              <w:t>指</w:t>
            </w:r>
            <w:r>
              <w:rPr>
                <w:color w:val="auto"/>
                <w:sz w:val="20"/>
                <w:szCs w:val="20"/>
                <w:highlight w:val="none"/>
              </w:rPr>
              <w:br w:type="textWrapping"/>
            </w:r>
            <w:r>
              <w:rPr>
                <w:color w:val="auto"/>
                <w:sz w:val="20"/>
                <w:szCs w:val="20"/>
                <w:highlight w:val="none"/>
              </w:rPr>
              <w:t>标</w:t>
            </w:r>
          </w:p>
        </w:tc>
        <w:tc>
          <w:tcPr>
            <w:tcW w:w="733" w:type="dxa"/>
            <w:tcBorders>
              <w:top w:val="nil"/>
              <w:left w:val="nil"/>
              <w:bottom w:val="nil"/>
              <w:right w:val="single" w:color="auto" w:sz="4" w:space="0"/>
            </w:tcBorders>
            <w:noWrap w:val="0"/>
            <w:vAlign w:val="center"/>
          </w:tcPr>
          <w:p w14:paraId="459E3E34">
            <w:pPr>
              <w:jc w:val="center"/>
              <w:rPr>
                <w:color w:val="auto"/>
                <w:sz w:val="20"/>
                <w:szCs w:val="20"/>
                <w:highlight w:val="none"/>
              </w:rPr>
            </w:pPr>
            <w:r>
              <w:rPr>
                <w:color w:val="auto"/>
                <w:sz w:val="20"/>
                <w:szCs w:val="20"/>
                <w:highlight w:val="none"/>
              </w:rPr>
              <w:t>一级</w:t>
            </w:r>
            <w:r>
              <w:rPr>
                <w:color w:val="auto"/>
                <w:sz w:val="20"/>
                <w:szCs w:val="20"/>
                <w:highlight w:val="none"/>
              </w:rPr>
              <w:br w:type="textWrapping"/>
            </w:r>
            <w:r>
              <w:rPr>
                <w:color w:val="auto"/>
                <w:sz w:val="20"/>
                <w:szCs w:val="20"/>
                <w:highlight w:val="none"/>
              </w:rPr>
              <w:t>指标</w:t>
            </w:r>
          </w:p>
        </w:tc>
        <w:tc>
          <w:tcPr>
            <w:tcW w:w="851" w:type="dxa"/>
            <w:gridSpan w:val="2"/>
            <w:tcBorders>
              <w:top w:val="nil"/>
              <w:left w:val="nil"/>
              <w:bottom w:val="single" w:color="auto" w:sz="4" w:space="0"/>
              <w:right w:val="single" w:color="auto" w:sz="4" w:space="0"/>
            </w:tcBorders>
            <w:noWrap w:val="0"/>
            <w:vAlign w:val="center"/>
          </w:tcPr>
          <w:p w14:paraId="5973B853">
            <w:pPr>
              <w:jc w:val="center"/>
              <w:rPr>
                <w:color w:val="auto"/>
                <w:sz w:val="20"/>
                <w:szCs w:val="20"/>
                <w:highlight w:val="none"/>
              </w:rPr>
            </w:pPr>
            <w:r>
              <w:rPr>
                <w:color w:val="auto"/>
                <w:sz w:val="20"/>
                <w:szCs w:val="20"/>
                <w:highlight w:val="none"/>
              </w:rPr>
              <w:t>二级</w:t>
            </w:r>
          </w:p>
          <w:p w14:paraId="2FC46F55">
            <w:pPr>
              <w:jc w:val="center"/>
              <w:rPr>
                <w:color w:val="auto"/>
                <w:sz w:val="20"/>
                <w:szCs w:val="20"/>
                <w:highlight w:val="none"/>
              </w:rPr>
            </w:pPr>
            <w:r>
              <w:rPr>
                <w:color w:val="auto"/>
                <w:sz w:val="20"/>
                <w:szCs w:val="20"/>
                <w:highlight w:val="none"/>
              </w:rPr>
              <w:t>指标</w:t>
            </w:r>
          </w:p>
        </w:tc>
        <w:tc>
          <w:tcPr>
            <w:tcW w:w="850" w:type="dxa"/>
            <w:gridSpan w:val="2"/>
            <w:tcBorders>
              <w:top w:val="nil"/>
              <w:left w:val="nil"/>
              <w:bottom w:val="single" w:color="auto" w:sz="4" w:space="0"/>
              <w:right w:val="single" w:color="auto" w:sz="4" w:space="0"/>
            </w:tcBorders>
            <w:noWrap w:val="0"/>
            <w:vAlign w:val="center"/>
          </w:tcPr>
          <w:p w14:paraId="1A32C410">
            <w:pPr>
              <w:jc w:val="center"/>
              <w:rPr>
                <w:color w:val="auto"/>
                <w:sz w:val="20"/>
                <w:szCs w:val="20"/>
                <w:highlight w:val="none"/>
              </w:rPr>
            </w:pPr>
            <w:r>
              <w:rPr>
                <w:color w:val="auto"/>
                <w:sz w:val="20"/>
                <w:szCs w:val="20"/>
                <w:highlight w:val="none"/>
              </w:rPr>
              <w:t>三级指标</w:t>
            </w:r>
          </w:p>
        </w:tc>
        <w:tc>
          <w:tcPr>
            <w:tcW w:w="993" w:type="dxa"/>
            <w:tcBorders>
              <w:top w:val="nil"/>
              <w:left w:val="nil"/>
              <w:bottom w:val="single" w:color="auto" w:sz="4" w:space="0"/>
              <w:right w:val="single" w:color="auto" w:sz="4" w:space="0"/>
            </w:tcBorders>
            <w:noWrap w:val="0"/>
            <w:vAlign w:val="center"/>
          </w:tcPr>
          <w:p w14:paraId="40A17B91">
            <w:pPr>
              <w:jc w:val="center"/>
              <w:rPr>
                <w:color w:val="auto"/>
                <w:sz w:val="20"/>
                <w:szCs w:val="20"/>
                <w:highlight w:val="none"/>
              </w:rPr>
            </w:pPr>
            <w:r>
              <w:rPr>
                <w:color w:val="auto"/>
                <w:sz w:val="20"/>
                <w:szCs w:val="20"/>
                <w:highlight w:val="none"/>
              </w:rPr>
              <w:t>指标值</w:t>
            </w:r>
          </w:p>
        </w:tc>
        <w:tc>
          <w:tcPr>
            <w:tcW w:w="1134" w:type="dxa"/>
            <w:gridSpan w:val="2"/>
            <w:tcBorders>
              <w:top w:val="nil"/>
              <w:left w:val="nil"/>
              <w:bottom w:val="single" w:color="auto" w:sz="4" w:space="0"/>
              <w:right w:val="single" w:color="auto" w:sz="4" w:space="0"/>
            </w:tcBorders>
            <w:noWrap w:val="0"/>
            <w:vAlign w:val="center"/>
          </w:tcPr>
          <w:p w14:paraId="642CFBE1">
            <w:pPr>
              <w:jc w:val="center"/>
              <w:rPr>
                <w:color w:val="auto"/>
                <w:sz w:val="20"/>
                <w:szCs w:val="20"/>
                <w:highlight w:val="none"/>
              </w:rPr>
            </w:pPr>
            <w:r>
              <w:rPr>
                <w:color w:val="auto"/>
                <w:sz w:val="20"/>
                <w:szCs w:val="20"/>
                <w:highlight w:val="none"/>
              </w:rPr>
              <w:t>绩效标准</w:t>
            </w:r>
          </w:p>
        </w:tc>
        <w:tc>
          <w:tcPr>
            <w:tcW w:w="992" w:type="dxa"/>
            <w:tcBorders>
              <w:top w:val="nil"/>
              <w:left w:val="nil"/>
              <w:bottom w:val="single" w:color="auto" w:sz="4" w:space="0"/>
              <w:right w:val="single" w:color="auto" w:sz="4" w:space="0"/>
            </w:tcBorders>
            <w:noWrap w:val="0"/>
            <w:vAlign w:val="center"/>
          </w:tcPr>
          <w:p w14:paraId="2C0B83E4">
            <w:pPr>
              <w:jc w:val="center"/>
              <w:rPr>
                <w:color w:val="auto"/>
                <w:sz w:val="20"/>
                <w:szCs w:val="20"/>
                <w:highlight w:val="none"/>
              </w:rPr>
            </w:pPr>
            <w:r>
              <w:rPr>
                <w:color w:val="auto"/>
                <w:sz w:val="20"/>
                <w:szCs w:val="20"/>
                <w:highlight w:val="none"/>
              </w:rPr>
              <w:t>二级</w:t>
            </w:r>
          </w:p>
          <w:p w14:paraId="5851049C">
            <w:pPr>
              <w:jc w:val="center"/>
              <w:rPr>
                <w:color w:val="auto"/>
                <w:sz w:val="20"/>
                <w:szCs w:val="20"/>
                <w:highlight w:val="none"/>
              </w:rPr>
            </w:pPr>
            <w:r>
              <w:rPr>
                <w:color w:val="auto"/>
                <w:sz w:val="20"/>
                <w:szCs w:val="20"/>
                <w:highlight w:val="none"/>
              </w:rPr>
              <w:t>指标</w:t>
            </w:r>
          </w:p>
        </w:tc>
        <w:tc>
          <w:tcPr>
            <w:tcW w:w="850" w:type="dxa"/>
            <w:tcBorders>
              <w:top w:val="nil"/>
              <w:left w:val="nil"/>
              <w:bottom w:val="single" w:color="auto" w:sz="4" w:space="0"/>
              <w:right w:val="nil"/>
            </w:tcBorders>
            <w:noWrap w:val="0"/>
            <w:vAlign w:val="center"/>
          </w:tcPr>
          <w:p w14:paraId="0BD20188">
            <w:pPr>
              <w:jc w:val="center"/>
              <w:rPr>
                <w:color w:val="auto"/>
                <w:sz w:val="20"/>
                <w:szCs w:val="20"/>
                <w:highlight w:val="none"/>
              </w:rPr>
            </w:pPr>
            <w:r>
              <w:rPr>
                <w:color w:val="auto"/>
                <w:sz w:val="20"/>
                <w:szCs w:val="20"/>
                <w:highlight w:val="none"/>
              </w:rPr>
              <w:t>三级指标</w:t>
            </w:r>
          </w:p>
        </w:tc>
        <w:tc>
          <w:tcPr>
            <w:tcW w:w="993" w:type="dxa"/>
            <w:gridSpan w:val="2"/>
            <w:tcBorders>
              <w:top w:val="nil"/>
              <w:left w:val="single" w:color="auto" w:sz="4" w:space="0"/>
              <w:bottom w:val="single" w:color="auto" w:sz="4" w:space="0"/>
              <w:right w:val="single" w:color="auto" w:sz="4" w:space="0"/>
            </w:tcBorders>
            <w:noWrap w:val="0"/>
            <w:vAlign w:val="center"/>
          </w:tcPr>
          <w:p w14:paraId="39FF1012">
            <w:pPr>
              <w:jc w:val="center"/>
              <w:rPr>
                <w:color w:val="auto"/>
                <w:sz w:val="20"/>
                <w:szCs w:val="20"/>
                <w:highlight w:val="none"/>
              </w:rPr>
            </w:pPr>
            <w:r>
              <w:rPr>
                <w:color w:val="auto"/>
                <w:sz w:val="20"/>
                <w:szCs w:val="20"/>
                <w:highlight w:val="none"/>
              </w:rPr>
              <w:t>指标值</w:t>
            </w:r>
          </w:p>
        </w:tc>
        <w:tc>
          <w:tcPr>
            <w:tcW w:w="1208" w:type="dxa"/>
            <w:tcBorders>
              <w:top w:val="nil"/>
              <w:left w:val="nil"/>
              <w:bottom w:val="single" w:color="auto" w:sz="4" w:space="0"/>
              <w:right w:val="single" w:color="auto" w:sz="4" w:space="0"/>
            </w:tcBorders>
            <w:noWrap w:val="0"/>
            <w:vAlign w:val="center"/>
          </w:tcPr>
          <w:p w14:paraId="44C4B7AD">
            <w:pPr>
              <w:jc w:val="center"/>
              <w:rPr>
                <w:color w:val="auto"/>
                <w:sz w:val="20"/>
                <w:szCs w:val="20"/>
                <w:highlight w:val="none"/>
              </w:rPr>
            </w:pPr>
            <w:r>
              <w:rPr>
                <w:color w:val="auto"/>
                <w:sz w:val="20"/>
                <w:szCs w:val="20"/>
                <w:highlight w:val="none"/>
              </w:rPr>
              <w:t>绩效标准</w:t>
            </w:r>
          </w:p>
        </w:tc>
      </w:tr>
      <w:tr w14:paraId="73E1A5D1">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4313F4B4">
            <w:pPr>
              <w:rPr>
                <w:color w:val="auto"/>
                <w:sz w:val="20"/>
                <w:szCs w:val="20"/>
                <w:highlight w:val="none"/>
              </w:rPr>
            </w:pPr>
          </w:p>
        </w:tc>
        <w:tc>
          <w:tcPr>
            <w:tcW w:w="733" w:type="dxa"/>
            <w:vMerge w:val="restart"/>
            <w:tcBorders>
              <w:top w:val="single" w:color="auto" w:sz="4" w:space="0"/>
              <w:left w:val="single" w:color="auto" w:sz="4" w:space="0"/>
              <w:bottom w:val="single" w:color="auto" w:sz="4" w:space="0"/>
              <w:right w:val="single" w:color="auto" w:sz="4" w:space="0"/>
            </w:tcBorders>
            <w:noWrap w:val="0"/>
            <w:vAlign w:val="center"/>
          </w:tcPr>
          <w:p w14:paraId="1D6FDF12">
            <w:pPr>
              <w:jc w:val="center"/>
              <w:rPr>
                <w:color w:val="auto"/>
                <w:sz w:val="20"/>
                <w:szCs w:val="20"/>
                <w:highlight w:val="none"/>
              </w:rPr>
            </w:pPr>
            <w:r>
              <w:rPr>
                <w:color w:val="auto"/>
                <w:sz w:val="20"/>
                <w:szCs w:val="20"/>
                <w:highlight w:val="none"/>
              </w:rPr>
              <w:t>产</w:t>
            </w:r>
            <w:r>
              <w:rPr>
                <w:color w:val="auto"/>
                <w:sz w:val="20"/>
                <w:szCs w:val="20"/>
                <w:highlight w:val="none"/>
              </w:rPr>
              <w:br w:type="textWrapping"/>
            </w:r>
            <w:r>
              <w:rPr>
                <w:color w:val="auto"/>
                <w:sz w:val="20"/>
                <w:szCs w:val="20"/>
                <w:highlight w:val="none"/>
              </w:rPr>
              <w:t>出</w:t>
            </w:r>
            <w:r>
              <w:rPr>
                <w:color w:val="auto"/>
                <w:sz w:val="20"/>
                <w:szCs w:val="20"/>
                <w:highlight w:val="none"/>
              </w:rPr>
              <w:br w:type="textWrapping"/>
            </w:r>
            <w:r>
              <w:rPr>
                <w:color w:val="auto"/>
                <w:sz w:val="20"/>
                <w:szCs w:val="20"/>
                <w:highlight w:val="none"/>
              </w:rPr>
              <w:t>指</w:t>
            </w:r>
            <w:r>
              <w:rPr>
                <w:color w:val="auto"/>
                <w:sz w:val="20"/>
                <w:szCs w:val="20"/>
                <w:highlight w:val="none"/>
              </w:rPr>
              <w:br w:type="textWrapping"/>
            </w:r>
            <w:r>
              <w:rPr>
                <w:color w:val="auto"/>
                <w:sz w:val="20"/>
                <w:szCs w:val="20"/>
                <w:highlight w:val="none"/>
              </w:rPr>
              <w:t>标</w:t>
            </w:r>
          </w:p>
        </w:tc>
        <w:tc>
          <w:tcPr>
            <w:tcW w:w="851" w:type="dxa"/>
            <w:gridSpan w:val="2"/>
            <w:tcBorders>
              <w:top w:val="nil"/>
              <w:left w:val="single" w:color="auto" w:sz="4" w:space="0"/>
              <w:bottom w:val="single" w:color="000000" w:sz="4" w:space="0"/>
              <w:right w:val="single" w:color="auto" w:sz="4" w:space="0"/>
            </w:tcBorders>
            <w:noWrap w:val="0"/>
            <w:vAlign w:val="center"/>
          </w:tcPr>
          <w:p w14:paraId="2C218C12">
            <w:pPr>
              <w:jc w:val="center"/>
              <w:rPr>
                <w:color w:val="auto"/>
                <w:sz w:val="20"/>
                <w:szCs w:val="20"/>
                <w:highlight w:val="none"/>
              </w:rPr>
            </w:pPr>
            <w:r>
              <w:rPr>
                <w:color w:val="auto"/>
                <w:sz w:val="20"/>
                <w:szCs w:val="20"/>
                <w:highlight w:val="none"/>
              </w:rPr>
              <w:t>数量</w:t>
            </w:r>
          </w:p>
          <w:p w14:paraId="7D7D1701">
            <w:pPr>
              <w:jc w:val="center"/>
              <w:rPr>
                <w:color w:val="auto"/>
                <w:sz w:val="20"/>
                <w:szCs w:val="20"/>
                <w:highlight w:val="none"/>
              </w:rPr>
            </w:pPr>
            <w:r>
              <w:rPr>
                <w:color w:val="auto"/>
                <w:sz w:val="20"/>
                <w:szCs w:val="20"/>
                <w:highlight w:val="none"/>
              </w:rPr>
              <w:t>指标</w:t>
            </w:r>
          </w:p>
        </w:tc>
        <w:tc>
          <w:tcPr>
            <w:tcW w:w="850" w:type="dxa"/>
            <w:gridSpan w:val="2"/>
            <w:tcBorders>
              <w:top w:val="nil"/>
              <w:left w:val="nil"/>
              <w:bottom w:val="single" w:color="auto" w:sz="4" w:space="0"/>
              <w:right w:val="single" w:color="auto" w:sz="4" w:space="0"/>
            </w:tcBorders>
            <w:noWrap w:val="0"/>
            <w:vAlign w:val="center"/>
          </w:tcPr>
          <w:p w14:paraId="231B117B">
            <w:pPr>
              <w:rPr>
                <w:color w:val="auto"/>
                <w:sz w:val="20"/>
                <w:szCs w:val="20"/>
                <w:highlight w:val="none"/>
              </w:rPr>
            </w:pPr>
            <w:r>
              <w:rPr>
                <w:color w:val="auto"/>
                <w:sz w:val="20"/>
                <w:szCs w:val="20"/>
                <w:highlight w:val="none"/>
              </w:rPr>
              <w:t xml:space="preserve"> 指标1：数量</w:t>
            </w:r>
          </w:p>
        </w:tc>
        <w:tc>
          <w:tcPr>
            <w:tcW w:w="993" w:type="dxa"/>
            <w:tcBorders>
              <w:top w:val="nil"/>
              <w:left w:val="nil"/>
              <w:bottom w:val="single" w:color="auto" w:sz="4" w:space="0"/>
              <w:right w:val="single" w:color="auto" w:sz="4" w:space="0"/>
            </w:tcBorders>
            <w:noWrap w:val="0"/>
            <w:vAlign w:val="center"/>
          </w:tcPr>
          <w:p w14:paraId="2AEB32DC">
            <w:pPr>
              <w:rPr>
                <w:color w:val="auto"/>
                <w:sz w:val="20"/>
                <w:szCs w:val="20"/>
                <w:highlight w:val="none"/>
              </w:rPr>
            </w:pPr>
            <w:r>
              <w:rPr>
                <w:rFonts w:hint="eastAsia"/>
                <w:color w:val="auto"/>
                <w:sz w:val="20"/>
                <w:szCs w:val="20"/>
                <w:highlight w:val="none"/>
                <w:lang w:val="en-US" w:eastAsia="zh-CN"/>
              </w:rPr>
              <w:t>4.4</w:t>
            </w:r>
            <w:r>
              <w:rPr>
                <w:color w:val="auto"/>
                <w:sz w:val="20"/>
                <w:szCs w:val="20"/>
                <w:highlight w:val="none"/>
              </w:rPr>
              <w:t>万人次</w:t>
            </w:r>
          </w:p>
        </w:tc>
        <w:tc>
          <w:tcPr>
            <w:tcW w:w="1134" w:type="dxa"/>
            <w:gridSpan w:val="2"/>
            <w:tcBorders>
              <w:top w:val="nil"/>
              <w:left w:val="nil"/>
              <w:bottom w:val="single" w:color="auto" w:sz="4" w:space="0"/>
              <w:right w:val="single" w:color="auto" w:sz="4" w:space="0"/>
            </w:tcBorders>
            <w:noWrap w:val="0"/>
            <w:vAlign w:val="center"/>
          </w:tcPr>
          <w:p w14:paraId="392FB7C2">
            <w:pPr>
              <w:rPr>
                <w:color w:val="auto"/>
                <w:sz w:val="20"/>
                <w:szCs w:val="20"/>
                <w:highlight w:val="none"/>
              </w:rPr>
            </w:pPr>
            <w:r>
              <w:rPr>
                <w:rFonts w:hint="eastAsia"/>
                <w:color w:val="auto"/>
                <w:sz w:val="20"/>
                <w:szCs w:val="20"/>
                <w:highlight w:val="none"/>
                <w:lang w:val="en-US" w:eastAsia="zh-CN"/>
              </w:rPr>
              <w:t>4.4</w:t>
            </w:r>
            <w:r>
              <w:rPr>
                <w:color w:val="auto"/>
                <w:sz w:val="20"/>
                <w:szCs w:val="20"/>
                <w:highlight w:val="none"/>
              </w:rPr>
              <w:t>万人次</w:t>
            </w:r>
          </w:p>
        </w:tc>
        <w:tc>
          <w:tcPr>
            <w:tcW w:w="992" w:type="dxa"/>
            <w:tcBorders>
              <w:top w:val="nil"/>
              <w:left w:val="single" w:color="auto" w:sz="4" w:space="0"/>
              <w:bottom w:val="single" w:color="000000" w:sz="4" w:space="0"/>
              <w:right w:val="single" w:color="auto" w:sz="4" w:space="0"/>
            </w:tcBorders>
            <w:noWrap w:val="0"/>
            <w:vAlign w:val="center"/>
          </w:tcPr>
          <w:p w14:paraId="56417D74">
            <w:pPr>
              <w:jc w:val="center"/>
              <w:rPr>
                <w:color w:val="auto"/>
                <w:sz w:val="20"/>
                <w:szCs w:val="20"/>
                <w:highlight w:val="none"/>
              </w:rPr>
            </w:pPr>
            <w:r>
              <w:rPr>
                <w:color w:val="auto"/>
                <w:sz w:val="20"/>
                <w:szCs w:val="20"/>
                <w:highlight w:val="none"/>
              </w:rPr>
              <w:t>数量</w:t>
            </w:r>
          </w:p>
          <w:p w14:paraId="4EE3966D">
            <w:pPr>
              <w:jc w:val="center"/>
              <w:rPr>
                <w:color w:val="auto"/>
                <w:sz w:val="20"/>
                <w:szCs w:val="20"/>
                <w:highlight w:val="none"/>
              </w:rPr>
            </w:pPr>
            <w:r>
              <w:rPr>
                <w:color w:val="auto"/>
                <w:sz w:val="20"/>
                <w:szCs w:val="20"/>
                <w:highlight w:val="none"/>
              </w:rPr>
              <w:t>指标</w:t>
            </w:r>
          </w:p>
        </w:tc>
        <w:tc>
          <w:tcPr>
            <w:tcW w:w="850" w:type="dxa"/>
            <w:tcBorders>
              <w:top w:val="nil"/>
              <w:left w:val="nil"/>
              <w:bottom w:val="single" w:color="auto" w:sz="4" w:space="0"/>
              <w:right w:val="single" w:color="auto" w:sz="4" w:space="0"/>
            </w:tcBorders>
            <w:noWrap w:val="0"/>
            <w:vAlign w:val="center"/>
          </w:tcPr>
          <w:p w14:paraId="43AFF04B">
            <w:pPr>
              <w:rPr>
                <w:color w:val="auto"/>
                <w:sz w:val="20"/>
                <w:szCs w:val="20"/>
                <w:highlight w:val="none"/>
              </w:rPr>
            </w:pPr>
            <w:r>
              <w:rPr>
                <w:color w:val="auto"/>
                <w:sz w:val="20"/>
                <w:szCs w:val="20"/>
                <w:highlight w:val="none"/>
              </w:rPr>
              <w:t xml:space="preserve"> 指标1：数量</w:t>
            </w:r>
          </w:p>
        </w:tc>
        <w:tc>
          <w:tcPr>
            <w:tcW w:w="993" w:type="dxa"/>
            <w:gridSpan w:val="2"/>
            <w:tcBorders>
              <w:top w:val="nil"/>
              <w:left w:val="nil"/>
              <w:bottom w:val="single" w:color="auto" w:sz="4" w:space="0"/>
              <w:right w:val="single" w:color="auto" w:sz="4" w:space="0"/>
            </w:tcBorders>
            <w:noWrap w:val="0"/>
            <w:vAlign w:val="center"/>
          </w:tcPr>
          <w:p w14:paraId="1BBB4332">
            <w:pPr>
              <w:rPr>
                <w:color w:val="auto"/>
                <w:sz w:val="20"/>
                <w:szCs w:val="20"/>
                <w:highlight w:val="none"/>
              </w:rPr>
            </w:pPr>
            <w:r>
              <w:rPr>
                <w:rFonts w:hint="eastAsia"/>
                <w:color w:val="auto"/>
                <w:sz w:val="20"/>
                <w:szCs w:val="20"/>
                <w:highlight w:val="none"/>
                <w:lang w:val="en-US" w:eastAsia="zh-CN"/>
              </w:rPr>
              <w:t>2.3</w:t>
            </w:r>
            <w:r>
              <w:rPr>
                <w:color w:val="auto"/>
                <w:sz w:val="20"/>
                <w:szCs w:val="20"/>
                <w:highlight w:val="none"/>
              </w:rPr>
              <w:t>万人次</w:t>
            </w:r>
          </w:p>
        </w:tc>
        <w:tc>
          <w:tcPr>
            <w:tcW w:w="1208" w:type="dxa"/>
            <w:tcBorders>
              <w:top w:val="nil"/>
              <w:left w:val="nil"/>
              <w:bottom w:val="single" w:color="auto" w:sz="4" w:space="0"/>
              <w:right w:val="single" w:color="auto" w:sz="4" w:space="0"/>
            </w:tcBorders>
            <w:noWrap w:val="0"/>
            <w:vAlign w:val="center"/>
          </w:tcPr>
          <w:p w14:paraId="381BC903">
            <w:pPr>
              <w:rPr>
                <w:color w:val="auto"/>
                <w:sz w:val="20"/>
                <w:szCs w:val="20"/>
                <w:highlight w:val="none"/>
              </w:rPr>
            </w:pPr>
            <w:r>
              <w:rPr>
                <w:rFonts w:hint="eastAsia"/>
                <w:color w:val="auto"/>
                <w:sz w:val="20"/>
                <w:szCs w:val="20"/>
                <w:highlight w:val="none"/>
                <w:lang w:val="en-US" w:eastAsia="zh-CN"/>
              </w:rPr>
              <w:t>2.3</w:t>
            </w:r>
            <w:r>
              <w:rPr>
                <w:color w:val="auto"/>
                <w:sz w:val="20"/>
                <w:szCs w:val="20"/>
                <w:highlight w:val="none"/>
              </w:rPr>
              <w:t>万人次</w:t>
            </w:r>
          </w:p>
        </w:tc>
      </w:tr>
      <w:tr w14:paraId="613ED93F">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59A10B5E">
            <w:pPr>
              <w:rPr>
                <w:color w:val="auto"/>
                <w:sz w:val="20"/>
                <w:szCs w:val="20"/>
                <w:highlight w:val="none"/>
              </w:rPr>
            </w:pPr>
          </w:p>
        </w:tc>
        <w:tc>
          <w:tcPr>
            <w:tcW w:w="733" w:type="dxa"/>
            <w:vMerge w:val="continue"/>
            <w:tcBorders>
              <w:top w:val="single" w:color="auto" w:sz="4" w:space="0"/>
              <w:left w:val="single" w:color="auto" w:sz="4" w:space="0"/>
              <w:bottom w:val="single" w:color="auto" w:sz="4" w:space="0"/>
              <w:right w:val="single" w:color="auto" w:sz="4" w:space="0"/>
            </w:tcBorders>
            <w:noWrap w:val="0"/>
            <w:vAlign w:val="center"/>
          </w:tcPr>
          <w:p w14:paraId="559D9770">
            <w:pPr>
              <w:rPr>
                <w:color w:val="auto"/>
                <w:sz w:val="20"/>
                <w:szCs w:val="20"/>
                <w:highlight w:val="none"/>
              </w:rPr>
            </w:pPr>
          </w:p>
        </w:tc>
        <w:tc>
          <w:tcPr>
            <w:tcW w:w="851" w:type="dxa"/>
            <w:gridSpan w:val="2"/>
            <w:tcBorders>
              <w:top w:val="nil"/>
              <w:left w:val="single" w:color="auto" w:sz="4" w:space="0"/>
              <w:bottom w:val="single" w:color="000000" w:sz="4" w:space="0"/>
              <w:right w:val="single" w:color="auto" w:sz="4" w:space="0"/>
            </w:tcBorders>
            <w:noWrap w:val="0"/>
            <w:vAlign w:val="center"/>
          </w:tcPr>
          <w:p w14:paraId="6A996163">
            <w:pPr>
              <w:jc w:val="center"/>
              <w:rPr>
                <w:color w:val="auto"/>
                <w:sz w:val="20"/>
                <w:szCs w:val="20"/>
                <w:highlight w:val="none"/>
              </w:rPr>
            </w:pPr>
            <w:r>
              <w:rPr>
                <w:color w:val="auto"/>
                <w:sz w:val="20"/>
                <w:szCs w:val="20"/>
                <w:highlight w:val="none"/>
              </w:rPr>
              <w:t>质量</w:t>
            </w:r>
          </w:p>
          <w:p w14:paraId="6FA5D604">
            <w:pPr>
              <w:jc w:val="center"/>
              <w:rPr>
                <w:color w:val="auto"/>
                <w:sz w:val="20"/>
                <w:szCs w:val="20"/>
                <w:highlight w:val="none"/>
              </w:rPr>
            </w:pPr>
            <w:r>
              <w:rPr>
                <w:color w:val="auto"/>
                <w:sz w:val="20"/>
                <w:szCs w:val="20"/>
                <w:highlight w:val="none"/>
              </w:rPr>
              <w:t>指标</w:t>
            </w:r>
          </w:p>
        </w:tc>
        <w:tc>
          <w:tcPr>
            <w:tcW w:w="850" w:type="dxa"/>
            <w:gridSpan w:val="2"/>
            <w:tcBorders>
              <w:top w:val="nil"/>
              <w:left w:val="nil"/>
              <w:bottom w:val="single" w:color="auto" w:sz="4" w:space="0"/>
              <w:right w:val="single" w:color="auto" w:sz="4" w:space="0"/>
            </w:tcBorders>
            <w:noWrap w:val="0"/>
            <w:vAlign w:val="center"/>
          </w:tcPr>
          <w:p w14:paraId="2B140E5A">
            <w:pPr>
              <w:rPr>
                <w:color w:val="auto"/>
                <w:sz w:val="20"/>
                <w:szCs w:val="20"/>
                <w:highlight w:val="none"/>
              </w:rPr>
            </w:pPr>
            <w:r>
              <w:rPr>
                <w:color w:val="auto"/>
                <w:sz w:val="20"/>
                <w:szCs w:val="20"/>
                <w:highlight w:val="none"/>
              </w:rPr>
              <w:t xml:space="preserve"> 指标1：质量</w:t>
            </w:r>
          </w:p>
        </w:tc>
        <w:tc>
          <w:tcPr>
            <w:tcW w:w="993" w:type="dxa"/>
            <w:tcBorders>
              <w:top w:val="nil"/>
              <w:left w:val="nil"/>
              <w:bottom w:val="single" w:color="auto" w:sz="4" w:space="0"/>
              <w:right w:val="single" w:color="auto" w:sz="4" w:space="0"/>
            </w:tcBorders>
            <w:noWrap w:val="0"/>
            <w:vAlign w:val="center"/>
          </w:tcPr>
          <w:p w14:paraId="404E62D2">
            <w:pPr>
              <w:rPr>
                <w:color w:val="auto"/>
                <w:sz w:val="20"/>
                <w:szCs w:val="20"/>
                <w:highlight w:val="none"/>
              </w:rPr>
            </w:pPr>
            <w:r>
              <w:rPr>
                <w:color w:val="auto"/>
                <w:sz w:val="20"/>
                <w:szCs w:val="20"/>
                <w:highlight w:val="none"/>
              </w:rPr>
              <w:t>符合要求</w:t>
            </w:r>
          </w:p>
        </w:tc>
        <w:tc>
          <w:tcPr>
            <w:tcW w:w="1134" w:type="dxa"/>
            <w:gridSpan w:val="2"/>
            <w:tcBorders>
              <w:top w:val="nil"/>
              <w:left w:val="nil"/>
              <w:bottom w:val="single" w:color="auto" w:sz="4" w:space="0"/>
              <w:right w:val="single" w:color="auto" w:sz="4" w:space="0"/>
            </w:tcBorders>
            <w:noWrap w:val="0"/>
            <w:vAlign w:val="center"/>
          </w:tcPr>
          <w:p w14:paraId="233CF20C">
            <w:pPr>
              <w:rPr>
                <w:color w:val="auto"/>
                <w:sz w:val="20"/>
                <w:szCs w:val="20"/>
                <w:highlight w:val="none"/>
              </w:rPr>
            </w:pPr>
            <w:r>
              <w:rPr>
                <w:color w:val="auto"/>
                <w:sz w:val="20"/>
                <w:szCs w:val="20"/>
                <w:highlight w:val="none"/>
              </w:rPr>
              <w:t>规范管理，保证质量</w:t>
            </w:r>
          </w:p>
        </w:tc>
        <w:tc>
          <w:tcPr>
            <w:tcW w:w="992" w:type="dxa"/>
            <w:tcBorders>
              <w:top w:val="nil"/>
              <w:left w:val="single" w:color="auto" w:sz="4" w:space="0"/>
              <w:bottom w:val="single" w:color="000000" w:sz="4" w:space="0"/>
              <w:right w:val="single" w:color="auto" w:sz="4" w:space="0"/>
            </w:tcBorders>
            <w:noWrap w:val="0"/>
            <w:vAlign w:val="center"/>
          </w:tcPr>
          <w:p w14:paraId="735C34BA">
            <w:pPr>
              <w:jc w:val="center"/>
              <w:rPr>
                <w:color w:val="auto"/>
                <w:sz w:val="20"/>
                <w:szCs w:val="20"/>
                <w:highlight w:val="none"/>
              </w:rPr>
            </w:pPr>
            <w:r>
              <w:rPr>
                <w:color w:val="auto"/>
                <w:sz w:val="20"/>
                <w:szCs w:val="20"/>
                <w:highlight w:val="none"/>
              </w:rPr>
              <w:t>质量</w:t>
            </w:r>
          </w:p>
          <w:p w14:paraId="6515DCF5">
            <w:pPr>
              <w:jc w:val="center"/>
              <w:rPr>
                <w:color w:val="auto"/>
                <w:sz w:val="20"/>
                <w:szCs w:val="20"/>
                <w:highlight w:val="none"/>
              </w:rPr>
            </w:pPr>
            <w:r>
              <w:rPr>
                <w:color w:val="auto"/>
                <w:sz w:val="20"/>
                <w:szCs w:val="20"/>
                <w:highlight w:val="none"/>
              </w:rPr>
              <w:t>指标</w:t>
            </w:r>
          </w:p>
        </w:tc>
        <w:tc>
          <w:tcPr>
            <w:tcW w:w="850" w:type="dxa"/>
            <w:tcBorders>
              <w:top w:val="nil"/>
              <w:left w:val="nil"/>
              <w:bottom w:val="single" w:color="auto" w:sz="4" w:space="0"/>
              <w:right w:val="single" w:color="auto" w:sz="4" w:space="0"/>
            </w:tcBorders>
            <w:noWrap w:val="0"/>
            <w:vAlign w:val="center"/>
          </w:tcPr>
          <w:p w14:paraId="48B30DFE">
            <w:pPr>
              <w:rPr>
                <w:color w:val="auto"/>
                <w:sz w:val="20"/>
                <w:szCs w:val="20"/>
                <w:highlight w:val="none"/>
              </w:rPr>
            </w:pPr>
            <w:r>
              <w:rPr>
                <w:color w:val="auto"/>
                <w:sz w:val="20"/>
                <w:szCs w:val="20"/>
                <w:highlight w:val="none"/>
              </w:rPr>
              <w:t xml:space="preserve"> 指标1：质量</w:t>
            </w:r>
          </w:p>
        </w:tc>
        <w:tc>
          <w:tcPr>
            <w:tcW w:w="993" w:type="dxa"/>
            <w:gridSpan w:val="2"/>
            <w:tcBorders>
              <w:top w:val="nil"/>
              <w:left w:val="nil"/>
              <w:bottom w:val="single" w:color="auto" w:sz="4" w:space="0"/>
              <w:right w:val="single" w:color="auto" w:sz="4" w:space="0"/>
            </w:tcBorders>
            <w:noWrap w:val="0"/>
            <w:vAlign w:val="center"/>
          </w:tcPr>
          <w:p w14:paraId="0738EF4A">
            <w:pPr>
              <w:rPr>
                <w:color w:val="auto"/>
                <w:sz w:val="20"/>
                <w:szCs w:val="20"/>
                <w:highlight w:val="none"/>
              </w:rPr>
            </w:pPr>
            <w:r>
              <w:rPr>
                <w:color w:val="auto"/>
                <w:sz w:val="20"/>
                <w:szCs w:val="20"/>
                <w:highlight w:val="none"/>
              </w:rPr>
              <w:t>符合要求</w:t>
            </w:r>
          </w:p>
        </w:tc>
        <w:tc>
          <w:tcPr>
            <w:tcW w:w="1208" w:type="dxa"/>
            <w:tcBorders>
              <w:top w:val="nil"/>
              <w:left w:val="nil"/>
              <w:bottom w:val="single" w:color="auto" w:sz="4" w:space="0"/>
              <w:right w:val="single" w:color="auto" w:sz="4" w:space="0"/>
            </w:tcBorders>
            <w:noWrap w:val="0"/>
            <w:vAlign w:val="center"/>
          </w:tcPr>
          <w:p w14:paraId="6E3BA286">
            <w:pPr>
              <w:rPr>
                <w:color w:val="auto"/>
                <w:sz w:val="20"/>
                <w:szCs w:val="20"/>
                <w:highlight w:val="none"/>
              </w:rPr>
            </w:pPr>
            <w:r>
              <w:rPr>
                <w:color w:val="auto"/>
                <w:sz w:val="20"/>
                <w:szCs w:val="20"/>
                <w:highlight w:val="none"/>
              </w:rPr>
              <w:t>规范管理，保证质量</w:t>
            </w:r>
          </w:p>
        </w:tc>
      </w:tr>
      <w:tr w14:paraId="1964E7CB">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61EFE1E5">
            <w:pPr>
              <w:rPr>
                <w:color w:val="auto"/>
                <w:sz w:val="20"/>
                <w:szCs w:val="20"/>
                <w:highlight w:val="none"/>
              </w:rPr>
            </w:pPr>
          </w:p>
        </w:tc>
        <w:tc>
          <w:tcPr>
            <w:tcW w:w="733" w:type="dxa"/>
            <w:vMerge w:val="continue"/>
            <w:tcBorders>
              <w:top w:val="single" w:color="auto" w:sz="4" w:space="0"/>
              <w:left w:val="single" w:color="auto" w:sz="4" w:space="0"/>
              <w:bottom w:val="single" w:color="auto" w:sz="4" w:space="0"/>
              <w:right w:val="single" w:color="auto" w:sz="4" w:space="0"/>
            </w:tcBorders>
            <w:noWrap w:val="0"/>
            <w:vAlign w:val="center"/>
          </w:tcPr>
          <w:p w14:paraId="2533C9B9">
            <w:pPr>
              <w:rPr>
                <w:color w:val="auto"/>
                <w:sz w:val="20"/>
                <w:szCs w:val="20"/>
                <w:highlight w:val="none"/>
              </w:rPr>
            </w:pPr>
          </w:p>
        </w:tc>
        <w:tc>
          <w:tcPr>
            <w:tcW w:w="851" w:type="dxa"/>
            <w:gridSpan w:val="2"/>
            <w:tcBorders>
              <w:top w:val="nil"/>
              <w:left w:val="single" w:color="auto" w:sz="4" w:space="0"/>
              <w:bottom w:val="single" w:color="000000" w:sz="4" w:space="0"/>
              <w:right w:val="single" w:color="auto" w:sz="4" w:space="0"/>
            </w:tcBorders>
            <w:noWrap w:val="0"/>
            <w:vAlign w:val="center"/>
          </w:tcPr>
          <w:p w14:paraId="2BC85059">
            <w:pPr>
              <w:jc w:val="center"/>
              <w:rPr>
                <w:color w:val="auto"/>
                <w:sz w:val="20"/>
                <w:szCs w:val="20"/>
                <w:highlight w:val="none"/>
              </w:rPr>
            </w:pPr>
            <w:r>
              <w:rPr>
                <w:color w:val="auto"/>
                <w:sz w:val="20"/>
                <w:szCs w:val="20"/>
                <w:highlight w:val="none"/>
              </w:rPr>
              <w:t>时效</w:t>
            </w:r>
          </w:p>
          <w:p w14:paraId="2444887B">
            <w:pPr>
              <w:jc w:val="center"/>
              <w:rPr>
                <w:color w:val="auto"/>
                <w:sz w:val="20"/>
                <w:szCs w:val="20"/>
                <w:highlight w:val="none"/>
              </w:rPr>
            </w:pPr>
            <w:r>
              <w:rPr>
                <w:color w:val="auto"/>
                <w:sz w:val="20"/>
                <w:szCs w:val="20"/>
                <w:highlight w:val="none"/>
              </w:rPr>
              <w:t>指标</w:t>
            </w:r>
          </w:p>
        </w:tc>
        <w:tc>
          <w:tcPr>
            <w:tcW w:w="850" w:type="dxa"/>
            <w:gridSpan w:val="2"/>
            <w:tcBorders>
              <w:top w:val="nil"/>
              <w:left w:val="nil"/>
              <w:bottom w:val="single" w:color="auto" w:sz="4" w:space="0"/>
              <w:right w:val="single" w:color="auto" w:sz="4" w:space="0"/>
            </w:tcBorders>
            <w:noWrap w:val="0"/>
            <w:vAlign w:val="center"/>
          </w:tcPr>
          <w:p w14:paraId="790F24DD">
            <w:pPr>
              <w:rPr>
                <w:color w:val="auto"/>
                <w:sz w:val="20"/>
                <w:szCs w:val="20"/>
                <w:highlight w:val="none"/>
              </w:rPr>
            </w:pPr>
            <w:r>
              <w:rPr>
                <w:color w:val="auto"/>
                <w:sz w:val="20"/>
                <w:szCs w:val="20"/>
                <w:highlight w:val="none"/>
              </w:rPr>
              <w:t xml:space="preserve"> 指标1：时效</w:t>
            </w:r>
          </w:p>
        </w:tc>
        <w:tc>
          <w:tcPr>
            <w:tcW w:w="993" w:type="dxa"/>
            <w:tcBorders>
              <w:top w:val="nil"/>
              <w:left w:val="nil"/>
              <w:bottom w:val="single" w:color="auto" w:sz="4" w:space="0"/>
              <w:right w:val="single" w:color="auto" w:sz="4" w:space="0"/>
            </w:tcBorders>
            <w:noWrap w:val="0"/>
            <w:vAlign w:val="center"/>
          </w:tcPr>
          <w:p w14:paraId="790CD512">
            <w:pPr>
              <w:rPr>
                <w:color w:val="auto"/>
                <w:sz w:val="20"/>
                <w:szCs w:val="20"/>
                <w:highlight w:val="none"/>
              </w:rPr>
            </w:pPr>
            <w:r>
              <w:rPr>
                <w:color w:val="auto"/>
                <w:sz w:val="20"/>
                <w:szCs w:val="20"/>
                <w:highlight w:val="none"/>
              </w:rPr>
              <w:t>规定时间内，高效完成</w:t>
            </w:r>
          </w:p>
        </w:tc>
        <w:tc>
          <w:tcPr>
            <w:tcW w:w="1134" w:type="dxa"/>
            <w:gridSpan w:val="2"/>
            <w:tcBorders>
              <w:top w:val="nil"/>
              <w:left w:val="nil"/>
              <w:bottom w:val="single" w:color="auto" w:sz="4" w:space="0"/>
              <w:right w:val="single" w:color="auto" w:sz="4" w:space="0"/>
            </w:tcBorders>
            <w:noWrap w:val="0"/>
            <w:vAlign w:val="center"/>
          </w:tcPr>
          <w:p w14:paraId="33EC5579">
            <w:pPr>
              <w:rPr>
                <w:color w:val="auto"/>
                <w:sz w:val="20"/>
                <w:szCs w:val="20"/>
                <w:highlight w:val="none"/>
              </w:rPr>
            </w:pPr>
            <w:r>
              <w:rPr>
                <w:color w:val="auto"/>
                <w:sz w:val="20"/>
                <w:szCs w:val="20"/>
                <w:highlight w:val="none"/>
              </w:rPr>
              <w:t>规定时间内，高效完成</w:t>
            </w:r>
          </w:p>
        </w:tc>
        <w:tc>
          <w:tcPr>
            <w:tcW w:w="992" w:type="dxa"/>
            <w:tcBorders>
              <w:top w:val="nil"/>
              <w:left w:val="single" w:color="auto" w:sz="4" w:space="0"/>
              <w:bottom w:val="single" w:color="000000" w:sz="4" w:space="0"/>
              <w:right w:val="single" w:color="auto" w:sz="4" w:space="0"/>
            </w:tcBorders>
            <w:noWrap w:val="0"/>
            <w:vAlign w:val="center"/>
          </w:tcPr>
          <w:p w14:paraId="0690850F">
            <w:pPr>
              <w:jc w:val="center"/>
              <w:rPr>
                <w:color w:val="auto"/>
                <w:sz w:val="20"/>
                <w:szCs w:val="20"/>
                <w:highlight w:val="none"/>
              </w:rPr>
            </w:pPr>
            <w:r>
              <w:rPr>
                <w:color w:val="auto"/>
                <w:sz w:val="20"/>
                <w:szCs w:val="20"/>
                <w:highlight w:val="none"/>
              </w:rPr>
              <w:t>时效</w:t>
            </w:r>
          </w:p>
          <w:p w14:paraId="711EC417">
            <w:pPr>
              <w:jc w:val="center"/>
              <w:rPr>
                <w:color w:val="auto"/>
                <w:sz w:val="20"/>
                <w:szCs w:val="20"/>
                <w:highlight w:val="none"/>
              </w:rPr>
            </w:pPr>
            <w:r>
              <w:rPr>
                <w:color w:val="auto"/>
                <w:sz w:val="20"/>
                <w:szCs w:val="20"/>
                <w:highlight w:val="none"/>
              </w:rPr>
              <w:t>指标</w:t>
            </w:r>
          </w:p>
        </w:tc>
        <w:tc>
          <w:tcPr>
            <w:tcW w:w="850" w:type="dxa"/>
            <w:tcBorders>
              <w:top w:val="nil"/>
              <w:left w:val="nil"/>
              <w:bottom w:val="single" w:color="auto" w:sz="4" w:space="0"/>
              <w:right w:val="single" w:color="auto" w:sz="4" w:space="0"/>
            </w:tcBorders>
            <w:noWrap w:val="0"/>
            <w:vAlign w:val="center"/>
          </w:tcPr>
          <w:p w14:paraId="5286749A">
            <w:pPr>
              <w:rPr>
                <w:color w:val="auto"/>
                <w:sz w:val="20"/>
                <w:szCs w:val="20"/>
                <w:highlight w:val="none"/>
              </w:rPr>
            </w:pPr>
            <w:r>
              <w:rPr>
                <w:color w:val="auto"/>
                <w:sz w:val="20"/>
                <w:szCs w:val="20"/>
                <w:highlight w:val="none"/>
              </w:rPr>
              <w:t xml:space="preserve"> 指标1：时效</w:t>
            </w:r>
          </w:p>
        </w:tc>
        <w:tc>
          <w:tcPr>
            <w:tcW w:w="993" w:type="dxa"/>
            <w:gridSpan w:val="2"/>
            <w:tcBorders>
              <w:top w:val="nil"/>
              <w:left w:val="nil"/>
              <w:bottom w:val="single" w:color="auto" w:sz="4" w:space="0"/>
              <w:right w:val="single" w:color="auto" w:sz="4" w:space="0"/>
            </w:tcBorders>
            <w:noWrap w:val="0"/>
            <w:vAlign w:val="center"/>
          </w:tcPr>
          <w:p w14:paraId="583BE251">
            <w:pPr>
              <w:rPr>
                <w:color w:val="auto"/>
                <w:sz w:val="20"/>
                <w:szCs w:val="20"/>
                <w:highlight w:val="none"/>
              </w:rPr>
            </w:pPr>
            <w:r>
              <w:rPr>
                <w:color w:val="auto"/>
                <w:sz w:val="20"/>
                <w:szCs w:val="20"/>
                <w:highlight w:val="none"/>
              </w:rPr>
              <w:t>规定时间内，高效完成</w:t>
            </w:r>
          </w:p>
        </w:tc>
        <w:tc>
          <w:tcPr>
            <w:tcW w:w="1208" w:type="dxa"/>
            <w:tcBorders>
              <w:top w:val="nil"/>
              <w:left w:val="nil"/>
              <w:bottom w:val="single" w:color="auto" w:sz="4" w:space="0"/>
              <w:right w:val="single" w:color="auto" w:sz="4" w:space="0"/>
            </w:tcBorders>
            <w:noWrap w:val="0"/>
            <w:vAlign w:val="center"/>
          </w:tcPr>
          <w:p w14:paraId="16DF0FF0">
            <w:pPr>
              <w:rPr>
                <w:color w:val="auto"/>
                <w:sz w:val="20"/>
                <w:szCs w:val="20"/>
                <w:highlight w:val="none"/>
              </w:rPr>
            </w:pPr>
            <w:r>
              <w:rPr>
                <w:color w:val="auto"/>
                <w:sz w:val="20"/>
                <w:szCs w:val="20"/>
                <w:highlight w:val="none"/>
              </w:rPr>
              <w:t>规定时间内，高效完成</w:t>
            </w:r>
          </w:p>
        </w:tc>
      </w:tr>
      <w:tr w14:paraId="0646BEB4">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4F0DEA0E">
            <w:pPr>
              <w:rPr>
                <w:color w:val="auto"/>
                <w:sz w:val="20"/>
                <w:szCs w:val="20"/>
                <w:highlight w:val="none"/>
              </w:rPr>
            </w:pPr>
          </w:p>
        </w:tc>
        <w:tc>
          <w:tcPr>
            <w:tcW w:w="733" w:type="dxa"/>
            <w:vMerge w:val="continue"/>
            <w:tcBorders>
              <w:top w:val="single" w:color="auto" w:sz="4" w:space="0"/>
              <w:left w:val="single" w:color="auto" w:sz="4" w:space="0"/>
              <w:bottom w:val="single" w:color="auto" w:sz="4" w:space="0"/>
              <w:right w:val="single" w:color="auto" w:sz="4" w:space="0"/>
            </w:tcBorders>
            <w:noWrap w:val="0"/>
            <w:vAlign w:val="center"/>
          </w:tcPr>
          <w:p w14:paraId="64172C52">
            <w:pPr>
              <w:rPr>
                <w:color w:val="auto"/>
                <w:sz w:val="20"/>
                <w:szCs w:val="20"/>
                <w:highlight w:val="none"/>
              </w:rPr>
            </w:pPr>
          </w:p>
        </w:tc>
        <w:tc>
          <w:tcPr>
            <w:tcW w:w="851" w:type="dxa"/>
            <w:gridSpan w:val="2"/>
            <w:tcBorders>
              <w:top w:val="nil"/>
              <w:left w:val="single" w:color="auto" w:sz="4" w:space="0"/>
              <w:bottom w:val="single" w:color="000000" w:sz="4" w:space="0"/>
              <w:right w:val="single" w:color="auto" w:sz="4" w:space="0"/>
            </w:tcBorders>
            <w:noWrap w:val="0"/>
            <w:vAlign w:val="center"/>
          </w:tcPr>
          <w:p w14:paraId="5F234C7D">
            <w:pPr>
              <w:jc w:val="center"/>
              <w:rPr>
                <w:color w:val="auto"/>
                <w:sz w:val="20"/>
                <w:szCs w:val="20"/>
                <w:highlight w:val="none"/>
              </w:rPr>
            </w:pPr>
            <w:r>
              <w:rPr>
                <w:color w:val="auto"/>
                <w:sz w:val="20"/>
                <w:szCs w:val="20"/>
                <w:highlight w:val="none"/>
              </w:rPr>
              <w:t>成本</w:t>
            </w:r>
          </w:p>
          <w:p w14:paraId="033CDDF9">
            <w:pPr>
              <w:jc w:val="center"/>
              <w:rPr>
                <w:color w:val="auto"/>
                <w:sz w:val="20"/>
                <w:szCs w:val="20"/>
                <w:highlight w:val="none"/>
              </w:rPr>
            </w:pPr>
            <w:r>
              <w:rPr>
                <w:color w:val="auto"/>
                <w:sz w:val="20"/>
                <w:szCs w:val="20"/>
                <w:highlight w:val="none"/>
              </w:rPr>
              <w:t>指标</w:t>
            </w:r>
          </w:p>
        </w:tc>
        <w:tc>
          <w:tcPr>
            <w:tcW w:w="850" w:type="dxa"/>
            <w:gridSpan w:val="2"/>
            <w:tcBorders>
              <w:top w:val="nil"/>
              <w:left w:val="nil"/>
              <w:bottom w:val="single" w:color="auto" w:sz="4" w:space="0"/>
              <w:right w:val="single" w:color="auto" w:sz="4" w:space="0"/>
            </w:tcBorders>
            <w:noWrap w:val="0"/>
            <w:vAlign w:val="center"/>
          </w:tcPr>
          <w:p w14:paraId="7D4F84F6">
            <w:pPr>
              <w:rPr>
                <w:color w:val="auto"/>
                <w:sz w:val="20"/>
                <w:szCs w:val="20"/>
                <w:highlight w:val="none"/>
              </w:rPr>
            </w:pPr>
            <w:r>
              <w:rPr>
                <w:color w:val="auto"/>
                <w:sz w:val="20"/>
                <w:szCs w:val="20"/>
                <w:highlight w:val="none"/>
              </w:rPr>
              <w:t xml:space="preserve"> 指标1：成本</w:t>
            </w:r>
          </w:p>
        </w:tc>
        <w:tc>
          <w:tcPr>
            <w:tcW w:w="993" w:type="dxa"/>
            <w:tcBorders>
              <w:top w:val="nil"/>
              <w:left w:val="nil"/>
              <w:bottom w:val="single" w:color="auto" w:sz="4" w:space="0"/>
              <w:right w:val="single" w:color="auto" w:sz="4" w:space="0"/>
            </w:tcBorders>
            <w:noWrap w:val="0"/>
            <w:vAlign w:val="center"/>
          </w:tcPr>
          <w:p w14:paraId="082FBDF6">
            <w:pPr>
              <w:rPr>
                <w:color w:val="auto"/>
                <w:sz w:val="20"/>
                <w:szCs w:val="20"/>
                <w:highlight w:val="none"/>
              </w:rPr>
            </w:pPr>
            <w:r>
              <w:rPr>
                <w:color w:val="auto"/>
                <w:sz w:val="20"/>
                <w:szCs w:val="20"/>
                <w:highlight w:val="none"/>
              </w:rPr>
              <w:t>体检所需耗材、设备、人工等成本</w:t>
            </w:r>
          </w:p>
        </w:tc>
        <w:tc>
          <w:tcPr>
            <w:tcW w:w="1134" w:type="dxa"/>
            <w:gridSpan w:val="2"/>
            <w:tcBorders>
              <w:top w:val="nil"/>
              <w:left w:val="nil"/>
              <w:bottom w:val="single" w:color="auto" w:sz="4" w:space="0"/>
              <w:right w:val="single" w:color="auto" w:sz="4" w:space="0"/>
            </w:tcBorders>
            <w:noWrap w:val="0"/>
            <w:vAlign w:val="center"/>
          </w:tcPr>
          <w:p w14:paraId="200CC185">
            <w:pPr>
              <w:rPr>
                <w:color w:val="auto"/>
                <w:sz w:val="20"/>
                <w:szCs w:val="20"/>
                <w:highlight w:val="none"/>
              </w:rPr>
            </w:pPr>
            <w:r>
              <w:rPr>
                <w:color w:val="auto"/>
                <w:sz w:val="20"/>
                <w:szCs w:val="20"/>
                <w:highlight w:val="none"/>
              </w:rPr>
              <w:t>体检所需耗材、设备、人工等成本</w:t>
            </w:r>
          </w:p>
        </w:tc>
        <w:tc>
          <w:tcPr>
            <w:tcW w:w="992" w:type="dxa"/>
            <w:tcBorders>
              <w:top w:val="nil"/>
              <w:left w:val="single" w:color="auto" w:sz="4" w:space="0"/>
              <w:bottom w:val="single" w:color="000000" w:sz="4" w:space="0"/>
              <w:right w:val="single" w:color="auto" w:sz="4" w:space="0"/>
            </w:tcBorders>
            <w:noWrap w:val="0"/>
            <w:vAlign w:val="center"/>
          </w:tcPr>
          <w:p w14:paraId="5BE096AF">
            <w:pPr>
              <w:jc w:val="center"/>
              <w:rPr>
                <w:color w:val="auto"/>
                <w:sz w:val="20"/>
                <w:szCs w:val="20"/>
                <w:highlight w:val="none"/>
              </w:rPr>
            </w:pPr>
            <w:r>
              <w:rPr>
                <w:color w:val="auto"/>
                <w:sz w:val="20"/>
                <w:szCs w:val="20"/>
                <w:highlight w:val="none"/>
              </w:rPr>
              <w:t>成本</w:t>
            </w:r>
          </w:p>
          <w:p w14:paraId="5F3DEE8E">
            <w:pPr>
              <w:jc w:val="center"/>
              <w:rPr>
                <w:color w:val="auto"/>
                <w:sz w:val="20"/>
                <w:szCs w:val="20"/>
                <w:highlight w:val="none"/>
              </w:rPr>
            </w:pPr>
            <w:r>
              <w:rPr>
                <w:color w:val="auto"/>
                <w:sz w:val="20"/>
                <w:szCs w:val="20"/>
                <w:highlight w:val="none"/>
              </w:rPr>
              <w:t>指标</w:t>
            </w:r>
          </w:p>
        </w:tc>
        <w:tc>
          <w:tcPr>
            <w:tcW w:w="850" w:type="dxa"/>
            <w:tcBorders>
              <w:top w:val="nil"/>
              <w:left w:val="nil"/>
              <w:bottom w:val="single" w:color="auto" w:sz="4" w:space="0"/>
              <w:right w:val="single" w:color="auto" w:sz="4" w:space="0"/>
            </w:tcBorders>
            <w:noWrap w:val="0"/>
            <w:vAlign w:val="center"/>
          </w:tcPr>
          <w:p w14:paraId="79C86A99">
            <w:pPr>
              <w:rPr>
                <w:color w:val="auto"/>
                <w:sz w:val="20"/>
                <w:szCs w:val="20"/>
                <w:highlight w:val="none"/>
              </w:rPr>
            </w:pPr>
            <w:r>
              <w:rPr>
                <w:color w:val="auto"/>
                <w:sz w:val="20"/>
                <w:szCs w:val="20"/>
                <w:highlight w:val="none"/>
              </w:rPr>
              <w:t xml:space="preserve"> 指标1：成本</w:t>
            </w:r>
          </w:p>
        </w:tc>
        <w:tc>
          <w:tcPr>
            <w:tcW w:w="993" w:type="dxa"/>
            <w:gridSpan w:val="2"/>
            <w:tcBorders>
              <w:top w:val="nil"/>
              <w:left w:val="nil"/>
              <w:bottom w:val="single" w:color="auto" w:sz="4" w:space="0"/>
              <w:right w:val="single" w:color="auto" w:sz="4" w:space="0"/>
            </w:tcBorders>
            <w:noWrap w:val="0"/>
            <w:vAlign w:val="center"/>
          </w:tcPr>
          <w:p w14:paraId="4A8DE6B8">
            <w:pPr>
              <w:rPr>
                <w:color w:val="auto"/>
                <w:sz w:val="20"/>
                <w:szCs w:val="20"/>
                <w:highlight w:val="none"/>
              </w:rPr>
            </w:pPr>
            <w:r>
              <w:rPr>
                <w:color w:val="auto"/>
                <w:sz w:val="20"/>
                <w:szCs w:val="20"/>
                <w:highlight w:val="none"/>
              </w:rPr>
              <w:t>体检所需耗材、设备、人工等成本</w:t>
            </w:r>
          </w:p>
        </w:tc>
        <w:tc>
          <w:tcPr>
            <w:tcW w:w="1208" w:type="dxa"/>
            <w:tcBorders>
              <w:top w:val="nil"/>
              <w:left w:val="nil"/>
              <w:bottom w:val="single" w:color="auto" w:sz="4" w:space="0"/>
              <w:right w:val="single" w:color="auto" w:sz="4" w:space="0"/>
            </w:tcBorders>
            <w:noWrap w:val="0"/>
            <w:vAlign w:val="center"/>
          </w:tcPr>
          <w:p w14:paraId="6B5FC90D">
            <w:pPr>
              <w:rPr>
                <w:color w:val="auto"/>
                <w:sz w:val="20"/>
                <w:szCs w:val="20"/>
                <w:highlight w:val="none"/>
              </w:rPr>
            </w:pPr>
            <w:r>
              <w:rPr>
                <w:color w:val="auto"/>
                <w:sz w:val="20"/>
                <w:szCs w:val="20"/>
                <w:highlight w:val="none"/>
              </w:rPr>
              <w:t>体检所需耗材、设备、人工等成本</w:t>
            </w:r>
          </w:p>
        </w:tc>
      </w:tr>
      <w:tr w14:paraId="759236CC">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7C1D1363">
            <w:pPr>
              <w:rPr>
                <w:color w:val="auto"/>
                <w:sz w:val="20"/>
                <w:szCs w:val="20"/>
                <w:highlight w:val="none"/>
              </w:rPr>
            </w:pPr>
          </w:p>
        </w:tc>
        <w:tc>
          <w:tcPr>
            <w:tcW w:w="733" w:type="dxa"/>
            <w:vMerge w:val="restart"/>
            <w:tcBorders>
              <w:top w:val="nil"/>
              <w:left w:val="single" w:color="auto" w:sz="4" w:space="0"/>
              <w:bottom w:val="single" w:color="auto" w:sz="4" w:space="0"/>
              <w:right w:val="single" w:color="auto" w:sz="4" w:space="0"/>
            </w:tcBorders>
            <w:noWrap w:val="0"/>
            <w:vAlign w:val="center"/>
          </w:tcPr>
          <w:p w14:paraId="2CD27C3B">
            <w:pPr>
              <w:jc w:val="center"/>
              <w:rPr>
                <w:color w:val="auto"/>
                <w:sz w:val="20"/>
                <w:szCs w:val="20"/>
                <w:highlight w:val="none"/>
              </w:rPr>
            </w:pPr>
            <w:r>
              <w:rPr>
                <w:color w:val="auto"/>
                <w:sz w:val="20"/>
                <w:szCs w:val="20"/>
                <w:highlight w:val="none"/>
              </w:rPr>
              <w:t>效</w:t>
            </w:r>
            <w:r>
              <w:rPr>
                <w:color w:val="auto"/>
                <w:sz w:val="20"/>
                <w:szCs w:val="20"/>
                <w:highlight w:val="none"/>
              </w:rPr>
              <w:br w:type="textWrapping"/>
            </w:r>
            <w:r>
              <w:rPr>
                <w:color w:val="auto"/>
                <w:sz w:val="20"/>
                <w:szCs w:val="20"/>
                <w:highlight w:val="none"/>
              </w:rPr>
              <w:t>益</w:t>
            </w:r>
            <w:r>
              <w:rPr>
                <w:color w:val="auto"/>
                <w:sz w:val="20"/>
                <w:szCs w:val="20"/>
                <w:highlight w:val="none"/>
              </w:rPr>
              <w:br w:type="textWrapping"/>
            </w:r>
            <w:r>
              <w:rPr>
                <w:color w:val="auto"/>
                <w:sz w:val="20"/>
                <w:szCs w:val="20"/>
                <w:highlight w:val="none"/>
              </w:rPr>
              <w:t>指</w:t>
            </w:r>
            <w:r>
              <w:rPr>
                <w:color w:val="auto"/>
                <w:sz w:val="20"/>
                <w:szCs w:val="20"/>
                <w:highlight w:val="none"/>
              </w:rPr>
              <w:br w:type="textWrapping"/>
            </w:r>
            <w:r>
              <w:rPr>
                <w:color w:val="auto"/>
                <w:sz w:val="20"/>
                <w:szCs w:val="20"/>
                <w:highlight w:val="none"/>
              </w:rPr>
              <w:t>标</w:t>
            </w:r>
          </w:p>
        </w:tc>
        <w:tc>
          <w:tcPr>
            <w:tcW w:w="851" w:type="dxa"/>
            <w:gridSpan w:val="2"/>
            <w:tcBorders>
              <w:top w:val="nil"/>
              <w:left w:val="single" w:color="auto" w:sz="4" w:space="0"/>
              <w:bottom w:val="single" w:color="000000" w:sz="4" w:space="0"/>
              <w:right w:val="single" w:color="auto" w:sz="4" w:space="0"/>
            </w:tcBorders>
            <w:noWrap w:val="0"/>
            <w:vAlign w:val="center"/>
          </w:tcPr>
          <w:p w14:paraId="7FA9E6AA">
            <w:pPr>
              <w:jc w:val="center"/>
              <w:rPr>
                <w:color w:val="auto"/>
                <w:sz w:val="20"/>
                <w:szCs w:val="20"/>
                <w:highlight w:val="none"/>
              </w:rPr>
            </w:pPr>
            <w:r>
              <w:rPr>
                <w:color w:val="auto"/>
                <w:sz w:val="20"/>
                <w:szCs w:val="20"/>
                <w:highlight w:val="none"/>
              </w:rPr>
              <w:t>经济效益指标</w:t>
            </w:r>
          </w:p>
        </w:tc>
        <w:tc>
          <w:tcPr>
            <w:tcW w:w="850" w:type="dxa"/>
            <w:gridSpan w:val="2"/>
            <w:tcBorders>
              <w:top w:val="nil"/>
              <w:left w:val="nil"/>
              <w:bottom w:val="single" w:color="auto" w:sz="4" w:space="0"/>
              <w:right w:val="single" w:color="auto" w:sz="4" w:space="0"/>
            </w:tcBorders>
            <w:noWrap w:val="0"/>
            <w:vAlign w:val="center"/>
          </w:tcPr>
          <w:p w14:paraId="046D9512">
            <w:pPr>
              <w:rPr>
                <w:color w:val="auto"/>
                <w:sz w:val="20"/>
                <w:szCs w:val="20"/>
                <w:highlight w:val="none"/>
              </w:rPr>
            </w:pPr>
            <w:r>
              <w:rPr>
                <w:color w:val="auto"/>
                <w:sz w:val="20"/>
                <w:szCs w:val="20"/>
                <w:highlight w:val="none"/>
              </w:rPr>
              <w:t xml:space="preserve"> 指标1：经济效益</w:t>
            </w:r>
          </w:p>
        </w:tc>
        <w:tc>
          <w:tcPr>
            <w:tcW w:w="993" w:type="dxa"/>
            <w:tcBorders>
              <w:top w:val="nil"/>
              <w:left w:val="nil"/>
              <w:bottom w:val="single" w:color="auto" w:sz="4" w:space="0"/>
              <w:right w:val="single" w:color="auto" w:sz="4" w:space="0"/>
            </w:tcBorders>
            <w:noWrap w:val="0"/>
            <w:vAlign w:val="center"/>
          </w:tcPr>
          <w:p w14:paraId="48845079">
            <w:pPr>
              <w:rPr>
                <w:color w:val="auto"/>
                <w:sz w:val="20"/>
                <w:szCs w:val="20"/>
                <w:highlight w:val="none"/>
              </w:rPr>
            </w:pPr>
            <w:r>
              <w:rPr>
                <w:color w:val="auto"/>
                <w:sz w:val="20"/>
                <w:szCs w:val="20"/>
                <w:highlight w:val="none"/>
              </w:rPr>
              <w:t>预防性体检，减少医疗等成本支出</w:t>
            </w:r>
          </w:p>
        </w:tc>
        <w:tc>
          <w:tcPr>
            <w:tcW w:w="1134" w:type="dxa"/>
            <w:gridSpan w:val="2"/>
            <w:tcBorders>
              <w:top w:val="nil"/>
              <w:left w:val="nil"/>
              <w:bottom w:val="single" w:color="auto" w:sz="4" w:space="0"/>
              <w:right w:val="single" w:color="auto" w:sz="4" w:space="0"/>
            </w:tcBorders>
            <w:noWrap w:val="0"/>
            <w:vAlign w:val="center"/>
          </w:tcPr>
          <w:p w14:paraId="2F6A2C00">
            <w:pPr>
              <w:rPr>
                <w:color w:val="auto"/>
                <w:sz w:val="20"/>
                <w:szCs w:val="20"/>
                <w:highlight w:val="none"/>
              </w:rPr>
            </w:pPr>
            <w:r>
              <w:rPr>
                <w:color w:val="auto"/>
                <w:sz w:val="20"/>
                <w:szCs w:val="20"/>
                <w:highlight w:val="none"/>
              </w:rPr>
              <w:t>预防性体检，减少医疗等成本支出</w:t>
            </w:r>
          </w:p>
        </w:tc>
        <w:tc>
          <w:tcPr>
            <w:tcW w:w="992" w:type="dxa"/>
            <w:tcBorders>
              <w:top w:val="nil"/>
              <w:left w:val="single" w:color="auto" w:sz="4" w:space="0"/>
              <w:bottom w:val="single" w:color="000000" w:sz="4" w:space="0"/>
              <w:right w:val="single" w:color="auto" w:sz="4" w:space="0"/>
            </w:tcBorders>
            <w:noWrap w:val="0"/>
            <w:vAlign w:val="center"/>
          </w:tcPr>
          <w:p w14:paraId="23F94B47">
            <w:pPr>
              <w:jc w:val="center"/>
              <w:rPr>
                <w:color w:val="auto"/>
                <w:sz w:val="20"/>
                <w:szCs w:val="20"/>
                <w:highlight w:val="none"/>
              </w:rPr>
            </w:pPr>
            <w:r>
              <w:rPr>
                <w:color w:val="auto"/>
                <w:sz w:val="20"/>
                <w:szCs w:val="20"/>
                <w:highlight w:val="none"/>
              </w:rPr>
              <w:t>经济效</w:t>
            </w:r>
          </w:p>
          <w:p w14:paraId="665E0373">
            <w:pPr>
              <w:jc w:val="center"/>
              <w:rPr>
                <w:color w:val="auto"/>
                <w:sz w:val="20"/>
                <w:szCs w:val="20"/>
                <w:highlight w:val="none"/>
              </w:rPr>
            </w:pPr>
            <w:r>
              <w:rPr>
                <w:color w:val="auto"/>
                <w:sz w:val="20"/>
                <w:szCs w:val="20"/>
                <w:highlight w:val="none"/>
              </w:rPr>
              <w:t>益指标</w:t>
            </w:r>
          </w:p>
        </w:tc>
        <w:tc>
          <w:tcPr>
            <w:tcW w:w="850" w:type="dxa"/>
            <w:tcBorders>
              <w:top w:val="nil"/>
              <w:left w:val="nil"/>
              <w:bottom w:val="single" w:color="auto" w:sz="4" w:space="0"/>
              <w:right w:val="single" w:color="auto" w:sz="4" w:space="0"/>
            </w:tcBorders>
            <w:noWrap w:val="0"/>
            <w:vAlign w:val="center"/>
          </w:tcPr>
          <w:p w14:paraId="0B815108">
            <w:pPr>
              <w:rPr>
                <w:color w:val="auto"/>
                <w:sz w:val="20"/>
                <w:szCs w:val="20"/>
                <w:highlight w:val="none"/>
              </w:rPr>
            </w:pPr>
            <w:r>
              <w:rPr>
                <w:color w:val="auto"/>
                <w:sz w:val="20"/>
                <w:szCs w:val="20"/>
                <w:highlight w:val="none"/>
              </w:rPr>
              <w:t xml:space="preserve"> 指标1：经济效益</w:t>
            </w:r>
          </w:p>
        </w:tc>
        <w:tc>
          <w:tcPr>
            <w:tcW w:w="993" w:type="dxa"/>
            <w:gridSpan w:val="2"/>
            <w:tcBorders>
              <w:top w:val="nil"/>
              <w:left w:val="nil"/>
              <w:bottom w:val="single" w:color="auto" w:sz="4" w:space="0"/>
              <w:right w:val="single" w:color="auto" w:sz="4" w:space="0"/>
            </w:tcBorders>
            <w:noWrap w:val="0"/>
            <w:vAlign w:val="center"/>
          </w:tcPr>
          <w:p w14:paraId="4B26509E">
            <w:pPr>
              <w:rPr>
                <w:color w:val="auto"/>
                <w:sz w:val="20"/>
                <w:szCs w:val="20"/>
                <w:highlight w:val="none"/>
              </w:rPr>
            </w:pPr>
            <w:r>
              <w:rPr>
                <w:color w:val="auto"/>
                <w:sz w:val="20"/>
                <w:szCs w:val="20"/>
                <w:highlight w:val="none"/>
              </w:rPr>
              <w:t>预防性体检，减少医疗等成本支出</w:t>
            </w:r>
          </w:p>
        </w:tc>
        <w:tc>
          <w:tcPr>
            <w:tcW w:w="1208" w:type="dxa"/>
            <w:tcBorders>
              <w:top w:val="nil"/>
              <w:left w:val="nil"/>
              <w:bottom w:val="single" w:color="auto" w:sz="4" w:space="0"/>
              <w:right w:val="single" w:color="auto" w:sz="4" w:space="0"/>
            </w:tcBorders>
            <w:noWrap w:val="0"/>
            <w:vAlign w:val="center"/>
          </w:tcPr>
          <w:p w14:paraId="7365D57F">
            <w:pPr>
              <w:rPr>
                <w:color w:val="auto"/>
                <w:sz w:val="20"/>
                <w:szCs w:val="20"/>
                <w:highlight w:val="none"/>
              </w:rPr>
            </w:pPr>
            <w:r>
              <w:rPr>
                <w:color w:val="auto"/>
                <w:sz w:val="20"/>
                <w:szCs w:val="20"/>
                <w:highlight w:val="none"/>
              </w:rPr>
              <w:t>预防性体检，减少医疗等成本支出</w:t>
            </w:r>
          </w:p>
        </w:tc>
      </w:tr>
      <w:tr w14:paraId="21628980">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09C8B9B9">
            <w:pPr>
              <w:rPr>
                <w:color w:val="auto"/>
                <w:sz w:val="20"/>
                <w:szCs w:val="20"/>
                <w:highlight w:val="none"/>
              </w:rPr>
            </w:pPr>
          </w:p>
        </w:tc>
        <w:tc>
          <w:tcPr>
            <w:tcW w:w="733" w:type="dxa"/>
            <w:vMerge w:val="continue"/>
            <w:tcBorders>
              <w:top w:val="nil"/>
              <w:left w:val="single" w:color="auto" w:sz="4" w:space="0"/>
              <w:bottom w:val="single" w:color="auto" w:sz="4" w:space="0"/>
              <w:right w:val="single" w:color="auto" w:sz="4" w:space="0"/>
            </w:tcBorders>
            <w:noWrap w:val="0"/>
            <w:vAlign w:val="center"/>
          </w:tcPr>
          <w:p w14:paraId="42B9C28C">
            <w:pPr>
              <w:rPr>
                <w:color w:val="auto"/>
                <w:sz w:val="20"/>
                <w:szCs w:val="20"/>
                <w:highlight w:val="none"/>
              </w:rPr>
            </w:pPr>
          </w:p>
        </w:tc>
        <w:tc>
          <w:tcPr>
            <w:tcW w:w="851" w:type="dxa"/>
            <w:gridSpan w:val="2"/>
            <w:tcBorders>
              <w:top w:val="nil"/>
              <w:left w:val="single" w:color="auto" w:sz="4" w:space="0"/>
              <w:bottom w:val="single" w:color="000000" w:sz="4" w:space="0"/>
              <w:right w:val="single" w:color="auto" w:sz="4" w:space="0"/>
            </w:tcBorders>
            <w:noWrap w:val="0"/>
            <w:vAlign w:val="center"/>
          </w:tcPr>
          <w:p w14:paraId="57D99989">
            <w:pPr>
              <w:jc w:val="center"/>
              <w:rPr>
                <w:color w:val="auto"/>
                <w:sz w:val="20"/>
                <w:szCs w:val="20"/>
                <w:highlight w:val="none"/>
              </w:rPr>
            </w:pPr>
            <w:r>
              <w:rPr>
                <w:color w:val="auto"/>
                <w:sz w:val="20"/>
                <w:szCs w:val="20"/>
                <w:highlight w:val="none"/>
              </w:rPr>
              <w:t>社会效益指标</w:t>
            </w:r>
          </w:p>
        </w:tc>
        <w:tc>
          <w:tcPr>
            <w:tcW w:w="850" w:type="dxa"/>
            <w:gridSpan w:val="2"/>
            <w:tcBorders>
              <w:top w:val="nil"/>
              <w:left w:val="nil"/>
              <w:bottom w:val="single" w:color="auto" w:sz="4" w:space="0"/>
              <w:right w:val="single" w:color="auto" w:sz="4" w:space="0"/>
            </w:tcBorders>
            <w:noWrap w:val="0"/>
            <w:vAlign w:val="center"/>
          </w:tcPr>
          <w:p w14:paraId="5BFF4E82">
            <w:pPr>
              <w:rPr>
                <w:color w:val="auto"/>
                <w:sz w:val="20"/>
                <w:szCs w:val="20"/>
                <w:highlight w:val="none"/>
              </w:rPr>
            </w:pPr>
            <w:r>
              <w:rPr>
                <w:color w:val="auto"/>
                <w:sz w:val="20"/>
                <w:szCs w:val="20"/>
                <w:highlight w:val="none"/>
              </w:rPr>
              <w:t xml:space="preserve"> 指标1：社会效益</w:t>
            </w:r>
          </w:p>
        </w:tc>
        <w:tc>
          <w:tcPr>
            <w:tcW w:w="993" w:type="dxa"/>
            <w:tcBorders>
              <w:top w:val="nil"/>
              <w:left w:val="nil"/>
              <w:bottom w:val="single" w:color="auto" w:sz="4" w:space="0"/>
              <w:right w:val="single" w:color="auto" w:sz="4" w:space="0"/>
            </w:tcBorders>
            <w:noWrap w:val="0"/>
            <w:vAlign w:val="center"/>
          </w:tcPr>
          <w:p w14:paraId="5CD0C1D3">
            <w:pPr>
              <w:rPr>
                <w:color w:val="auto"/>
                <w:sz w:val="20"/>
                <w:szCs w:val="20"/>
                <w:highlight w:val="none"/>
              </w:rPr>
            </w:pPr>
            <w:r>
              <w:rPr>
                <w:color w:val="auto"/>
                <w:sz w:val="20"/>
                <w:szCs w:val="20"/>
                <w:highlight w:val="none"/>
              </w:rPr>
              <w:t>保障我市食品安全和消费者的身体健康。</w:t>
            </w:r>
          </w:p>
        </w:tc>
        <w:tc>
          <w:tcPr>
            <w:tcW w:w="1134" w:type="dxa"/>
            <w:gridSpan w:val="2"/>
            <w:tcBorders>
              <w:top w:val="nil"/>
              <w:left w:val="nil"/>
              <w:bottom w:val="single" w:color="auto" w:sz="4" w:space="0"/>
              <w:right w:val="single" w:color="auto" w:sz="4" w:space="0"/>
            </w:tcBorders>
            <w:noWrap w:val="0"/>
            <w:vAlign w:val="center"/>
          </w:tcPr>
          <w:p w14:paraId="1A373C2F">
            <w:pPr>
              <w:rPr>
                <w:color w:val="auto"/>
                <w:sz w:val="20"/>
                <w:szCs w:val="20"/>
                <w:highlight w:val="none"/>
              </w:rPr>
            </w:pPr>
            <w:r>
              <w:rPr>
                <w:color w:val="auto"/>
                <w:sz w:val="20"/>
                <w:szCs w:val="20"/>
                <w:highlight w:val="none"/>
              </w:rPr>
              <w:t>保障我市食品安全和消费者的身体健康。</w:t>
            </w:r>
          </w:p>
        </w:tc>
        <w:tc>
          <w:tcPr>
            <w:tcW w:w="992" w:type="dxa"/>
            <w:tcBorders>
              <w:top w:val="nil"/>
              <w:left w:val="single" w:color="auto" w:sz="4" w:space="0"/>
              <w:bottom w:val="single" w:color="000000" w:sz="4" w:space="0"/>
              <w:right w:val="single" w:color="auto" w:sz="4" w:space="0"/>
            </w:tcBorders>
            <w:noWrap w:val="0"/>
            <w:vAlign w:val="center"/>
          </w:tcPr>
          <w:p w14:paraId="7FA6F5C5">
            <w:pPr>
              <w:jc w:val="center"/>
              <w:rPr>
                <w:color w:val="auto"/>
                <w:sz w:val="20"/>
                <w:szCs w:val="20"/>
                <w:highlight w:val="none"/>
              </w:rPr>
            </w:pPr>
            <w:r>
              <w:rPr>
                <w:color w:val="auto"/>
                <w:sz w:val="20"/>
                <w:szCs w:val="20"/>
                <w:highlight w:val="none"/>
              </w:rPr>
              <w:t>社会效</w:t>
            </w:r>
          </w:p>
          <w:p w14:paraId="6189C9DB">
            <w:pPr>
              <w:jc w:val="center"/>
              <w:rPr>
                <w:color w:val="auto"/>
                <w:sz w:val="20"/>
                <w:szCs w:val="20"/>
                <w:highlight w:val="none"/>
              </w:rPr>
            </w:pPr>
            <w:r>
              <w:rPr>
                <w:color w:val="auto"/>
                <w:sz w:val="20"/>
                <w:szCs w:val="20"/>
                <w:highlight w:val="none"/>
              </w:rPr>
              <w:t>益指标</w:t>
            </w:r>
          </w:p>
        </w:tc>
        <w:tc>
          <w:tcPr>
            <w:tcW w:w="850" w:type="dxa"/>
            <w:tcBorders>
              <w:top w:val="nil"/>
              <w:left w:val="nil"/>
              <w:bottom w:val="single" w:color="auto" w:sz="4" w:space="0"/>
              <w:right w:val="single" w:color="auto" w:sz="4" w:space="0"/>
            </w:tcBorders>
            <w:noWrap w:val="0"/>
            <w:vAlign w:val="center"/>
          </w:tcPr>
          <w:p w14:paraId="1B9B6736">
            <w:pPr>
              <w:rPr>
                <w:color w:val="auto"/>
                <w:sz w:val="20"/>
                <w:szCs w:val="20"/>
                <w:highlight w:val="none"/>
              </w:rPr>
            </w:pPr>
            <w:r>
              <w:rPr>
                <w:color w:val="auto"/>
                <w:sz w:val="20"/>
                <w:szCs w:val="20"/>
                <w:highlight w:val="none"/>
              </w:rPr>
              <w:t xml:space="preserve"> 指标1：社会效益</w:t>
            </w:r>
          </w:p>
        </w:tc>
        <w:tc>
          <w:tcPr>
            <w:tcW w:w="993" w:type="dxa"/>
            <w:gridSpan w:val="2"/>
            <w:tcBorders>
              <w:top w:val="nil"/>
              <w:left w:val="nil"/>
              <w:bottom w:val="single" w:color="auto" w:sz="4" w:space="0"/>
              <w:right w:val="single" w:color="auto" w:sz="4" w:space="0"/>
            </w:tcBorders>
            <w:noWrap w:val="0"/>
            <w:vAlign w:val="center"/>
          </w:tcPr>
          <w:p w14:paraId="0BFDAE74">
            <w:pPr>
              <w:rPr>
                <w:color w:val="auto"/>
                <w:sz w:val="20"/>
                <w:szCs w:val="20"/>
                <w:highlight w:val="none"/>
              </w:rPr>
            </w:pPr>
            <w:r>
              <w:rPr>
                <w:color w:val="auto"/>
                <w:sz w:val="20"/>
                <w:szCs w:val="20"/>
                <w:highlight w:val="none"/>
              </w:rPr>
              <w:t>保障我市食品安全和消费者的身体健康。</w:t>
            </w:r>
          </w:p>
        </w:tc>
        <w:tc>
          <w:tcPr>
            <w:tcW w:w="1208" w:type="dxa"/>
            <w:tcBorders>
              <w:top w:val="nil"/>
              <w:left w:val="nil"/>
              <w:bottom w:val="single" w:color="auto" w:sz="4" w:space="0"/>
              <w:right w:val="single" w:color="auto" w:sz="4" w:space="0"/>
            </w:tcBorders>
            <w:noWrap w:val="0"/>
            <w:vAlign w:val="center"/>
          </w:tcPr>
          <w:p w14:paraId="4C394A83">
            <w:pPr>
              <w:rPr>
                <w:color w:val="auto"/>
                <w:sz w:val="20"/>
                <w:szCs w:val="20"/>
                <w:highlight w:val="none"/>
              </w:rPr>
            </w:pPr>
            <w:r>
              <w:rPr>
                <w:color w:val="auto"/>
                <w:sz w:val="20"/>
                <w:szCs w:val="20"/>
                <w:highlight w:val="none"/>
              </w:rPr>
              <w:t>保障我市食品安全和消费者的身体健康。</w:t>
            </w:r>
          </w:p>
        </w:tc>
      </w:tr>
      <w:tr w14:paraId="26003F54">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265B09BE">
            <w:pPr>
              <w:rPr>
                <w:color w:val="auto"/>
                <w:sz w:val="20"/>
                <w:szCs w:val="20"/>
                <w:highlight w:val="none"/>
              </w:rPr>
            </w:pPr>
          </w:p>
        </w:tc>
        <w:tc>
          <w:tcPr>
            <w:tcW w:w="733" w:type="dxa"/>
            <w:vMerge w:val="continue"/>
            <w:tcBorders>
              <w:top w:val="nil"/>
              <w:left w:val="single" w:color="auto" w:sz="4" w:space="0"/>
              <w:bottom w:val="single" w:color="auto" w:sz="4" w:space="0"/>
              <w:right w:val="single" w:color="auto" w:sz="4" w:space="0"/>
            </w:tcBorders>
            <w:noWrap w:val="0"/>
            <w:vAlign w:val="center"/>
          </w:tcPr>
          <w:p w14:paraId="1B75AA7C">
            <w:pPr>
              <w:rPr>
                <w:color w:val="auto"/>
                <w:sz w:val="20"/>
                <w:szCs w:val="20"/>
                <w:highlight w:val="none"/>
              </w:rPr>
            </w:pPr>
          </w:p>
        </w:tc>
        <w:tc>
          <w:tcPr>
            <w:tcW w:w="851" w:type="dxa"/>
            <w:gridSpan w:val="2"/>
            <w:tcBorders>
              <w:top w:val="nil"/>
              <w:left w:val="single" w:color="auto" w:sz="4" w:space="0"/>
              <w:bottom w:val="single" w:color="000000" w:sz="4" w:space="0"/>
              <w:right w:val="single" w:color="auto" w:sz="4" w:space="0"/>
            </w:tcBorders>
            <w:noWrap w:val="0"/>
            <w:vAlign w:val="center"/>
          </w:tcPr>
          <w:p w14:paraId="4D9524E3">
            <w:pPr>
              <w:jc w:val="center"/>
              <w:rPr>
                <w:color w:val="auto"/>
                <w:sz w:val="20"/>
                <w:szCs w:val="20"/>
                <w:highlight w:val="none"/>
              </w:rPr>
            </w:pPr>
            <w:r>
              <w:rPr>
                <w:color w:val="auto"/>
                <w:sz w:val="20"/>
                <w:szCs w:val="20"/>
                <w:highlight w:val="none"/>
              </w:rPr>
              <w:t>生态效益指标</w:t>
            </w:r>
          </w:p>
        </w:tc>
        <w:tc>
          <w:tcPr>
            <w:tcW w:w="850" w:type="dxa"/>
            <w:gridSpan w:val="2"/>
            <w:tcBorders>
              <w:top w:val="nil"/>
              <w:left w:val="nil"/>
              <w:bottom w:val="single" w:color="auto" w:sz="4" w:space="0"/>
              <w:right w:val="single" w:color="auto" w:sz="4" w:space="0"/>
            </w:tcBorders>
            <w:noWrap w:val="0"/>
            <w:vAlign w:val="center"/>
          </w:tcPr>
          <w:p w14:paraId="50FB18A1">
            <w:pPr>
              <w:rPr>
                <w:color w:val="auto"/>
                <w:sz w:val="20"/>
                <w:szCs w:val="20"/>
                <w:highlight w:val="none"/>
              </w:rPr>
            </w:pPr>
            <w:r>
              <w:rPr>
                <w:color w:val="auto"/>
                <w:sz w:val="20"/>
                <w:szCs w:val="20"/>
                <w:highlight w:val="none"/>
              </w:rPr>
              <w:t xml:space="preserve"> 指标1：生态效益</w:t>
            </w:r>
          </w:p>
        </w:tc>
        <w:tc>
          <w:tcPr>
            <w:tcW w:w="993" w:type="dxa"/>
            <w:tcBorders>
              <w:top w:val="nil"/>
              <w:left w:val="nil"/>
              <w:bottom w:val="single" w:color="auto" w:sz="4" w:space="0"/>
              <w:right w:val="single" w:color="auto" w:sz="4" w:space="0"/>
            </w:tcBorders>
            <w:noWrap w:val="0"/>
            <w:vAlign w:val="center"/>
          </w:tcPr>
          <w:p w14:paraId="59CBA2BE">
            <w:pPr>
              <w:rPr>
                <w:color w:val="auto"/>
                <w:sz w:val="20"/>
                <w:szCs w:val="20"/>
                <w:highlight w:val="none"/>
              </w:rPr>
            </w:pPr>
            <w:r>
              <w:rPr>
                <w:color w:val="auto"/>
                <w:sz w:val="20"/>
                <w:szCs w:val="20"/>
                <w:highlight w:val="none"/>
              </w:rPr>
              <w:t>提高公共卫生服务水平，优化环境</w:t>
            </w:r>
          </w:p>
        </w:tc>
        <w:tc>
          <w:tcPr>
            <w:tcW w:w="1134" w:type="dxa"/>
            <w:gridSpan w:val="2"/>
            <w:tcBorders>
              <w:top w:val="nil"/>
              <w:left w:val="nil"/>
              <w:bottom w:val="single" w:color="auto" w:sz="4" w:space="0"/>
              <w:right w:val="single" w:color="auto" w:sz="4" w:space="0"/>
            </w:tcBorders>
            <w:noWrap w:val="0"/>
            <w:vAlign w:val="center"/>
          </w:tcPr>
          <w:p w14:paraId="041F225E">
            <w:pPr>
              <w:rPr>
                <w:color w:val="auto"/>
                <w:sz w:val="20"/>
                <w:szCs w:val="20"/>
                <w:highlight w:val="none"/>
              </w:rPr>
            </w:pPr>
            <w:r>
              <w:rPr>
                <w:color w:val="auto"/>
                <w:sz w:val="20"/>
                <w:szCs w:val="20"/>
                <w:highlight w:val="none"/>
              </w:rPr>
              <w:t>提高公共卫生服务水平，优化环境</w:t>
            </w:r>
          </w:p>
        </w:tc>
        <w:tc>
          <w:tcPr>
            <w:tcW w:w="992" w:type="dxa"/>
            <w:tcBorders>
              <w:top w:val="nil"/>
              <w:left w:val="single" w:color="auto" w:sz="4" w:space="0"/>
              <w:bottom w:val="single" w:color="000000" w:sz="4" w:space="0"/>
              <w:right w:val="single" w:color="auto" w:sz="4" w:space="0"/>
            </w:tcBorders>
            <w:noWrap w:val="0"/>
            <w:vAlign w:val="center"/>
          </w:tcPr>
          <w:p w14:paraId="48804AEA">
            <w:pPr>
              <w:jc w:val="center"/>
              <w:rPr>
                <w:color w:val="auto"/>
                <w:sz w:val="20"/>
                <w:szCs w:val="20"/>
                <w:highlight w:val="none"/>
              </w:rPr>
            </w:pPr>
            <w:r>
              <w:rPr>
                <w:color w:val="auto"/>
                <w:sz w:val="20"/>
                <w:szCs w:val="20"/>
                <w:highlight w:val="none"/>
              </w:rPr>
              <w:t>生态效益指标</w:t>
            </w:r>
          </w:p>
        </w:tc>
        <w:tc>
          <w:tcPr>
            <w:tcW w:w="850" w:type="dxa"/>
            <w:tcBorders>
              <w:top w:val="nil"/>
              <w:left w:val="nil"/>
              <w:bottom w:val="single" w:color="auto" w:sz="4" w:space="0"/>
              <w:right w:val="single" w:color="auto" w:sz="4" w:space="0"/>
            </w:tcBorders>
            <w:noWrap w:val="0"/>
            <w:vAlign w:val="center"/>
          </w:tcPr>
          <w:p w14:paraId="04A60CFF">
            <w:pPr>
              <w:rPr>
                <w:color w:val="auto"/>
                <w:sz w:val="20"/>
                <w:szCs w:val="20"/>
                <w:highlight w:val="none"/>
              </w:rPr>
            </w:pPr>
            <w:r>
              <w:rPr>
                <w:color w:val="auto"/>
                <w:sz w:val="20"/>
                <w:szCs w:val="20"/>
                <w:highlight w:val="none"/>
              </w:rPr>
              <w:t xml:space="preserve"> 指标1：生态效益</w:t>
            </w:r>
          </w:p>
        </w:tc>
        <w:tc>
          <w:tcPr>
            <w:tcW w:w="993" w:type="dxa"/>
            <w:gridSpan w:val="2"/>
            <w:tcBorders>
              <w:top w:val="nil"/>
              <w:left w:val="nil"/>
              <w:bottom w:val="single" w:color="auto" w:sz="4" w:space="0"/>
              <w:right w:val="single" w:color="auto" w:sz="4" w:space="0"/>
            </w:tcBorders>
            <w:noWrap w:val="0"/>
            <w:vAlign w:val="center"/>
          </w:tcPr>
          <w:p w14:paraId="62E04AC1">
            <w:pPr>
              <w:rPr>
                <w:color w:val="auto"/>
                <w:sz w:val="20"/>
                <w:szCs w:val="20"/>
                <w:highlight w:val="none"/>
              </w:rPr>
            </w:pPr>
            <w:r>
              <w:rPr>
                <w:color w:val="auto"/>
                <w:sz w:val="20"/>
                <w:szCs w:val="20"/>
                <w:highlight w:val="none"/>
              </w:rPr>
              <w:t>提高公共卫生服务水平，优化环境</w:t>
            </w:r>
          </w:p>
        </w:tc>
        <w:tc>
          <w:tcPr>
            <w:tcW w:w="1208" w:type="dxa"/>
            <w:tcBorders>
              <w:top w:val="nil"/>
              <w:left w:val="nil"/>
              <w:bottom w:val="single" w:color="auto" w:sz="4" w:space="0"/>
              <w:right w:val="single" w:color="auto" w:sz="4" w:space="0"/>
            </w:tcBorders>
            <w:noWrap w:val="0"/>
            <w:vAlign w:val="center"/>
          </w:tcPr>
          <w:p w14:paraId="24BD0182">
            <w:pPr>
              <w:rPr>
                <w:color w:val="auto"/>
                <w:sz w:val="20"/>
                <w:szCs w:val="20"/>
                <w:highlight w:val="none"/>
              </w:rPr>
            </w:pPr>
            <w:r>
              <w:rPr>
                <w:color w:val="auto"/>
                <w:sz w:val="20"/>
                <w:szCs w:val="20"/>
                <w:highlight w:val="none"/>
              </w:rPr>
              <w:t>提高公共卫生服务水平，优化环境</w:t>
            </w:r>
          </w:p>
        </w:tc>
      </w:tr>
      <w:tr w14:paraId="2AAED3CF">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46A8B0C4">
            <w:pPr>
              <w:rPr>
                <w:color w:val="auto"/>
                <w:sz w:val="20"/>
                <w:szCs w:val="20"/>
                <w:highlight w:val="none"/>
              </w:rPr>
            </w:pPr>
          </w:p>
        </w:tc>
        <w:tc>
          <w:tcPr>
            <w:tcW w:w="733" w:type="dxa"/>
            <w:vMerge w:val="continue"/>
            <w:tcBorders>
              <w:top w:val="nil"/>
              <w:left w:val="single" w:color="auto" w:sz="4" w:space="0"/>
              <w:bottom w:val="single" w:color="auto" w:sz="4" w:space="0"/>
              <w:right w:val="single" w:color="auto" w:sz="4" w:space="0"/>
            </w:tcBorders>
            <w:noWrap w:val="0"/>
            <w:vAlign w:val="center"/>
          </w:tcPr>
          <w:p w14:paraId="45EC602E">
            <w:pPr>
              <w:rPr>
                <w:color w:val="auto"/>
                <w:sz w:val="20"/>
                <w:szCs w:val="20"/>
                <w:highlight w:val="none"/>
              </w:rPr>
            </w:pPr>
          </w:p>
        </w:tc>
        <w:tc>
          <w:tcPr>
            <w:tcW w:w="851" w:type="dxa"/>
            <w:gridSpan w:val="2"/>
            <w:tcBorders>
              <w:top w:val="nil"/>
              <w:left w:val="single" w:color="auto" w:sz="4" w:space="0"/>
              <w:bottom w:val="single" w:color="000000" w:sz="4" w:space="0"/>
              <w:right w:val="single" w:color="auto" w:sz="4" w:space="0"/>
            </w:tcBorders>
            <w:noWrap w:val="0"/>
            <w:vAlign w:val="center"/>
          </w:tcPr>
          <w:p w14:paraId="78C4C025">
            <w:pPr>
              <w:jc w:val="center"/>
              <w:rPr>
                <w:color w:val="auto"/>
                <w:sz w:val="20"/>
                <w:szCs w:val="20"/>
                <w:highlight w:val="none"/>
              </w:rPr>
            </w:pPr>
            <w:r>
              <w:rPr>
                <w:color w:val="auto"/>
                <w:sz w:val="20"/>
                <w:szCs w:val="20"/>
                <w:highlight w:val="none"/>
              </w:rPr>
              <w:t>可持续影响</w:t>
            </w:r>
            <w:r>
              <w:rPr>
                <w:color w:val="auto"/>
                <w:sz w:val="20"/>
                <w:szCs w:val="20"/>
                <w:highlight w:val="none"/>
              </w:rPr>
              <w:br w:type="textWrapping"/>
            </w:r>
            <w:r>
              <w:rPr>
                <w:color w:val="auto"/>
                <w:sz w:val="20"/>
                <w:szCs w:val="20"/>
                <w:highlight w:val="none"/>
              </w:rPr>
              <w:t>指标</w:t>
            </w:r>
          </w:p>
        </w:tc>
        <w:tc>
          <w:tcPr>
            <w:tcW w:w="850" w:type="dxa"/>
            <w:gridSpan w:val="2"/>
            <w:tcBorders>
              <w:top w:val="nil"/>
              <w:left w:val="nil"/>
              <w:bottom w:val="single" w:color="auto" w:sz="4" w:space="0"/>
              <w:right w:val="single" w:color="auto" w:sz="4" w:space="0"/>
            </w:tcBorders>
            <w:noWrap w:val="0"/>
            <w:vAlign w:val="center"/>
          </w:tcPr>
          <w:p w14:paraId="77FAC608">
            <w:pPr>
              <w:rPr>
                <w:color w:val="auto"/>
                <w:sz w:val="20"/>
                <w:szCs w:val="20"/>
                <w:highlight w:val="none"/>
              </w:rPr>
            </w:pPr>
            <w:r>
              <w:rPr>
                <w:color w:val="auto"/>
                <w:sz w:val="20"/>
                <w:szCs w:val="20"/>
                <w:highlight w:val="none"/>
              </w:rPr>
              <w:t xml:space="preserve"> 指标1：可持续影响</w:t>
            </w:r>
          </w:p>
        </w:tc>
        <w:tc>
          <w:tcPr>
            <w:tcW w:w="993" w:type="dxa"/>
            <w:tcBorders>
              <w:top w:val="nil"/>
              <w:left w:val="nil"/>
              <w:bottom w:val="single" w:color="auto" w:sz="4" w:space="0"/>
              <w:right w:val="single" w:color="auto" w:sz="4" w:space="0"/>
            </w:tcBorders>
            <w:noWrap w:val="0"/>
            <w:vAlign w:val="center"/>
          </w:tcPr>
          <w:p w14:paraId="005EA9C4">
            <w:pPr>
              <w:rPr>
                <w:color w:val="auto"/>
                <w:sz w:val="20"/>
                <w:szCs w:val="20"/>
                <w:highlight w:val="none"/>
              </w:rPr>
            </w:pPr>
            <w:r>
              <w:rPr>
                <w:color w:val="auto"/>
                <w:sz w:val="20"/>
                <w:szCs w:val="20"/>
                <w:highlight w:val="none"/>
              </w:rPr>
              <w:t>减少传染病发生、促进社会稳定和经济发展</w:t>
            </w:r>
          </w:p>
        </w:tc>
        <w:tc>
          <w:tcPr>
            <w:tcW w:w="1134" w:type="dxa"/>
            <w:gridSpan w:val="2"/>
            <w:tcBorders>
              <w:top w:val="nil"/>
              <w:left w:val="nil"/>
              <w:bottom w:val="single" w:color="auto" w:sz="4" w:space="0"/>
              <w:right w:val="single" w:color="auto" w:sz="4" w:space="0"/>
            </w:tcBorders>
            <w:noWrap w:val="0"/>
            <w:vAlign w:val="center"/>
          </w:tcPr>
          <w:p w14:paraId="164352BA">
            <w:pPr>
              <w:rPr>
                <w:color w:val="auto"/>
                <w:sz w:val="20"/>
                <w:szCs w:val="20"/>
                <w:highlight w:val="none"/>
              </w:rPr>
            </w:pPr>
            <w:r>
              <w:rPr>
                <w:color w:val="auto"/>
                <w:sz w:val="20"/>
                <w:szCs w:val="20"/>
                <w:highlight w:val="none"/>
              </w:rPr>
              <w:t>减少传染病发生、促进社会稳定和经济发展</w:t>
            </w:r>
          </w:p>
        </w:tc>
        <w:tc>
          <w:tcPr>
            <w:tcW w:w="992" w:type="dxa"/>
            <w:tcBorders>
              <w:top w:val="nil"/>
              <w:left w:val="single" w:color="auto" w:sz="4" w:space="0"/>
              <w:bottom w:val="single" w:color="000000" w:sz="4" w:space="0"/>
              <w:right w:val="single" w:color="auto" w:sz="4" w:space="0"/>
            </w:tcBorders>
            <w:noWrap w:val="0"/>
            <w:vAlign w:val="center"/>
          </w:tcPr>
          <w:p w14:paraId="5CB6F6CD">
            <w:pPr>
              <w:jc w:val="center"/>
              <w:rPr>
                <w:color w:val="auto"/>
                <w:sz w:val="20"/>
                <w:szCs w:val="20"/>
                <w:highlight w:val="none"/>
              </w:rPr>
            </w:pPr>
            <w:r>
              <w:rPr>
                <w:color w:val="auto"/>
                <w:sz w:val="20"/>
                <w:szCs w:val="20"/>
                <w:highlight w:val="none"/>
              </w:rPr>
              <w:t>可持续</w:t>
            </w:r>
          </w:p>
          <w:p w14:paraId="78609A78">
            <w:pPr>
              <w:jc w:val="center"/>
              <w:rPr>
                <w:color w:val="auto"/>
                <w:sz w:val="20"/>
                <w:szCs w:val="20"/>
                <w:highlight w:val="none"/>
              </w:rPr>
            </w:pPr>
            <w:r>
              <w:rPr>
                <w:color w:val="auto"/>
                <w:sz w:val="20"/>
                <w:szCs w:val="20"/>
                <w:highlight w:val="none"/>
              </w:rPr>
              <w:t>影响</w:t>
            </w:r>
          </w:p>
          <w:p w14:paraId="747FC9E1">
            <w:pPr>
              <w:jc w:val="center"/>
              <w:rPr>
                <w:color w:val="auto"/>
                <w:sz w:val="20"/>
                <w:szCs w:val="20"/>
                <w:highlight w:val="none"/>
              </w:rPr>
            </w:pPr>
            <w:r>
              <w:rPr>
                <w:color w:val="auto"/>
                <w:sz w:val="20"/>
                <w:szCs w:val="20"/>
                <w:highlight w:val="none"/>
              </w:rPr>
              <w:t>指标</w:t>
            </w:r>
          </w:p>
        </w:tc>
        <w:tc>
          <w:tcPr>
            <w:tcW w:w="850" w:type="dxa"/>
            <w:tcBorders>
              <w:top w:val="nil"/>
              <w:left w:val="nil"/>
              <w:bottom w:val="single" w:color="auto" w:sz="4" w:space="0"/>
              <w:right w:val="single" w:color="auto" w:sz="4" w:space="0"/>
            </w:tcBorders>
            <w:noWrap w:val="0"/>
            <w:vAlign w:val="center"/>
          </w:tcPr>
          <w:p w14:paraId="5BF5238A">
            <w:pPr>
              <w:rPr>
                <w:color w:val="auto"/>
                <w:sz w:val="20"/>
                <w:szCs w:val="20"/>
                <w:highlight w:val="none"/>
              </w:rPr>
            </w:pPr>
            <w:r>
              <w:rPr>
                <w:color w:val="auto"/>
                <w:sz w:val="20"/>
                <w:szCs w:val="20"/>
                <w:highlight w:val="none"/>
              </w:rPr>
              <w:t xml:space="preserve"> 指标1：可持续影响</w:t>
            </w:r>
          </w:p>
        </w:tc>
        <w:tc>
          <w:tcPr>
            <w:tcW w:w="993" w:type="dxa"/>
            <w:gridSpan w:val="2"/>
            <w:tcBorders>
              <w:top w:val="nil"/>
              <w:left w:val="nil"/>
              <w:bottom w:val="single" w:color="auto" w:sz="4" w:space="0"/>
              <w:right w:val="single" w:color="auto" w:sz="4" w:space="0"/>
            </w:tcBorders>
            <w:noWrap w:val="0"/>
            <w:vAlign w:val="center"/>
          </w:tcPr>
          <w:p w14:paraId="03CFF711">
            <w:pPr>
              <w:rPr>
                <w:color w:val="auto"/>
                <w:sz w:val="20"/>
                <w:szCs w:val="20"/>
                <w:highlight w:val="none"/>
              </w:rPr>
            </w:pPr>
            <w:r>
              <w:rPr>
                <w:color w:val="auto"/>
                <w:sz w:val="20"/>
                <w:szCs w:val="20"/>
                <w:highlight w:val="none"/>
              </w:rPr>
              <w:t>减少传染病发生、促进社会稳定和经济发展</w:t>
            </w:r>
          </w:p>
        </w:tc>
        <w:tc>
          <w:tcPr>
            <w:tcW w:w="1208" w:type="dxa"/>
            <w:tcBorders>
              <w:top w:val="nil"/>
              <w:left w:val="nil"/>
              <w:bottom w:val="single" w:color="auto" w:sz="4" w:space="0"/>
              <w:right w:val="single" w:color="auto" w:sz="4" w:space="0"/>
            </w:tcBorders>
            <w:noWrap w:val="0"/>
            <w:vAlign w:val="center"/>
          </w:tcPr>
          <w:p w14:paraId="64B04785">
            <w:pPr>
              <w:rPr>
                <w:color w:val="auto"/>
                <w:sz w:val="20"/>
                <w:szCs w:val="20"/>
                <w:highlight w:val="none"/>
              </w:rPr>
            </w:pPr>
            <w:r>
              <w:rPr>
                <w:color w:val="auto"/>
                <w:sz w:val="20"/>
                <w:szCs w:val="20"/>
                <w:highlight w:val="none"/>
              </w:rPr>
              <w:t>减少传染病发生、促进社会稳定和经济发展</w:t>
            </w:r>
          </w:p>
        </w:tc>
      </w:tr>
      <w:tr w14:paraId="745693AB">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4430151C">
            <w:pPr>
              <w:rPr>
                <w:color w:val="auto"/>
                <w:sz w:val="20"/>
                <w:szCs w:val="20"/>
                <w:highlight w:val="none"/>
              </w:rPr>
            </w:pPr>
          </w:p>
        </w:tc>
        <w:tc>
          <w:tcPr>
            <w:tcW w:w="733" w:type="dxa"/>
            <w:tcBorders>
              <w:top w:val="nil"/>
              <w:left w:val="single" w:color="auto" w:sz="4" w:space="0"/>
              <w:bottom w:val="single" w:color="000000" w:sz="4" w:space="0"/>
              <w:right w:val="single" w:color="auto" w:sz="4" w:space="0"/>
            </w:tcBorders>
            <w:noWrap w:val="0"/>
            <w:vAlign w:val="center"/>
          </w:tcPr>
          <w:p w14:paraId="35C49AA3">
            <w:pPr>
              <w:jc w:val="center"/>
              <w:rPr>
                <w:color w:val="auto"/>
                <w:sz w:val="20"/>
                <w:szCs w:val="20"/>
                <w:highlight w:val="none"/>
              </w:rPr>
            </w:pPr>
            <w:r>
              <w:rPr>
                <w:color w:val="auto"/>
                <w:sz w:val="20"/>
                <w:szCs w:val="20"/>
                <w:highlight w:val="none"/>
              </w:rPr>
              <w:t>满意度指标</w:t>
            </w:r>
          </w:p>
        </w:tc>
        <w:tc>
          <w:tcPr>
            <w:tcW w:w="851" w:type="dxa"/>
            <w:gridSpan w:val="2"/>
            <w:tcBorders>
              <w:top w:val="nil"/>
              <w:left w:val="single" w:color="auto" w:sz="4" w:space="0"/>
              <w:bottom w:val="single" w:color="000000" w:sz="4" w:space="0"/>
              <w:right w:val="single" w:color="auto" w:sz="4" w:space="0"/>
            </w:tcBorders>
            <w:noWrap w:val="0"/>
            <w:vAlign w:val="center"/>
          </w:tcPr>
          <w:p w14:paraId="412C0035">
            <w:pPr>
              <w:jc w:val="center"/>
              <w:rPr>
                <w:color w:val="auto"/>
                <w:sz w:val="20"/>
                <w:szCs w:val="20"/>
                <w:highlight w:val="none"/>
              </w:rPr>
            </w:pPr>
            <w:r>
              <w:rPr>
                <w:color w:val="auto"/>
                <w:sz w:val="20"/>
                <w:szCs w:val="20"/>
                <w:highlight w:val="none"/>
              </w:rPr>
              <w:t>服务对象满意度指标</w:t>
            </w:r>
          </w:p>
        </w:tc>
        <w:tc>
          <w:tcPr>
            <w:tcW w:w="850" w:type="dxa"/>
            <w:gridSpan w:val="2"/>
            <w:tcBorders>
              <w:top w:val="nil"/>
              <w:left w:val="nil"/>
              <w:bottom w:val="single" w:color="auto" w:sz="4" w:space="0"/>
              <w:right w:val="single" w:color="auto" w:sz="4" w:space="0"/>
            </w:tcBorders>
            <w:noWrap w:val="0"/>
            <w:vAlign w:val="center"/>
          </w:tcPr>
          <w:p w14:paraId="01E83935">
            <w:pPr>
              <w:rPr>
                <w:color w:val="auto"/>
                <w:sz w:val="20"/>
                <w:szCs w:val="20"/>
                <w:highlight w:val="none"/>
              </w:rPr>
            </w:pPr>
            <w:r>
              <w:rPr>
                <w:color w:val="auto"/>
                <w:sz w:val="20"/>
                <w:szCs w:val="20"/>
                <w:highlight w:val="none"/>
              </w:rPr>
              <w:t xml:space="preserve"> 指标1：服务对象满意度</w:t>
            </w:r>
          </w:p>
        </w:tc>
        <w:tc>
          <w:tcPr>
            <w:tcW w:w="993" w:type="dxa"/>
            <w:tcBorders>
              <w:top w:val="nil"/>
              <w:left w:val="nil"/>
              <w:bottom w:val="single" w:color="auto" w:sz="4" w:space="0"/>
              <w:right w:val="single" w:color="auto" w:sz="4" w:space="0"/>
            </w:tcBorders>
            <w:noWrap w:val="0"/>
            <w:vAlign w:val="center"/>
          </w:tcPr>
          <w:p w14:paraId="38B0B09B">
            <w:pPr>
              <w:jc w:val="center"/>
              <w:rPr>
                <w:color w:val="auto"/>
                <w:sz w:val="20"/>
                <w:szCs w:val="20"/>
                <w:highlight w:val="none"/>
              </w:rPr>
            </w:pPr>
            <w:r>
              <w:rPr>
                <w:color w:val="auto"/>
                <w:sz w:val="20"/>
                <w:szCs w:val="20"/>
                <w:highlight w:val="none"/>
              </w:rPr>
              <w:t>服务对象满意　</w:t>
            </w:r>
          </w:p>
        </w:tc>
        <w:tc>
          <w:tcPr>
            <w:tcW w:w="1134" w:type="dxa"/>
            <w:gridSpan w:val="2"/>
            <w:tcBorders>
              <w:top w:val="nil"/>
              <w:left w:val="nil"/>
              <w:bottom w:val="single" w:color="auto" w:sz="4" w:space="0"/>
              <w:right w:val="single" w:color="auto" w:sz="4" w:space="0"/>
            </w:tcBorders>
            <w:noWrap w:val="0"/>
            <w:vAlign w:val="center"/>
          </w:tcPr>
          <w:p w14:paraId="76182E41">
            <w:pPr>
              <w:jc w:val="center"/>
              <w:rPr>
                <w:color w:val="auto"/>
                <w:sz w:val="20"/>
                <w:szCs w:val="20"/>
                <w:highlight w:val="none"/>
              </w:rPr>
            </w:pPr>
            <w:r>
              <w:rPr>
                <w:color w:val="auto"/>
                <w:sz w:val="20"/>
                <w:szCs w:val="20"/>
                <w:highlight w:val="none"/>
              </w:rPr>
              <w:t>服务对象满意　</w:t>
            </w:r>
          </w:p>
        </w:tc>
        <w:tc>
          <w:tcPr>
            <w:tcW w:w="992" w:type="dxa"/>
            <w:tcBorders>
              <w:top w:val="nil"/>
              <w:left w:val="single" w:color="auto" w:sz="4" w:space="0"/>
              <w:bottom w:val="single" w:color="000000" w:sz="4" w:space="0"/>
              <w:right w:val="single" w:color="auto" w:sz="4" w:space="0"/>
            </w:tcBorders>
            <w:noWrap w:val="0"/>
            <w:vAlign w:val="center"/>
          </w:tcPr>
          <w:p w14:paraId="53875701">
            <w:pPr>
              <w:jc w:val="center"/>
              <w:rPr>
                <w:color w:val="auto"/>
                <w:sz w:val="20"/>
                <w:szCs w:val="20"/>
                <w:highlight w:val="none"/>
              </w:rPr>
            </w:pPr>
            <w:r>
              <w:rPr>
                <w:color w:val="auto"/>
                <w:sz w:val="20"/>
                <w:szCs w:val="20"/>
                <w:highlight w:val="none"/>
              </w:rPr>
              <w:t>服务对</w:t>
            </w:r>
          </w:p>
          <w:p w14:paraId="000D4D67">
            <w:pPr>
              <w:jc w:val="center"/>
              <w:rPr>
                <w:color w:val="auto"/>
                <w:sz w:val="20"/>
                <w:szCs w:val="20"/>
                <w:highlight w:val="none"/>
              </w:rPr>
            </w:pPr>
            <w:r>
              <w:rPr>
                <w:color w:val="auto"/>
                <w:sz w:val="20"/>
                <w:szCs w:val="20"/>
                <w:highlight w:val="none"/>
              </w:rPr>
              <w:t>象满意</w:t>
            </w:r>
          </w:p>
          <w:p w14:paraId="5014CCC2">
            <w:pPr>
              <w:jc w:val="center"/>
              <w:rPr>
                <w:color w:val="auto"/>
                <w:sz w:val="20"/>
                <w:szCs w:val="20"/>
                <w:highlight w:val="none"/>
              </w:rPr>
            </w:pPr>
            <w:r>
              <w:rPr>
                <w:color w:val="auto"/>
                <w:sz w:val="20"/>
                <w:szCs w:val="20"/>
                <w:highlight w:val="none"/>
              </w:rPr>
              <w:t>度指标</w:t>
            </w:r>
          </w:p>
        </w:tc>
        <w:tc>
          <w:tcPr>
            <w:tcW w:w="850" w:type="dxa"/>
            <w:tcBorders>
              <w:top w:val="nil"/>
              <w:left w:val="nil"/>
              <w:bottom w:val="single" w:color="auto" w:sz="4" w:space="0"/>
              <w:right w:val="single" w:color="auto" w:sz="4" w:space="0"/>
            </w:tcBorders>
            <w:noWrap w:val="0"/>
            <w:vAlign w:val="center"/>
          </w:tcPr>
          <w:p w14:paraId="26F5CACB">
            <w:pPr>
              <w:rPr>
                <w:color w:val="auto"/>
                <w:sz w:val="20"/>
                <w:szCs w:val="20"/>
                <w:highlight w:val="none"/>
              </w:rPr>
            </w:pPr>
            <w:r>
              <w:rPr>
                <w:color w:val="auto"/>
                <w:sz w:val="20"/>
                <w:szCs w:val="20"/>
                <w:highlight w:val="none"/>
              </w:rPr>
              <w:t xml:space="preserve"> 指标1：服务对象满意度</w:t>
            </w:r>
          </w:p>
        </w:tc>
        <w:tc>
          <w:tcPr>
            <w:tcW w:w="993" w:type="dxa"/>
            <w:gridSpan w:val="2"/>
            <w:tcBorders>
              <w:top w:val="nil"/>
              <w:left w:val="nil"/>
              <w:bottom w:val="single" w:color="auto" w:sz="4" w:space="0"/>
              <w:right w:val="single" w:color="auto" w:sz="4" w:space="0"/>
            </w:tcBorders>
            <w:noWrap w:val="0"/>
            <w:vAlign w:val="center"/>
          </w:tcPr>
          <w:p w14:paraId="61E19C85">
            <w:pPr>
              <w:rPr>
                <w:color w:val="auto"/>
                <w:sz w:val="20"/>
                <w:szCs w:val="20"/>
                <w:highlight w:val="none"/>
              </w:rPr>
            </w:pPr>
            <w:r>
              <w:rPr>
                <w:color w:val="auto"/>
                <w:sz w:val="20"/>
                <w:szCs w:val="20"/>
                <w:highlight w:val="none"/>
              </w:rPr>
              <w:t>服务对象满意</w:t>
            </w:r>
          </w:p>
        </w:tc>
        <w:tc>
          <w:tcPr>
            <w:tcW w:w="1208" w:type="dxa"/>
            <w:tcBorders>
              <w:top w:val="nil"/>
              <w:left w:val="nil"/>
              <w:bottom w:val="single" w:color="auto" w:sz="4" w:space="0"/>
              <w:right w:val="single" w:color="auto" w:sz="4" w:space="0"/>
            </w:tcBorders>
            <w:noWrap w:val="0"/>
            <w:vAlign w:val="center"/>
          </w:tcPr>
          <w:p w14:paraId="6ADD45C9">
            <w:pPr>
              <w:rPr>
                <w:color w:val="auto"/>
                <w:sz w:val="20"/>
                <w:szCs w:val="20"/>
                <w:highlight w:val="none"/>
              </w:rPr>
            </w:pPr>
            <w:r>
              <w:rPr>
                <w:color w:val="auto"/>
                <w:sz w:val="20"/>
                <w:szCs w:val="20"/>
                <w:highlight w:val="none"/>
              </w:rPr>
              <w:t>服务对象满意</w:t>
            </w:r>
          </w:p>
        </w:tc>
      </w:tr>
    </w:tbl>
    <w:p w14:paraId="6E326EC1">
      <w:pPr>
        <w:adjustRightInd w:val="0"/>
        <w:snapToGrid w:val="0"/>
        <w:spacing w:line="600" w:lineRule="exact"/>
        <w:ind w:firstLine="803" w:firstLineChars="250"/>
        <w:rPr>
          <w:rFonts w:ascii="仿宋_GB2312" w:hAnsi="楷体" w:eastAsia="仿宋_GB2312"/>
          <w:b/>
          <w:color w:val="auto"/>
          <w:sz w:val="32"/>
          <w:szCs w:val="32"/>
          <w:highlight w:val="none"/>
        </w:rPr>
      </w:pPr>
      <w:r>
        <w:rPr>
          <w:rFonts w:hint="eastAsia" w:ascii="仿宋_GB2312" w:hAnsi="楷体" w:eastAsia="仿宋_GB2312"/>
          <w:b/>
          <w:color w:val="auto"/>
          <w:sz w:val="32"/>
          <w:szCs w:val="32"/>
          <w:highlight w:val="none"/>
          <w:lang w:val="en-US" w:eastAsia="zh-CN"/>
        </w:rPr>
        <w:t>3.</w:t>
      </w:r>
      <w:r>
        <w:rPr>
          <w:rFonts w:hint="eastAsia" w:ascii="仿宋_GB2312" w:hAnsi="楷体" w:eastAsia="仿宋_GB2312"/>
          <w:b/>
          <w:color w:val="auto"/>
          <w:sz w:val="32"/>
          <w:szCs w:val="32"/>
          <w:highlight w:val="none"/>
        </w:rPr>
        <w:t>“</w:t>
      </w:r>
      <w:r>
        <w:rPr>
          <w:rFonts w:hint="eastAsia" w:ascii="仿宋_GB2312" w:hAnsi="楷体" w:eastAsia="仿宋_GB2312"/>
          <w:b/>
          <w:color w:val="auto"/>
          <w:sz w:val="32"/>
          <w:szCs w:val="32"/>
          <w:highlight w:val="none"/>
          <w:lang w:eastAsia="zh-CN"/>
        </w:rPr>
        <w:t>核算审核乡镇卫生院业务经费</w:t>
      </w:r>
      <w:r>
        <w:rPr>
          <w:rFonts w:hint="eastAsia" w:ascii="仿宋_GB2312" w:hAnsi="楷体" w:eastAsia="仿宋_GB2312"/>
          <w:b/>
          <w:color w:val="auto"/>
          <w:sz w:val="32"/>
          <w:szCs w:val="32"/>
          <w:highlight w:val="none"/>
        </w:rPr>
        <w:t>”项目。</w:t>
      </w:r>
    </w:p>
    <w:p w14:paraId="68A4F553">
      <w:pPr>
        <w:adjustRightInd w:val="0"/>
        <w:snapToGrid w:val="0"/>
        <w:spacing w:line="600" w:lineRule="exact"/>
        <w:ind w:firstLine="640" w:firstLineChars="200"/>
        <w:rPr>
          <w:rFonts w:hint="eastAsia" w:ascii="仿宋_GB2312" w:hAnsi="楷体" w:eastAsia="仿宋_GB2312"/>
          <w:color w:val="auto"/>
          <w:sz w:val="32"/>
          <w:szCs w:val="32"/>
          <w:highlight w:val="none"/>
          <w:lang w:eastAsia="zh-CN"/>
        </w:rPr>
      </w:pPr>
      <w:r>
        <w:rPr>
          <w:rFonts w:hint="eastAsia" w:ascii="仿宋_GB2312" w:hAnsi="楷体" w:eastAsia="仿宋_GB2312"/>
          <w:color w:val="auto"/>
          <w:sz w:val="32"/>
          <w:szCs w:val="32"/>
          <w:highlight w:val="none"/>
        </w:rPr>
        <w:t>（1）项目概述</w:t>
      </w:r>
      <w:r>
        <w:rPr>
          <w:rFonts w:hint="eastAsia" w:ascii="仿宋_GB2312" w:hAnsi="楷体" w:eastAsia="仿宋_GB2312"/>
          <w:color w:val="auto"/>
          <w:sz w:val="32"/>
          <w:szCs w:val="32"/>
          <w:highlight w:val="none"/>
          <w:lang w:val="en-US" w:eastAsia="zh-CN"/>
        </w:rPr>
        <w:t>:</w:t>
      </w:r>
      <w:r>
        <w:rPr>
          <w:rFonts w:hint="eastAsia" w:ascii="仿宋_GB2312" w:hAnsi="楷体" w:eastAsia="仿宋_GB2312"/>
          <w:color w:val="auto"/>
          <w:sz w:val="32"/>
          <w:szCs w:val="32"/>
          <w:highlight w:val="none"/>
          <w:lang w:eastAsia="zh-CN"/>
        </w:rPr>
        <w:t>保障基层医疗卫生机构国库支付管理，加强基层医疗卫生机构财务管理，保障财管中心正常运转</w:t>
      </w:r>
    </w:p>
    <w:p w14:paraId="1793497D">
      <w:pPr>
        <w:adjustRightInd w:val="0"/>
        <w:snapToGrid w:val="0"/>
        <w:spacing w:line="600" w:lineRule="exact"/>
        <w:ind w:firstLine="640" w:firstLineChars="200"/>
        <w:rPr>
          <w:rFonts w:hint="eastAsia" w:ascii="仿宋_GB2312" w:hAnsi="楷体" w:eastAsia="仿宋_GB2312"/>
          <w:color w:val="auto"/>
          <w:sz w:val="32"/>
          <w:szCs w:val="32"/>
          <w:highlight w:val="none"/>
          <w:lang w:eastAsia="zh-CN"/>
        </w:rPr>
      </w:pPr>
      <w:r>
        <w:rPr>
          <w:rFonts w:hint="eastAsia" w:ascii="仿宋_GB2312" w:hAnsi="楷体" w:eastAsia="仿宋_GB2312"/>
          <w:color w:val="auto"/>
          <w:sz w:val="32"/>
          <w:szCs w:val="32"/>
          <w:highlight w:val="none"/>
        </w:rPr>
        <w:t>（2）立项依据</w:t>
      </w:r>
      <w:r>
        <w:rPr>
          <w:rFonts w:hint="eastAsia" w:ascii="仿宋_GB2312" w:hAnsi="楷体" w:eastAsia="仿宋_GB2312"/>
          <w:color w:val="auto"/>
          <w:sz w:val="32"/>
          <w:szCs w:val="32"/>
          <w:highlight w:val="none"/>
          <w:lang w:val="en-US" w:eastAsia="zh-CN"/>
        </w:rPr>
        <w:t>:</w:t>
      </w:r>
      <w:r>
        <w:rPr>
          <w:rFonts w:hint="eastAsia" w:ascii="仿宋_GB2312" w:hAnsi="楷体" w:eastAsia="仿宋_GB2312"/>
          <w:color w:val="auto"/>
          <w:sz w:val="32"/>
          <w:szCs w:val="32"/>
          <w:highlight w:val="none"/>
          <w:lang w:eastAsia="zh-CN"/>
        </w:rPr>
        <w:t>专项业务费申请报告</w:t>
      </w:r>
    </w:p>
    <w:p w14:paraId="2C7A5F21">
      <w:pPr>
        <w:adjustRightInd w:val="0"/>
        <w:snapToGrid w:val="0"/>
        <w:spacing w:line="600" w:lineRule="exact"/>
        <w:ind w:firstLine="640" w:firstLineChars="200"/>
        <w:rPr>
          <w:rFonts w:hint="eastAsia" w:ascii="仿宋_GB2312" w:hAnsi="楷体" w:eastAsia="仿宋_GB2312"/>
          <w:color w:val="auto"/>
          <w:sz w:val="32"/>
          <w:szCs w:val="32"/>
          <w:highlight w:val="none"/>
          <w:lang w:eastAsia="zh-CN"/>
        </w:rPr>
      </w:pPr>
      <w:r>
        <w:rPr>
          <w:rFonts w:hint="eastAsia" w:ascii="仿宋_GB2312" w:hAnsi="楷体" w:eastAsia="仿宋_GB2312"/>
          <w:color w:val="auto"/>
          <w:sz w:val="32"/>
          <w:szCs w:val="32"/>
          <w:highlight w:val="none"/>
        </w:rPr>
        <w:t>（3）实施主体</w:t>
      </w:r>
      <w:r>
        <w:rPr>
          <w:rFonts w:hint="eastAsia" w:ascii="仿宋_GB2312" w:hAnsi="楷体" w:eastAsia="仿宋_GB2312"/>
          <w:color w:val="auto"/>
          <w:sz w:val="32"/>
          <w:szCs w:val="32"/>
          <w:highlight w:val="none"/>
          <w:lang w:eastAsia="zh-CN"/>
        </w:rPr>
        <w:t>：濉溪县卫生健康系统财务管理中心</w:t>
      </w:r>
    </w:p>
    <w:p w14:paraId="7B81CA41">
      <w:pPr>
        <w:adjustRightInd w:val="0"/>
        <w:snapToGrid w:val="0"/>
        <w:spacing w:line="600" w:lineRule="exact"/>
        <w:ind w:firstLine="640" w:firstLineChars="200"/>
        <w:rPr>
          <w:rFonts w:hint="eastAsia" w:ascii="仿宋_GB2312" w:hAnsi="仿宋" w:eastAsia="仿宋_GB2312"/>
          <w:color w:val="auto"/>
          <w:sz w:val="32"/>
          <w:szCs w:val="32"/>
          <w:highlight w:val="none"/>
          <w:lang w:val="en-US" w:eastAsia="zh-CN"/>
        </w:rPr>
      </w:pPr>
      <w:r>
        <w:rPr>
          <w:rFonts w:hint="eastAsia" w:ascii="仿宋_GB2312" w:hAnsi="楷体" w:eastAsia="仿宋_GB2312"/>
          <w:color w:val="auto"/>
          <w:sz w:val="32"/>
          <w:szCs w:val="32"/>
          <w:highlight w:val="none"/>
        </w:rPr>
        <w:t>（4）起止时间</w:t>
      </w:r>
      <w:r>
        <w:rPr>
          <w:rFonts w:hint="eastAsia" w:ascii="仿宋_GB2312" w:hAnsi="楷体" w:eastAsia="仿宋_GB2312"/>
          <w:color w:val="auto"/>
          <w:sz w:val="32"/>
          <w:szCs w:val="32"/>
          <w:highlight w:val="none"/>
          <w:lang w:eastAsia="zh-CN"/>
        </w:rPr>
        <w:t>：</w:t>
      </w:r>
      <w:r>
        <w:rPr>
          <w:rFonts w:hint="eastAsia" w:ascii="仿宋_GB2312" w:hAnsi="仿宋" w:eastAsia="仿宋_GB2312"/>
          <w:color w:val="auto"/>
          <w:sz w:val="32"/>
          <w:szCs w:val="32"/>
          <w:highlight w:val="none"/>
          <w:lang w:val="en-US" w:eastAsia="zh-CN"/>
        </w:rPr>
        <w:t>2023年1月-12月份</w:t>
      </w:r>
    </w:p>
    <w:p w14:paraId="61DD017C">
      <w:pPr>
        <w:adjustRightInd w:val="0"/>
        <w:snapToGrid w:val="0"/>
        <w:spacing w:line="600" w:lineRule="exact"/>
        <w:ind w:firstLine="640" w:firstLineChars="200"/>
        <w:rPr>
          <w:rFonts w:hint="eastAsia" w:ascii="仿宋_GB2312" w:hAnsi="楷体" w:eastAsia="仿宋_GB2312"/>
          <w:color w:val="auto"/>
          <w:sz w:val="32"/>
          <w:szCs w:val="32"/>
          <w:highlight w:val="none"/>
          <w:lang w:eastAsia="zh-CN"/>
        </w:rPr>
      </w:pPr>
      <w:r>
        <w:rPr>
          <w:rFonts w:hint="eastAsia" w:ascii="仿宋_GB2312" w:hAnsi="楷体" w:eastAsia="仿宋_GB2312"/>
          <w:color w:val="auto"/>
          <w:sz w:val="32"/>
          <w:szCs w:val="32"/>
          <w:highlight w:val="none"/>
        </w:rPr>
        <w:t>（5）项目内容</w:t>
      </w:r>
      <w:r>
        <w:rPr>
          <w:rFonts w:hint="eastAsia" w:ascii="仿宋_GB2312" w:hAnsi="楷体" w:eastAsia="仿宋_GB2312"/>
          <w:color w:val="auto"/>
          <w:sz w:val="32"/>
          <w:szCs w:val="32"/>
          <w:highlight w:val="none"/>
          <w:lang w:eastAsia="zh-CN"/>
        </w:rPr>
        <w:t>：保障基层医疗卫生机构国库支付管理，加强基层医疗卫生机构财务管理，保障财管中心正常运转</w:t>
      </w:r>
    </w:p>
    <w:p w14:paraId="49F30630">
      <w:pPr>
        <w:adjustRightInd w:val="0"/>
        <w:snapToGrid w:val="0"/>
        <w:spacing w:line="600" w:lineRule="exact"/>
        <w:ind w:firstLine="640" w:firstLineChars="200"/>
        <w:rPr>
          <w:rFonts w:hint="eastAsia" w:ascii="仿宋_GB2312" w:hAnsi="仿宋" w:eastAsia="仿宋_GB2312"/>
          <w:color w:val="auto"/>
          <w:sz w:val="32"/>
          <w:szCs w:val="32"/>
          <w:highlight w:val="none"/>
          <w:lang w:val="en-US" w:eastAsia="zh-CN"/>
        </w:rPr>
      </w:pPr>
      <w:r>
        <w:rPr>
          <w:rFonts w:hint="eastAsia" w:ascii="仿宋_GB2312" w:hAnsi="楷体" w:eastAsia="仿宋_GB2312"/>
          <w:color w:val="auto"/>
          <w:sz w:val="32"/>
          <w:szCs w:val="32"/>
          <w:highlight w:val="none"/>
        </w:rPr>
        <w:t>（6）年度预算安排</w:t>
      </w:r>
      <w:r>
        <w:rPr>
          <w:rFonts w:hint="eastAsia" w:ascii="仿宋_GB2312" w:hAnsi="楷体" w:eastAsia="仿宋_GB2312"/>
          <w:color w:val="auto"/>
          <w:sz w:val="32"/>
          <w:szCs w:val="32"/>
          <w:highlight w:val="none"/>
          <w:lang w:eastAsia="zh-CN"/>
        </w:rPr>
        <w:t>：</w:t>
      </w:r>
      <w:r>
        <w:rPr>
          <w:rFonts w:hint="eastAsia" w:ascii="仿宋_GB2312" w:hAnsi="仿宋" w:eastAsia="仿宋_GB2312"/>
          <w:color w:val="auto"/>
          <w:sz w:val="32"/>
          <w:szCs w:val="32"/>
          <w:highlight w:val="none"/>
          <w:lang w:val="en-US" w:eastAsia="zh-CN"/>
        </w:rPr>
        <w:t>2023年预算安排业务经费8万元</w:t>
      </w:r>
    </w:p>
    <w:p w14:paraId="026FE35C">
      <w:pPr>
        <w:adjustRightInd w:val="0"/>
        <w:snapToGrid w:val="0"/>
        <w:spacing w:line="600" w:lineRule="exact"/>
        <w:ind w:firstLine="640" w:firstLineChars="200"/>
        <w:rPr>
          <w:rFonts w:ascii="仿宋_GB2312" w:hAnsi="楷体" w:eastAsia="仿宋_GB2312"/>
          <w:color w:val="auto"/>
          <w:sz w:val="32"/>
          <w:szCs w:val="32"/>
          <w:highlight w:val="none"/>
        </w:rPr>
      </w:pPr>
      <w:r>
        <w:rPr>
          <w:rFonts w:hint="eastAsia" w:ascii="仿宋_GB2312" w:hAnsi="楷体" w:eastAsia="仿宋_GB2312"/>
          <w:color w:val="auto"/>
          <w:sz w:val="32"/>
          <w:szCs w:val="32"/>
          <w:highlight w:val="none"/>
        </w:rPr>
        <w:t>（7）绩效目标</w:t>
      </w:r>
      <w:r>
        <w:rPr>
          <w:rFonts w:hint="eastAsia" w:ascii="仿宋_GB2312" w:hAnsi="楷体" w:eastAsia="仿宋_GB2312"/>
          <w:color w:val="auto"/>
          <w:sz w:val="32"/>
          <w:szCs w:val="32"/>
          <w:highlight w:val="none"/>
          <w:lang w:eastAsia="zh-CN"/>
        </w:rPr>
        <w:t>：保障基层医疗卫生机构国库支付管理，加强基层医疗卫生机构财务管理，保障财管中心正常运转</w:t>
      </w:r>
    </w:p>
    <w:p w14:paraId="40BE5681">
      <w:pPr>
        <w:adjustRightInd w:val="0"/>
        <w:snapToGrid w:val="0"/>
        <w:spacing w:line="600" w:lineRule="exact"/>
        <w:ind w:firstLine="640" w:firstLineChars="200"/>
        <w:rPr>
          <w:rFonts w:ascii="仿宋_GB2312" w:hAnsi="楷体" w:eastAsia="仿宋_GB2312"/>
          <w:color w:val="auto"/>
          <w:sz w:val="32"/>
          <w:szCs w:val="32"/>
          <w:highlight w:val="none"/>
        </w:rPr>
      </w:pPr>
    </w:p>
    <w:tbl>
      <w:tblPr>
        <w:tblStyle w:val="3"/>
        <w:tblW w:w="9020" w:type="dxa"/>
        <w:tblInd w:w="93" w:type="dxa"/>
        <w:tblLayout w:type="fixed"/>
        <w:tblCellMar>
          <w:top w:w="0" w:type="dxa"/>
          <w:left w:w="108" w:type="dxa"/>
          <w:bottom w:w="0" w:type="dxa"/>
          <w:right w:w="108" w:type="dxa"/>
        </w:tblCellMar>
      </w:tblPr>
      <w:tblGrid>
        <w:gridCol w:w="416"/>
        <w:gridCol w:w="820"/>
        <w:gridCol w:w="940"/>
        <w:gridCol w:w="2000"/>
        <w:gridCol w:w="860"/>
        <w:gridCol w:w="791"/>
        <w:gridCol w:w="889"/>
        <w:gridCol w:w="1040"/>
        <w:gridCol w:w="623"/>
        <w:gridCol w:w="641"/>
      </w:tblGrid>
      <w:tr w14:paraId="6243B5CD">
        <w:tblPrEx>
          <w:tblCellMar>
            <w:top w:w="0" w:type="dxa"/>
            <w:left w:w="108" w:type="dxa"/>
            <w:bottom w:w="0" w:type="dxa"/>
            <w:right w:w="108" w:type="dxa"/>
          </w:tblCellMar>
        </w:tblPrEx>
        <w:trPr>
          <w:trHeight w:val="360" w:hRule="atLeast"/>
        </w:trPr>
        <w:tc>
          <w:tcPr>
            <w:tcW w:w="9020" w:type="dxa"/>
            <w:gridSpan w:val="10"/>
            <w:tcBorders>
              <w:top w:val="nil"/>
              <w:left w:val="nil"/>
              <w:bottom w:val="nil"/>
              <w:right w:val="nil"/>
            </w:tcBorders>
            <w:noWrap w:val="0"/>
            <w:vAlign w:val="center"/>
          </w:tcPr>
          <w:p w14:paraId="18746379">
            <w:pPr>
              <w:rPr>
                <w:b/>
                <w:bCs/>
                <w:color w:val="auto"/>
                <w:sz w:val="32"/>
                <w:szCs w:val="32"/>
                <w:highlight w:val="none"/>
              </w:rPr>
            </w:pPr>
          </w:p>
          <w:p w14:paraId="791B5ED9">
            <w:pPr>
              <w:jc w:val="center"/>
              <w:rPr>
                <w:rFonts w:ascii="宋体" w:hAnsi="宋体" w:cs="宋体"/>
                <w:b/>
                <w:bCs/>
                <w:color w:val="auto"/>
                <w:sz w:val="32"/>
                <w:szCs w:val="32"/>
                <w:highlight w:val="none"/>
              </w:rPr>
            </w:pPr>
            <w:r>
              <w:rPr>
                <w:rFonts w:hint="eastAsia"/>
                <w:b/>
                <w:bCs/>
                <w:color w:val="auto"/>
                <w:sz w:val="32"/>
                <w:szCs w:val="32"/>
                <w:highlight w:val="none"/>
              </w:rPr>
              <w:t>项目支出绩效目标表</w:t>
            </w:r>
          </w:p>
        </w:tc>
      </w:tr>
      <w:tr w14:paraId="5C0C4D03">
        <w:tblPrEx>
          <w:tblCellMar>
            <w:top w:w="0" w:type="dxa"/>
            <w:left w:w="108" w:type="dxa"/>
            <w:bottom w:w="0" w:type="dxa"/>
            <w:right w:w="108" w:type="dxa"/>
          </w:tblCellMar>
        </w:tblPrEx>
        <w:trPr>
          <w:trHeight w:val="270" w:hRule="atLeast"/>
        </w:trPr>
        <w:tc>
          <w:tcPr>
            <w:tcW w:w="9020" w:type="dxa"/>
            <w:gridSpan w:val="10"/>
            <w:tcBorders>
              <w:top w:val="nil"/>
              <w:left w:val="nil"/>
              <w:bottom w:val="nil"/>
              <w:right w:val="nil"/>
            </w:tcBorders>
            <w:noWrap w:val="0"/>
            <w:vAlign w:val="center"/>
          </w:tcPr>
          <w:p w14:paraId="6B8000B8">
            <w:pPr>
              <w:jc w:val="center"/>
              <w:rPr>
                <w:rFonts w:ascii="宋体" w:hAnsi="宋体" w:cs="宋体"/>
                <w:color w:val="auto"/>
                <w:sz w:val="20"/>
                <w:szCs w:val="20"/>
                <w:highlight w:val="none"/>
              </w:rPr>
            </w:pPr>
            <w:r>
              <w:rPr>
                <w:rFonts w:hint="eastAsia"/>
                <w:color w:val="auto"/>
                <w:sz w:val="20"/>
                <w:szCs w:val="20"/>
                <w:highlight w:val="none"/>
              </w:rPr>
              <w:t>（202</w:t>
            </w:r>
            <w:r>
              <w:rPr>
                <w:rFonts w:hint="eastAsia"/>
                <w:color w:val="auto"/>
                <w:sz w:val="20"/>
                <w:szCs w:val="20"/>
                <w:highlight w:val="none"/>
                <w:lang w:val="en-US" w:eastAsia="zh-CN"/>
              </w:rPr>
              <w:t>3</w:t>
            </w:r>
            <w:r>
              <w:rPr>
                <w:rFonts w:hint="eastAsia"/>
                <w:color w:val="auto"/>
                <w:sz w:val="20"/>
                <w:szCs w:val="20"/>
                <w:highlight w:val="none"/>
              </w:rPr>
              <w:t>年度）</w:t>
            </w:r>
          </w:p>
        </w:tc>
      </w:tr>
      <w:tr w14:paraId="7031AA11">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noWrap w:val="0"/>
            <w:vAlign w:val="center"/>
          </w:tcPr>
          <w:p w14:paraId="33A1457E">
            <w:pPr>
              <w:jc w:val="center"/>
              <w:rPr>
                <w:rFonts w:ascii="宋体" w:hAnsi="宋体" w:cs="宋体"/>
                <w:color w:val="auto"/>
                <w:sz w:val="20"/>
                <w:szCs w:val="20"/>
                <w:highlight w:val="none"/>
              </w:rPr>
            </w:pPr>
            <w:r>
              <w:rPr>
                <w:rFonts w:hint="eastAsia"/>
                <w:color w:val="auto"/>
                <w:sz w:val="20"/>
                <w:szCs w:val="20"/>
                <w:highlight w:val="none"/>
              </w:rPr>
              <w:t>项目名称</w:t>
            </w:r>
          </w:p>
        </w:tc>
        <w:tc>
          <w:tcPr>
            <w:tcW w:w="7784" w:type="dxa"/>
            <w:gridSpan w:val="8"/>
            <w:tcBorders>
              <w:top w:val="single" w:color="auto" w:sz="4" w:space="0"/>
              <w:left w:val="nil"/>
              <w:bottom w:val="single" w:color="auto" w:sz="4" w:space="0"/>
              <w:right w:val="single" w:color="000000" w:sz="4" w:space="0"/>
            </w:tcBorders>
            <w:noWrap w:val="0"/>
            <w:vAlign w:val="center"/>
          </w:tcPr>
          <w:p w14:paraId="20471C22">
            <w:pPr>
              <w:jc w:val="center"/>
              <w:rPr>
                <w:rFonts w:ascii="宋体" w:hAnsi="宋体" w:cs="宋体"/>
                <w:color w:val="auto"/>
                <w:sz w:val="20"/>
                <w:szCs w:val="20"/>
                <w:highlight w:val="none"/>
              </w:rPr>
            </w:pPr>
            <w:r>
              <w:rPr>
                <w:rFonts w:hint="eastAsia" w:ascii="仿宋_GB2312" w:hAnsi="楷体" w:eastAsia="仿宋_GB2312"/>
                <w:b/>
                <w:color w:val="auto"/>
                <w:sz w:val="32"/>
                <w:szCs w:val="32"/>
                <w:highlight w:val="none"/>
                <w:lang w:eastAsia="zh-CN"/>
              </w:rPr>
              <w:t>核算审核乡镇卫生院业务经费</w:t>
            </w:r>
            <w:r>
              <w:rPr>
                <w:rFonts w:hint="eastAsia"/>
                <w:color w:val="auto"/>
                <w:sz w:val="20"/>
                <w:szCs w:val="20"/>
                <w:highlight w:val="none"/>
              </w:rPr>
              <w:t>　</w:t>
            </w:r>
          </w:p>
        </w:tc>
      </w:tr>
      <w:tr w14:paraId="1F54C6F5">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noWrap w:val="0"/>
            <w:vAlign w:val="center"/>
          </w:tcPr>
          <w:p w14:paraId="3CA598D8">
            <w:pPr>
              <w:jc w:val="center"/>
              <w:rPr>
                <w:rFonts w:ascii="宋体" w:hAnsi="宋体" w:cs="宋体"/>
                <w:color w:val="auto"/>
                <w:sz w:val="20"/>
                <w:szCs w:val="20"/>
                <w:highlight w:val="none"/>
              </w:rPr>
            </w:pPr>
            <w:r>
              <w:rPr>
                <w:rFonts w:hint="eastAsia"/>
                <w:color w:val="auto"/>
                <w:sz w:val="20"/>
                <w:szCs w:val="20"/>
                <w:highlight w:val="none"/>
              </w:rPr>
              <w:t>实施单位</w:t>
            </w:r>
          </w:p>
        </w:tc>
        <w:tc>
          <w:tcPr>
            <w:tcW w:w="7784" w:type="dxa"/>
            <w:gridSpan w:val="8"/>
            <w:tcBorders>
              <w:top w:val="single" w:color="auto" w:sz="4" w:space="0"/>
              <w:left w:val="nil"/>
              <w:bottom w:val="single" w:color="auto" w:sz="4" w:space="0"/>
              <w:right w:val="single" w:color="auto" w:sz="4" w:space="0"/>
            </w:tcBorders>
            <w:noWrap w:val="0"/>
            <w:vAlign w:val="center"/>
          </w:tcPr>
          <w:p w14:paraId="67020A37">
            <w:pPr>
              <w:jc w:val="center"/>
              <w:rPr>
                <w:rFonts w:ascii="宋体" w:hAnsi="宋体" w:cs="宋体"/>
                <w:color w:val="auto"/>
                <w:sz w:val="20"/>
                <w:szCs w:val="20"/>
                <w:highlight w:val="none"/>
              </w:rPr>
            </w:pPr>
            <w:r>
              <w:rPr>
                <w:rFonts w:hint="eastAsia"/>
                <w:color w:val="auto"/>
                <w:sz w:val="22"/>
                <w:szCs w:val="22"/>
                <w:highlight w:val="none"/>
                <w:lang w:eastAsia="zh-CN"/>
              </w:rPr>
              <w:t>濉溪县卫生健康系统财务管理中心</w:t>
            </w:r>
            <w:r>
              <w:rPr>
                <w:rFonts w:hint="eastAsia"/>
                <w:color w:val="auto"/>
                <w:sz w:val="20"/>
                <w:szCs w:val="20"/>
                <w:highlight w:val="none"/>
              </w:rPr>
              <w:t>　</w:t>
            </w:r>
          </w:p>
        </w:tc>
      </w:tr>
      <w:tr w14:paraId="27A9FBD2">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noWrap w:val="0"/>
            <w:vAlign w:val="center"/>
          </w:tcPr>
          <w:p w14:paraId="23757725">
            <w:pPr>
              <w:jc w:val="center"/>
              <w:rPr>
                <w:rFonts w:ascii="宋体" w:hAnsi="宋体" w:cs="宋体"/>
                <w:color w:val="auto"/>
                <w:sz w:val="20"/>
                <w:szCs w:val="20"/>
                <w:highlight w:val="none"/>
              </w:rPr>
            </w:pPr>
            <w:r>
              <w:rPr>
                <w:rFonts w:hint="eastAsia"/>
                <w:color w:val="auto"/>
                <w:sz w:val="20"/>
                <w:szCs w:val="20"/>
                <w:highlight w:val="none"/>
              </w:rPr>
              <w:t>项目属性</w:t>
            </w:r>
          </w:p>
        </w:tc>
        <w:tc>
          <w:tcPr>
            <w:tcW w:w="7784" w:type="dxa"/>
            <w:gridSpan w:val="8"/>
            <w:tcBorders>
              <w:top w:val="single" w:color="auto" w:sz="4" w:space="0"/>
              <w:left w:val="nil"/>
              <w:bottom w:val="single" w:color="auto" w:sz="4" w:space="0"/>
              <w:right w:val="single" w:color="auto" w:sz="4" w:space="0"/>
            </w:tcBorders>
            <w:noWrap w:val="0"/>
            <w:vAlign w:val="center"/>
          </w:tcPr>
          <w:p w14:paraId="2E869E7E">
            <w:pPr>
              <w:jc w:val="center"/>
              <w:rPr>
                <w:rFonts w:ascii="宋体" w:hAnsi="宋体" w:cs="宋体"/>
                <w:color w:val="auto"/>
                <w:sz w:val="20"/>
                <w:szCs w:val="20"/>
                <w:highlight w:val="none"/>
              </w:rPr>
            </w:pPr>
            <w:r>
              <w:rPr>
                <w:rFonts w:hint="eastAsia"/>
                <w:color w:val="auto"/>
                <w:sz w:val="24"/>
                <w:szCs w:val="24"/>
                <w:highlight w:val="none"/>
                <w:lang w:eastAsia="zh-CN"/>
              </w:rPr>
              <w:t>业务经费</w:t>
            </w:r>
            <w:r>
              <w:rPr>
                <w:rFonts w:hint="eastAsia"/>
                <w:color w:val="auto"/>
                <w:sz w:val="20"/>
                <w:szCs w:val="20"/>
                <w:highlight w:val="none"/>
              </w:rPr>
              <w:t>　</w:t>
            </w:r>
          </w:p>
        </w:tc>
      </w:tr>
      <w:tr w14:paraId="5E20AA70">
        <w:tblPrEx>
          <w:tblCellMar>
            <w:top w:w="0" w:type="dxa"/>
            <w:left w:w="108" w:type="dxa"/>
            <w:bottom w:w="0" w:type="dxa"/>
            <w:right w:w="108" w:type="dxa"/>
          </w:tblCellMar>
        </w:tblPrEx>
        <w:trPr>
          <w:trHeight w:val="330" w:hRule="atLeast"/>
        </w:trPr>
        <w:tc>
          <w:tcPr>
            <w:tcW w:w="2176" w:type="dxa"/>
            <w:gridSpan w:val="3"/>
            <w:vMerge w:val="restart"/>
            <w:tcBorders>
              <w:top w:val="single" w:color="auto" w:sz="4" w:space="0"/>
              <w:left w:val="single" w:color="auto" w:sz="4" w:space="0"/>
              <w:bottom w:val="single" w:color="000000" w:sz="4" w:space="0"/>
              <w:right w:val="single" w:color="000000" w:sz="4" w:space="0"/>
            </w:tcBorders>
            <w:noWrap w:val="0"/>
            <w:vAlign w:val="center"/>
          </w:tcPr>
          <w:p w14:paraId="07A3C3B2">
            <w:pPr>
              <w:jc w:val="center"/>
              <w:rPr>
                <w:rFonts w:ascii="宋体" w:hAnsi="宋体" w:cs="宋体"/>
                <w:color w:val="auto"/>
                <w:sz w:val="20"/>
                <w:szCs w:val="20"/>
                <w:highlight w:val="none"/>
              </w:rPr>
            </w:pPr>
            <w:r>
              <w:rPr>
                <w:rFonts w:hint="eastAsia"/>
                <w:color w:val="auto"/>
                <w:sz w:val="20"/>
                <w:szCs w:val="20"/>
                <w:highlight w:val="none"/>
              </w:rPr>
              <w:t>项目资金</w:t>
            </w:r>
            <w:r>
              <w:rPr>
                <w:rFonts w:hint="eastAsia"/>
                <w:color w:val="auto"/>
                <w:sz w:val="20"/>
                <w:szCs w:val="20"/>
                <w:highlight w:val="none"/>
              </w:rPr>
              <w:br w:type="textWrapping"/>
            </w:r>
            <w:r>
              <w:rPr>
                <w:rFonts w:hint="eastAsia"/>
                <w:color w:val="auto"/>
                <w:sz w:val="20"/>
                <w:szCs w:val="20"/>
                <w:highlight w:val="none"/>
              </w:rPr>
              <w:t>（万元）</w:t>
            </w:r>
          </w:p>
        </w:tc>
        <w:tc>
          <w:tcPr>
            <w:tcW w:w="2000" w:type="dxa"/>
            <w:tcBorders>
              <w:top w:val="nil"/>
              <w:left w:val="nil"/>
              <w:bottom w:val="single" w:color="auto" w:sz="4" w:space="0"/>
              <w:right w:val="single" w:color="auto" w:sz="4" w:space="0"/>
            </w:tcBorders>
            <w:noWrap w:val="0"/>
            <w:vAlign w:val="center"/>
          </w:tcPr>
          <w:p w14:paraId="71025202">
            <w:pPr>
              <w:rPr>
                <w:rFonts w:ascii="宋体" w:hAnsi="宋体" w:cs="宋体"/>
                <w:color w:val="auto"/>
                <w:sz w:val="20"/>
                <w:szCs w:val="20"/>
                <w:highlight w:val="none"/>
              </w:rPr>
            </w:pPr>
            <w:r>
              <w:rPr>
                <w:rFonts w:hint="eastAsia"/>
                <w:color w:val="auto"/>
                <w:sz w:val="20"/>
                <w:szCs w:val="20"/>
                <w:highlight w:val="none"/>
              </w:rPr>
              <w:t xml:space="preserve"> 中期资金总额：</w:t>
            </w:r>
          </w:p>
        </w:tc>
        <w:tc>
          <w:tcPr>
            <w:tcW w:w="1651" w:type="dxa"/>
            <w:gridSpan w:val="2"/>
            <w:tcBorders>
              <w:top w:val="single" w:color="auto" w:sz="4" w:space="0"/>
              <w:left w:val="nil"/>
              <w:bottom w:val="single" w:color="auto" w:sz="4" w:space="0"/>
              <w:right w:val="single" w:color="auto" w:sz="4" w:space="0"/>
            </w:tcBorders>
            <w:noWrap w:val="0"/>
            <w:vAlign w:val="center"/>
          </w:tcPr>
          <w:p w14:paraId="43229E71">
            <w:pPr>
              <w:jc w:val="center"/>
              <w:rPr>
                <w:rFonts w:ascii="宋体" w:hAnsi="宋体" w:cs="宋体"/>
                <w:color w:val="auto"/>
                <w:sz w:val="24"/>
                <w:szCs w:val="24"/>
                <w:highlight w:val="none"/>
              </w:rPr>
            </w:pPr>
            <w:r>
              <w:rPr>
                <w:rFonts w:hint="eastAsia"/>
                <w:color w:val="auto"/>
                <w:sz w:val="24"/>
                <w:szCs w:val="24"/>
                <w:highlight w:val="none"/>
                <w:lang w:val="en-US" w:eastAsia="zh-CN"/>
              </w:rPr>
              <w:t>8</w:t>
            </w:r>
            <w:r>
              <w:rPr>
                <w:rFonts w:hint="eastAsia"/>
                <w:color w:val="auto"/>
                <w:sz w:val="24"/>
                <w:szCs w:val="24"/>
                <w:highlight w:val="none"/>
              </w:rPr>
              <w:t>　</w:t>
            </w:r>
          </w:p>
        </w:tc>
        <w:tc>
          <w:tcPr>
            <w:tcW w:w="1929" w:type="dxa"/>
            <w:gridSpan w:val="2"/>
            <w:tcBorders>
              <w:top w:val="single" w:color="auto" w:sz="4" w:space="0"/>
              <w:left w:val="nil"/>
              <w:bottom w:val="single" w:color="auto" w:sz="4" w:space="0"/>
              <w:right w:val="single" w:color="auto" w:sz="4" w:space="0"/>
            </w:tcBorders>
            <w:noWrap w:val="0"/>
            <w:vAlign w:val="center"/>
          </w:tcPr>
          <w:p w14:paraId="463286AB">
            <w:pPr>
              <w:rPr>
                <w:rFonts w:ascii="宋体" w:hAnsi="宋体" w:cs="宋体"/>
                <w:color w:val="auto"/>
                <w:sz w:val="20"/>
                <w:szCs w:val="20"/>
                <w:highlight w:val="none"/>
              </w:rPr>
            </w:pPr>
            <w:r>
              <w:rPr>
                <w:rFonts w:hint="eastAsia"/>
                <w:color w:val="auto"/>
                <w:sz w:val="20"/>
                <w:szCs w:val="20"/>
                <w:highlight w:val="none"/>
              </w:rPr>
              <w:t xml:space="preserve"> 年度资金总额：</w:t>
            </w:r>
          </w:p>
        </w:tc>
        <w:tc>
          <w:tcPr>
            <w:tcW w:w="1264" w:type="dxa"/>
            <w:gridSpan w:val="2"/>
            <w:tcBorders>
              <w:top w:val="single" w:color="auto" w:sz="4" w:space="0"/>
              <w:left w:val="nil"/>
              <w:bottom w:val="single" w:color="auto" w:sz="4" w:space="0"/>
              <w:right w:val="single" w:color="000000" w:sz="4" w:space="0"/>
            </w:tcBorders>
            <w:noWrap w:val="0"/>
            <w:vAlign w:val="center"/>
          </w:tcPr>
          <w:p w14:paraId="3AC185DE">
            <w:pPr>
              <w:jc w:val="center"/>
              <w:rPr>
                <w:rFonts w:hint="eastAsia" w:ascii="宋体" w:hAnsi="宋体" w:eastAsia="宋体" w:cs="宋体"/>
                <w:color w:val="auto"/>
                <w:sz w:val="24"/>
                <w:szCs w:val="24"/>
                <w:highlight w:val="none"/>
                <w:lang w:val="en-US" w:eastAsia="zh-CN"/>
              </w:rPr>
            </w:pPr>
            <w:r>
              <w:rPr>
                <w:rFonts w:hint="eastAsia"/>
                <w:color w:val="auto"/>
                <w:sz w:val="24"/>
                <w:szCs w:val="24"/>
                <w:highlight w:val="none"/>
                <w:lang w:val="en-US" w:eastAsia="zh-CN"/>
              </w:rPr>
              <w:t>8</w:t>
            </w:r>
          </w:p>
        </w:tc>
      </w:tr>
      <w:tr w14:paraId="508E013B">
        <w:tblPrEx>
          <w:tblCellMar>
            <w:top w:w="0" w:type="dxa"/>
            <w:left w:w="108" w:type="dxa"/>
            <w:bottom w:w="0" w:type="dxa"/>
            <w:right w:w="108" w:type="dxa"/>
          </w:tblCellMar>
        </w:tblPrEx>
        <w:trPr>
          <w:trHeight w:val="330" w:hRule="atLeast"/>
        </w:trPr>
        <w:tc>
          <w:tcPr>
            <w:tcW w:w="2176"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14:paraId="6DAE1E48">
            <w:pPr>
              <w:rPr>
                <w:rFonts w:ascii="宋体" w:hAnsi="宋体" w:cs="宋体"/>
                <w:color w:val="auto"/>
                <w:sz w:val="20"/>
                <w:szCs w:val="20"/>
                <w:highlight w:val="none"/>
              </w:rPr>
            </w:pPr>
          </w:p>
        </w:tc>
        <w:tc>
          <w:tcPr>
            <w:tcW w:w="2000" w:type="dxa"/>
            <w:tcBorders>
              <w:top w:val="nil"/>
              <w:left w:val="nil"/>
              <w:bottom w:val="single" w:color="auto" w:sz="4" w:space="0"/>
              <w:right w:val="single" w:color="auto" w:sz="4" w:space="0"/>
            </w:tcBorders>
            <w:noWrap w:val="0"/>
            <w:vAlign w:val="center"/>
          </w:tcPr>
          <w:p w14:paraId="19FCEBE4">
            <w:pPr>
              <w:rPr>
                <w:rFonts w:ascii="宋体" w:hAnsi="宋体" w:cs="宋体"/>
                <w:color w:val="auto"/>
                <w:sz w:val="20"/>
                <w:szCs w:val="20"/>
                <w:highlight w:val="none"/>
              </w:rPr>
            </w:pPr>
            <w:r>
              <w:rPr>
                <w:rFonts w:hint="eastAsia"/>
                <w:color w:val="auto"/>
                <w:sz w:val="20"/>
                <w:szCs w:val="20"/>
                <w:highlight w:val="none"/>
              </w:rPr>
              <w:t xml:space="preserve">   其中：财政拨款</w:t>
            </w:r>
          </w:p>
        </w:tc>
        <w:tc>
          <w:tcPr>
            <w:tcW w:w="1651" w:type="dxa"/>
            <w:gridSpan w:val="2"/>
            <w:tcBorders>
              <w:top w:val="single" w:color="auto" w:sz="4" w:space="0"/>
              <w:left w:val="nil"/>
              <w:bottom w:val="single" w:color="auto" w:sz="4" w:space="0"/>
              <w:right w:val="single" w:color="auto" w:sz="4" w:space="0"/>
            </w:tcBorders>
            <w:noWrap w:val="0"/>
            <w:vAlign w:val="center"/>
          </w:tcPr>
          <w:p w14:paraId="4C346322">
            <w:pPr>
              <w:jc w:val="center"/>
              <w:rPr>
                <w:rFonts w:ascii="宋体" w:hAnsi="宋体" w:cs="宋体"/>
                <w:color w:val="auto"/>
                <w:sz w:val="24"/>
                <w:szCs w:val="24"/>
                <w:highlight w:val="none"/>
              </w:rPr>
            </w:pPr>
            <w:r>
              <w:rPr>
                <w:rFonts w:hint="eastAsia"/>
                <w:color w:val="auto"/>
                <w:sz w:val="24"/>
                <w:szCs w:val="24"/>
                <w:highlight w:val="none"/>
                <w:lang w:val="en-US" w:eastAsia="zh-CN"/>
              </w:rPr>
              <w:t>8</w:t>
            </w:r>
            <w:r>
              <w:rPr>
                <w:rFonts w:hint="eastAsia"/>
                <w:color w:val="auto"/>
                <w:sz w:val="24"/>
                <w:szCs w:val="24"/>
                <w:highlight w:val="none"/>
              </w:rPr>
              <w:t>　</w:t>
            </w:r>
          </w:p>
        </w:tc>
        <w:tc>
          <w:tcPr>
            <w:tcW w:w="1929" w:type="dxa"/>
            <w:gridSpan w:val="2"/>
            <w:tcBorders>
              <w:top w:val="single" w:color="auto" w:sz="4" w:space="0"/>
              <w:left w:val="nil"/>
              <w:bottom w:val="single" w:color="auto" w:sz="4" w:space="0"/>
              <w:right w:val="single" w:color="auto" w:sz="4" w:space="0"/>
            </w:tcBorders>
            <w:noWrap w:val="0"/>
            <w:vAlign w:val="center"/>
          </w:tcPr>
          <w:p w14:paraId="4A4842AE">
            <w:pPr>
              <w:rPr>
                <w:rFonts w:ascii="宋体" w:hAnsi="宋体" w:cs="宋体"/>
                <w:color w:val="auto"/>
                <w:sz w:val="20"/>
                <w:szCs w:val="20"/>
                <w:highlight w:val="none"/>
              </w:rPr>
            </w:pPr>
            <w:r>
              <w:rPr>
                <w:rFonts w:hint="eastAsia"/>
                <w:color w:val="auto"/>
                <w:sz w:val="20"/>
                <w:szCs w:val="20"/>
                <w:highlight w:val="none"/>
              </w:rPr>
              <w:t xml:space="preserve">   其中：财政拨款</w:t>
            </w:r>
          </w:p>
        </w:tc>
        <w:tc>
          <w:tcPr>
            <w:tcW w:w="1264" w:type="dxa"/>
            <w:gridSpan w:val="2"/>
            <w:tcBorders>
              <w:top w:val="single" w:color="auto" w:sz="4" w:space="0"/>
              <w:left w:val="nil"/>
              <w:bottom w:val="single" w:color="auto" w:sz="4" w:space="0"/>
              <w:right w:val="single" w:color="000000" w:sz="4" w:space="0"/>
            </w:tcBorders>
            <w:noWrap w:val="0"/>
            <w:vAlign w:val="center"/>
          </w:tcPr>
          <w:p w14:paraId="1787F7E7">
            <w:pPr>
              <w:jc w:val="center"/>
              <w:rPr>
                <w:rFonts w:ascii="宋体" w:hAnsi="宋体" w:cs="宋体"/>
                <w:color w:val="auto"/>
                <w:sz w:val="24"/>
                <w:szCs w:val="24"/>
                <w:highlight w:val="none"/>
              </w:rPr>
            </w:pPr>
            <w:r>
              <w:rPr>
                <w:rFonts w:hint="eastAsia"/>
                <w:color w:val="auto"/>
                <w:sz w:val="24"/>
                <w:szCs w:val="24"/>
                <w:highlight w:val="none"/>
                <w:lang w:val="en-US" w:eastAsia="zh-CN"/>
              </w:rPr>
              <w:t>8</w:t>
            </w:r>
          </w:p>
        </w:tc>
      </w:tr>
      <w:tr w14:paraId="46657E27">
        <w:tblPrEx>
          <w:tblCellMar>
            <w:top w:w="0" w:type="dxa"/>
            <w:left w:w="108" w:type="dxa"/>
            <w:bottom w:w="0" w:type="dxa"/>
            <w:right w:w="108" w:type="dxa"/>
          </w:tblCellMar>
        </w:tblPrEx>
        <w:trPr>
          <w:trHeight w:val="330" w:hRule="atLeast"/>
        </w:trPr>
        <w:tc>
          <w:tcPr>
            <w:tcW w:w="2176"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14:paraId="0D47B9FF">
            <w:pPr>
              <w:rPr>
                <w:rFonts w:ascii="宋体" w:hAnsi="宋体" w:cs="宋体"/>
                <w:color w:val="auto"/>
                <w:sz w:val="20"/>
                <w:szCs w:val="20"/>
                <w:highlight w:val="none"/>
              </w:rPr>
            </w:pPr>
          </w:p>
        </w:tc>
        <w:tc>
          <w:tcPr>
            <w:tcW w:w="2000" w:type="dxa"/>
            <w:tcBorders>
              <w:top w:val="nil"/>
              <w:left w:val="nil"/>
              <w:bottom w:val="single" w:color="auto" w:sz="4" w:space="0"/>
              <w:right w:val="single" w:color="auto" w:sz="4" w:space="0"/>
            </w:tcBorders>
            <w:noWrap w:val="0"/>
            <w:vAlign w:val="center"/>
          </w:tcPr>
          <w:p w14:paraId="15766B0F">
            <w:pPr>
              <w:rPr>
                <w:rFonts w:ascii="宋体" w:hAnsi="宋体" w:cs="宋体"/>
                <w:color w:val="auto"/>
                <w:sz w:val="20"/>
                <w:szCs w:val="20"/>
                <w:highlight w:val="none"/>
              </w:rPr>
            </w:pPr>
            <w:r>
              <w:rPr>
                <w:rFonts w:hint="eastAsia"/>
                <w:color w:val="auto"/>
                <w:sz w:val="20"/>
                <w:szCs w:val="20"/>
                <w:highlight w:val="none"/>
              </w:rPr>
              <w:t xml:space="preserve">        其他资金</w:t>
            </w:r>
          </w:p>
        </w:tc>
        <w:tc>
          <w:tcPr>
            <w:tcW w:w="1651" w:type="dxa"/>
            <w:gridSpan w:val="2"/>
            <w:tcBorders>
              <w:top w:val="single" w:color="auto" w:sz="4" w:space="0"/>
              <w:left w:val="nil"/>
              <w:bottom w:val="single" w:color="auto" w:sz="4" w:space="0"/>
              <w:right w:val="single" w:color="000000" w:sz="4" w:space="0"/>
            </w:tcBorders>
            <w:noWrap w:val="0"/>
            <w:vAlign w:val="center"/>
          </w:tcPr>
          <w:p w14:paraId="0A97A8A2">
            <w:pPr>
              <w:jc w:val="center"/>
              <w:rPr>
                <w:rFonts w:ascii="宋体" w:hAnsi="宋体" w:cs="宋体"/>
                <w:color w:val="auto"/>
                <w:sz w:val="20"/>
                <w:szCs w:val="20"/>
                <w:highlight w:val="none"/>
              </w:rPr>
            </w:pPr>
            <w:r>
              <w:rPr>
                <w:rFonts w:hint="eastAsia"/>
                <w:color w:val="auto"/>
                <w:sz w:val="20"/>
                <w:szCs w:val="20"/>
                <w:highlight w:val="none"/>
              </w:rPr>
              <w:t>　</w:t>
            </w:r>
          </w:p>
        </w:tc>
        <w:tc>
          <w:tcPr>
            <w:tcW w:w="1929" w:type="dxa"/>
            <w:gridSpan w:val="2"/>
            <w:tcBorders>
              <w:top w:val="single" w:color="auto" w:sz="4" w:space="0"/>
              <w:left w:val="nil"/>
              <w:bottom w:val="single" w:color="auto" w:sz="4" w:space="0"/>
              <w:right w:val="single" w:color="auto" w:sz="4" w:space="0"/>
            </w:tcBorders>
            <w:noWrap w:val="0"/>
            <w:vAlign w:val="center"/>
          </w:tcPr>
          <w:p w14:paraId="2786CEBC">
            <w:pPr>
              <w:rPr>
                <w:rFonts w:ascii="宋体" w:hAnsi="宋体" w:cs="宋体"/>
                <w:color w:val="auto"/>
                <w:sz w:val="20"/>
                <w:szCs w:val="20"/>
                <w:highlight w:val="none"/>
              </w:rPr>
            </w:pPr>
            <w:r>
              <w:rPr>
                <w:rFonts w:hint="eastAsia"/>
                <w:color w:val="auto"/>
                <w:sz w:val="20"/>
                <w:szCs w:val="20"/>
                <w:highlight w:val="none"/>
              </w:rPr>
              <w:t xml:space="preserve">         其他资金</w:t>
            </w:r>
          </w:p>
        </w:tc>
        <w:tc>
          <w:tcPr>
            <w:tcW w:w="1264" w:type="dxa"/>
            <w:gridSpan w:val="2"/>
            <w:tcBorders>
              <w:top w:val="single" w:color="auto" w:sz="4" w:space="0"/>
              <w:left w:val="nil"/>
              <w:bottom w:val="single" w:color="auto" w:sz="4" w:space="0"/>
              <w:right w:val="single" w:color="000000" w:sz="4" w:space="0"/>
            </w:tcBorders>
            <w:noWrap w:val="0"/>
            <w:vAlign w:val="center"/>
          </w:tcPr>
          <w:p w14:paraId="66FA78C9">
            <w:pPr>
              <w:jc w:val="center"/>
              <w:rPr>
                <w:rFonts w:ascii="宋体" w:hAnsi="宋体" w:cs="宋体"/>
                <w:color w:val="auto"/>
                <w:sz w:val="20"/>
                <w:szCs w:val="20"/>
                <w:highlight w:val="none"/>
              </w:rPr>
            </w:pPr>
            <w:r>
              <w:rPr>
                <w:rFonts w:hint="eastAsia"/>
                <w:color w:val="auto"/>
                <w:sz w:val="20"/>
                <w:szCs w:val="20"/>
                <w:highlight w:val="none"/>
              </w:rPr>
              <w:t>　</w:t>
            </w:r>
          </w:p>
        </w:tc>
      </w:tr>
      <w:tr w14:paraId="028038ED">
        <w:tblPrEx>
          <w:tblCellMar>
            <w:top w:w="0" w:type="dxa"/>
            <w:left w:w="108" w:type="dxa"/>
            <w:bottom w:w="0" w:type="dxa"/>
            <w:right w:w="108" w:type="dxa"/>
          </w:tblCellMar>
        </w:tblPrEx>
        <w:trPr>
          <w:trHeight w:val="957" w:hRule="atLeast"/>
        </w:trPr>
        <w:tc>
          <w:tcPr>
            <w:tcW w:w="416" w:type="dxa"/>
            <w:tcBorders>
              <w:top w:val="nil"/>
              <w:left w:val="single" w:color="auto" w:sz="4" w:space="0"/>
              <w:bottom w:val="single" w:color="auto" w:sz="4" w:space="0"/>
              <w:right w:val="single" w:color="auto" w:sz="4" w:space="0"/>
            </w:tcBorders>
            <w:noWrap w:val="0"/>
            <w:vAlign w:val="center"/>
          </w:tcPr>
          <w:p w14:paraId="6580A8E1">
            <w:pPr>
              <w:rPr>
                <w:rFonts w:ascii="宋体" w:hAnsi="宋体" w:cs="宋体"/>
                <w:color w:val="auto"/>
                <w:sz w:val="20"/>
                <w:szCs w:val="20"/>
                <w:highlight w:val="none"/>
              </w:rPr>
            </w:pPr>
          </w:p>
        </w:tc>
        <w:tc>
          <w:tcPr>
            <w:tcW w:w="8604" w:type="dxa"/>
            <w:gridSpan w:val="9"/>
            <w:tcBorders>
              <w:top w:val="single" w:color="auto" w:sz="4" w:space="0"/>
              <w:left w:val="nil"/>
              <w:bottom w:val="single" w:color="auto" w:sz="4" w:space="0"/>
              <w:right w:val="single" w:color="000000" w:sz="4" w:space="0"/>
            </w:tcBorders>
            <w:noWrap w:val="0"/>
            <w:vAlign w:val="top"/>
          </w:tcPr>
          <w:p w14:paraId="316541CF">
            <w:pPr>
              <w:jc w:val="left"/>
              <w:rPr>
                <w:rFonts w:ascii="宋体" w:hAnsi="宋体" w:cs="宋体"/>
                <w:color w:val="auto"/>
                <w:sz w:val="20"/>
                <w:szCs w:val="20"/>
                <w:highlight w:val="none"/>
              </w:rPr>
            </w:pPr>
            <w:r>
              <w:rPr>
                <w:rFonts w:hint="eastAsia"/>
                <w:color w:val="auto"/>
                <w:sz w:val="20"/>
                <w:szCs w:val="20"/>
                <w:highlight w:val="none"/>
              </w:rPr>
              <w:t>目标1：</w:t>
            </w:r>
            <w:r>
              <w:rPr>
                <w:rFonts w:hint="eastAsia"/>
                <w:color w:val="auto"/>
                <w:sz w:val="20"/>
                <w:szCs w:val="20"/>
                <w:highlight w:val="none"/>
                <w:lang w:eastAsia="zh-CN"/>
              </w:rPr>
              <w:t>核算审核乡镇卫生院业务，保障财管中心正常运转</w:t>
            </w:r>
          </w:p>
        </w:tc>
      </w:tr>
      <w:tr w14:paraId="5A1490B7">
        <w:tblPrEx>
          <w:tblCellMar>
            <w:top w:w="0" w:type="dxa"/>
            <w:left w:w="108" w:type="dxa"/>
            <w:bottom w:w="0" w:type="dxa"/>
            <w:right w:w="108" w:type="dxa"/>
          </w:tblCellMar>
        </w:tblPrEx>
        <w:trPr>
          <w:trHeight w:val="830" w:hRule="atLeast"/>
        </w:trPr>
        <w:tc>
          <w:tcPr>
            <w:tcW w:w="416" w:type="dxa"/>
            <w:vMerge w:val="restart"/>
            <w:tcBorders>
              <w:top w:val="nil"/>
              <w:left w:val="single" w:color="auto" w:sz="4" w:space="0"/>
              <w:bottom w:val="single" w:color="000000" w:sz="4" w:space="0"/>
              <w:right w:val="single" w:color="auto" w:sz="4" w:space="0"/>
            </w:tcBorders>
            <w:noWrap w:val="0"/>
            <w:vAlign w:val="center"/>
          </w:tcPr>
          <w:p w14:paraId="1298760A">
            <w:pPr>
              <w:jc w:val="center"/>
              <w:rPr>
                <w:rFonts w:ascii="宋体" w:hAnsi="宋体" w:cs="宋体"/>
                <w:color w:val="auto"/>
                <w:sz w:val="20"/>
                <w:szCs w:val="20"/>
                <w:highlight w:val="none"/>
              </w:rPr>
            </w:pPr>
            <w:r>
              <w:rPr>
                <w:rFonts w:hint="eastAsia"/>
                <w:color w:val="auto"/>
                <w:sz w:val="20"/>
                <w:szCs w:val="20"/>
                <w:highlight w:val="none"/>
              </w:rPr>
              <w:t>绩</w:t>
            </w:r>
            <w:r>
              <w:rPr>
                <w:rFonts w:hint="eastAsia"/>
                <w:color w:val="auto"/>
                <w:sz w:val="20"/>
                <w:szCs w:val="20"/>
                <w:highlight w:val="none"/>
              </w:rPr>
              <w:br w:type="textWrapping"/>
            </w:r>
            <w:r>
              <w:rPr>
                <w:rFonts w:hint="eastAsia"/>
                <w:color w:val="auto"/>
                <w:sz w:val="20"/>
                <w:szCs w:val="20"/>
                <w:highlight w:val="none"/>
              </w:rPr>
              <w:t>效</w:t>
            </w:r>
            <w:r>
              <w:rPr>
                <w:rFonts w:hint="eastAsia"/>
                <w:color w:val="auto"/>
                <w:sz w:val="20"/>
                <w:szCs w:val="20"/>
                <w:highlight w:val="none"/>
              </w:rPr>
              <w:br w:type="textWrapping"/>
            </w:r>
            <w:r>
              <w:rPr>
                <w:rFonts w:hint="eastAsia"/>
                <w:color w:val="auto"/>
                <w:sz w:val="20"/>
                <w:szCs w:val="20"/>
                <w:highlight w:val="none"/>
              </w:rPr>
              <w:t>指</w:t>
            </w:r>
            <w:r>
              <w:rPr>
                <w:rFonts w:hint="eastAsia"/>
                <w:color w:val="auto"/>
                <w:sz w:val="20"/>
                <w:szCs w:val="20"/>
                <w:highlight w:val="none"/>
              </w:rPr>
              <w:br w:type="textWrapping"/>
            </w:r>
            <w:r>
              <w:rPr>
                <w:rFonts w:hint="eastAsia"/>
                <w:color w:val="auto"/>
                <w:sz w:val="20"/>
                <w:szCs w:val="20"/>
                <w:highlight w:val="none"/>
              </w:rPr>
              <w:t>标</w:t>
            </w:r>
          </w:p>
        </w:tc>
        <w:tc>
          <w:tcPr>
            <w:tcW w:w="820" w:type="dxa"/>
            <w:tcBorders>
              <w:top w:val="nil"/>
              <w:left w:val="nil"/>
              <w:bottom w:val="nil"/>
              <w:right w:val="single" w:color="auto" w:sz="4" w:space="0"/>
            </w:tcBorders>
            <w:noWrap w:val="0"/>
            <w:vAlign w:val="center"/>
          </w:tcPr>
          <w:p w14:paraId="60B822E5">
            <w:pPr>
              <w:jc w:val="center"/>
              <w:rPr>
                <w:rFonts w:ascii="宋体" w:hAnsi="宋体" w:cs="宋体"/>
                <w:color w:val="auto"/>
                <w:sz w:val="20"/>
                <w:szCs w:val="20"/>
                <w:highlight w:val="none"/>
              </w:rPr>
            </w:pPr>
            <w:r>
              <w:rPr>
                <w:rFonts w:hint="eastAsia"/>
                <w:color w:val="auto"/>
                <w:sz w:val="20"/>
                <w:szCs w:val="20"/>
                <w:highlight w:val="none"/>
              </w:rPr>
              <w:t>一级</w:t>
            </w:r>
            <w:r>
              <w:rPr>
                <w:rFonts w:hint="eastAsia"/>
                <w:color w:val="auto"/>
                <w:sz w:val="20"/>
                <w:szCs w:val="20"/>
                <w:highlight w:val="none"/>
              </w:rPr>
              <w:br w:type="textWrapping"/>
            </w:r>
            <w:r>
              <w:rPr>
                <w:rFonts w:hint="eastAsia"/>
                <w:color w:val="auto"/>
                <w:sz w:val="20"/>
                <w:szCs w:val="20"/>
                <w:highlight w:val="none"/>
              </w:rPr>
              <w:t>指标</w:t>
            </w:r>
          </w:p>
        </w:tc>
        <w:tc>
          <w:tcPr>
            <w:tcW w:w="940" w:type="dxa"/>
            <w:tcBorders>
              <w:top w:val="nil"/>
              <w:left w:val="nil"/>
              <w:bottom w:val="single" w:color="auto" w:sz="4" w:space="0"/>
              <w:right w:val="single" w:color="auto" w:sz="4" w:space="0"/>
            </w:tcBorders>
            <w:noWrap w:val="0"/>
            <w:vAlign w:val="center"/>
          </w:tcPr>
          <w:p w14:paraId="50C5733D">
            <w:pPr>
              <w:jc w:val="center"/>
              <w:rPr>
                <w:color w:val="auto"/>
                <w:sz w:val="20"/>
                <w:szCs w:val="20"/>
                <w:highlight w:val="none"/>
              </w:rPr>
            </w:pPr>
            <w:r>
              <w:rPr>
                <w:rFonts w:hint="eastAsia"/>
                <w:color w:val="auto"/>
                <w:sz w:val="20"/>
                <w:szCs w:val="20"/>
                <w:highlight w:val="none"/>
              </w:rPr>
              <w:t>二级</w:t>
            </w:r>
          </w:p>
          <w:p w14:paraId="7025ECFB">
            <w:pPr>
              <w:jc w:val="center"/>
              <w:rPr>
                <w:rFonts w:ascii="宋体" w:hAnsi="宋体" w:cs="宋体"/>
                <w:color w:val="auto"/>
                <w:sz w:val="20"/>
                <w:szCs w:val="20"/>
                <w:highlight w:val="none"/>
              </w:rPr>
            </w:pPr>
            <w:r>
              <w:rPr>
                <w:rFonts w:hint="eastAsia"/>
                <w:color w:val="auto"/>
                <w:sz w:val="20"/>
                <w:szCs w:val="20"/>
                <w:highlight w:val="none"/>
              </w:rPr>
              <w:t>指标</w:t>
            </w:r>
          </w:p>
        </w:tc>
        <w:tc>
          <w:tcPr>
            <w:tcW w:w="2000" w:type="dxa"/>
            <w:tcBorders>
              <w:top w:val="nil"/>
              <w:left w:val="nil"/>
              <w:bottom w:val="single" w:color="auto" w:sz="4" w:space="0"/>
              <w:right w:val="single" w:color="auto" w:sz="4" w:space="0"/>
            </w:tcBorders>
            <w:noWrap w:val="0"/>
            <w:vAlign w:val="center"/>
          </w:tcPr>
          <w:p w14:paraId="0AB6D01A">
            <w:pPr>
              <w:jc w:val="center"/>
              <w:rPr>
                <w:rFonts w:ascii="宋体" w:hAnsi="宋体" w:cs="宋体"/>
                <w:color w:val="auto"/>
                <w:sz w:val="20"/>
                <w:szCs w:val="20"/>
                <w:highlight w:val="none"/>
              </w:rPr>
            </w:pPr>
            <w:r>
              <w:rPr>
                <w:rFonts w:hint="eastAsia"/>
                <w:color w:val="auto"/>
                <w:sz w:val="20"/>
                <w:szCs w:val="20"/>
                <w:highlight w:val="none"/>
              </w:rPr>
              <w:t>三级指标</w:t>
            </w:r>
          </w:p>
        </w:tc>
        <w:tc>
          <w:tcPr>
            <w:tcW w:w="860" w:type="dxa"/>
            <w:tcBorders>
              <w:top w:val="nil"/>
              <w:left w:val="nil"/>
              <w:bottom w:val="single" w:color="auto" w:sz="4" w:space="0"/>
              <w:right w:val="single" w:color="auto" w:sz="4" w:space="0"/>
            </w:tcBorders>
            <w:noWrap w:val="0"/>
            <w:vAlign w:val="center"/>
          </w:tcPr>
          <w:p w14:paraId="3D7C7328">
            <w:pPr>
              <w:jc w:val="center"/>
              <w:rPr>
                <w:rFonts w:ascii="宋体" w:hAnsi="宋体" w:cs="宋体"/>
                <w:color w:val="auto"/>
                <w:sz w:val="20"/>
                <w:szCs w:val="20"/>
                <w:highlight w:val="none"/>
              </w:rPr>
            </w:pPr>
            <w:r>
              <w:rPr>
                <w:rFonts w:hint="eastAsia"/>
                <w:color w:val="auto"/>
                <w:sz w:val="20"/>
                <w:szCs w:val="20"/>
                <w:highlight w:val="none"/>
              </w:rPr>
              <w:t>指标值</w:t>
            </w:r>
          </w:p>
        </w:tc>
        <w:tc>
          <w:tcPr>
            <w:tcW w:w="791" w:type="dxa"/>
            <w:tcBorders>
              <w:top w:val="nil"/>
              <w:left w:val="nil"/>
              <w:bottom w:val="single" w:color="auto" w:sz="4" w:space="0"/>
              <w:right w:val="single" w:color="auto" w:sz="4" w:space="0"/>
            </w:tcBorders>
            <w:noWrap w:val="0"/>
            <w:vAlign w:val="center"/>
          </w:tcPr>
          <w:p w14:paraId="04FDF078">
            <w:pPr>
              <w:jc w:val="center"/>
              <w:rPr>
                <w:rFonts w:ascii="宋体" w:hAnsi="宋体" w:cs="宋体"/>
                <w:color w:val="auto"/>
                <w:sz w:val="20"/>
                <w:szCs w:val="20"/>
                <w:highlight w:val="none"/>
              </w:rPr>
            </w:pPr>
            <w:r>
              <w:rPr>
                <w:rFonts w:hint="eastAsia"/>
                <w:color w:val="auto"/>
                <w:sz w:val="20"/>
                <w:szCs w:val="20"/>
                <w:highlight w:val="none"/>
              </w:rPr>
              <w:t>绩效标准</w:t>
            </w:r>
          </w:p>
        </w:tc>
        <w:tc>
          <w:tcPr>
            <w:tcW w:w="889" w:type="dxa"/>
            <w:tcBorders>
              <w:top w:val="nil"/>
              <w:left w:val="nil"/>
              <w:bottom w:val="single" w:color="auto" w:sz="4" w:space="0"/>
              <w:right w:val="single" w:color="auto" w:sz="4" w:space="0"/>
            </w:tcBorders>
            <w:noWrap w:val="0"/>
            <w:vAlign w:val="center"/>
          </w:tcPr>
          <w:p w14:paraId="60ADBB25">
            <w:pPr>
              <w:jc w:val="center"/>
              <w:rPr>
                <w:color w:val="auto"/>
                <w:sz w:val="20"/>
                <w:szCs w:val="20"/>
                <w:highlight w:val="none"/>
              </w:rPr>
            </w:pPr>
            <w:r>
              <w:rPr>
                <w:rFonts w:hint="eastAsia"/>
                <w:color w:val="auto"/>
                <w:sz w:val="20"/>
                <w:szCs w:val="20"/>
                <w:highlight w:val="none"/>
              </w:rPr>
              <w:t>二级</w:t>
            </w:r>
          </w:p>
          <w:p w14:paraId="30AF616E">
            <w:pPr>
              <w:jc w:val="center"/>
              <w:rPr>
                <w:rFonts w:ascii="宋体" w:hAnsi="宋体" w:cs="宋体"/>
                <w:color w:val="auto"/>
                <w:sz w:val="20"/>
                <w:szCs w:val="20"/>
                <w:highlight w:val="none"/>
              </w:rPr>
            </w:pPr>
            <w:r>
              <w:rPr>
                <w:rFonts w:hint="eastAsia"/>
                <w:color w:val="auto"/>
                <w:sz w:val="20"/>
                <w:szCs w:val="20"/>
                <w:highlight w:val="none"/>
              </w:rPr>
              <w:t>指标</w:t>
            </w:r>
          </w:p>
        </w:tc>
        <w:tc>
          <w:tcPr>
            <w:tcW w:w="1040" w:type="dxa"/>
            <w:tcBorders>
              <w:top w:val="nil"/>
              <w:left w:val="nil"/>
              <w:bottom w:val="single" w:color="auto" w:sz="4" w:space="0"/>
              <w:right w:val="nil"/>
            </w:tcBorders>
            <w:noWrap w:val="0"/>
            <w:vAlign w:val="center"/>
          </w:tcPr>
          <w:p w14:paraId="603E86EE">
            <w:pPr>
              <w:jc w:val="center"/>
              <w:rPr>
                <w:rFonts w:ascii="宋体" w:hAnsi="宋体" w:cs="宋体"/>
                <w:color w:val="auto"/>
                <w:sz w:val="20"/>
                <w:szCs w:val="20"/>
                <w:highlight w:val="none"/>
              </w:rPr>
            </w:pPr>
            <w:r>
              <w:rPr>
                <w:rFonts w:hint="eastAsia"/>
                <w:color w:val="auto"/>
                <w:sz w:val="20"/>
                <w:szCs w:val="20"/>
                <w:highlight w:val="none"/>
              </w:rPr>
              <w:t>三级指标</w:t>
            </w:r>
          </w:p>
        </w:tc>
        <w:tc>
          <w:tcPr>
            <w:tcW w:w="623" w:type="dxa"/>
            <w:tcBorders>
              <w:top w:val="nil"/>
              <w:left w:val="single" w:color="auto" w:sz="4" w:space="0"/>
              <w:bottom w:val="single" w:color="auto" w:sz="4" w:space="0"/>
              <w:right w:val="single" w:color="auto" w:sz="4" w:space="0"/>
            </w:tcBorders>
            <w:noWrap w:val="0"/>
            <w:vAlign w:val="center"/>
          </w:tcPr>
          <w:p w14:paraId="1DC9A158">
            <w:pPr>
              <w:jc w:val="center"/>
              <w:rPr>
                <w:rFonts w:ascii="宋体" w:hAnsi="宋体" w:cs="宋体"/>
                <w:color w:val="auto"/>
                <w:sz w:val="20"/>
                <w:szCs w:val="20"/>
                <w:highlight w:val="none"/>
              </w:rPr>
            </w:pPr>
            <w:r>
              <w:rPr>
                <w:rFonts w:hint="eastAsia"/>
                <w:color w:val="auto"/>
                <w:sz w:val="20"/>
                <w:szCs w:val="20"/>
                <w:highlight w:val="none"/>
              </w:rPr>
              <w:t>指标值</w:t>
            </w:r>
          </w:p>
        </w:tc>
        <w:tc>
          <w:tcPr>
            <w:tcW w:w="641" w:type="dxa"/>
            <w:tcBorders>
              <w:top w:val="nil"/>
              <w:left w:val="nil"/>
              <w:bottom w:val="single" w:color="auto" w:sz="4" w:space="0"/>
              <w:right w:val="single" w:color="auto" w:sz="4" w:space="0"/>
            </w:tcBorders>
            <w:noWrap w:val="0"/>
            <w:vAlign w:val="center"/>
          </w:tcPr>
          <w:p w14:paraId="17AB698D">
            <w:pPr>
              <w:jc w:val="center"/>
              <w:rPr>
                <w:rFonts w:ascii="宋体" w:hAnsi="宋体" w:cs="宋体"/>
                <w:color w:val="auto"/>
                <w:sz w:val="20"/>
                <w:szCs w:val="20"/>
                <w:highlight w:val="none"/>
              </w:rPr>
            </w:pPr>
            <w:r>
              <w:rPr>
                <w:rFonts w:hint="eastAsia"/>
                <w:color w:val="auto"/>
                <w:sz w:val="20"/>
                <w:szCs w:val="20"/>
                <w:highlight w:val="none"/>
              </w:rPr>
              <w:t>绩效标准</w:t>
            </w:r>
          </w:p>
        </w:tc>
      </w:tr>
      <w:tr w14:paraId="3B4EB472">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538FEBC7">
            <w:pPr>
              <w:rPr>
                <w:rFonts w:ascii="宋体" w:hAnsi="宋体" w:cs="宋体"/>
                <w:color w:val="auto"/>
                <w:sz w:val="20"/>
                <w:szCs w:val="20"/>
                <w:highlight w:val="none"/>
              </w:rPr>
            </w:pPr>
          </w:p>
        </w:tc>
        <w:tc>
          <w:tcPr>
            <w:tcW w:w="820" w:type="dxa"/>
            <w:vMerge w:val="restart"/>
            <w:tcBorders>
              <w:top w:val="single" w:color="auto" w:sz="4" w:space="0"/>
              <w:left w:val="single" w:color="auto" w:sz="4" w:space="0"/>
              <w:bottom w:val="single" w:color="auto" w:sz="4" w:space="0"/>
              <w:right w:val="single" w:color="auto" w:sz="4" w:space="0"/>
            </w:tcBorders>
            <w:noWrap w:val="0"/>
            <w:vAlign w:val="center"/>
          </w:tcPr>
          <w:p w14:paraId="7F313598">
            <w:pPr>
              <w:jc w:val="center"/>
              <w:rPr>
                <w:rFonts w:ascii="宋体" w:hAnsi="宋体" w:cs="宋体"/>
                <w:color w:val="auto"/>
                <w:sz w:val="20"/>
                <w:szCs w:val="20"/>
                <w:highlight w:val="none"/>
              </w:rPr>
            </w:pPr>
            <w:r>
              <w:rPr>
                <w:rFonts w:hint="eastAsia"/>
                <w:color w:val="auto"/>
                <w:sz w:val="20"/>
                <w:szCs w:val="20"/>
                <w:highlight w:val="none"/>
              </w:rPr>
              <w:t>产</w:t>
            </w:r>
            <w:r>
              <w:rPr>
                <w:rFonts w:hint="eastAsia"/>
                <w:color w:val="auto"/>
                <w:sz w:val="20"/>
                <w:szCs w:val="20"/>
                <w:highlight w:val="none"/>
              </w:rPr>
              <w:br w:type="textWrapping"/>
            </w:r>
            <w:r>
              <w:rPr>
                <w:rFonts w:hint="eastAsia"/>
                <w:color w:val="auto"/>
                <w:sz w:val="20"/>
                <w:szCs w:val="20"/>
                <w:highlight w:val="none"/>
              </w:rPr>
              <w:t>出</w:t>
            </w:r>
            <w:r>
              <w:rPr>
                <w:rFonts w:hint="eastAsia"/>
                <w:color w:val="auto"/>
                <w:sz w:val="20"/>
                <w:szCs w:val="20"/>
                <w:highlight w:val="none"/>
              </w:rPr>
              <w:br w:type="textWrapping"/>
            </w:r>
            <w:r>
              <w:rPr>
                <w:rFonts w:hint="eastAsia"/>
                <w:color w:val="auto"/>
                <w:sz w:val="20"/>
                <w:szCs w:val="20"/>
                <w:highlight w:val="none"/>
              </w:rPr>
              <w:t>指</w:t>
            </w:r>
            <w:r>
              <w:rPr>
                <w:rFonts w:hint="eastAsia"/>
                <w:color w:val="auto"/>
                <w:sz w:val="20"/>
                <w:szCs w:val="20"/>
                <w:highlight w:val="none"/>
              </w:rPr>
              <w:br w:type="textWrapping"/>
            </w:r>
            <w:r>
              <w:rPr>
                <w:rFonts w:hint="eastAsia"/>
                <w:color w:val="auto"/>
                <w:sz w:val="20"/>
                <w:szCs w:val="20"/>
                <w:highlight w:val="none"/>
              </w:rPr>
              <w:t>标</w:t>
            </w:r>
          </w:p>
        </w:tc>
        <w:tc>
          <w:tcPr>
            <w:tcW w:w="940" w:type="dxa"/>
            <w:tcBorders>
              <w:top w:val="nil"/>
              <w:left w:val="single" w:color="auto" w:sz="4" w:space="0"/>
              <w:bottom w:val="single" w:color="000000" w:sz="4" w:space="0"/>
              <w:right w:val="single" w:color="auto" w:sz="4" w:space="0"/>
            </w:tcBorders>
            <w:noWrap w:val="0"/>
            <w:vAlign w:val="center"/>
          </w:tcPr>
          <w:p w14:paraId="24A6DBBE">
            <w:pPr>
              <w:jc w:val="center"/>
              <w:rPr>
                <w:color w:val="auto"/>
                <w:sz w:val="20"/>
                <w:szCs w:val="20"/>
                <w:highlight w:val="none"/>
              </w:rPr>
            </w:pPr>
            <w:r>
              <w:rPr>
                <w:rFonts w:hint="eastAsia"/>
                <w:color w:val="auto"/>
                <w:sz w:val="20"/>
                <w:szCs w:val="20"/>
                <w:highlight w:val="none"/>
              </w:rPr>
              <w:t>数量</w:t>
            </w:r>
          </w:p>
          <w:p w14:paraId="7F14CAC6">
            <w:pPr>
              <w:jc w:val="center"/>
              <w:rPr>
                <w:rFonts w:ascii="宋体" w:hAnsi="宋体" w:cs="宋体"/>
                <w:color w:val="auto"/>
                <w:sz w:val="20"/>
                <w:szCs w:val="20"/>
                <w:highlight w:val="none"/>
              </w:rPr>
            </w:pPr>
            <w:r>
              <w:rPr>
                <w:rFonts w:hint="eastAsia"/>
                <w:color w:val="auto"/>
                <w:sz w:val="20"/>
                <w:szCs w:val="20"/>
                <w:highlight w:val="none"/>
              </w:rPr>
              <w:t>指标</w:t>
            </w:r>
          </w:p>
        </w:tc>
        <w:tc>
          <w:tcPr>
            <w:tcW w:w="2000" w:type="dxa"/>
            <w:tcBorders>
              <w:top w:val="nil"/>
              <w:left w:val="nil"/>
              <w:bottom w:val="single" w:color="auto" w:sz="4" w:space="0"/>
              <w:right w:val="single" w:color="auto" w:sz="4" w:space="0"/>
            </w:tcBorders>
            <w:noWrap w:val="0"/>
            <w:vAlign w:val="center"/>
          </w:tcPr>
          <w:p w14:paraId="659841CE">
            <w:pPr>
              <w:rPr>
                <w:rFonts w:ascii="宋体" w:hAnsi="宋体" w:cs="宋体"/>
                <w:color w:val="auto"/>
                <w:sz w:val="20"/>
                <w:szCs w:val="20"/>
                <w:highlight w:val="none"/>
              </w:rPr>
            </w:pPr>
            <w:r>
              <w:rPr>
                <w:rFonts w:hint="eastAsia"/>
                <w:color w:val="auto"/>
                <w:sz w:val="20"/>
                <w:szCs w:val="20"/>
                <w:highlight w:val="none"/>
              </w:rPr>
              <w:t xml:space="preserve"> </w:t>
            </w:r>
            <w:r>
              <w:rPr>
                <w:rFonts w:hint="eastAsia"/>
                <w:color w:val="auto"/>
                <w:sz w:val="20"/>
                <w:szCs w:val="20"/>
                <w:highlight w:val="none"/>
                <w:lang w:eastAsia="zh-CN"/>
              </w:rPr>
              <w:t>核算审核乡镇卫生院业务</w:t>
            </w:r>
          </w:p>
        </w:tc>
        <w:tc>
          <w:tcPr>
            <w:tcW w:w="860" w:type="dxa"/>
            <w:tcBorders>
              <w:top w:val="nil"/>
              <w:left w:val="nil"/>
              <w:bottom w:val="single" w:color="auto" w:sz="4" w:space="0"/>
              <w:right w:val="single" w:color="auto" w:sz="4" w:space="0"/>
            </w:tcBorders>
            <w:noWrap w:val="0"/>
            <w:vAlign w:val="center"/>
          </w:tcPr>
          <w:p w14:paraId="0CA4C0AB">
            <w:pPr>
              <w:rPr>
                <w:rFonts w:hint="eastAsia" w:ascii="宋体" w:hAnsi="宋体" w:eastAsia="宋体" w:cs="宋体"/>
                <w:color w:val="auto"/>
                <w:sz w:val="20"/>
                <w:szCs w:val="20"/>
                <w:highlight w:val="none"/>
                <w:lang w:val="en-US" w:eastAsia="zh-CN"/>
              </w:rPr>
            </w:pPr>
            <w:r>
              <w:rPr>
                <w:rFonts w:hint="eastAsia"/>
                <w:color w:val="auto"/>
                <w:sz w:val="20"/>
                <w:szCs w:val="20"/>
                <w:highlight w:val="none"/>
              </w:rPr>
              <w:t>　</w:t>
            </w:r>
            <w:r>
              <w:rPr>
                <w:rFonts w:hint="eastAsia"/>
                <w:color w:val="auto"/>
                <w:sz w:val="20"/>
                <w:szCs w:val="20"/>
                <w:highlight w:val="none"/>
                <w:lang w:val="en-US" w:eastAsia="zh-CN"/>
              </w:rPr>
              <w:t>8万</w:t>
            </w:r>
          </w:p>
        </w:tc>
        <w:tc>
          <w:tcPr>
            <w:tcW w:w="791" w:type="dxa"/>
            <w:tcBorders>
              <w:top w:val="nil"/>
              <w:left w:val="nil"/>
              <w:bottom w:val="single" w:color="auto" w:sz="4" w:space="0"/>
              <w:right w:val="single" w:color="auto" w:sz="4" w:space="0"/>
            </w:tcBorders>
            <w:noWrap w:val="0"/>
            <w:vAlign w:val="center"/>
          </w:tcPr>
          <w:p w14:paraId="00035338">
            <w:pPr>
              <w:rPr>
                <w:rFonts w:ascii="宋体" w:hAnsi="宋体" w:cs="宋体"/>
                <w:color w:val="auto"/>
                <w:sz w:val="20"/>
                <w:szCs w:val="20"/>
                <w:highlight w:val="none"/>
              </w:rPr>
            </w:pPr>
            <w:r>
              <w:rPr>
                <w:rFonts w:hint="eastAsia"/>
                <w:color w:val="auto"/>
                <w:sz w:val="20"/>
                <w:szCs w:val="20"/>
                <w:highlight w:val="none"/>
              </w:rPr>
              <w:t>　</w:t>
            </w:r>
          </w:p>
        </w:tc>
        <w:tc>
          <w:tcPr>
            <w:tcW w:w="889" w:type="dxa"/>
            <w:tcBorders>
              <w:top w:val="nil"/>
              <w:left w:val="single" w:color="auto" w:sz="4" w:space="0"/>
              <w:bottom w:val="single" w:color="000000" w:sz="4" w:space="0"/>
              <w:right w:val="single" w:color="auto" w:sz="4" w:space="0"/>
            </w:tcBorders>
            <w:noWrap w:val="0"/>
            <w:vAlign w:val="center"/>
          </w:tcPr>
          <w:p w14:paraId="6485F1AC">
            <w:pPr>
              <w:jc w:val="center"/>
              <w:rPr>
                <w:color w:val="auto"/>
                <w:sz w:val="20"/>
                <w:szCs w:val="20"/>
                <w:highlight w:val="none"/>
              </w:rPr>
            </w:pPr>
            <w:r>
              <w:rPr>
                <w:rFonts w:hint="eastAsia"/>
                <w:color w:val="auto"/>
                <w:sz w:val="20"/>
                <w:szCs w:val="20"/>
                <w:highlight w:val="none"/>
              </w:rPr>
              <w:t>数量</w:t>
            </w:r>
          </w:p>
          <w:p w14:paraId="45FF6E2E">
            <w:pPr>
              <w:jc w:val="center"/>
              <w:rPr>
                <w:rFonts w:ascii="宋体" w:hAnsi="宋体" w:cs="宋体"/>
                <w:color w:val="auto"/>
                <w:sz w:val="20"/>
                <w:szCs w:val="20"/>
                <w:highlight w:val="none"/>
              </w:rPr>
            </w:pPr>
            <w:r>
              <w:rPr>
                <w:rFonts w:hint="eastAsia"/>
                <w:color w:val="auto"/>
                <w:sz w:val="20"/>
                <w:szCs w:val="20"/>
                <w:highlight w:val="none"/>
              </w:rPr>
              <w:t>指标</w:t>
            </w:r>
          </w:p>
        </w:tc>
        <w:tc>
          <w:tcPr>
            <w:tcW w:w="1040" w:type="dxa"/>
            <w:tcBorders>
              <w:top w:val="nil"/>
              <w:left w:val="nil"/>
              <w:bottom w:val="single" w:color="auto" w:sz="4" w:space="0"/>
              <w:right w:val="single" w:color="auto" w:sz="4" w:space="0"/>
            </w:tcBorders>
            <w:noWrap w:val="0"/>
            <w:vAlign w:val="center"/>
          </w:tcPr>
          <w:p w14:paraId="6B9A3E8B">
            <w:pPr>
              <w:rPr>
                <w:rFonts w:ascii="宋体" w:hAnsi="宋体" w:cs="宋体"/>
                <w:color w:val="auto"/>
                <w:sz w:val="20"/>
                <w:szCs w:val="20"/>
                <w:highlight w:val="none"/>
              </w:rPr>
            </w:pPr>
            <w:r>
              <w:rPr>
                <w:rFonts w:hint="eastAsia"/>
                <w:color w:val="auto"/>
                <w:sz w:val="20"/>
                <w:szCs w:val="20"/>
                <w:highlight w:val="none"/>
              </w:rPr>
              <w:t xml:space="preserve"> </w:t>
            </w:r>
            <w:r>
              <w:rPr>
                <w:rFonts w:hint="eastAsia"/>
                <w:color w:val="auto"/>
                <w:sz w:val="20"/>
                <w:szCs w:val="20"/>
                <w:highlight w:val="none"/>
                <w:lang w:eastAsia="zh-CN"/>
              </w:rPr>
              <w:t>核算审核乡镇卫生院业务</w:t>
            </w:r>
          </w:p>
        </w:tc>
        <w:tc>
          <w:tcPr>
            <w:tcW w:w="623" w:type="dxa"/>
            <w:tcBorders>
              <w:top w:val="nil"/>
              <w:left w:val="nil"/>
              <w:bottom w:val="single" w:color="auto" w:sz="4" w:space="0"/>
              <w:right w:val="single" w:color="auto" w:sz="4" w:space="0"/>
            </w:tcBorders>
            <w:noWrap w:val="0"/>
            <w:vAlign w:val="center"/>
          </w:tcPr>
          <w:p w14:paraId="43C43B55">
            <w:pPr>
              <w:rPr>
                <w:rFonts w:hint="eastAsia" w:ascii="宋体" w:hAnsi="宋体" w:eastAsia="宋体" w:cs="宋体"/>
                <w:color w:val="auto"/>
                <w:sz w:val="20"/>
                <w:szCs w:val="20"/>
                <w:highlight w:val="none"/>
                <w:lang w:val="en-US" w:eastAsia="zh-CN"/>
              </w:rPr>
            </w:pPr>
            <w:r>
              <w:rPr>
                <w:rFonts w:hint="eastAsia"/>
                <w:color w:val="auto"/>
                <w:sz w:val="20"/>
                <w:szCs w:val="20"/>
                <w:highlight w:val="none"/>
                <w:lang w:val="en-US" w:eastAsia="zh-CN"/>
              </w:rPr>
              <w:t>8万</w:t>
            </w:r>
          </w:p>
        </w:tc>
        <w:tc>
          <w:tcPr>
            <w:tcW w:w="641" w:type="dxa"/>
            <w:tcBorders>
              <w:top w:val="nil"/>
              <w:left w:val="nil"/>
              <w:bottom w:val="single" w:color="auto" w:sz="4" w:space="0"/>
              <w:right w:val="single" w:color="auto" w:sz="4" w:space="0"/>
            </w:tcBorders>
            <w:noWrap w:val="0"/>
            <w:vAlign w:val="center"/>
          </w:tcPr>
          <w:p w14:paraId="4A6B25EC">
            <w:pPr>
              <w:rPr>
                <w:rFonts w:ascii="宋体" w:hAnsi="宋体" w:cs="宋体"/>
                <w:color w:val="auto"/>
                <w:sz w:val="20"/>
                <w:szCs w:val="20"/>
                <w:highlight w:val="none"/>
              </w:rPr>
            </w:pPr>
            <w:r>
              <w:rPr>
                <w:rFonts w:hint="eastAsia"/>
                <w:color w:val="auto"/>
                <w:sz w:val="20"/>
                <w:szCs w:val="20"/>
                <w:highlight w:val="none"/>
              </w:rPr>
              <w:t>　</w:t>
            </w:r>
          </w:p>
        </w:tc>
      </w:tr>
      <w:tr w14:paraId="0E6B92E4">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1EE077EC">
            <w:pPr>
              <w:rPr>
                <w:rFonts w:ascii="宋体" w:hAnsi="宋体" w:cs="宋体"/>
                <w:color w:val="auto"/>
                <w:sz w:val="20"/>
                <w:szCs w:val="20"/>
                <w:highlight w:val="none"/>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14:paraId="73DB4B8D">
            <w:pPr>
              <w:rPr>
                <w:rFonts w:ascii="宋体" w:hAnsi="宋体" w:cs="宋体"/>
                <w:color w:val="auto"/>
                <w:sz w:val="20"/>
                <w:szCs w:val="20"/>
                <w:highlight w:val="none"/>
              </w:rPr>
            </w:pPr>
          </w:p>
        </w:tc>
        <w:tc>
          <w:tcPr>
            <w:tcW w:w="940" w:type="dxa"/>
            <w:tcBorders>
              <w:top w:val="nil"/>
              <w:left w:val="single" w:color="auto" w:sz="4" w:space="0"/>
              <w:bottom w:val="single" w:color="000000" w:sz="4" w:space="0"/>
              <w:right w:val="single" w:color="auto" w:sz="4" w:space="0"/>
            </w:tcBorders>
            <w:noWrap w:val="0"/>
            <w:vAlign w:val="center"/>
          </w:tcPr>
          <w:p w14:paraId="5ED7E7F9">
            <w:pPr>
              <w:jc w:val="center"/>
              <w:rPr>
                <w:color w:val="auto"/>
                <w:sz w:val="20"/>
                <w:szCs w:val="20"/>
                <w:highlight w:val="none"/>
              </w:rPr>
            </w:pPr>
            <w:r>
              <w:rPr>
                <w:rFonts w:hint="eastAsia"/>
                <w:color w:val="auto"/>
                <w:sz w:val="20"/>
                <w:szCs w:val="20"/>
                <w:highlight w:val="none"/>
              </w:rPr>
              <w:t>质量</w:t>
            </w:r>
          </w:p>
          <w:p w14:paraId="7238B89B">
            <w:pPr>
              <w:jc w:val="center"/>
              <w:rPr>
                <w:rFonts w:ascii="宋体" w:hAnsi="宋体" w:cs="宋体"/>
                <w:color w:val="auto"/>
                <w:sz w:val="20"/>
                <w:szCs w:val="20"/>
                <w:highlight w:val="none"/>
              </w:rPr>
            </w:pPr>
            <w:r>
              <w:rPr>
                <w:rFonts w:hint="eastAsia"/>
                <w:color w:val="auto"/>
                <w:sz w:val="20"/>
                <w:szCs w:val="20"/>
                <w:highlight w:val="none"/>
              </w:rPr>
              <w:t>指标</w:t>
            </w:r>
          </w:p>
        </w:tc>
        <w:tc>
          <w:tcPr>
            <w:tcW w:w="2000" w:type="dxa"/>
            <w:tcBorders>
              <w:top w:val="nil"/>
              <w:left w:val="nil"/>
              <w:bottom w:val="single" w:color="auto" w:sz="4" w:space="0"/>
              <w:right w:val="single" w:color="auto" w:sz="4" w:space="0"/>
            </w:tcBorders>
            <w:noWrap w:val="0"/>
            <w:vAlign w:val="center"/>
          </w:tcPr>
          <w:p w14:paraId="467FAE78">
            <w:pPr>
              <w:rPr>
                <w:rFonts w:hint="eastAsia" w:ascii="宋体" w:hAnsi="宋体" w:eastAsia="宋体" w:cs="宋体"/>
                <w:color w:val="auto"/>
                <w:sz w:val="20"/>
                <w:szCs w:val="20"/>
                <w:highlight w:val="none"/>
                <w:lang w:eastAsia="zh-CN"/>
              </w:rPr>
            </w:pPr>
            <w:r>
              <w:rPr>
                <w:rFonts w:hint="eastAsia"/>
                <w:color w:val="auto"/>
                <w:sz w:val="20"/>
                <w:szCs w:val="20"/>
                <w:highlight w:val="none"/>
                <w:lang w:eastAsia="zh-CN"/>
              </w:rPr>
              <w:t>经费支出合规性</w:t>
            </w:r>
          </w:p>
        </w:tc>
        <w:tc>
          <w:tcPr>
            <w:tcW w:w="860" w:type="dxa"/>
            <w:tcBorders>
              <w:top w:val="nil"/>
              <w:left w:val="nil"/>
              <w:bottom w:val="single" w:color="auto" w:sz="4" w:space="0"/>
              <w:right w:val="single" w:color="auto" w:sz="4" w:space="0"/>
            </w:tcBorders>
            <w:noWrap w:val="0"/>
            <w:vAlign w:val="center"/>
          </w:tcPr>
          <w:p w14:paraId="633D2108">
            <w:pPr>
              <w:rPr>
                <w:rFonts w:hint="eastAsia" w:ascii="宋体" w:hAnsi="宋体" w:eastAsia="宋体" w:cs="宋体"/>
                <w:color w:val="auto"/>
                <w:sz w:val="20"/>
                <w:szCs w:val="20"/>
                <w:highlight w:val="none"/>
                <w:lang w:eastAsia="zh-CN"/>
              </w:rPr>
            </w:pPr>
            <w:r>
              <w:rPr>
                <w:rFonts w:hint="eastAsia"/>
                <w:color w:val="auto"/>
                <w:sz w:val="20"/>
                <w:szCs w:val="20"/>
                <w:highlight w:val="none"/>
              </w:rPr>
              <w:t>　</w:t>
            </w:r>
            <w:r>
              <w:rPr>
                <w:rFonts w:hint="eastAsia"/>
                <w:color w:val="auto"/>
                <w:sz w:val="20"/>
                <w:szCs w:val="20"/>
                <w:highlight w:val="none"/>
                <w:lang w:eastAsia="zh-CN"/>
              </w:rPr>
              <w:t>定性</w:t>
            </w:r>
          </w:p>
        </w:tc>
        <w:tc>
          <w:tcPr>
            <w:tcW w:w="791" w:type="dxa"/>
            <w:tcBorders>
              <w:top w:val="nil"/>
              <w:left w:val="nil"/>
              <w:bottom w:val="single" w:color="auto" w:sz="4" w:space="0"/>
              <w:right w:val="single" w:color="auto" w:sz="4" w:space="0"/>
            </w:tcBorders>
            <w:noWrap w:val="0"/>
            <w:vAlign w:val="center"/>
          </w:tcPr>
          <w:p w14:paraId="52D4879A">
            <w:pPr>
              <w:rPr>
                <w:rFonts w:hint="eastAsia" w:ascii="宋体" w:hAnsi="宋体" w:eastAsia="宋体" w:cs="宋体"/>
                <w:color w:val="auto"/>
                <w:sz w:val="20"/>
                <w:szCs w:val="20"/>
                <w:highlight w:val="none"/>
                <w:lang w:eastAsia="zh-CN"/>
              </w:rPr>
            </w:pPr>
            <w:r>
              <w:rPr>
                <w:rFonts w:hint="eastAsia"/>
                <w:color w:val="auto"/>
                <w:sz w:val="20"/>
                <w:szCs w:val="20"/>
                <w:highlight w:val="none"/>
                <w:lang w:eastAsia="zh-CN"/>
              </w:rPr>
              <w:t>合规</w:t>
            </w:r>
          </w:p>
        </w:tc>
        <w:tc>
          <w:tcPr>
            <w:tcW w:w="889" w:type="dxa"/>
            <w:tcBorders>
              <w:top w:val="nil"/>
              <w:left w:val="single" w:color="auto" w:sz="4" w:space="0"/>
              <w:bottom w:val="single" w:color="000000" w:sz="4" w:space="0"/>
              <w:right w:val="single" w:color="auto" w:sz="4" w:space="0"/>
            </w:tcBorders>
            <w:noWrap w:val="0"/>
            <w:vAlign w:val="center"/>
          </w:tcPr>
          <w:p w14:paraId="5697A898">
            <w:pPr>
              <w:jc w:val="center"/>
              <w:rPr>
                <w:color w:val="auto"/>
                <w:sz w:val="20"/>
                <w:szCs w:val="20"/>
                <w:highlight w:val="none"/>
              </w:rPr>
            </w:pPr>
            <w:r>
              <w:rPr>
                <w:rFonts w:hint="eastAsia"/>
                <w:color w:val="auto"/>
                <w:sz w:val="20"/>
                <w:szCs w:val="20"/>
                <w:highlight w:val="none"/>
              </w:rPr>
              <w:t>质量</w:t>
            </w:r>
          </w:p>
          <w:p w14:paraId="56CFBB04">
            <w:pPr>
              <w:jc w:val="center"/>
              <w:rPr>
                <w:rFonts w:ascii="宋体" w:hAnsi="宋体" w:cs="宋体"/>
                <w:color w:val="auto"/>
                <w:sz w:val="20"/>
                <w:szCs w:val="20"/>
                <w:highlight w:val="none"/>
              </w:rPr>
            </w:pPr>
            <w:r>
              <w:rPr>
                <w:rFonts w:hint="eastAsia"/>
                <w:color w:val="auto"/>
                <w:sz w:val="20"/>
                <w:szCs w:val="20"/>
                <w:highlight w:val="none"/>
              </w:rPr>
              <w:t>指标</w:t>
            </w:r>
          </w:p>
        </w:tc>
        <w:tc>
          <w:tcPr>
            <w:tcW w:w="1040" w:type="dxa"/>
            <w:tcBorders>
              <w:top w:val="nil"/>
              <w:left w:val="nil"/>
              <w:bottom w:val="single" w:color="auto" w:sz="4" w:space="0"/>
              <w:right w:val="single" w:color="auto" w:sz="4" w:space="0"/>
            </w:tcBorders>
            <w:noWrap w:val="0"/>
            <w:vAlign w:val="center"/>
          </w:tcPr>
          <w:p w14:paraId="4C791468">
            <w:pPr>
              <w:rPr>
                <w:rFonts w:ascii="宋体" w:hAnsi="宋体" w:cs="宋体"/>
                <w:color w:val="auto"/>
                <w:sz w:val="20"/>
                <w:szCs w:val="20"/>
                <w:highlight w:val="none"/>
              </w:rPr>
            </w:pPr>
            <w:r>
              <w:rPr>
                <w:rFonts w:hint="eastAsia"/>
                <w:color w:val="auto"/>
                <w:sz w:val="20"/>
                <w:szCs w:val="20"/>
                <w:highlight w:val="none"/>
                <w:lang w:eastAsia="zh-CN"/>
              </w:rPr>
              <w:t>经费支出合规性</w:t>
            </w:r>
          </w:p>
        </w:tc>
        <w:tc>
          <w:tcPr>
            <w:tcW w:w="623" w:type="dxa"/>
            <w:tcBorders>
              <w:top w:val="nil"/>
              <w:left w:val="nil"/>
              <w:bottom w:val="single" w:color="auto" w:sz="4" w:space="0"/>
              <w:right w:val="single" w:color="auto" w:sz="4" w:space="0"/>
            </w:tcBorders>
            <w:noWrap w:val="0"/>
            <w:vAlign w:val="center"/>
          </w:tcPr>
          <w:p w14:paraId="6F822FBE">
            <w:pPr>
              <w:rPr>
                <w:rFonts w:hint="eastAsia" w:ascii="宋体" w:hAnsi="宋体" w:eastAsia="宋体" w:cs="宋体"/>
                <w:color w:val="auto"/>
                <w:sz w:val="20"/>
                <w:szCs w:val="20"/>
                <w:highlight w:val="none"/>
                <w:lang w:eastAsia="zh-CN"/>
              </w:rPr>
            </w:pPr>
            <w:r>
              <w:rPr>
                <w:rFonts w:hint="eastAsia"/>
                <w:color w:val="auto"/>
                <w:sz w:val="20"/>
                <w:szCs w:val="20"/>
                <w:highlight w:val="none"/>
                <w:lang w:eastAsia="zh-CN"/>
              </w:rPr>
              <w:t>定性</w:t>
            </w:r>
          </w:p>
        </w:tc>
        <w:tc>
          <w:tcPr>
            <w:tcW w:w="641" w:type="dxa"/>
            <w:tcBorders>
              <w:top w:val="nil"/>
              <w:left w:val="nil"/>
              <w:bottom w:val="single" w:color="auto" w:sz="4" w:space="0"/>
              <w:right w:val="single" w:color="auto" w:sz="4" w:space="0"/>
            </w:tcBorders>
            <w:noWrap w:val="0"/>
            <w:vAlign w:val="center"/>
          </w:tcPr>
          <w:p w14:paraId="48DB7E1D">
            <w:pPr>
              <w:rPr>
                <w:rFonts w:hint="eastAsia" w:ascii="宋体" w:hAnsi="宋体" w:eastAsia="宋体" w:cs="宋体"/>
                <w:color w:val="auto"/>
                <w:sz w:val="20"/>
                <w:szCs w:val="20"/>
                <w:highlight w:val="none"/>
                <w:lang w:eastAsia="zh-CN"/>
              </w:rPr>
            </w:pPr>
            <w:r>
              <w:rPr>
                <w:rFonts w:hint="eastAsia"/>
                <w:color w:val="auto"/>
                <w:sz w:val="20"/>
                <w:szCs w:val="20"/>
                <w:highlight w:val="none"/>
                <w:lang w:eastAsia="zh-CN"/>
              </w:rPr>
              <w:t>合规</w:t>
            </w:r>
          </w:p>
        </w:tc>
      </w:tr>
      <w:tr w14:paraId="64A6010C">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3C8FECEC">
            <w:pPr>
              <w:rPr>
                <w:rFonts w:ascii="宋体" w:hAnsi="宋体" w:cs="宋体"/>
                <w:color w:val="auto"/>
                <w:sz w:val="20"/>
                <w:szCs w:val="20"/>
                <w:highlight w:val="none"/>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14:paraId="6A3C3FE8">
            <w:pPr>
              <w:rPr>
                <w:rFonts w:ascii="宋体" w:hAnsi="宋体" w:cs="宋体"/>
                <w:color w:val="auto"/>
                <w:sz w:val="20"/>
                <w:szCs w:val="20"/>
                <w:highlight w:val="none"/>
              </w:rPr>
            </w:pPr>
          </w:p>
        </w:tc>
        <w:tc>
          <w:tcPr>
            <w:tcW w:w="940" w:type="dxa"/>
            <w:tcBorders>
              <w:top w:val="nil"/>
              <w:left w:val="single" w:color="auto" w:sz="4" w:space="0"/>
              <w:bottom w:val="single" w:color="000000" w:sz="4" w:space="0"/>
              <w:right w:val="single" w:color="auto" w:sz="4" w:space="0"/>
            </w:tcBorders>
            <w:noWrap w:val="0"/>
            <w:vAlign w:val="center"/>
          </w:tcPr>
          <w:p w14:paraId="5B7DDCB7">
            <w:pPr>
              <w:jc w:val="center"/>
              <w:rPr>
                <w:color w:val="auto"/>
                <w:sz w:val="20"/>
                <w:szCs w:val="20"/>
                <w:highlight w:val="none"/>
              </w:rPr>
            </w:pPr>
            <w:r>
              <w:rPr>
                <w:rFonts w:hint="eastAsia"/>
                <w:color w:val="auto"/>
                <w:sz w:val="20"/>
                <w:szCs w:val="20"/>
                <w:highlight w:val="none"/>
              </w:rPr>
              <w:t>时效</w:t>
            </w:r>
          </w:p>
          <w:p w14:paraId="5C225AC1">
            <w:pPr>
              <w:jc w:val="center"/>
              <w:rPr>
                <w:rFonts w:ascii="宋体" w:hAnsi="宋体" w:cs="宋体"/>
                <w:color w:val="auto"/>
                <w:sz w:val="20"/>
                <w:szCs w:val="20"/>
                <w:highlight w:val="none"/>
              </w:rPr>
            </w:pPr>
            <w:r>
              <w:rPr>
                <w:rFonts w:hint="eastAsia"/>
                <w:color w:val="auto"/>
                <w:sz w:val="20"/>
                <w:szCs w:val="20"/>
                <w:highlight w:val="none"/>
              </w:rPr>
              <w:t>指标</w:t>
            </w:r>
          </w:p>
        </w:tc>
        <w:tc>
          <w:tcPr>
            <w:tcW w:w="2000" w:type="dxa"/>
            <w:tcBorders>
              <w:top w:val="nil"/>
              <w:left w:val="nil"/>
              <w:bottom w:val="single" w:color="auto" w:sz="4" w:space="0"/>
              <w:right w:val="single" w:color="auto" w:sz="4" w:space="0"/>
            </w:tcBorders>
            <w:noWrap w:val="0"/>
            <w:vAlign w:val="center"/>
          </w:tcPr>
          <w:p w14:paraId="20F4FA0E">
            <w:pPr>
              <w:rPr>
                <w:rFonts w:hint="eastAsia" w:ascii="宋体" w:hAnsi="宋体" w:eastAsia="宋体" w:cs="宋体"/>
                <w:color w:val="auto"/>
                <w:sz w:val="20"/>
                <w:szCs w:val="20"/>
                <w:highlight w:val="none"/>
                <w:lang w:eastAsia="zh-CN"/>
              </w:rPr>
            </w:pPr>
            <w:r>
              <w:rPr>
                <w:rFonts w:hint="eastAsia"/>
                <w:color w:val="auto"/>
                <w:sz w:val="20"/>
                <w:szCs w:val="20"/>
                <w:highlight w:val="none"/>
              </w:rPr>
              <w:t xml:space="preserve"> </w:t>
            </w:r>
            <w:r>
              <w:rPr>
                <w:rFonts w:hint="eastAsia"/>
                <w:color w:val="auto"/>
                <w:sz w:val="20"/>
                <w:szCs w:val="20"/>
                <w:highlight w:val="none"/>
                <w:lang w:eastAsia="zh-CN"/>
              </w:rPr>
              <w:t>经费支出时效性</w:t>
            </w:r>
          </w:p>
        </w:tc>
        <w:tc>
          <w:tcPr>
            <w:tcW w:w="860" w:type="dxa"/>
            <w:tcBorders>
              <w:top w:val="nil"/>
              <w:left w:val="nil"/>
              <w:bottom w:val="single" w:color="auto" w:sz="4" w:space="0"/>
              <w:right w:val="single" w:color="auto" w:sz="4" w:space="0"/>
            </w:tcBorders>
            <w:noWrap w:val="0"/>
            <w:vAlign w:val="center"/>
          </w:tcPr>
          <w:p w14:paraId="44A59BF8">
            <w:pPr>
              <w:rPr>
                <w:rFonts w:hint="eastAsia" w:ascii="宋体" w:hAnsi="宋体" w:eastAsia="宋体" w:cs="宋体"/>
                <w:color w:val="auto"/>
                <w:sz w:val="20"/>
                <w:szCs w:val="20"/>
                <w:highlight w:val="none"/>
                <w:lang w:eastAsia="zh-CN"/>
              </w:rPr>
            </w:pPr>
            <w:r>
              <w:rPr>
                <w:rFonts w:hint="eastAsia"/>
                <w:color w:val="auto"/>
                <w:sz w:val="20"/>
                <w:szCs w:val="20"/>
                <w:highlight w:val="none"/>
              </w:rPr>
              <w:t>　</w:t>
            </w:r>
            <w:r>
              <w:rPr>
                <w:rFonts w:hint="eastAsia"/>
                <w:color w:val="auto"/>
                <w:sz w:val="20"/>
                <w:szCs w:val="20"/>
                <w:highlight w:val="none"/>
                <w:lang w:eastAsia="zh-CN"/>
              </w:rPr>
              <w:t>定性</w:t>
            </w:r>
          </w:p>
        </w:tc>
        <w:tc>
          <w:tcPr>
            <w:tcW w:w="791" w:type="dxa"/>
            <w:tcBorders>
              <w:top w:val="nil"/>
              <w:left w:val="nil"/>
              <w:bottom w:val="single" w:color="auto" w:sz="4" w:space="0"/>
              <w:right w:val="single" w:color="auto" w:sz="4" w:space="0"/>
            </w:tcBorders>
            <w:noWrap w:val="0"/>
            <w:vAlign w:val="center"/>
          </w:tcPr>
          <w:p w14:paraId="047198BA">
            <w:pPr>
              <w:rPr>
                <w:rFonts w:hint="eastAsia" w:ascii="宋体" w:hAnsi="宋体" w:eastAsia="宋体" w:cs="宋体"/>
                <w:color w:val="auto"/>
                <w:sz w:val="20"/>
                <w:szCs w:val="20"/>
                <w:highlight w:val="none"/>
                <w:lang w:eastAsia="zh-CN"/>
              </w:rPr>
            </w:pPr>
            <w:r>
              <w:rPr>
                <w:rFonts w:hint="eastAsia"/>
                <w:color w:val="auto"/>
                <w:sz w:val="20"/>
                <w:szCs w:val="20"/>
                <w:highlight w:val="none"/>
                <w:lang w:eastAsia="zh-CN"/>
              </w:rPr>
              <w:t>及时</w:t>
            </w:r>
          </w:p>
        </w:tc>
        <w:tc>
          <w:tcPr>
            <w:tcW w:w="889" w:type="dxa"/>
            <w:tcBorders>
              <w:top w:val="nil"/>
              <w:left w:val="single" w:color="auto" w:sz="4" w:space="0"/>
              <w:bottom w:val="single" w:color="000000" w:sz="4" w:space="0"/>
              <w:right w:val="single" w:color="auto" w:sz="4" w:space="0"/>
            </w:tcBorders>
            <w:noWrap w:val="0"/>
            <w:vAlign w:val="center"/>
          </w:tcPr>
          <w:p w14:paraId="454B923A">
            <w:pPr>
              <w:jc w:val="center"/>
              <w:rPr>
                <w:color w:val="auto"/>
                <w:sz w:val="20"/>
                <w:szCs w:val="20"/>
                <w:highlight w:val="none"/>
              </w:rPr>
            </w:pPr>
            <w:r>
              <w:rPr>
                <w:rFonts w:hint="eastAsia"/>
                <w:color w:val="auto"/>
                <w:sz w:val="20"/>
                <w:szCs w:val="20"/>
                <w:highlight w:val="none"/>
              </w:rPr>
              <w:t>时效</w:t>
            </w:r>
          </w:p>
          <w:p w14:paraId="31A9DB41">
            <w:pPr>
              <w:jc w:val="center"/>
              <w:rPr>
                <w:rFonts w:ascii="宋体" w:hAnsi="宋体" w:cs="宋体"/>
                <w:color w:val="auto"/>
                <w:sz w:val="20"/>
                <w:szCs w:val="20"/>
                <w:highlight w:val="none"/>
              </w:rPr>
            </w:pPr>
            <w:r>
              <w:rPr>
                <w:rFonts w:hint="eastAsia"/>
                <w:color w:val="auto"/>
                <w:sz w:val="20"/>
                <w:szCs w:val="20"/>
                <w:highlight w:val="none"/>
              </w:rPr>
              <w:t>指标</w:t>
            </w:r>
          </w:p>
        </w:tc>
        <w:tc>
          <w:tcPr>
            <w:tcW w:w="1040" w:type="dxa"/>
            <w:tcBorders>
              <w:top w:val="nil"/>
              <w:left w:val="nil"/>
              <w:bottom w:val="single" w:color="auto" w:sz="4" w:space="0"/>
              <w:right w:val="single" w:color="auto" w:sz="4" w:space="0"/>
            </w:tcBorders>
            <w:noWrap w:val="0"/>
            <w:vAlign w:val="center"/>
          </w:tcPr>
          <w:p w14:paraId="2F8F624F">
            <w:pPr>
              <w:rPr>
                <w:rFonts w:ascii="宋体" w:hAnsi="宋体" w:cs="宋体"/>
                <w:color w:val="auto"/>
                <w:sz w:val="20"/>
                <w:szCs w:val="20"/>
                <w:highlight w:val="none"/>
              </w:rPr>
            </w:pPr>
            <w:r>
              <w:rPr>
                <w:rFonts w:hint="eastAsia"/>
                <w:color w:val="auto"/>
                <w:sz w:val="20"/>
                <w:szCs w:val="20"/>
                <w:highlight w:val="none"/>
              </w:rPr>
              <w:t xml:space="preserve"> </w:t>
            </w:r>
            <w:r>
              <w:rPr>
                <w:rFonts w:hint="eastAsia"/>
                <w:color w:val="auto"/>
                <w:sz w:val="20"/>
                <w:szCs w:val="20"/>
                <w:highlight w:val="none"/>
                <w:lang w:eastAsia="zh-CN"/>
              </w:rPr>
              <w:t>经费支出时效性</w:t>
            </w:r>
          </w:p>
        </w:tc>
        <w:tc>
          <w:tcPr>
            <w:tcW w:w="623" w:type="dxa"/>
            <w:tcBorders>
              <w:top w:val="nil"/>
              <w:left w:val="nil"/>
              <w:bottom w:val="single" w:color="auto" w:sz="4" w:space="0"/>
              <w:right w:val="single" w:color="auto" w:sz="4" w:space="0"/>
            </w:tcBorders>
            <w:noWrap w:val="0"/>
            <w:vAlign w:val="center"/>
          </w:tcPr>
          <w:p w14:paraId="4F4C9D65">
            <w:pPr>
              <w:rPr>
                <w:rFonts w:hint="eastAsia" w:ascii="宋体" w:hAnsi="宋体" w:eastAsia="宋体" w:cs="宋体"/>
                <w:color w:val="auto"/>
                <w:sz w:val="20"/>
                <w:szCs w:val="20"/>
                <w:highlight w:val="none"/>
                <w:lang w:eastAsia="zh-CN"/>
              </w:rPr>
            </w:pPr>
            <w:r>
              <w:rPr>
                <w:rFonts w:hint="eastAsia"/>
                <w:color w:val="auto"/>
                <w:sz w:val="20"/>
                <w:szCs w:val="20"/>
                <w:highlight w:val="none"/>
                <w:lang w:eastAsia="zh-CN"/>
              </w:rPr>
              <w:t>定性</w:t>
            </w:r>
          </w:p>
        </w:tc>
        <w:tc>
          <w:tcPr>
            <w:tcW w:w="641" w:type="dxa"/>
            <w:tcBorders>
              <w:top w:val="nil"/>
              <w:left w:val="nil"/>
              <w:bottom w:val="single" w:color="auto" w:sz="4" w:space="0"/>
              <w:right w:val="single" w:color="auto" w:sz="4" w:space="0"/>
            </w:tcBorders>
            <w:noWrap w:val="0"/>
            <w:vAlign w:val="center"/>
          </w:tcPr>
          <w:p w14:paraId="115D4094">
            <w:pPr>
              <w:rPr>
                <w:rFonts w:hint="eastAsia" w:ascii="宋体" w:hAnsi="宋体" w:eastAsia="宋体" w:cs="宋体"/>
                <w:color w:val="auto"/>
                <w:sz w:val="20"/>
                <w:szCs w:val="20"/>
                <w:highlight w:val="none"/>
                <w:lang w:eastAsia="zh-CN"/>
              </w:rPr>
            </w:pPr>
            <w:r>
              <w:rPr>
                <w:rFonts w:hint="eastAsia"/>
                <w:color w:val="auto"/>
                <w:sz w:val="20"/>
                <w:szCs w:val="20"/>
                <w:highlight w:val="none"/>
                <w:lang w:eastAsia="zh-CN"/>
              </w:rPr>
              <w:t>及时</w:t>
            </w:r>
          </w:p>
        </w:tc>
      </w:tr>
      <w:tr w14:paraId="7C7F1372">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71858678">
            <w:pPr>
              <w:rPr>
                <w:rFonts w:ascii="宋体" w:hAnsi="宋体" w:cs="宋体"/>
                <w:color w:val="auto"/>
                <w:sz w:val="20"/>
                <w:szCs w:val="20"/>
                <w:highlight w:val="none"/>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14:paraId="5A3F1F63">
            <w:pPr>
              <w:rPr>
                <w:rFonts w:ascii="宋体" w:hAnsi="宋体" w:cs="宋体"/>
                <w:color w:val="auto"/>
                <w:sz w:val="20"/>
                <w:szCs w:val="20"/>
                <w:highlight w:val="none"/>
              </w:rPr>
            </w:pPr>
          </w:p>
        </w:tc>
        <w:tc>
          <w:tcPr>
            <w:tcW w:w="940" w:type="dxa"/>
            <w:tcBorders>
              <w:top w:val="nil"/>
              <w:left w:val="single" w:color="auto" w:sz="4" w:space="0"/>
              <w:bottom w:val="single" w:color="000000" w:sz="4" w:space="0"/>
              <w:right w:val="single" w:color="auto" w:sz="4" w:space="0"/>
            </w:tcBorders>
            <w:noWrap w:val="0"/>
            <w:vAlign w:val="center"/>
          </w:tcPr>
          <w:p w14:paraId="1DE54B65">
            <w:pPr>
              <w:jc w:val="center"/>
              <w:rPr>
                <w:color w:val="auto"/>
                <w:sz w:val="20"/>
                <w:szCs w:val="20"/>
                <w:highlight w:val="none"/>
              </w:rPr>
            </w:pPr>
            <w:r>
              <w:rPr>
                <w:rFonts w:hint="eastAsia"/>
                <w:color w:val="auto"/>
                <w:sz w:val="20"/>
                <w:szCs w:val="20"/>
                <w:highlight w:val="none"/>
              </w:rPr>
              <w:t>成本</w:t>
            </w:r>
          </w:p>
          <w:p w14:paraId="61FE2078">
            <w:pPr>
              <w:jc w:val="center"/>
              <w:rPr>
                <w:rFonts w:ascii="宋体" w:hAnsi="宋体" w:cs="宋体"/>
                <w:color w:val="auto"/>
                <w:sz w:val="20"/>
                <w:szCs w:val="20"/>
                <w:highlight w:val="none"/>
              </w:rPr>
            </w:pPr>
            <w:r>
              <w:rPr>
                <w:rFonts w:hint="eastAsia"/>
                <w:color w:val="auto"/>
                <w:sz w:val="20"/>
                <w:szCs w:val="20"/>
                <w:highlight w:val="none"/>
              </w:rPr>
              <w:t>指标</w:t>
            </w:r>
          </w:p>
        </w:tc>
        <w:tc>
          <w:tcPr>
            <w:tcW w:w="2000" w:type="dxa"/>
            <w:tcBorders>
              <w:top w:val="nil"/>
              <w:left w:val="nil"/>
              <w:bottom w:val="single" w:color="auto" w:sz="4" w:space="0"/>
              <w:right w:val="single" w:color="auto" w:sz="4" w:space="0"/>
            </w:tcBorders>
            <w:noWrap w:val="0"/>
            <w:vAlign w:val="center"/>
          </w:tcPr>
          <w:p w14:paraId="6C8A6B31">
            <w:pPr>
              <w:rPr>
                <w:rFonts w:hint="eastAsia" w:ascii="宋体" w:hAnsi="宋体" w:eastAsia="宋体" w:cs="宋体"/>
                <w:color w:val="auto"/>
                <w:sz w:val="20"/>
                <w:szCs w:val="20"/>
                <w:highlight w:val="none"/>
                <w:lang w:eastAsia="zh-CN"/>
              </w:rPr>
            </w:pPr>
            <w:r>
              <w:rPr>
                <w:rFonts w:hint="eastAsia"/>
                <w:color w:val="auto"/>
                <w:sz w:val="20"/>
                <w:szCs w:val="20"/>
                <w:highlight w:val="none"/>
              </w:rPr>
              <w:t xml:space="preserve"> </w:t>
            </w:r>
            <w:r>
              <w:rPr>
                <w:rFonts w:hint="eastAsia"/>
                <w:color w:val="auto"/>
                <w:sz w:val="20"/>
                <w:szCs w:val="20"/>
                <w:highlight w:val="none"/>
                <w:lang w:eastAsia="zh-CN"/>
              </w:rPr>
              <w:t>项目单位成本</w:t>
            </w:r>
          </w:p>
        </w:tc>
        <w:tc>
          <w:tcPr>
            <w:tcW w:w="860" w:type="dxa"/>
            <w:tcBorders>
              <w:top w:val="nil"/>
              <w:left w:val="nil"/>
              <w:bottom w:val="single" w:color="auto" w:sz="4" w:space="0"/>
              <w:right w:val="single" w:color="auto" w:sz="4" w:space="0"/>
            </w:tcBorders>
            <w:noWrap w:val="0"/>
            <w:vAlign w:val="center"/>
          </w:tcPr>
          <w:p w14:paraId="3D0FD277">
            <w:pP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rPr>
              <w:t>≦</w:t>
            </w:r>
          </w:p>
        </w:tc>
        <w:tc>
          <w:tcPr>
            <w:tcW w:w="791" w:type="dxa"/>
            <w:tcBorders>
              <w:top w:val="nil"/>
              <w:left w:val="nil"/>
              <w:bottom w:val="single" w:color="auto" w:sz="4" w:space="0"/>
              <w:right w:val="single" w:color="auto" w:sz="4" w:space="0"/>
            </w:tcBorders>
            <w:noWrap w:val="0"/>
            <w:vAlign w:val="center"/>
          </w:tcPr>
          <w:p w14:paraId="7A00DC77">
            <w:pPr>
              <w:rPr>
                <w:rFonts w:hint="eastAsia" w:ascii="宋体" w:hAnsi="宋体" w:eastAsia="宋体" w:cs="宋体"/>
                <w:color w:val="auto"/>
                <w:sz w:val="20"/>
                <w:szCs w:val="20"/>
                <w:highlight w:val="none"/>
                <w:lang w:val="en-US" w:eastAsia="zh-CN"/>
              </w:rPr>
            </w:pPr>
            <w:r>
              <w:rPr>
                <w:rFonts w:hint="eastAsia"/>
                <w:color w:val="auto"/>
                <w:sz w:val="20"/>
                <w:szCs w:val="20"/>
                <w:highlight w:val="none"/>
              </w:rPr>
              <w:t>　</w:t>
            </w:r>
            <w:r>
              <w:rPr>
                <w:rFonts w:hint="eastAsia"/>
                <w:color w:val="auto"/>
                <w:sz w:val="20"/>
                <w:szCs w:val="20"/>
                <w:highlight w:val="none"/>
                <w:lang w:val="en-US" w:eastAsia="zh-CN"/>
              </w:rPr>
              <w:t>8万</w:t>
            </w:r>
          </w:p>
        </w:tc>
        <w:tc>
          <w:tcPr>
            <w:tcW w:w="889" w:type="dxa"/>
            <w:tcBorders>
              <w:top w:val="nil"/>
              <w:left w:val="single" w:color="auto" w:sz="4" w:space="0"/>
              <w:bottom w:val="single" w:color="000000" w:sz="4" w:space="0"/>
              <w:right w:val="single" w:color="auto" w:sz="4" w:space="0"/>
            </w:tcBorders>
            <w:noWrap w:val="0"/>
            <w:vAlign w:val="center"/>
          </w:tcPr>
          <w:p w14:paraId="122E4B4B">
            <w:pPr>
              <w:jc w:val="center"/>
              <w:rPr>
                <w:color w:val="auto"/>
                <w:sz w:val="20"/>
                <w:szCs w:val="20"/>
                <w:highlight w:val="none"/>
              </w:rPr>
            </w:pPr>
            <w:r>
              <w:rPr>
                <w:rFonts w:hint="eastAsia"/>
                <w:color w:val="auto"/>
                <w:sz w:val="20"/>
                <w:szCs w:val="20"/>
                <w:highlight w:val="none"/>
              </w:rPr>
              <w:t>成本</w:t>
            </w:r>
          </w:p>
          <w:p w14:paraId="7841EEC4">
            <w:pPr>
              <w:jc w:val="center"/>
              <w:rPr>
                <w:rFonts w:ascii="宋体" w:hAnsi="宋体" w:cs="宋体"/>
                <w:color w:val="auto"/>
                <w:sz w:val="20"/>
                <w:szCs w:val="20"/>
                <w:highlight w:val="none"/>
              </w:rPr>
            </w:pPr>
            <w:r>
              <w:rPr>
                <w:rFonts w:hint="eastAsia"/>
                <w:color w:val="auto"/>
                <w:sz w:val="20"/>
                <w:szCs w:val="20"/>
                <w:highlight w:val="none"/>
              </w:rPr>
              <w:t>指标</w:t>
            </w:r>
          </w:p>
        </w:tc>
        <w:tc>
          <w:tcPr>
            <w:tcW w:w="1040" w:type="dxa"/>
            <w:tcBorders>
              <w:top w:val="nil"/>
              <w:left w:val="nil"/>
              <w:bottom w:val="single" w:color="auto" w:sz="4" w:space="0"/>
              <w:right w:val="single" w:color="auto" w:sz="4" w:space="0"/>
            </w:tcBorders>
            <w:noWrap w:val="0"/>
            <w:vAlign w:val="center"/>
          </w:tcPr>
          <w:p w14:paraId="43ABD92F">
            <w:pPr>
              <w:rPr>
                <w:rFonts w:ascii="宋体" w:hAnsi="宋体" w:cs="宋体"/>
                <w:color w:val="auto"/>
                <w:sz w:val="20"/>
                <w:szCs w:val="20"/>
                <w:highlight w:val="none"/>
              </w:rPr>
            </w:pPr>
            <w:r>
              <w:rPr>
                <w:rFonts w:hint="eastAsia"/>
                <w:color w:val="auto"/>
                <w:sz w:val="20"/>
                <w:szCs w:val="20"/>
                <w:highlight w:val="none"/>
              </w:rPr>
              <w:t xml:space="preserve">  </w:t>
            </w:r>
            <w:r>
              <w:rPr>
                <w:rFonts w:hint="eastAsia"/>
                <w:color w:val="auto"/>
                <w:sz w:val="20"/>
                <w:szCs w:val="20"/>
                <w:highlight w:val="none"/>
                <w:lang w:eastAsia="zh-CN"/>
              </w:rPr>
              <w:t>项目单位成本</w:t>
            </w:r>
          </w:p>
        </w:tc>
        <w:tc>
          <w:tcPr>
            <w:tcW w:w="623" w:type="dxa"/>
            <w:tcBorders>
              <w:top w:val="nil"/>
              <w:left w:val="nil"/>
              <w:bottom w:val="single" w:color="auto" w:sz="4" w:space="0"/>
              <w:right w:val="single" w:color="auto" w:sz="4" w:space="0"/>
            </w:tcBorders>
            <w:noWrap w:val="0"/>
            <w:vAlign w:val="center"/>
          </w:tcPr>
          <w:p w14:paraId="470FA2A1">
            <w:pP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rPr>
              <w:t>≦</w:t>
            </w:r>
          </w:p>
        </w:tc>
        <w:tc>
          <w:tcPr>
            <w:tcW w:w="641" w:type="dxa"/>
            <w:tcBorders>
              <w:top w:val="nil"/>
              <w:left w:val="nil"/>
              <w:bottom w:val="single" w:color="auto" w:sz="4" w:space="0"/>
              <w:right w:val="single" w:color="auto" w:sz="4" w:space="0"/>
            </w:tcBorders>
            <w:noWrap w:val="0"/>
            <w:vAlign w:val="center"/>
          </w:tcPr>
          <w:p w14:paraId="4F6357B3">
            <w:pPr>
              <w:rPr>
                <w:rFonts w:hint="eastAsia" w:ascii="宋体" w:hAnsi="宋体" w:eastAsia="宋体" w:cs="宋体"/>
                <w:color w:val="auto"/>
                <w:sz w:val="20"/>
                <w:szCs w:val="20"/>
                <w:highlight w:val="none"/>
                <w:lang w:val="en-US" w:eastAsia="zh-CN"/>
              </w:rPr>
            </w:pPr>
            <w:r>
              <w:rPr>
                <w:rFonts w:hint="eastAsia"/>
                <w:color w:val="auto"/>
                <w:sz w:val="20"/>
                <w:szCs w:val="20"/>
                <w:highlight w:val="none"/>
              </w:rPr>
              <w:t>　</w:t>
            </w:r>
            <w:r>
              <w:rPr>
                <w:rFonts w:hint="eastAsia"/>
                <w:color w:val="auto"/>
                <w:sz w:val="20"/>
                <w:szCs w:val="20"/>
                <w:highlight w:val="none"/>
                <w:lang w:val="en-US" w:eastAsia="zh-CN"/>
              </w:rPr>
              <w:t>8万</w:t>
            </w:r>
          </w:p>
        </w:tc>
      </w:tr>
      <w:tr w14:paraId="6927382E">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49709474">
            <w:pPr>
              <w:rPr>
                <w:rFonts w:ascii="宋体" w:hAnsi="宋体" w:cs="宋体"/>
                <w:color w:val="auto"/>
                <w:sz w:val="20"/>
                <w:szCs w:val="20"/>
                <w:highlight w:val="none"/>
              </w:rPr>
            </w:pPr>
          </w:p>
        </w:tc>
        <w:tc>
          <w:tcPr>
            <w:tcW w:w="820" w:type="dxa"/>
            <w:vMerge w:val="restart"/>
            <w:tcBorders>
              <w:top w:val="nil"/>
              <w:left w:val="single" w:color="auto" w:sz="4" w:space="0"/>
              <w:bottom w:val="single" w:color="auto" w:sz="4" w:space="0"/>
              <w:right w:val="single" w:color="auto" w:sz="4" w:space="0"/>
            </w:tcBorders>
            <w:noWrap w:val="0"/>
            <w:vAlign w:val="center"/>
          </w:tcPr>
          <w:p w14:paraId="38462662">
            <w:pPr>
              <w:jc w:val="center"/>
              <w:rPr>
                <w:rFonts w:ascii="宋体" w:hAnsi="宋体" w:cs="宋体"/>
                <w:color w:val="auto"/>
                <w:sz w:val="20"/>
                <w:szCs w:val="20"/>
                <w:highlight w:val="none"/>
              </w:rPr>
            </w:pPr>
            <w:r>
              <w:rPr>
                <w:rFonts w:hint="eastAsia"/>
                <w:color w:val="auto"/>
                <w:sz w:val="20"/>
                <w:szCs w:val="20"/>
                <w:highlight w:val="none"/>
              </w:rPr>
              <w:t>效</w:t>
            </w:r>
            <w:r>
              <w:rPr>
                <w:rFonts w:hint="eastAsia"/>
                <w:color w:val="auto"/>
                <w:sz w:val="20"/>
                <w:szCs w:val="20"/>
                <w:highlight w:val="none"/>
              </w:rPr>
              <w:br w:type="textWrapping"/>
            </w:r>
            <w:r>
              <w:rPr>
                <w:rFonts w:hint="eastAsia"/>
                <w:color w:val="auto"/>
                <w:sz w:val="20"/>
                <w:szCs w:val="20"/>
                <w:highlight w:val="none"/>
              </w:rPr>
              <w:t>益</w:t>
            </w:r>
            <w:r>
              <w:rPr>
                <w:rFonts w:hint="eastAsia"/>
                <w:color w:val="auto"/>
                <w:sz w:val="20"/>
                <w:szCs w:val="20"/>
                <w:highlight w:val="none"/>
              </w:rPr>
              <w:br w:type="textWrapping"/>
            </w:r>
            <w:r>
              <w:rPr>
                <w:rFonts w:hint="eastAsia"/>
                <w:color w:val="auto"/>
                <w:sz w:val="20"/>
                <w:szCs w:val="20"/>
                <w:highlight w:val="none"/>
              </w:rPr>
              <w:t>指</w:t>
            </w:r>
            <w:r>
              <w:rPr>
                <w:rFonts w:hint="eastAsia"/>
                <w:color w:val="auto"/>
                <w:sz w:val="20"/>
                <w:szCs w:val="20"/>
                <w:highlight w:val="none"/>
              </w:rPr>
              <w:br w:type="textWrapping"/>
            </w:r>
            <w:r>
              <w:rPr>
                <w:rFonts w:hint="eastAsia"/>
                <w:color w:val="auto"/>
                <w:sz w:val="20"/>
                <w:szCs w:val="20"/>
                <w:highlight w:val="none"/>
              </w:rPr>
              <w:t>标</w:t>
            </w:r>
          </w:p>
        </w:tc>
        <w:tc>
          <w:tcPr>
            <w:tcW w:w="940" w:type="dxa"/>
            <w:tcBorders>
              <w:top w:val="nil"/>
              <w:left w:val="single" w:color="auto" w:sz="4" w:space="0"/>
              <w:bottom w:val="single" w:color="000000" w:sz="4" w:space="0"/>
              <w:right w:val="single" w:color="auto" w:sz="4" w:space="0"/>
            </w:tcBorders>
            <w:noWrap w:val="0"/>
            <w:vAlign w:val="center"/>
          </w:tcPr>
          <w:p w14:paraId="7758C347">
            <w:pPr>
              <w:jc w:val="center"/>
              <w:rPr>
                <w:rFonts w:ascii="宋体" w:hAnsi="宋体" w:cs="宋体"/>
                <w:color w:val="auto"/>
                <w:sz w:val="20"/>
                <w:szCs w:val="20"/>
                <w:highlight w:val="none"/>
              </w:rPr>
            </w:pPr>
            <w:r>
              <w:rPr>
                <w:rFonts w:hint="eastAsia"/>
                <w:color w:val="auto"/>
                <w:sz w:val="20"/>
                <w:szCs w:val="20"/>
                <w:highlight w:val="none"/>
              </w:rPr>
              <w:t>经济效益指标</w:t>
            </w:r>
          </w:p>
        </w:tc>
        <w:tc>
          <w:tcPr>
            <w:tcW w:w="2000" w:type="dxa"/>
            <w:tcBorders>
              <w:top w:val="nil"/>
              <w:left w:val="nil"/>
              <w:bottom w:val="single" w:color="auto" w:sz="4" w:space="0"/>
              <w:right w:val="single" w:color="auto" w:sz="4" w:space="0"/>
            </w:tcBorders>
            <w:noWrap w:val="0"/>
            <w:vAlign w:val="center"/>
          </w:tcPr>
          <w:p w14:paraId="58D259EF">
            <w:pPr>
              <w:rPr>
                <w:rFonts w:hint="eastAsia" w:ascii="宋体" w:hAnsi="宋体" w:eastAsia="宋体" w:cs="宋体"/>
                <w:color w:val="auto"/>
                <w:sz w:val="20"/>
                <w:szCs w:val="20"/>
                <w:highlight w:val="none"/>
                <w:lang w:eastAsia="zh-CN"/>
              </w:rPr>
            </w:pPr>
            <w:r>
              <w:rPr>
                <w:rFonts w:hint="eastAsia"/>
                <w:color w:val="auto"/>
                <w:sz w:val="20"/>
                <w:szCs w:val="20"/>
                <w:highlight w:val="none"/>
              </w:rPr>
              <w:t xml:space="preserve"> </w:t>
            </w:r>
            <w:r>
              <w:rPr>
                <w:rFonts w:hint="eastAsia"/>
                <w:color w:val="auto"/>
                <w:sz w:val="20"/>
                <w:szCs w:val="20"/>
                <w:highlight w:val="none"/>
                <w:lang w:eastAsia="zh-CN"/>
              </w:rPr>
              <w:t>对单位履职情况</w:t>
            </w:r>
          </w:p>
        </w:tc>
        <w:tc>
          <w:tcPr>
            <w:tcW w:w="860" w:type="dxa"/>
            <w:tcBorders>
              <w:top w:val="nil"/>
              <w:left w:val="nil"/>
              <w:bottom w:val="single" w:color="auto" w:sz="4" w:space="0"/>
              <w:right w:val="single" w:color="auto" w:sz="4" w:space="0"/>
            </w:tcBorders>
            <w:noWrap w:val="0"/>
            <w:vAlign w:val="center"/>
          </w:tcPr>
          <w:p w14:paraId="602470F8">
            <w:pPr>
              <w:rPr>
                <w:rFonts w:hint="eastAsia" w:ascii="宋体" w:hAnsi="宋体" w:eastAsia="宋体" w:cs="宋体"/>
                <w:color w:val="auto"/>
                <w:sz w:val="20"/>
                <w:szCs w:val="20"/>
                <w:highlight w:val="none"/>
                <w:lang w:eastAsia="zh-CN"/>
              </w:rPr>
            </w:pPr>
            <w:r>
              <w:rPr>
                <w:rFonts w:hint="eastAsia"/>
                <w:color w:val="auto"/>
                <w:sz w:val="20"/>
                <w:szCs w:val="20"/>
                <w:highlight w:val="none"/>
              </w:rPr>
              <w:t>　</w:t>
            </w:r>
            <w:r>
              <w:rPr>
                <w:rFonts w:hint="eastAsia"/>
                <w:color w:val="auto"/>
                <w:sz w:val="20"/>
                <w:szCs w:val="20"/>
                <w:highlight w:val="none"/>
                <w:lang w:eastAsia="zh-CN"/>
              </w:rPr>
              <w:t>定性</w:t>
            </w:r>
          </w:p>
        </w:tc>
        <w:tc>
          <w:tcPr>
            <w:tcW w:w="791" w:type="dxa"/>
            <w:tcBorders>
              <w:top w:val="nil"/>
              <w:left w:val="nil"/>
              <w:bottom w:val="single" w:color="auto" w:sz="4" w:space="0"/>
              <w:right w:val="single" w:color="auto" w:sz="4" w:space="0"/>
            </w:tcBorders>
            <w:noWrap w:val="0"/>
            <w:vAlign w:val="center"/>
          </w:tcPr>
          <w:p w14:paraId="6268ADDD">
            <w:pPr>
              <w:rPr>
                <w:rFonts w:hint="eastAsia" w:ascii="宋体" w:hAnsi="宋体" w:eastAsia="宋体" w:cs="宋体"/>
                <w:color w:val="auto"/>
                <w:sz w:val="20"/>
                <w:szCs w:val="20"/>
                <w:highlight w:val="none"/>
                <w:lang w:eastAsia="zh-CN"/>
              </w:rPr>
            </w:pPr>
            <w:r>
              <w:rPr>
                <w:rFonts w:hint="eastAsia"/>
                <w:color w:val="auto"/>
                <w:sz w:val="20"/>
                <w:szCs w:val="20"/>
                <w:highlight w:val="none"/>
                <w:lang w:eastAsia="zh-CN"/>
              </w:rPr>
              <w:t>明显</w:t>
            </w:r>
          </w:p>
        </w:tc>
        <w:tc>
          <w:tcPr>
            <w:tcW w:w="889" w:type="dxa"/>
            <w:tcBorders>
              <w:top w:val="nil"/>
              <w:left w:val="single" w:color="auto" w:sz="4" w:space="0"/>
              <w:bottom w:val="single" w:color="000000" w:sz="4" w:space="0"/>
              <w:right w:val="single" w:color="auto" w:sz="4" w:space="0"/>
            </w:tcBorders>
            <w:noWrap w:val="0"/>
            <w:vAlign w:val="center"/>
          </w:tcPr>
          <w:p w14:paraId="3E4D6B57">
            <w:pPr>
              <w:jc w:val="center"/>
              <w:rPr>
                <w:color w:val="auto"/>
                <w:sz w:val="20"/>
                <w:szCs w:val="20"/>
                <w:highlight w:val="none"/>
              </w:rPr>
            </w:pPr>
            <w:r>
              <w:rPr>
                <w:rFonts w:hint="eastAsia"/>
                <w:color w:val="auto"/>
                <w:sz w:val="20"/>
                <w:szCs w:val="20"/>
                <w:highlight w:val="none"/>
              </w:rPr>
              <w:t>经济效</w:t>
            </w:r>
          </w:p>
          <w:p w14:paraId="4A8D140A">
            <w:pPr>
              <w:jc w:val="center"/>
              <w:rPr>
                <w:rFonts w:ascii="宋体" w:hAnsi="宋体" w:cs="宋体"/>
                <w:color w:val="auto"/>
                <w:sz w:val="20"/>
                <w:szCs w:val="20"/>
                <w:highlight w:val="none"/>
              </w:rPr>
            </w:pPr>
            <w:r>
              <w:rPr>
                <w:rFonts w:hint="eastAsia"/>
                <w:color w:val="auto"/>
                <w:sz w:val="20"/>
                <w:szCs w:val="20"/>
                <w:highlight w:val="none"/>
              </w:rPr>
              <w:t>益指标</w:t>
            </w:r>
          </w:p>
        </w:tc>
        <w:tc>
          <w:tcPr>
            <w:tcW w:w="1040" w:type="dxa"/>
            <w:tcBorders>
              <w:top w:val="nil"/>
              <w:left w:val="nil"/>
              <w:bottom w:val="single" w:color="auto" w:sz="4" w:space="0"/>
              <w:right w:val="single" w:color="auto" w:sz="4" w:space="0"/>
            </w:tcBorders>
            <w:noWrap w:val="0"/>
            <w:vAlign w:val="center"/>
          </w:tcPr>
          <w:p w14:paraId="4D3A8C2C">
            <w:pPr>
              <w:rPr>
                <w:rFonts w:ascii="宋体" w:hAnsi="宋体" w:cs="宋体"/>
                <w:color w:val="auto"/>
                <w:sz w:val="20"/>
                <w:szCs w:val="20"/>
                <w:highlight w:val="none"/>
              </w:rPr>
            </w:pPr>
            <w:r>
              <w:rPr>
                <w:rFonts w:hint="eastAsia"/>
                <w:color w:val="auto"/>
                <w:sz w:val="20"/>
                <w:szCs w:val="20"/>
                <w:highlight w:val="none"/>
              </w:rPr>
              <w:t xml:space="preserve"> </w:t>
            </w:r>
            <w:r>
              <w:rPr>
                <w:rFonts w:hint="eastAsia"/>
                <w:color w:val="auto"/>
                <w:sz w:val="20"/>
                <w:szCs w:val="20"/>
                <w:highlight w:val="none"/>
                <w:lang w:eastAsia="zh-CN"/>
              </w:rPr>
              <w:t>对单位履职情况</w:t>
            </w:r>
          </w:p>
        </w:tc>
        <w:tc>
          <w:tcPr>
            <w:tcW w:w="623" w:type="dxa"/>
            <w:tcBorders>
              <w:top w:val="nil"/>
              <w:left w:val="nil"/>
              <w:bottom w:val="single" w:color="auto" w:sz="4" w:space="0"/>
              <w:right w:val="single" w:color="auto" w:sz="4" w:space="0"/>
            </w:tcBorders>
            <w:noWrap w:val="0"/>
            <w:vAlign w:val="center"/>
          </w:tcPr>
          <w:p w14:paraId="5DF35927">
            <w:pPr>
              <w:rPr>
                <w:rFonts w:hint="eastAsia" w:ascii="宋体" w:hAnsi="宋体" w:eastAsia="宋体" w:cs="宋体"/>
                <w:color w:val="auto"/>
                <w:sz w:val="20"/>
                <w:szCs w:val="20"/>
                <w:highlight w:val="none"/>
                <w:lang w:eastAsia="zh-CN"/>
              </w:rPr>
            </w:pPr>
            <w:r>
              <w:rPr>
                <w:rFonts w:hint="eastAsia"/>
                <w:color w:val="auto"/>
                <w:sz w:val="20"/>
                <w:szCs w:val="20"/>
                <w:highlight w:val="none"/>
                <w:lang w:eastAsia="zh-CN"/>
              </w:rPr>
              <w:t>定性</w:t>
            </w:r>
          </w:p>
        </w:tc>
        <w:tc>
          <w:tcPr>
            <w:tcW w:w="641" w:type="dxa"/>
            <w:tcBorders>
              <w:top w:val="nil"/>
              <w:left w:val="nil"/>
              <w:bottom w:val="single" w:color="auto" w:sz="4" w:space="0"/>
              <w:right w:val="single" w:color="auto" w:sz="4" w:space="0"/>
            </w:tcBorders>
            <w:noWrap w:val="0"/>
            <w:vAlign w:val="center"/>
          </w:tcPr>
          <w:p w14:paraId="4648363F">
            <w:pPr>
              <w:rPr>
                <w:rFonts w:hint="eastAsia" w:ascii="宋体" w:hAnsi="宋体" w:eastAsia="宋体" w:cs="宋体"/>
                <w:color w:val="auto"/>
                <w:sz w:val="20"/>
                <w:szCs w:val="20"/>
                <w:highlight w:val="none"/>
                <w:lang w:eastAsia="zh-CN"/>
              </w:rPr>
            </w:pPr>
            <w:r>
              <w:rPr>
                <w:rFonts w:hint="eastAsia"/>
                <w:color w:val="auto"/>
                <w:sz w:val="20"/>
                <w:szCs w:val="20"/>
                <w:highlight w:val="none"/>
                <w:lang w:eastAsia="zh-CN"/>
              </w:rPr>
              <w:t>明显</w:t>
            </w:r>
          </w:p>
        </w:tc>
      </w:tr>
      <w:tr w14:paraId="74576FC7">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3189187C">
            <w:pPr>
              <w:rPr>
                <w:rFonts w:ascii="宋体" w:hAnsi="宋体" w:cs="宋体"/>
                <w:color w:val="auto"/>
                <w:sz w:val="20"/>
                <w:szCs w:val="20"/>
                <w:highlight w:val="none"/>
              </w:rPr>
            </w:pPr>
          </w:p>
        </w:tc>
        <w:tc>
          <w:tcPr>
            <w:tcW w:w="820" w:type="dxa"/>
            <w:vMerge w:val="continue"/>
            <w:tcBorders>
              <w:top w:val="nil"/>
              <w:left w:val="single" w:color="auto" w:sz="4" w:space="0"/>
              <w:bottom w:val="single" w:color="auto" w:sz="4" w:space="0"/>
              <w:right w:val="single" w:color="auto" w:sz="4" w:space="0"/>
            </w:tcBorders>
            <w:noWrap w:val="0"/>
            <w:vAlign w:val="center"/>
          </w:tcPr>
          <w:p w14:paraId="3F054C66">
            <w:pPr>
              <w:rPr>
                <w:rFonts w:ascii="宋体" w:hAnsi="宋体" w:cs="宋体"/>
                <w:color w:val="auto"/>
                <w:sz w:val="20"/>
                <w:szCs w:val="20"/>
                <w:highlight w:val="none"/>
              </w:rPr>
            </w:pPr>
          </w:p>
        </w:tc>
        <w:tc>
          <w:tcPr>
            <w:tcW w:w="940" w:type="dxa"/>
            <w:tcBorders>
              <w:top w:val="nil"/>
              <w:left w:val="single" w:color="auto" w:sz="4" w:space="0"/>
              <w:bottom w:val="single" w:color="000000" w:sz="4" w:space="0"/>
              <w:right w:val="single" w:color="auto" w:sz="4" w:space="0"/>
            </w:tcBorders>
            <w:noWrap w:val="0"/>
            <w:vAlign w:val="center"/>
          </w:tcPr>
          <w:p w14:paraId="0C3E0D7D">
            <w:pPr>
              <w:jc w:val="center"/>
              <w:rPr>
                <w:rFonts w:ascii="宋体" w:hAnsi="宋体" w:cs="宋体"/>
                <w:color w:val="auto"/>
                <w:sz w:val="20"/>
                <w:szCs w:val="20"/>
                <w:highlight w:val="none"/>
              </w:rPr>
            </w:pPr>
            <w:r>
              <w:rPr>
                <w:rFonts w:hint="eastAsia"/>
                <w:color w:val="auto"/>
                <w:sz w:val="20"/>
                <w:szCs w:val="20"/>
                <w:highlight w:val="none"/>
              </w:rPr>
              <w:t>社会效益指标</w:t>
            </w:r>
          </w:p>
        </w:tc>
        <w:tc>
          <w:tcPr>
            <w:tcW w:w="2000" w:type="dxa"/>
            <w:tcBorders>
              <w:top w:val="nil"/>
              <w:left w:val="nil"/>
              <w:bottom w:val="single" w:color="auto" w:sz="4" w:space="0"/>
              <w:right w:val="single" w:color="auto" w:sz="4" w:space="0"/>
            </w:tcBorders>
            <w:noWrap w:val="0"/>
            <w:vAlign w:val="center"/>
          </w:tcPr>
          <w:p w14:paraId="5B653767">
            <w:pPr>
              <w:rPr>
                <w:rFonts w:hint="eastAsia" w:ascii="宋体" w:hAnsi="宋体" w:eastAsia="宋体" w:cs="宋体"/>
                <w:color w:val="auto"/>
                <w:sz w:val="20"/>
                <w:szCs w:val="20"/>
                <w:highlight w:val="none"/>
                <w:lang w:eastAsia="zh-CN"/>
              </w:rPr>
            </w:pPr>
            <w:r>
              <w:rPr>
                <w:rFonts w:hint="eastAsia"/>
                <w:color w:val="auto"/>
                <w:sz w:val="20"/>
                <w:szCs w:val="20"/>
                <w:highlight w:val="none"/>
              </w:rPr>
              <w:t xml:space="preserve"> </w:t>
            </w:r>
            <w:r>
              <w:rPr>
                <w:rFonts w:hint="eastAsia"/>
                <w:color w:val="auto"/>
                <w:sz w:val="20"/>
                <w:szCs w:val="20"/>
                <w:highlight w:val="none"/>
                <w:lang w:eastAsia="zh-CN"/>
              </w:rPr>
              <w:t>正常业务运转</w:t>
            </w:r>
          </w:p>
        </w:tc>
        <w:tc>
          <w:tcPr>
            <w:tcW w:w="860" w:type="dxa"/>
            <w:tcBorders>
              <w:top w:val="nil"/>
              <w:left w:val="nil"/>
              <w:bottom w:val="single" w:color="auto" w:sz="4" w:space="0"/>
              <w:right w:val="single" w:color="auto" w:sz="4" w:space="0"/>
            </w:tcBorders>
            <w:noWrap w:val="0"/>
            <w:vAlign w:val="center"/>
          </w:tcPr>
          <w:p w14:paraId="0E8900A4">
            <w:pPr>
              <w:rPr>
                <w:rFonts w:hint="eastAsia" w:ascii="宋体" w:hAnsi="宋体" w:eastAsia="宋体" w:cs="宋体"/>
                <w:color w:val="auto"/>
                <w:sz w:val="20"/>
                <w:szCs w:val="20"/>
                <w:highlight w:val="none"/>
                <w:lang w:eastAsia="zh-CN"/>
              </w:rPr>
            </w:pPr>
            <w:r>
              <w:rPr>
                <w:rFonts w:hint="eastAsia"/>
                <w:color w:val="auto"/>
                <w:sz w:val="20"/>
                <w:szCs w:val="20"/>
                <w:highlight w:val="none"/>
                <w:lang w:eastAsia="zh-CN"/>
              </w:rPr>
              <w:t>逐年提升</w:t>
            </w:r>
          </w:p>
        </w:tc>
        <w:tc>
          <w:tcPr>
            <w:tcW w:w="791" w:type="dxa"/>
            <w:tcBorders>
              <w:top w:val="nil"/>
              <w:left w:val="nil"/>
              <w:bottom w:val="single" w:color="auto" w:sz="4" w:space="0"/>
              <w:right w:val="single" w:color="auto" w:sz="4" w:space="0"/>
            </w:tcBorders>
            <w:noWrap w:val="0"/>
            <w:vAlign w:val="center"/>
          </w:tcPr>
          <w:p w14:paraId="3E2CCF54">
            <w:pPr>
              <w:rPr>
                <w:rFonts w:ascii="宋体" w:hAnsi="宋体" w:cs="宋体"/>
                <w:color w:val="auto"/>
                <w:sz w:val="20"/>
                <w:szCs w:val="20"/>
                <w:highlight w:val="none"/>
              </w:rPr>
            </w:pPr>
            <w:r>
              <w:rPr>
                <w:rFonts w:hint="eastAsia"/>
                <w:color w:val="auto"/>
                <w:sz w:val="20"/>
                <w:szCs w:val="20"/>
                <w:highlight w:val="none"/>
              </w:rPr>
              <w:t>　</w:t>
            </w:r>
          </w:p>
        </w:tc>
        <w:tc>
          <w:tcPr>
            <w:tcW w:w="889" w:type="dxa"/>
            <w:tcBorders>
              <w:top w:val="nil"/>
              <w:left w:val="single" w:color="auto" w:sz="4" w:space="0"/>
              <w:bottom w:val="single" w:color="000000" w:sz="4" w:space="0"/>
              <w:right w:val="single" w:color="auto" w:sz="4" w:space="0"/>
            </w:tcBorders>
            <w:noWrap w:val="0"/>
            <w:vAlign w:val="center"/>
          </w:tcPr>
          <w:p w14:paraId="7485EE08">
            <w:pPr>
              <w:jc w:val="center"/>
              <w:rPr>
                <w:color w:val="auto"/>
                <w:sz w:val="20"/>
                <w:szCs w:val="20"/>
                <w:highlight w:val="none"/>
              </w:rPr>
            </w:pPr>
            <w:r>
              <w:rPr>
                <w:rFonts w:hint="eastAsia"/>
                <w:color w:val="auto"/>
                <w:sz w:val="20"/>
                <w:szCs w:val="20"/>
                <w:highlight w:val="none"/>
              </w:rPr>
              <w:t>社会效</w:t>
            </w:r>
          </w:p>
          <w:p w14:paraId="6F13ABE7">
            <w:pPr>
              <w:jc w:val="center"/>
              <w:rPr>
                <w:rFonts w:ascii="宋体" w:hAnsi="宋体" w:cs="宋体"/>
                <w:color w:val="auto"/>
                <w:sz w:val="20"/>
                <w:szCs w:val="20"/>
                <w:highlight w:val="none"/>
              </w:rPr>
            </w:pPr>
            <w:r>
              <w:rPr>
                <w:rFonts w:hint="eastAsia"/>
                <w:color w:val="auto"/>
                <w:sz w:val="20"/>
                <w:szCs w:val="20"/>
                <w:highlight w:val="none"/>
              </w:rPr>
              <w:t>益指标</w:t>
            </w:r>
          </w:p>
        </w:tc>
        <w:tc>
          <w:tcPr>
            <w:tcW w:w="1040" w:type="dxa"/>
            <w:tcBorders>
              <w:top w:val="nil"/>
              <w:left w:val="nil"/>
              <w:bottom w:val="single" w:color="auto" w:sz="4" w:space="0"/>
              <w:right w:val="single" w:color="auto" w:sz="4" w:space="0"/>
            </w:tcBorders>
            <w:noWrap w:val="0"/>
            <w:vAlign w:val="center"/>
          </w:tcPr>
          <w:p w14:paraId="0712ED5F">
            <w:pPr>
              <w:rPr>
                <w:rFonts w:ascii="宋体" w:hAnsi="宋体" w:cs="宋体"/>
                <w:color w:val="auto"/>
                <w:sz w:val="20"/>
                <w:szCs w:val="20"/>
                <w:highlight w:val="none"/>
              </w:rPr>
            </w:pPr>
            <w:r>
              <w:rPr>
                <w:rFonts w:hint="eastAsia"/>
                <w:color w:val="auto"/>
                <w:sz w:val="20"/>
                <w:szCs w:val="20"/>
                <w:highlight w:val="none"/>
              </w:rPr>
              <w:t xml:space="preserve"> </w:t>
            </w:r>
            <w:r>
              <w:rPr>
                <w:rFonts w:hint="eastAsia"/>
                <w:color w:val="auto"/>
                <w:sz w:val="20"/>
                <w:szCs w:val="20"/>
                <w:highlight w:val="none"/>
                <w:lang w:eastAsia="zh-CN"/>
              </w:rPr>
              <w:t>正常业务运转</w:t>
            </w:r>
          </w:p>
        </w:tc>
        <w:tc>
          <w:tcPr>
            <w:tcW w:w="623" w:type="dxa"/>
            <w:tcBorders>
              <w:top w:val="nil"/>
              <w:left w:val="nil"/>
              <w:bottom w:val="single" w:color="auto" w:sz="4" w:space="0"/>
              <w:right w:val="single" w:color="auto" w:sz="4" w:space="0"/>
            </w:tcBorders>
            <w:noWrap w:val="0"/>
            <w:vAlign w:val="center"/>
          </w:tcPr>
          <w:p w14:paraId="55581935">
            <w:pPr>
              <w:rPr>
                <w:rFonts w:hint="eastAsia" w:ascii="宋体" w:hAnsi="宋体" w:eastAsia="宋体" w:cs="宋体"/>
                <w:color w:val="auto"/>
                <w:kern w:val="2"/>
                <w:sz w:val="20"/>
                <w:szCs w:val="20"/>
                <w:highlight w:val="none"/>
                <w:lang w:val="en-US" w:eastAsia="zh-CN" w:bidi="ar-SA"/>
              </w:rPr>
            </w:pPr>
            <w:r>
              <w:rPr>
                <w:rFonts w:hint="eastAsia"/>
                <w:color w:val="auto"/>
                <w:sz w:val="20"/>
                <w:szCs w:val="20"/>
                <w:highlight w:val="none"/>
                <w:lang w:eastAsia="zh-CN"/>
              </w:rPr>
              <w:t>逐年提升</w:t>
            </w:r>
          </w:p>
        </w:tc>
        <w:tc>
          <w:tcPr>
            <w:tcW w:w="641" w:type="dxa"/>
            <w:tcBorders>
              <w:top w:val="nil"/>
              <w:left w:val="nil"/>
              <w:bottom w:val="single" w:color="auto" w:sz="4" w:space="0"/>
              <w:right w:val="single" w:color="auto" w:sz="4" w:space="0"/>
            </w:tcBorders>
            <w:noWrap w:val="0"/>
            <w:vAlign w:val="center"/>
          </w:tcPr>
          <w:p w14:paraId="086D143E">
            <w:pPr>
              <w:rPr>
                <w:rFonts w:ascii="宋体" w:hAnsi="宋体" w:cs="宋体"/>
                <w:color w:val="auto"/>
                <w:sz w:val="20"/>
                <w:szCs w:val="20"/>
                <w:highlight w:val="none"/>
              </w:rPr>
            </w:pPr>
            <w:r>
              <w:rPr>
                <w:rFonts w:hint="eastAsia"/>
                <w:color w:val="auto"/>
                <w:sz w:val="20"/>
                <w:szCs w:val="20"/>
                <w:highlight w:val="none"/>
              </w:rPr>
              <w:t>　</w:t>
            </w:r>
          </w:p>
        </w:tc>
      </w:tr>
      <w:tr w14:paraId="49B50B5B">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41836E8E">
            <w:pPr>
              <w:rPr>
                <w:rFonts w:ascii="宋体" w:hAnsi="宋体" w:cs="宋体"/>
                <w:color w:val="auto"/>
                <w:sz w:val="20"/>
                <w:szCs w:val="20"/>
                <w:highlight w:val="none"/>
              </w:rPr>
            </w:pPr>
          </w:p>
        </w:tc>
        <w:tc>
          <w:tcPr>
            <w:tcW w:w="820" w:type="dxa"/>
            <w:vMerge w:val="continue"/>
            <w:tcBorders>
              <w:top w:val="nil"/>
              <w:left w:val="single" w:color="auto" w:sz="4" w:space="0"/>
              <w:bottom w:val="single" w:color="auto" w:sz="4" w:space="0"/>
              <w:right w:val="single" w:color="auto" w:sz="4" w:space="0"/>
            </w:tcBorders>
            <w:noWrap w:val="0"/>
            <w:vAlign w:val="center"/>
          </w:tcPr>
          <w:p w14:paraId="2020D91B">
            <w:pPr>
              <w:rPr>
                <w:rFonts w:ascii="宋体" w:hAnsi="宋体" w:cs="宋体"/>
                <w:color w:val="auto"/>
                <w:sz w:val="20"/>
                <w:szCs w:val="20"/>
                <w:highlight w:val="none"/>
              </w:rPr>
            </w:pPr>
          </w:p>
        </w:tc>
        <w:tc>
          <w:tcPr>
            <w:tcW w:w="940" w:type="dxa"/>
            <w:tcBorders>
              <w:top w:val="nil"/>
              <w:left w:val="single" w:color="auto" w:sz="4" w:space="0"/>
              <w:bottom w:val="single" w:color="000000" w:sz="4" w:space="0"/>
              <w:right w:val="single" w:color="auto" w:sz="4" w:space="0"/>
            </w:tcBorders>
            <w:noWrap w:val="0"/>
            <w:vAlign w:val="center"/>
          </w:tcPr>
          <w:p w14:paraId="48BA3490">
            <w:pPr>
              <w:jc w:val="center"/>
              <w:rPr>
                <w:rFonts w:ascii="宋体" w:hAnsi="宋体" w:cs="宋体"/>
                <w:color w:val="auto"/>
                <w:sz w:val="20"/>
                <w:szCs w:val="20"/>
                <w:highlight w:val="none"/>
              </w:rPr>
            </w:pPr>
            <w:r>
              <w:rPr>
                <w:rFonts w:hint="eastAsia"/>
                <w:color w:val="auto"/>
                <w:sz w:val="20"/>
                <w:szCs w:val="20"/>
                <w:highlight w:val="none"/>
              </w:rPr>
              <w:t>生态效益指标</w:t>
            </w:r>
          </w:p>
        </w:tc>
        <w:tc>
          <w:tcPr>
            <w:tcW w:w="2000" w:type="dxa"/>
            <w:tcBorders>
              <w:top w:val="nil"/>
              <w:left w:val="nil"/>
              <w:bottom w:val="single" w:color="auto" w:sz="4" w:space="0"/>
              <w:right w:val="single" w:color="auto" w:sz="4" w:space="0"/>
            </w:tcBorders>
            <w:noWrap w:val="0"/>
            <w:vAlign w:val="center"/>
          </w:tcPr>
          <w:p w14:paraId="2D39D15E">
            <w:pPr>
              <w:rPr>
                <w:rFonts w:hint="eastAsia" w:ascii="宋体" w:hAnsi="宋体" w:eastAsia="宋体" w:cs="宋体"/>
                <w:color w:val="auto"/>
                <w:sz w:val="20"/>
                <w:szCs w:val="20"/>
                <w:highlight w:val="none"/>
                <w:lang w:eastAsia="zh-CN"/>
              </w:rPr>
            </w:pPr>
            <w:r>
              <w:rPr>
                <w:rFonts w:hint="eastAsia"/>
                <w:color w:val="auto"/>
                <w:sz w:val="20"/>
                <w:szCs w:val="20"/>
                <w:highlight w:val="none"/>
              </w:rPr>
              <w:t xml:space="preserve"> </w:t>
            </w:r>
            <w:r>
              <w:rPr>
                <w:rFonts w:hint="eastAsia"/>
                <w:color w:val="auto"/>
                <w:sz w:val="20"/>
                <w:szCs w:val="20"/>
                <w:highlight w:val="none"/>
                <w:lang w:eastAsia="zh-CN"/>
              </w:rPr>
              <w:t>运转也物业费</w:t>
            </w:r>
          </w:p>
        </w:tc>
        <w:tc>
          <w:tcPr>
            <w:tcW w:w="860" w:type="dxa"/>
            <w:tcBorders>
              <w:top w:val="nil"/>
              <w:left w:val="nil"/>
              <w:bottom w:val="single" w:color="auto" w:sz="4" w:space="0"/>
              <w:right w:val="single" w:color="auto" w:sz="4" w:space="0"/>
            </w:tcBorders>
            <w:noWrap w:val="0"/>
            <w:vAlign w:val="center"/>
          </w:tcPr>
          <w:p w14:paraId="1E6C9120">
            <w:pPr>
              <w:rPr>
                <w:rFonts w:hint="eastAsia" w:ascii="宋体" w:hAnsi="宋体" w:eastAsia="宋体" w:cs="宋体"/>
                <w:color w:val="auto"/>
                <w:sz w:val="20"/>
                <w:szCs w:val="20"/>
                <w:highlight w:val="none"/>
                <w:lang w:eastAsia="zh-CN"/>
              </w:rPr>
            </w:pPr>
            <w:r>
              <w:rPr>
                <w:rFonts w:hint="eastAsia"/>
                <w:color w:val="auto"/>
                <w:sz w:val="20"/>
                <w:szCs w:val="20"/>
                <w:highlight w:val="none"/>
              </w:rPr>
              <w:t>　</w:t>
            </w:r>
            <w:r>
              <w:rPr>
                <w:rFonts w:hint="eastAsia"/>
                <w:color w:val="auto"/>
                <w:sz w:val="20"/>
                <w:szCs w:val="20"/>
                <w:highlight w:val="none"/>
                <w:lang w:eastAsia="zh-CN"/>
              </w:rPr>
              <w:t>定性</w:t>
            </w:r>
          </w:p>
        </w:tc>
        <w:tc>
          <w:tcPr>
            <w:tcW w:w="791" w:type="dxa"/>
            <w:tcBorders>
              <w:top w:val="nil"/>
              <w:left w:val="nil"/>
              <w:bottom w:val="single" w:color="auto" w:sz="4" w:space="0"/>
              <w:right w:val="single" w:color="auto" w:sz="4" w:space="0"/>
            </w:tcBorders>
            <w:noWrap w:val="0"/>
            <w:vAlign w:val="center"/>
          </w:tcPr>
          <w:p w14:paraId="6F9E9F93">
            <w:pPr>
              <w:rPr>
                <w:rFonts w:ascii="宋体" w:hAnsi="宋体" w:cs="宋体"/>
                <w:color w:val="auto"/>
                <w:sz w:val="20"/>
                <w:szCs w:val="20"/>
                <w:highlight w:val="none"/>
              </w:rPr>
            </w:pPr>
            <w:r>
              <w:rPr>
                <w:rFonts w:hint="eastAsia"/>
                <w:color w:val="auto"/>
                <w:sz w:val="20"/>
                <w:szCs w:val="20"/>
                <w:highlight w:val="none"/>
                <w:lang w:eastAsia="zh-CN"/>
              </w:rPr>
              <w:t>绿色发展</w:t>
            </w:r>
            <w:r>
              <w:rPr>
                <w:rFonts w:hint="eastAsia"/>
                <w:color w:val="auto"/>
                <w:sz w:val="20"/>
                <w:szCs w:val="20"/>
                <w:highlight w:val="none"/>
              </w:rPr>
              <w:t>　</w:t>
            </w:r>
          </w:p>
        </w:tc>
        <w:tc>
          <w:tcPr>
            <w:tcW w:w="889" w:type="dxa"/>
            <w:tcBorders>
              <w:top w:val="nil"/>
              <w:left w:val="single" w:color="auto" w:sz="4" w:space="0"/>
              <w:bottom w:val="single" w:color="000000" w:sz="4" w:space="0"/>
              <w:right w:val="single" w:color="auto" w:sz="4" w:space="0"/>
            </w:tcBorders>
            <w:noWrap w:val="0"/>
            <w:vAlign w:val="center"/>
          </w:tcPr>
          <w:p w14:paraId="43C6B9DF">
            <w:pPr>
              <w:jc w:val="center"/>
              <w:rPr>
                <w:rFonts w:ascii="宋体" w:hAnsi="宋体" w:cs="宋体"/>
                <w:color w:val="auto"/>
                <w:sz w:val="20"/>
                <w:szCs w:val="20"/>
                <w:highlight w:val="none"/>
              </w:rPr>
            </w:pPr>
            <w:r>
              <w:rPr>
                <w:rFonts w:hint="eastAsia"/>
                <w:color w:val="auto"/>
                <w:sz w:val="20"/>
                <w:szCs w:val="20"/>
                <w:highlight w:val="none"/>
              </w:rPr>
              <w:t>生态效益指标</w:t>
            </w:r>
          </w:p>
        </w:tc>
        <w:tc>
          <w:tcPr>
            <w:tcW w:w="1040" w:type="dxa"/>
            <w:tcBorders>
              <w:top w:val="nil"/>
              <w:left w:val="nil"/>
              <w:bottom w:val="single" w:color="auto" w:sz="4" w:space="0"/>
              <w:right w:val="single" w:color="auto" w:sz="4" w:space="0"/>
            </w:tcBorders>
            <w:noWrap w:val="0"/>
            <w:vAlign w:val="center"/>
          </w:tcPr>
          <w:p w14:paraId="5BB4ACBE">
            <w:pPr>
              <w:rPr>
                <w:rFonts w:ascii="宋体" w:hAnsi="宋体" w:cs="宋体"/>
                <w:color w:val="auto"/>
                <w:sz w:val="20"/>
                <w:szCs w:val="20"/>
                <w:highlight w:val="none"/>
              </w:rPr>
            </w:pPr>
            <w:r>
              <w:rPr>
                <w:rFonts w:hint="eastAsia"/>
                <w:color w:val="auto"/>
                <w:sz w:val="20"/>
                <w:szCs w:val="20"/>
                <w:highlight w:val="none"/>
                <w:lang w:eastAsia="zh-CN"/>
              </w:rPr>
              <w:t>运转也物业费</w:t>
            </w:r>
          </w:p>
        </w:tc>
        <w:tc>
          <w:tcPr>
            <w:tcW w:w="623" w:type="dxa"/>
            <w:tcBorders>
              <w:top w:val="nil"/>
              <w:left w:val="nil"/>
              <w:bottom w:val="single" w:color="auto" w:sz="4" w:space="0"/>
              <w:right w:val="single" w:color="auto" w:sz="4" w:space="0"/>
            </w:tcBorders>
            <w:noWrap w:val="0"/>
            <w:vAlign w:val="center"/>
          </w:tcPr>
          <w:p w14:paraId="0C340DF1">
            <w:pPr>
              <w:rPr>
                <w:rFonts w:hint="eastAsia" w:ascii="宋体" w:hAnsi="宋体" w:eastAsia="宋体" w:cs="宋体"/>
                <w:color w:val="auto"/>
                <w:sz w:val="20"/>
                <w:szCs w:val="20"/>
                <w:highlight w:val="none"/>
                <w:lang w:eastAsia="zh-CN"/>
              </w:rPr>
            </w:pPr>
            <w:r>
              <w:rPr>
                <w:rFonts w:hint="eastAsia"/>
                <w:color w:val="auto"/>
                <w:sz w:val="20"/>
                <w:szCs w:val="20"/>
                <w:highlight w:val="none"/>
                <w:lang w:eastAsia="zh-CN"/>
              </w:rPr>
              <w:t>定性</w:t>
            </w:r>
          </w:p>
        </w:tc>
        <w:tc>
          <w:tcPr>
            <w:tcW w:w="641" w:type="dxa"/>
            <w:tcBorders>
              <w:top w:val="nil"/>
              <w:left w:val="nil"/>
              <w:bottom w:val="single" w:color="auto" w:sz="4" w:space="0"/>
              <w:right w:val="single" w:color="auto" w:sz="4" w:space="0"/>
            </w:tcBorders>
            <w:noWrap w:val="0"/>
            <w:vAlign w:val="center"/>
          </w:tcPr>
          <w:p w14:paraId="7E019131">
            <w:pPr>
              <w:rPr>
                <w:rFonts w:hint="eastAsia" w:ascii="宋体" w:hAnsi="宋体" w:eastAsia="宋体" w:cs="宋体"/>
                <w:color w:val="auto"/>
                <w:sz w:val="20"/>
                <w:szCs w:val="20"/>
                <w:highlight w:val="none"/>
                <w:lang w:eastAsia="zh-CN"/>
              </w:rPr>
            </w:pPr>
            <w:r>
              <w:rPr>
                <w:rFonts w:hint="eastAsia"/>
                <w:color w:val="auto"/>
                <w:sz w:val="20"/>
                <w:szCs w:val="20"/>
                <w:highlight w:val="none"/>
                <w:lang w:eastAsia="zh-CN"/>
              </w:rPr>
              <w:t>绿色发展</w:t>
            </w:r>
          </w:p>
        </w:tc>
      </w:tr>
      <w:tr w14:paraId="43529ADA">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18DEB4AD">
            <w:pPr>
              <w:rPr>
                <w:rFonts w:ascii="宋体" w:hAnsi="宋体" w:cs="宋体"/>
                <w:color w:val="auto"/>
                <w:sz w:val="20"/>
                <w:szCs w:val="20"/>
                <w:highlight w:val="none"/>
              </w:rPr>
            </w:pPr>
          </w:p>
        </w:tc>
        <w:tc>
          <w:tcPr>
            <w:tcW w:w="820" w:type="dxa"/>
            <w:vMerge w:val="continue"/>
            <w:tcBorders>
              <w:top w:val="nil"/>
              <w:left w:val="single" w:color="auto" w:sz="4" w:space="0"/>
              <w:bottom w:val="single" w:color="auto" w:sz="4" w:space="0"/>
              <w:right w:val="single" w:color="auto" w:sz="4" w:space="0"/>
            </w:tcBorders>
            <w:noWrap w:val="0"/>
            <w:vAlign w:val="center"/>
          </w:tcPr>
          <w:p w14:paraId="1BC22C7C">
            <w:pPr>
              <w:rPr>
                <w:rFonts w:ascii="宋体" w:hAnsi="宋体" w:cs="宋体"/>
                <w:color w:val="auto"/>
                <w:sz w:val="20"/>
                <w:szCs w:val="20"/>
                <w:highlight w:val="none"/>
              </w:rPr>
            </w:pPr>
          </w:p>
        </w:tc>
        <w:tc>
          <w:tcPr>
            <w:tcW w:w="940" w:type="dxa"/>
            <w:tcBorders>
              <w:top w:val="nil"/>
              <w:left w:val="single" w:color="auto" w:sz="4" w:space="0"/>
              <w:bottom w:val="single" w:color="000000" w:sz="4" w:space="0"/>
              <w:right w:val="single" w:color="auto" w:sz="4" w:space="0"/>
            </w:tcBorders>
            <w:noWrap w:val="0"/>
            <w:vAlign w:val="center"/>
          </w:tcPr>
          <w:p w14:paraId="76AE76DC">
            <w:pPr>
              <w:jc w:val="center"/>
              <w:rPr>
                <w:rFonts w:ascii="宋体" w:hAnsi="宋体" w:cs="宋体"/>
                <w:color w:val="auto"/>
                <w:sz w:val="20"/>
                <w:szCs w:val="20"/>
                <w:highlight w:val="none"/>
              </w:rPr>
            </w:pPr>
            <w:r>
              <w:rPr>
                <w:rFonts w:hint="eastAsia"/>
                <w:color w:val="auto"/>
                <w:sz w:val="20"/>
                <w:szCs w:val="20"/>
                <w:highlight w:val="none"/>
              </w:rPr>
              <w:t>可持续影响</w:t>
            </w:r>
            <w:r>
              <w:rPr>
                <w:rFonts w:hint="eastAsia"/>
                <w:color w:val="auto"/>
                <w:sz w:val="20"/>
                <w:szCs w:val="20"/>
                <w:highlight w:val="none"/>
              </w:rPr>
              <w:br w:type="textWrapping"/>
            </w:r>
            <w:r>
              <w:rPr>
                <w:rFonts w:hint="eastAsia"/>
                <w:color w:val="auto"/>
                <w:sz w:val="20"/>
                <w:szCs w:val="20"/>
                <w:highlight w:val="none"/>
              </w:rPr>
              <w:t>指标</w:t>
            </w:r>
          </w:p>
        </w:tc>
        <w:tc>
          <w:tcPr>
            <w:tcW w:w="2000" w:type="dxa"/>
            <w:tcBorders>
              <w:top w:val="nil"/>
              <w:left w:val="nil"/>
              <w:bottom w:val="single" w:color="auto" w:sz="4" w:space="0"/>
              <w:right w:val="single" w:color="auto" w:sz="4" w:space="0"/>
            </w:tcBorders>
            <w:noWrap w:val="0"/>
            <w:vAlign w:val="center"/>
          </w:tcPr>
          <w:p w14:paraId="0A91B883">
            <w:pPr>
              <w:rPr>
                <w:rFonts w:hint="eastAsia" w:ascii="宋体" w:hAnsi="宋体" w:eastAsia="宋体" w:cs="宋体"/>
                <w:color w:val="auto"/>
                <w:sz w:val="20"/>
                <w:szCs w:val="20"/>
                <w:highlight w:val="none"/>
                <w:lang w:eastAsia="zh-CN"/>
              </w:rPr>
            </w:pPr>
            <w:r>
              <w:rPr>
                <w:rFonts w:hint="eastAsia"/>
                <w:color w:val="auto"/>
                <w:sz w:val="20"/>
                <w:szCs w:val="20"/>
                <w:highlight w:val="none"/>
              </w:rPr>
              <w:t xml:space="preserve"> </w:t>
            </w:r>
            <w:r>
              <w:rPr>
                <w:rFonts w:hint="eastAsia"/>
                <w:color w:val="auto"/>
                <w:sz w:val="20"/>
                <w:szCs w:val="20"/>
                <w:highlight w:val="none"/>
                <w:lang w:eastAsia="zh-CN"/>
              </w:rPr>
              <w:t>提高全县基层业务能力</w:t>
            </w:r>
          </w:p>
        </w:tc>
        <w:tc>
          <w:tcPr>
            <w:tcW w:w="860" w:type="dxa"/>
            <w:tcBorders>
              <w:top w:val="nil"/>
              <w:left w:val="nil"/>
              <w:bottom w:val="single" w:color="auto" w:sz="4" w:space="0"/>
              <w:right w:val="single" w:color="auto" w:sz="4" w:space="0"/>
            </w:tcBorders>
            <w:noWrap w:val="0"/>
            <w:vAlign w:val="center"/>
          </w:tcPr>
          <w:p w14:paraId="0548B4CB">
            <w:pPr>
              <w:rPr>
                <w:rFonts w:hint="eastAsia" w:ascii="宋体" w:hAnsi="宋体" w:eastAsia="宋体" w:cs="宋体"/>
                <w:color w:val="auto"/>
                <w:sz w:val="20"/>
                <w:szCs w:val="20"/>
                <w:highlight w:val="none"/>
                <w:lang w:eastAsia="zh-CN"/>
              </w:rPr>
            </w:pPr>
            <w:r>
              <w:rPr>
                <w:rFonts w:hint="eastAsia"/>
                <w:color w:val="auto"/>
                <w:sz w:val="20"/>
                <w:szCs w:val="20"/>
                <w:highlight w:val="none"/>
              </w:rPr>
              <w:t>　</w:t>
            </w:r>
            <w:r>
              <w:rPr>
                <w:rFonts w:hint="eastAsia"/>
                <w:color w:val="auto"/>
                <w:sz w:val="20"/>
                <w:szCs w:val="20"/>
                <w:highlight w:val="none"/>
                <w:lang w:eastAsia="zh-CN"/>
              </w:rPr>
              <w:t>定性</w:t>
            </w:r>
          </w:p>
        </w:tc>
        <w:tc>
          <w:tcPr>
            <w:tcW w:w="791" w:type="dxa"/>
            <w:tcBorders>
              <w:top w:val="nil"/>
              <w:left w:val="nil"/>
              <w:bottom w:val="single" w:color="auto" w:sz="4" w:space="0"/>
              <w:right w:val="single" w:color="auto" w:sz="4" w:space="0"/>
            </w:tcBorders>
            <w:noWrap w:val="0"/>
            <w:vAlign w:val="center"/>
          </w:tcPr>
          <w:p w14:paraId="665CE881">
            <w:pPr>
              <w:rPr>
                <w:rFonts w:hint="eastAsia" w:ascii="宋体" w:hAnsi="宋体" w:eastAsia="宋体" w:cs="宋体"/>
                <w:color w:val="auto"/>
                <w:sz w:val="20"/>
                <w:szCs w:val="20"/>
                <w:highlight w:val="none"/>
                <w:lang w:eastAsia="zh-CN"/>
              </w:rPr>
            </w:pPr>
            <w:r>
              <w:rPr>
                <w:rFonts w:hint="eastAsia"/>
                <w:color w:val="auto"/>
                <w:sz w:val="20"/>
                <w:szCs w:val="20"/>
                <w:highlight w:val="none"/>
                <w:lang w:eastAsia="zh-CN"/>
              </w:rPr>
              <w:t>影响明显</w:t>
            </w:r>
          </w:p>
        </w:tc>
        <w:tc>
          <w:tcPr>
            <w:tcW w:w="889" w:type="dxa"/>
            <w:tcBorders>
              <w:top w:val="nil"/>
              <w:left w:val="single" w:color="auto" w:sz="4" w:space="0"/>
              <w:bottom w:val="single" w:color="000000" w:sz="4" w:space="0"/>
              <w:right w:val="single" w:color="auto" w:sz="4" w:space="0"/>
            </w:tcBorders>
            <w:noWrap w:val="0"/>
            <w:vAlign w:val="center"/>
          </w:tcPr>
          <w:p w14:paraId="3D141842">
            <w:pPr>
              <w:jc w:val="center"/>
              <w:rPr>
                <w:color w:val="auto"/>
                <w:sz w:val="20"/>
                <w:szCs w:val="20"/>
                <w:highlight w:val="none"/>
              </w:rPr>
            </w:pPr>
            <w:r>
              <w:rPr>
                <w:rFonts w:hint="eastAsia"/>
                <w:color w:val="auto"/>
                <w:sz w:val="20"/>
                <w:szCs w:val="20"/>
                <w:highlight w:val="none"/>
              </w:rPr>
              <w:t>可持续</w:t>
            </w:r>
          </w:p>
          <w:p w14:paraId="38D91C86">
            <w:pPr>
              <w:jc w:val="center"/>
              <w:rPr>
                <w:color w:val="auto"/>
                <w:sz w:val="20"/>
                <w:szCs w:val="20"/>
                <w:highlight w:val="none"/>
              </w:rPr>
            </w:pPr>
            <w:r>
              <w:rPr>
                <w:rFonts w:hint="eastAsia"/>
                <w:color w:val="auto"/>
                <w:sz w:val="20"/>
                <w:szCs w:val="20"/>
                <w:highlight w:val="none"/>
              </w:rPr>
              <w:t>影响</w:t>
            </w:r>
          </w:p>
          <w:p w14:paraId="0F590B09">
            <w:pPr>
              <w:jc w:val="center"/>
              <w:rPr>
                <w:rFonts w:ascii="宋体" w:hAnsi="宋体" w:cs="宋体"/>
                <w:color w:val="auto"/>
                <w:sz w:val="20"/>
                <w:szCs w:val="20"/>
                <w:highlight w:val="none"/>
              </w:rPr>
            </w:pPr>
            <w:r>
              <w:rPr>
                <w:rFonts w:hint="eastAsia"/>
                <w:color w:val="auto"/>
                <w:sz w:val="20"/>
                <w:szCs w:val="20"/>
                <w:highlight w:val="none"/>
              </w:rPr>
              <w:t>指标</w:t>
            </w:r>
          </w:p>
        </w:tc>
        <w:tc>
          <w:tcPr>
            <w:tcW w:w="1040" w:type="dxa"/>
            <w:tcBorders>
              <w:top w:val="nil"/>
              <w:left w:val="nil"/>
              <w:bottom w:val="single" w:color="auto" w:sz="4" w:space="0"/>
              <w:right w:val="single" w:color="auto" w:sz="4" w:space="0"/>
            </w:tcBorders>
            <w:noWrap w:val="0"/>
            <w:vAlign w:val="center"/>
          </w:tcPr>
          <w:p w14:paraId="7267AA41">
            <w:pPr>
              <w:rPr>
                <w:rFonts w:ascii="宋体" w:hAnsi="宋体" w:cs="宋体"/>
                <w:color w:val="auto"/>
                <w:sz w:val="20"/>
                <w:szCs w:val="20"/>
                <w:highlight w:val="none"/>
              </w:rPr>
            </w:pPr>
            <w:r>
              <w:rPr>
                <w:rFonts w:hint="eastAsia"/>
                <w:color w:val="auto"/>
                <w:sz w:val="20"/>
                <w:szCs w:val="20"/>
                <w:highlight w:val="none"/>
                <w:lang w:eastAsia="zh-CN"/>
              </w:rPr>
              <w:t>提高全县基层业务能力</w:t>
            </w:r>
          </w:p>
        </w:tc>
        <w:tc>
          <w:tcPr>
            <w:tcW w:w="623" w:type="dxa"/>
            <w:tcBorders>
              <w:top w:val="nil"/>
              <w:left w:val="nil"/>
              <w:bottom w:val="single" w:color="auto" w:sz="4" w:space="0"/>
              <w:right w:val="single" w:color="auto" w:sz="4" w:space="0"/>
            </w:tcBorders>
            <w:noWrap w:val="0"/>
            <w:vAlign w:val="center"/>
          </w:tcPr>
          <w:p w14:paraId="05BE1F0A">
            <w:pPr>
              <w:rPr>
                <w:rFonts w:hint="eastAsia" w:ascii="宋体" w:hAnsi="宋体" w:eastAsia="宋体" w:cs="宋体"/>
                <w:color w:val="auto"/>
                <w:sz w:val="20"/>
                <w:szCs w:val="20"/>
                <w:highlight w:val="none"/>
                <w:lang w:eastAsia="zh-CN"/>
              </w:rPr>
            </w:pPr>
            <w:r>
              <w:rPr>
                <w:rFonts w:hint="eastAsia"/>
                <w:color w:val="auto"/>
                <w:sz w:val="20"/>
                <w:szCs w:val="20"/>
                <w:highlight w:val="none"/>
                <w:lang w:eastAsia="zh-CN"/>
              </w:rPr>
              <w:t>定性</w:t>
            </w:r>
          </w:p>
        </w:tc>
        <w:tc>
          <w:tcPr>
            <w:tcW w:w="641" w:type="dxa"/>
            <w:tcBorders>
              <w:top w:val="nil"/>
              <w:left w:val="nil"/>
              <w:bottom w:val="single" w:color="auto" w:sz="4" w:space="0"/>
              <w:right w:val="single" w:color="auto" w:sz="4" w:space="0"/>
            </w:tcBorders>
            <w:noWrap w:val="0"/>
            <w:vAlign w:val="center"/>
          </w:tcPr>
          <w:p w14:paraId="431E97A6">
            <w:pPr>
              <w:rPr>
                <w:rFonts w:hint="eastAsia" w:ascii="宋体" w:hAnsi="宋体" w:eastAsia="宋体" w:cs="宋体"/>
                <w:color w:val="auto"/>
                <w:sz w:val="20"/>
                <w:szCs w:val="20"/>
                <w:highlight w:val="none"/>
                <w:lang w:eastAsia="zh-CN"/>
              </w:rPr>
            </w:pPr>
            <w:r>
              <w:rPr>
                <w:rFonts w:hint="eastAsia"/>
                <w:color w:val="auto"/>
                <w:sz w:val="20"/>
                <w:szCs w:val="20"/>
                <w:highlight w:val="none"/>
                <w:lang w:eastAsia="zh-CN"/>
              </w:rPr>
              <w:t>影响明显</w:t>
            </w:r>
          </w:p>
        </w:tc>
      </w:tr>
      <w:tr w14:paraId="0A141F66">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01AC9527">
            <w:pPr>
              <w:rPr>
                <w:rFonts w:ascii="宋体" w:hAnsi="宋体" w:cs="宋体"/>
                <w:color w:val="auto"/>
                <w:sz w:val="20"/>
                <w:szCs w:val="20"/>
                <w:highlight w:val="none"/>
              </w:rPr>
            </w:pPr>
          </w:p>
        </w:tc>
        <w:tc>
          <w:tcPr>
            <w:tcW w:w="820" w:type="dxa"/>
            <w:tcBorders>
              <w:top w:val="nil"/>
              <w:left w:val="single" w:color="auto" w:sz="4" w:space="0"/>
              <w:bottom w:val="single" w:color="000000" w:sz="4" w:space="0"/>
              <w:right w:val="single" w:color="auto" w:sz="4" w:space="0"/>
            </w:tcBorders>
            <w:noWrap w:val="0"/>
            <w:vAlign w:val="center"/>
          </w:tcPr>
          <w:p w14:paraId="10958042">
            <w:pPr>
              <w:jc w:val="center"/>
              <w:rPr>
                <w:rFonts w:ascii="宋体" w:hAnsi="宋体" w:cs="宋体"/>
                <w:color w:val="auto"/>
                <w:sz w:val="20"/>
                <w:szCs w:val="20"/>
                <w:highlight w:val="none"/>
              </w:rPr>
            </w:pPr>
            <w:r>
              <w:rPr>
                <w:rFonts w:hint="eastAsia"/>
                <w:color w:val="auto"/>
                <w:sz w:val="20"/>
                <w:szCs w:val="20"/>
                <w:highlight w:val="none"/>
              </w:rPr>
              <w:t>满意度指标</w:t>
            </w:r>
          </w:p>
        </w:tc>
        <w:tc>
          <w:tcPr>
            <w:tcW w:w="940" w:type="dxa"/>
            <w:tcBorders>
              <w:top w:val="nil"/>
              <w:left w:val="single" w:color="auto" w:sz="4" w:space="0"/>
              <w:bottom w:val="single" w:color="000000" w:sz="4" w:space="0"/>
              <w:right w:val="single" w:color="auto" w:sz="4" w:space="0"/>
            </w:tcBorders>
            <w:noWrap w:val="0"/>
            <w:vAlign w:val="center"/>
          </w:tcPr>
          <w:p w14:paraId="14F335AB">
            <w:pPr>
              <w:jc w:val="center"/>
              <w:rPr>
                <w:rFonts w:ascii="宋体" w:hAnsi="宋体" w:cs="宋体"/>
                <w:color w:val="auto"/>
                <w:sz w:val="20"/>
                <w:szCs w:val="20"/>
                <w:highlight w:val="none"/>
              </w:rPr>
            </w:pPr>
            <w:r>
              <w:rPr>
                <w:rFonts w:hint="eastAsia"/>
                <w:color w:val="auto"/>
                <w:sz w:val="20"/>
                <w:szCs w:val="20"/>
                <w:highlight w:val="none"/>
              </w:rPr>
              <w:t>服务对象满意度指标</w:t>
            </w:r>
          </w:p>
        </w:tc>
        <w:tc>
          <w:tcPr>
            <w:tcW w:w="2000" w:type="dxa"/>
            <w:tcBorders>
              <w:top w:val="nil"/>
              <w:left w:val="nil"/>
              <w:bottom w:val="single" w:color="auto" w:sz="4" w:space="0"/>
              <w:right w:val="single" w:color="auto" w:sz="4" w:space="0"/>
            </w:tcBorders>
            <w:noWrap w:val="0"/>
            <w:vAlign w:val="center"/>
          </w:tcPr>
          <w:p w14:paraId="1431876B">
            <w:pPr>
              <w:rPr>
                <w:rFonts w:hint="eastAsia" w:ascii="宋体" w:hAnsi="宋体" w:eastAsia="宋体" w:cs="宋体"/>
                <w:color w:val="auto"/>
                <w:sz w:val="20"/>
                <w:szCs w:val="20"/>
                <w:highlight w:val="none"/>
                <w:lang w:eastAsia="zh-CN"/>
              </w:rPr>
            </w:pPr>
            <w:r>
              <w:rPr>
                <w:rFonts w:hint="eastAsia"/>
                <w:color w:val="auto"/>
                <w:sz w:val="20"/>
                <w:szCs w:val="20"/>
                <w:highlight w:val="none"/>
              </w:rPr>
              <w:t xml:space="preserve"> </w:t>
            </w:r>
            <w:r>
              <w:rPr>
                <w:rFonts w:hint="eastAsia"/>
                <w:color w:val="auto"/>
                <w:sz w:val="20"/>
                <w:szCs w:val="20"/>
                <w:highlight w:val="none"/>
                <w:lang w:eastAsia="zh-CN"/>
              </w:rPr>
              <w:t>服务对象满意度</w:t>
            </w:r>
          </w:p>
        </w:tc>
        <w:tc>
          <w:tcPr>
            <w:tcW w:w="860" w:type="dxa"/>
            <w:tcBorders>
              <w:top w:val="nil"/>
              <w:left w:val="nil"/>
              <w:bottom w:val="single" w:color="auto" w:sz="4" w:space="0"/>
              <w:right w:val="single" w:color="auto" w:sz="4" w:space="0"/>
            </w:tcBorders>
            <w:noWrap w:val="0"/>
            <w:vAlign w:val="center"/>
          </w:tcPr>
          <w:p w14:paraId="212D0ACC">
            <w:pPr>
              <w:jc w:val="center"/>
              <w:rPr>
                <w:rFonts w:ascii="宋体" w:hAnsi="宋体" w:cs="宋体"/>
                <w:color w:val="auto"/>
                <w:sz w:val="20"/>
                <w:szCs w:val="20"/>
                <w:highlight w:val="none"/>
              </w:rPr>
            </w:pPr>
            <w:r>
              <w:rPr>
                <w:rFonts w:hint="eastAsia" w:ascii="宋体" w:hAnsi="宋体" w:eastAsia="宋体" w:cs="宋体"/>
                <w:color w:val="auto"/>
                <w:sz w:val="20"/>
                <w:szCs w:val="20"/>
                <w:highlight w:val="none"/>
              </w:rPr>
              <w:t>≧</w:t>
            </w:r>
            <w:r>
              <w:rPr>
                <w:rFonts w:hint="eastAsia"/>
                <w:color w:val="auto"/>
                <w:sz w:val="20"/>
                <w:szCs w:val="20"/>
                <w:highlight w:val="none"/>
              </w:rPr>
              <w:t>　</w:t>
            </w:r>
          </w:p>
        </w:tc>
        <w:tc>
          <w:tcPr>
            <w:tcW w:w="791" w:type="dxa"/>
            <w:tcBorders>
              <w:top w:val="nil"/>
              <w:left w:val="nil"/>
              <w:bottom w:val="single" w:color="auto" w:sz="4" w:space="0"/>
              <w:right w:val="single" w:color="auto" w:sz="4" w:space="0"/>
            </w:tcBorders>
            <w:noWrap w:val="0"/>
            <w:vAlign w:val="center"/>
          </w:tcPr>
          <w:p w14:paraId="2A75AD88">
            <w:pPr>
              <w:jc w:val="center"/>
              <w:rPr>
                <w:rFonts w:ascii="宋体" w:hAnsi="宋体" w:cs="宋体"/>
                <w:color w:val="auto"/>
                <w:sz w:val="20"/>
                <w:szCs w:val="20"/>
                <w:highlight w:val="none"/>
              </w:rPr>
            </w:pPr>
            <w:r>
              <w:rPr>
                <w:rFonts w:hint="eastAsia"/>
                <w:color w:val="auto"/>
                <w:sz w:val="20"/>
                <w:szCs w:val="20"/>
                <w:highlight w:val="none"/>
                <w:lang w:val="en-US" w:eastAsia="zh-CN"/>
              </w:rPr>
              <w:t>95</w:t>
            </w:r>
            <w:r>
              <w:rPr>
                <w:rFonts w:hint="eastAsia"/>
                <w:color w:val="auto"/>
                <w:sz w:val="20"/>
                <w:szCs w:val="20"/>
                <w:highlight w:val="none"/>
              </w:rPr>
              <w:t>　</w:t>
            </w:r>
          </w:p>
        </w:tc>
        <w:tc>
          <w:tcPr>
            <w:tcW w:w="889" w:type="dxa"/>
            <w:tcBorders>
              <w:top w:val="nil"/>
              <w:left w:val="single" w:color="auto" w:sz="4" w:space="0"/>
              <w:bottom w:val="single" w:color="000000" w:sz="4" w:space="0"/>
              <w:right w:val="single" w:color="auto" w:sz="4" w:space="0"/>
            </w:tcBorders>
            <w:noWrap w:val="0"/>
            <w:vAlign w:val="center"/>
          </w:tcPr>
          <w:p w14:paraId="004FAF72">
            <w:pPr>
              <w:jc w:val="center"/>
              <w:rPr>
                <w:color w:val="auto"/>
                <w:sz w:val="20"/>
                <w:szCs w:val="20"/>
                <w:highlight w:val="none"/>
              </w:rPr>
            </w:pPr>
            <w:r>
              <w:rPr>
                <w:rFonts w:hint="eastAsia"/>
                <w:color w:val="auto"/>
                <w:sz w:val="20"/>
                <w:szCs w:val="20"/>
                <w:highlight w:val="none"/>
              </w:rPr>
              <w:t>服务对</w:t>
            </w:r>
          </w:p>
          <w:p w14:paraId="785BC323">
            <w:pPr>
              <w:jc w:val="center"/>
              <w:rPr>
                <w:color w:val="auto"/>
                <w:sz w:val="20"/>
                <w:szCs w:val="20"/>
                <w:highlight w:val="none"/>
              </w:rPr>
            </w:pPr>
            <w:r>
              <w:rPr>
                <w:rFonts w:hint="eastAsia"/>
                <w:color w:val="auto"/>
                <w:sz w:val="20"/>
                <w:szCs w:val="20"/>
                <w:highlight w:val="none"/>
              </w:rPr>
              <w:t>象满意</w:t>
            </w:r>
          </w:p>
          <w:p w14:paraId="7BC71C2D">
            <w:pPr>
              <w:jc w:val="center"/>
              <w:rPr>
                <w:rFonts w:ascii="宋体" w:hAnsi="宋体" w:cs="宋体"/>
                <w:color w:val="auto"/>
                <w:sz w:val="20"/>
                <w:szCs w:val="20"/>
                <w:highlight w:val="none"/>
              </w:rPr>
            </w:pPr>
            <w:r>
              <w:rPr>
                <w:rFonts w:hint="eastAsia"/>
                <w:color w:val="auto"/>
                <w:sz w:val="20"/>
                <w:szCs w:val="20"/>
                <w:highlight w:val="none"/>
              </w:rPr>
              <w:t>度指标</w:t>
            </w:r>
          </w:p>
        </w:tc>
        <w:tc>
          <w:tcPr>
            <w:tcW w:w="1040" w:type="dxa"/>
            <w:tcBorders>
              <w:top w:val="nil"/>
              <w:left w:val="nil"/>
              <w:bottom w:val="single" w:color="auto" w:sz="4" w:space="0"/>
              <w:right w:val="single" w:color="auto" w:sz="4" w:space="0"/>
            </w:tcBorders>
            <w:noWrap w:val="0"/>
            <w:vAlign w:val="center"/>
          </w:tcPr>
          <w:p w14:paraId="42EF1A69">
            <w:pPr>
              <w:rPr>
                <w:rFonts w:ascii="宋体" w:hAnsi="宋体" w:cs="宋体"/>
                <w:color w:val="auto"/>
                <w:sz w:val="20"/>
                <w:szCs w:val="20"/>
                <w:highlight w:val="none"/>
              </w:rPr>
            </w:pPr>
            <w:r>
              <w:rPr>
                <w:rFonts w:hint="eastAsia"/>
                <w:color w:val="auto"/>
                <w:sz w:val="20"/>
                <w:szCs w:val="20"/>
                <w:highlight w:val="none"/>
              </w:rPr>
              <w:t xml:space="preserve"> </w:t>
            </w:r>
            <w:r>
              <w:rPr>
                <w:rFonts w:hint="eastAsia"/>
                <w:color w:val="auto"/>
                <w:sz w:val="20"/>
                <w:szCs w:val="20"/>
                <w:highlight w:val="none"/>
                <w:lang w:eastAsia="zh-CN"/>
              </w:rPr>
              <w:t>服务对象满意度</w:t>
            </w:r>
          </w:p>
        </w:tc>
        <w:tc>
          <w:tcPr>
            <w:tcW w:w="623" w:type="dxa"/>
            <w:tcBorders>
              <w:top w:val="nil"/>
              <w:left w:val="nil"/>
              <w:bottom w:val="single" w:color="auto" w:sz="4" w:space="0"/>
              <w:right w:val="single" w:color="auto" w:sz="4" w:space="0"/>
            </w:tcBorders>
            <w:noWrap w:val="0"/>
            <w:vAlign w:val="center"/>
          </w:tcPr>
          <w:p w14:paraId="0DE69085">
            <w:pPr>
              <w:rPr>
                <w:rFonts w:ascii="宋体" w:hAnsi="宋体" w:cs="宋体"/>
                <w:color w:val="auto"/>
                <w:sz w:val="20"/>
                <w:szCs w:val="20"/>
                <w:highlight w:val="none"/>
              </w:rPr>
            </w:pPr>
            <w:r>
              <w:rPr>
                <w:rFonts w:hint="eastAsia" w:ascii="宋体" w:hAnsi="宋体" w:eastAsia="宋体" w:cs="宋体"/>
                <w:color w:val="auto"/>
                <w:sz w:val="20"/>
                <w:szCs w:val="20"/>
                <w:highlight w:val="none"/>
              </w:rPr>
              <w:t>≧</w:t>
            </w:r>
            <w:r>
              <w:rPr>
                <w:rFonts w:hint="eastAsia"/>
                <w:color w:val="auto"/>
                <w:sz w:val="20"/>
                <w:szCs w:val="20"/>
                <w:highlight w:val="none"/>
              </w:rPr>
              <w:t>　　</w:t>
            </w:r>
          </w:p>
        </w:tc>
        <w:tc>
          <w:tcPr>
            <w:tcW w:w="641" w:type="dxa"/>
            <w:tcBorders>
              <w:top w:val="nil"/>
              <w:left w:val="nil"/>
              <w:bottom w:val="single" w:color="auto" w:sz="4" w:space="0"/>
              <w:right w:val="single" w:color="auto" w:sz="4" w:space="0"/>
            </w:tcBorders>
            <w:noWrap w:val="0"/>
            <w:vAlign w:val="center"/>
          </w:tcPr>
          <w:p w14:paraId="319674AB">
            <w:pPr>
              <w:rPr>
                <w:rFonts w:ascii="宋体" w:hAnsi="宋体" w:cs="宋体"/>
                <w:color w:val="auto"/>
                <w:sz w:val="20"/>
                <w:szCs w:val="20"/>
                <w:highlight w:val="none"/>
              </w:rPr>
            </w:pPr>
            <w:r>
              <w:rPr>
                <w:rFonts w:hint="eastAsia"/>
                <w:color w:val="auto"/>
                <w:sz w:val="20"/>
                <w:szCs w:val="20"/>
                <w:highlight w:val="none"/>
                <w:lang w:val="en-US" w:eastAsia="zh-CN"/>
              </w:rPr>
              <w:t>95</w:t>
            </w:r>
            <w:r>
              <w:rPr>
                <w:rFonts w:hint="eastAsia"/>
                <w:color w:val="auto"/>
                <w:sz w:val="20"/>
                <w:szCs w:val="20"/>
                <w:highlight w:val="none"/>
              </w:rPr>
              <w:t>　</w:t>
            </w:r>
          </w:p>
        </w:tc>
      </w:tr>
    </w:tbl>
    <w:p w14:paraId="3FD0B7E1">
      <w:pPr>
        <w:adjustRightInd w:val="0"/>
        <w:snapToGrid w:val="0"/>
        <w:spacing w:line="600" w:lineRule="exact"/>
        <w:ind w:firstLine="803" w:firstLineChars="250"/>
        <w:rPr>
          <w:rFonts w:hint="eastAsia" w:ascii="仿宋_GB2312" w:hAnsi="楷体" w:eastAsia="仿宋_GB2312"/>
          <w:b/>
          <w:color w:val="auto"/>
          <w:sz w:val="32"/>
          <w:szCs w:val="32"/>
          <w:highlight w:val="none"/>
        </w:rPr>
      </w:pPr>
    </w:p>
    <w:p w14:paraId="6CF5E94C">
      <w:pPr>
        <w:adjustRightInd w:val="0"/>
        <w:snapToGrid w:val="0"/>
        <w:spacing w:line="600" w:lineRule="exact"/>
        <w:ind w:firstLine="640" w:firstLineChars="200"/>
        <w:rPr>
          <w:rFonts w:ascii="仿宋_GB2312" w:hAnsi="楷体" w:eastAsia="仿宋_GB2312"/>
          <w:color w:val="auto"/>
          <w:sz w:val="32"/>
          <w:szCs w:val="32"/>
          <w:highlight w:val="none"/>
        </w:rPr>
      </w:pPr>
    </w:p>
    <w:p w14:paraId="3580D8DF">
      <w:pPr>
        <w:adjustRightInd w:val="0"/>
        <w:snapToGrid w:val="0"/>
        <w:spacing w:line="600" w:lineRule="exact"/>
        <w:ind w:firstLine="803" w:firstLineChars="250"/>
        <w:rPr>
          <w:rFonts w:ascii="仿宋_GB2312" w:hAnsi="楷体" w:eastAsia="仿宋_GB2312"/>
          <w:b/>
          <w:color w:val="auto"/>
          <w:sz w:val="32"/>
          <w:szCs w:val="32"/>
          <w:highlight w:val="none"/>
        </w:rPr>
      </w:pPr>
      <w:r>
        <w:rPr>
          <w:rFonts w:hint="eastAsia" w:ascii="仿宋_GB2312" w:hAnsi="楷体" w:eastAsia="仿宋_GB2312"/>
          <w:b/>
          <w:color w:val="auto"/>
          <w:sz w:val="32"/>
          <w:szCs w:val="32"/>
          <w:highlight w:val="none"/>
          <w:lang w:val="en-US" w:eastAsia="zh-CN"/>
        </w:rPr>
        <w:t>4</w:t>
      </w:r>
      <w:r>
        <w:rPr>
          <w:rFonts w:hint="eastAsia" w:ascii="仿宋_GB2312" w:hAnsi="楷体" w:eastAsia="仿宋_GB2312"/>
          <w:b/>
          <w:color w:val="auto"/>
          <w:sz w:val="32"/>
          <w:szCs w:val="32"/>
          <w:highlight w:val="none"/>
        </w:rPr>
        <w:t>.“县配免费婚检”项目。</w:t>
      </w:r>
    </w:p>
    <w:p w14:paraId="08A922E9">
      <w:pPr>
        <w:adjustRightInd w:val="0"/>
        <w:snapToGrid w:val="0"/>
        <w:spacing w:line="600" w:lineRule="exact"/>
        <w:ind w:firstLine="640" w:firstLineChars="200"/>
        <w:rPr>
          <w:rFonts w:hint="eastAsia" w:ascii="仿宋_GB2312" w:hAnsi="楷体" w:eastAsia="仿宋_GB2312"/>
          <w:color w:val="auto"/>
          <w:sz w:val="32"/>
          <w:szCs w:val="32"/>
          <w:highlight w:val="none"/>
        </w:rPr>
      </w:pPr>
      <w:r>
        <w:rPr>
          <w:rFonts w:hint="eastAsia" w:ascii="仿宋_GB2312" w:hAnsi="楷体" w:eastAsia="仿宋_GB2312"/>
          <w:color w:val="auto"/>
          <w:sz w:val="32"/>
          <w:szCs w:val="32"/>
          <w:highlight w:val="none"/>
        </w:rPr>
        <w:t>（1）项目概述</w:t>
      </w:r>
      <w:r>
        <w:rPr>
          <w:rFonts w:hint="eastAsia" w:ascii="仿宋_GB2312" w:hAnsi="楷体" w:eastAsia="仿宋_GB2312"/>
          <w:color w:val="auto"/>
          <w:sz w:val="32"/>
          <w:szCs w:val="32"/>
          <w:highlight w:val="none"/>
          <w:lang w:eastAsia="zh-CN"/>
        </w:rPr>
        <w:t>：</w:t>
      </w:r>
      <w:r>
        <w:rPr>
          <w:rFonts w:hint="eastAsia" w:ascii="仿宋_GB2312" w:hAnsi="楷体" w:eastAsia="仿宋_GB2312"/>
          <w:color w:val="auto"/>
          <w:sz w:val="32"/>
          <w:szCs w:val="32"/>
          <w:highlight w:val="none"/>
        </w:rPr>
        <w:t>主要开展婚前医学检查，包括询问病史，体格检查，辅助检查，男女生殖器检查</w:t>
      </w:r>
    </w:p>
    <w:p w14:paraId="3AF4B363">
      <w:pPr>
        <w:adjustRightInd w:val="0"/>
        <w:snapToGrid w:val="0"/>
        <w:spacing w:line="600" w:lineRule="exact"/>
        <w:ind w:firstLine="640" w:firstLineChars="200"/>
        <w:rPr>
          <w:rFonts w:hint="eastAsia" w:ascii="仿宋_GB2312" w:hAnsi="楷体" w:eastAsia="仿宋_GB2312"/>
          <w:color w:val="auto"/>
          <w:sz w:val="32"/>
          <w:szCs w:val="32"/>
          <w:highlight w:val="none"/>
        </w:rPr>
      </w:pPr>
      <w:r>
        <w:rPr>
          <w:rFonts w:hint="eastAsia" w:ascii="仿宋_GB2312" w:hAnsi="楷体" w:eastAsia="仿宋_GB2312"/>
          <w:color w:val="auto"/>
          <w:sz w:val="32"/>
          <w:szCs w:val="32"/>
          <w:highlight w:val="none"/>
        </w:rPr>
        <w:t>（2）立项依据</w:t>
      </w:r>
      <w:r>
        <w:rPr>
          <w:rFonts w:hint="eastAsia" w:ascii="仿宋_GB2312" w:hAnsi="楷体" w:eastAsia="仿宋_GB2312"/>
          <w:color w:val="auto"/>
          <w:sz w:val="32"/>
          <w:szCs w:val="32"/>
          <w:highlight w:val="none"/>
          <w:lang w:eastAsia="zh-CN"/>
        </w:rPr>
        <w:t>：</w:t>
      </w:r>
      <w:r>
        <w:rPr>
          <w:rFonts w:hint="eastAsia" w:ascii="仿宋_GB2312" w:hAnsi="楷体" w:eastAsia="仿宋_GB2312"/>
          <w:color w:val="auto"/>
          <w:sz w:val="32"/>
          <w:szCs w:val="32"/>
          <w:highlight w:val="none"/>
        </w:rPr>
        <w:t>婚检是省级拨付项目资金</w:t>
      </w:r>
    </w:p>
    <w:p w14:paraId="74E932EC">
      <w:pPr>
        <w:adjustRightInd w:val="0"/>
        <w:snapToGrid w:val="0"/>
        <w:spacing w:line="600" w:lineRule="exact"/>
        <w:ind w:firstLine="640" w:firstLineChars="200"/>
        <w:rPr>
          <w:rFonts w:ascii="仿宋_GB2312" w:hAnsi="楷体" w:eastAsia="仿宋_GB2312"/>
          <w:color w:val="auto"/>
          <w:sz w:val="32"/>
          <w:szCs w:val="32"/>
          <w:highlight w:val="none"/>
        </w:rPr>
      </w:pPr>
      <w:r>
        <w:rPr>
          <w:rFonts w:hint="eastAsia" w:ascii="仿宋_GB2312" w:hAnsi="楷体" w:eastAsia="仿宋_GB2312"/>
          <w:color w:val="auto"/>
          <w:sz w:val="32"/>
          <w:szCs w:val="32"/>
          <w:highlight w:val="none"/>
        </w:rPr>
        <w:t>（3）实施主体</w:t>
      </w:r>
      <w:r>
        <w:rPr>
          <w:rFonts w:hint="eastAsia" w:ascii="仿宋_GB2312" w:hAnsi="楷体" w:eastAsia="仿宋_GB2312"/>
          <w:color w:val="auto"/>
          <w:sz w:val="32"/>
          <w:szCs w:val="32"/>
          <w:highlight w:val="none"/>
          <w:lang w:eastAsia="zh-CN"/>
        </w:rPr>
        <w:t>：</w:t>
      </w:r>
      <w:r>
        <w:rPr>
          <w:rFonts w:hint="eastAsia" w:ascii="仿宋_GB2312" w:hAnsi="楷体" w:eastAsia="仿宋_GB2312"/>
          <w:color w:val="auto"/>
          <w:sz w:val="32"/>
          <w:szCs w:val="32"/>
          <w:highlight w:val="none"/>
        </w:rPr>
        <w:t>妇幼计生中心婚前检查科</w:t>
      </w:r>
    </w:p>
    <w:p w14:paraId="0111DEC7">
      <w:pPr>
        <w:adjustRightInd w:val="0"/>
        <w:snapToGrid w:val="0"/>
        <w:spacing w:line="600" w:lineRule="exact"/>
        <w:ind w:firstLine="640" w:firstLineChars="200"/>
        <w:rPr>
          <w:rFonts w:hint="eastAsia" w:ascii="仿宋_GB2312" w:hAnsi="仿宋" w:eastAsia="仿宋_GB2312"/>
          <w:color w:val="auto"/>
          <w:sz w:val="32"/>
          <w:szCs w:val="32"/>
          <w:highlight w:val="none"/>
          <w:lang w:eastAsia="zh-CN"/>
        </w:rPr>
      </w:pPr>
      <w:r>
        <w:rPr>
          <w:rFonts w:hint="eastAsia" w:ascii="仿宋_GB2312" w:hAnsi="楷体" w:eastAsia="仿宋_GB2312"/>
          <w:color w:val="auto"/>
          <w:sz w:val="32"/>
          <w:szCs w:val="32"/>
          <w:highlight w:val="none"/>
        </w:rPr>
        <w:t>（4）起止时间</w:t>
      </w:r>
      <w:r>
        <w:rPr>
          <w:rFonts w:hint="eastAsia" w:ascii="仿宋_GB2312" w:hAnsi="楷体" w:eastAsia="仿宋_GB2312"/>
          <w:color w:val="auto"/>
          <w:sz w:val="32"/>
          <w:szCs w:val="32"/>
          <w:highlight w:val="none"/>
          <w:lang w:eastAsia="zh-CN"/>
        </w:rPr>
        <w:t>：</w:t>
      </w:r>
      <w:r>
        <w:rPr>
          <w:rFonts w:hint="eastAsia" w:ascii="仿宋_GB2312" w:hAnsi="仿宋" w:eastAsia="仿宋_GB2312"/>
          <w:color w:val="auto"/>
          <w:sz w:val="32"/>
          <w:szCs w:val="32"/>
          <w:highlight w:val="none"/>
        </w:rPr>
        <w:t>2023</w:t>
      </w:r>
      <w:r>
        <w:rPr>
          <w:rFonts w:hint="eastAsia" w:ascii="仿宋_GB2312" w:hAnsi="仿宋" w:eastAsia="仿宋_GB2312"/>
          <w:color w:val="auto"/>
          <w:sz w:val="32"/>
          <w:szCs w:val="32"/>
          <w:highlight w:val="none"/>
          <w:lang w:eastAsia="zh-CN"/>
        </w:rPr>
        <w:t>年</w:t>
      </w:r>
      <w:r>
        <w:rPr>
          <w:rFonts w:hint="eastAsia" w:ascii="仿宋_GB2312" w:hAnsi="仿宋" w:eastAsia="仿宋_GB2312"/>
          <w:color w:val="auto"/>
          <w:sz w:val="32"/>
          <w:szCs w:val="32"/>
          <w:highlight w:val="none"/>
        </w:rPr>
        <w:t>1</w:t>
      </w:r>
      <w:r>
        <w:rPr>
          <w:rFonts w:hint="eastAsia" w:ascii="仿宋_GB2312" w:hAnsi="仿宋" w:eastAsia="仿宋_GB2312"/>
          <w:color w:val="auto"/>
          <w:sz w:val="32"/>
          <w:szCs w:val="32"/>
          <w:highlight w:val="none"/>
          <w:lang w:val="en-US" w:eastAsia="zh-CN"/>
        </w:rPr>
        <w:t>-</w:t>
      </w:r>
      <w:r>
        <w:rPr>
          <w:rFonts w:hint="eastAsia" w:ascii="仿宋_GB2312" w:hAnsi="仿宋" w:eastAsia="仿宋_GB2312"/>
          <w:color w:val="auto"/>
          <w:sz w:val="32"/>
          <w:szCs w:val="32"/>
          <w:highlight w:val="none"/>
        </w:rPr>
        <w:t>12</w:t>
      </w:r>
      <w:r>
        <w:rPr>
          <w:rFonts w:hint="eastAsia" w:ascii="仿宋_GB2312" w:hAnsi="仿宋" w:eastAsia="仿宋_GB2312"/>
          <w:color w:val="auto"/>
          <w:sz w:val="32"/>
          <w:szCs w:val="32"/>
          <w:highlight w:val="none"/>
          <w:lang w:eastAsia="zh-CN"/>
        </w:rPr>
        <w:t>月份</w:t>
      </w:r>
    </w:p>
    <w:p w14:paraId="77AF9977">
      <w:pPr>
        <w:adjustRightInd w:val="0"/>
        <w:snapToGrid w:val="0"/>
        <w:spacing w:line="600" w:lineRule="exact"/>
        <w:ind w:firstLine="640" w:firstLineChars="200"/>
        <w:rPr>
          <w:rFonts w:ascii="仿宋_GB2312" w:hAnsi="仿宋" w:eastAsia="仿宋_GB2312"/>
          <w:color w:val="auto"/>
          <w:sz w:val="32"/>
          <w:szCs w:val="32"/>
          <w:highlight w:val="none"/>
        </w:rPr>
      </w:pPr>
      <w:r>
        <w:rPr>
          <w:rFonts w:hint="eastAsia" w:ascii="仿宋_GB2312" w:hAnsi="楷体" w:eastAsia="仿宋_GB2312"/>
          <w:color w:val="auto"/>
          <w:sz w:val="32"/>
          <w:szCs w:val="32"/>
          <w:highlight w:val="none"/>
        </w:rPr>
        <w:t>（5）项目内容</w:t>
      </w:r>
      <w:r>
        <w:rPr>
          <w:rFonts w:hint="eastAsia" w:ascii="仿宋_GB2312" w:hAnsi="楷体" w:eastAsia="仿宋_GB2312"/>
          <w:color w:val="auto"/>
          <w:sz w:val="32"/>
          <w:szCs w:val="32"/>
          <w:highlight w:val="none"/>
          <w:lang w:eastAsia="zh-CN"/>
        </w:rPr>
        <w:t>：</w:t>
      </w:r>
      <w:r>
        <w:rPr>
          <w:rFonts w:hint="eastAsia" w:ascii="仿宋_GB2312" w:hAnsi="楷体" w:eastAsia="仿宋_GB2312"/>
          <w:color w:val="auto"/>
          <w:sz w:val="32"/>
          <w:szCs w:val="32"/>
          <w:highlight w:val="none"/>
        </w:rPr>
        <w:t>主要开展婚前医学检查，包括询问病史，体格检查，辅助检查，男女生殖器检查</w:t>
      </w:r>
    </w:p>
    <w:p w14:paraId="33548AF6">
      <w:pPr>
        <w:adjustRightInd w:val="0"/>
        <w:snapToGrid w:val="0"/>
        <w:spacing w:line="600" w:lineRule="exact"/>
        <w:ind w:firstLine="640" w:firstLineChars="200"/>
        <w:rPr>
          <w:rFonts w:ascii="仿宋_GB2312" w:hAnsi="仿宋" w:eastAsia="仿宋_GB2312"/>
          <w:color w:val="auto"/>
          <w:sz w:val="32"/>
          <w:szCs w:val="32"/>
          <w:highlight w:val="none"/>
        </w:rPr>
      </w:pPr>
      <w:r>
        <w:rPr>
          <w:rFonts w:hint="eastAsia" w:ascii="仿宋_GB2312" w:hAnsi="楷体" w:eastAsia="仿宋_GB2312"/>
          <w:color w:val="auto"/>
          <w:sz w:val="32"/>
          <w:szCs w:val="32"/>
          <w:highlight w:val="none"/>
        </w:rPr>
        <w:t>（6）年度预算安排</w:t>
      </w:r>
      <w:r>
        <w:rPr>
          <w:rFonts w:hint="eastAsia" w:ascii="仿宋_GB2312" w:hAnsi="楷体" w:eastAsia="仿宋_GB2312"/>
          <w:color w:val="auto"/>
          <w:sz w:val="32"/>
          <w:szCs w:val="32"/>
          <w:highlight w:val="none"/>
          <w:lang w:eastAsia="zh-CN"/>
        </w:rPr>
        <w:t>：</w:t>
      </w:r>
      <w:r>
        <w:rPr>
          <w:rFonts w:hint="eastAsia" w:ascii="仿宋_GB2312" w:hAnsi="仿宋" w:eastAsia="仿宋_GB2312"/>
          <w:color w:val="auto"/>
          <w:sz w:val="32"/>
          <w:szCs w:val="32"/>
          <w:highlight w:val="none"/>
        </w:rPr>
        <w:t>45.78万元</w:t>
      </w:r>
    </w:p>
    <w:p w14:paraId="02AFF415">
      <w:pPr>
        <w:adjustRightInd w:val="0"/>
        <w:snapToGrid w:val="0"/>
        <w:spacing w:line="600" w:lineRule="exact"/>
        <w:ind w:firstLine="640" w:firstLineChars="200"/>
        <w:rPr>
          <w:rFonts w:ascii="仿宋_GB2312" w:hAnsi="楷体" w:eastAsia="仿宋_GB2312"/>
          <w:color w:val="auto"/>
          <w:sz w:val="32"/>
          <w:szCs w:val="32"/>
          <w:highlight w:val="none"/>
        </w:rPr>
      </w:pPr>
      <w:r>
        <w:rPr>
          <w:rFonts w:hint="eastAsia" w:ascii="仿宋_GB2312" w:hAnsi="楷体" w:eastAsia="仿宋_GB2312"/>
          <w:color w:val="auto"/>
          <w:sz w:val="32"/>
          <w:szCs w:val="32"/>
          <w:highlight w:val="none"/>
        </w:rPr>
        <w:t>（7）绩效目标。</w:t>
      </w:r>
    </w:p>
    <w:tbl>
      <w:tblPr>
        <w:tblStyle w:val="3"/>
        <w:tblW w:w="9020" w:type="dxa"/>
        <w:tblInd w:w="93" w:type="dxa"/>
        <w:tblLayout w:type="fixed"/>
        <w:tblCellMar>
          <w:top w:w="0" w:type="dxa"/>
          <w:left w:w="108" w:type="dxa"/>
          <w:bottom w:w="0" w:type="dxa"/>
          <w:right w:w="108" w:type="dxa"/>
        </w:tblCellMar>
      </w:tblPr>
      <w:tblGrid>
        <w:gridCol w:w="416"/>
        <w:gridCol w:w="820"/>
        <w:gridCol w:w="940"/>
        <w:gridCol w:w="2000"/>
        <w:gridCol w:w="860"/>
        <w:gridCol w:w="791"/>
        <w:gridCol w:w="889"/>
        <w:gridCol w:w="1040"/>
        <w:gridCol w:w="623"/>
        <w:gridCol w:w="641"/>
      </w:tblGrid>
      <w:tr w14:paraId="32FF6E51">
        <w:tblPrEx>
          <w:tblCellMar>
            <w:top w:w="0" w:type="dxa"/>
            <w:left w:w="108" w:type="dxa"/>
            <w:bottom w:w="0" w:type="dxa"/>
            <w:right w:w="108" w:type="dxa"/>
          </w:tblCellMar>
        </w:tblPrEx>
        <w:trPr>
          <w:trHeight w:val="360" w:hRule="atLeast"/>
        </w:trPr>
        <w:tc>
          <w:tcPr>
            <w:tcW w:w="9020" w:type="dxa"/>
            <w:gridSpan w:val="10"/>
            <w:tcBorders>
              <w:top w:val="nil"/>
              <w:left w:val="nil"/>
              <w:bottom w:val="nil"/>
              <w:right w:val="nil"/>
            </w:tcBorders>
            <w:noWrap w:val="0"/>
            <w:vAlign w:val="center"/>
          </w:tcPr>
          <w:p w14:paraId="1DB5DE6B">
            <w:pPr>
              <w:rPr>
                <w:b/>
                <w:bCs/>
                <w:color w:val="auto"/>
                <w:sz w:val="32"/>
                <w:szCs w:val="32"/>
                <w:highlight w:val="none"/>
              </w:rPr>
            </w:pPr>
          </w:p>
          <w:p w14:paraId="63272F9F">
            <w:pPr>
              <w:jc w:val="center"/>
              <w:rPr>
                <w:rFonts w:ascii="宋体" w:hAnsi="宋体" w:cs="宋体"/>
                <w:b/>
                <w:bCs/>
                <w:color w:val="auto"/>
                <w:sz w:val="32"/>
                <w:szCs w:val="32"/>
                <w:highlight w:val="none"/>
              </w:rPr>
            </w:pPr>
            <w:r>
              <w:rPr>
                <w:rFonts w:hint="eastAsia"/>
                <w:b/>
                <w:bCs/>
                <w:color w:val="auto"/>
                <w:sz w:val="32"/>
                <w:szCs w:val="32"/>
                <w:highlight w:val="none"/>
              </w:rPr>
              <w:t>项目支出绩效目标表</w:t>
            </w:r>
          </w:p>
        </w:tc>
      </w:tr>
      <w:tr w14:paraId="4BA315A2">
        <w:tblPrEx>
          <w:tblCellMar>
            <w:top w:w="0" w:type="dxa"/>
            <w:left w:w="108" w:type="dxa"/>
            <w:bottom w:w="0" w:type="dxa"/>
            <w:right w:w="108" w:type="dxa"/>
          </w:tblCellMar>
        </w:tblPrEx>
        <w:trPr>
          <w:trHeight w:val="270" w:hRule="atLeast"/>
        </w:trPr>
        <w:tc>
          <w:tcPr>
            <w:tcW w:w="9020" w:type="dxa"/>
            <w:gridSpan w:val="10"/>
            <w:tcBorders>
              <w:top w:val="nil"/>
              <w:left w:val="nil"/>
              <w:bottom w:val="nil"/>
              <w:right w:val="nil"/>
            </w:tcBorders>
            <w:noWrap w:val="0"/>
            <w:vAlign w:val="center"/>
          </w:tcPr>
          <w:p w14:paraId="0DDE728E">
            <w:pPr>
              <w:jc w:val="center"/>
              <w:rPr>
                <w:rFonts w:ascii="宋体" w:hAnsi="宋体" w:cs="宋体"/>
                <w:color w:val="auto"/>
                <w:sz w:val="20"/>
                <w:szCs w:val="20"/>
                <w:highlight w:val="none"/>
              </w:rPr>
            </w:pPr>
            <w:r>
              <w:rPr>
                <w:rFonts w:hint="eastAsia"/>
                <w:color w:val="auto"/>
                <w:sz w:val="20"/>
                <w:szCs w:val="20"/>
                <w:highlight w:val="none"/>
              </w:rPr>
              <w:t>（2023年度）</w:t>
            </w:r>
          </w:p>
        </w:tc>
      </w:tr>
      <w:tr w14:paraId="7F074686">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noWrap w:val="0"/>
            <w:vAlign w:val="center"/>
          </w:tcPr>
          <w:p w14:paraId="6CA9ECB3">
            <w:pPr>
              <w:jc w:val="center"/>
              <w:rPr>
                <w:rFonts w:ascii="宋体" w:hAnsi="宋体" w:cs="宋体"/>
                <w:color w:val="auto"/>
                <w:sz w:val="20"/>
                <w:szCs w:val="20"/>
                <w:highlight w:val="none"/>
              </w:rPr>
            </w:pPr>
            <w:r>
              <w:rPr>
                <w:rFonts w:hint="eastAsia"/>
                <w:color w:val="auto"/>
                <w:sz w:val="20"/>
                <w:szCs w:val="20"/>
                <w:highlight w:val="none"/>
              </w:rPr>
              <w:t>项目名称</w:t>
            </w:r>
          </w:p>
        </w:tc>
        <w:tc>
          <w:tcPr>
            <w:tcW w:w="7784" w:type="dxa"/>
            <w:gridSpan w:val="8"/>
            <w:tcBorders>
              <w:top w:val="single" w:color="auto" w:sz="4" w:space="0"/>
              <w:left w:val="nil"/>
              <w:bottom w:val="single" w:color="auto" w:sz="4" w:space="0"/>
              <w:right w:val="single" w:color="000000" w:sz="4" w:space="0"/>
            </w:tcBorders>
            <w:noWrap w:val="0"/>
            <w:vAlign w:val="center"/>
          </w:tcPr>
          <w:p w14:paraId="15B9CBE5">
            <w:pPr>
              <w:jc w:val="center"/>
              <w:rPr>
                <w:rFonts w:ascii="宋体" w:hAnsi="宋体" w:cs="宋体"/>
                <w:color w:val="auto"/>
                <w:sz w:val="20"/>
                <w:szCs w:val="20"/>
                <w:highlight w:val="none"/>
              </w:rPr>
            </w:pPr>
            <w:r>
              <w:rPr>
                <w:rFonts w:hint="eastAsia"/>
                <w:color w:val="auto"/>
                <w:sz w:val="20"/>
                <w:szCs w:val="20"/>
                <w:highlight w:val="none"/>
              </w:rPr>
              <w:t>县配免费婚检</w:t>
            </w:r>
          </w:p>
        </w:tc>
      </w:tr>
      <w:tr w14:paraId="3A6192C1">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noWrap w:val="0"/>
            <w:vAlign w:val="center"/>
          </w:tcPr>
          <w:p w14:paraId="170B6F84">
            <w:pPr>
              <w:jc w:val="center"/>
              <w:rPr>
                <w:rFonts w:ascii="宋体" w:hAnsi="宋体" w:cs="宋体"/>
                <w:color w:val="auto"/>
                <w:sz w:val="20"/>
                <w:szCs w:val="20"/>
                <w:highlight w:val="none"/>
              </w:rPr>
            </w:pPr>
            <w:r>
              <w:rPr>
                <w:rFonts w:hint="eastAsia"/>
                <w:color w:val="auto"/>
                <w:sz w:val="20"/>
                <w:szCs w:val="20"/>
                <w:highlight w:val="none"/>
              </w:rPr>
              <w:t>实施单位</w:t>
            </w:r>
          </w:p>
        </w:tc>
        <w:tc>
          <w:tcPr>
            <w:tcW w:w="7784" w:type="dxa"/>
            <w:gridSpan w:val="8"/>
            <w:tcBorders>
              <w:top w:val="single" w:color="auto" w:sz="4" w:space="0"/>
              <w:left w:val="nil"/>
              <w:bottom w:val="single" w:color="auto" w:sz="4" w:space="0"/>
              <w:right w:val="single" w:color="auto" w:sz="4" w:space="0"/>
            </w:tcBorders>
            <w:noWrap w:val="0"/>
            <w:vAlign w:val="center"/>
          </w:tcPr>
          <w:p w14:paraId="582A41D8">
            <w:pPr>
              <w:jc w:val="center"/>
              <w:rPr>
                <w:rFonts w:ascii="宋体" w:hAnsi="宋体" w:cs="宋体"/>
                <w:color w:val="auto"/>
                <w:sz w:val="20"/>
                <w:szCs w:val="20"/>
                <w:highlight w:val="none"/>
              </w:rPr>
            </w:pPr>
            <w:r>
              <w:rPr>
                <w:rFonts w:hint="eastAsia"/>
                <w:color w:val="auto"/>
                <w:sz w:val="20"/>
                <w:szCs w:val="20"/>
                <w:highlight w:val="none"/>
              </w:rPr>
              <w:t>婚前检查科</w:t>
            </w:r>
          </w:p>
        </w:tc>
      </w:tr>
      <w:tr w14:paraId="2941BF1C">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noWrap w:val="0"/>
            <w:vAlign w:val="center"/>
          </w:tcPr>
          <w:p w14:paraId="3E3527FE">
            <w:pPr>
              <w:jc w:val="center"/>
              <w:rPr>
                <w:rFonts w:ascii="宋体" w:hAnsi="宋体" w:cs="宋体"/>
                <w:color w:val="auto"/>
                <w:sz w:val="20"/>
                <w:szCs w:val="20"/>
                <w:highlight w:val="none"/>
              </w:rPr>
            </w:pPr>
            <w:r>
              <w:rPr>
                <w:rFonts w:hint="eastAsia"/>
                <w:color w:val="auto"/>
                <w:sz w:val="20"/>
                <w:szCs w:val="20"/>
                <w:highlight w:val="none"/>
              </w:rPr>
              <w:t>项目属性</w:t>
            </w:r>
          </w:p>
        </w:tc>
        <w:tc>
          <w:tcPr>
            <w:tcW w:w="7784" w:type="dxa"/>
            <w:gridSpan w:val="8"/>
            <w:tcBorders>
              <w:top w:val="single" w:color="auto" w:sz="4" w:space="0"/>
              <w:left w:val="nil"/>
              <w:bottom w:val="single" w:color="auto" w:sz="4" w:space="0"/>
              <w:right w:val="single" w:color="auto" w:sz="4" w:space="0"/>
            </w:tcBorders>
            <w:noWrap w:val="0"/>
            <w:vAlign w:val="center"/>
          </w:tcPr>
          <w:p w14:paraId="47A9CC93">
            <w:pPr>
              <w:jc w:val="center"/>
              <w:rPr>
                <w:rFonts w:hint="eastAsia" w:ascii="宋体" w:hAnsi="宋体" w:cs="宋体" w:eastAsiaTheme="minorEastAsia"/>
                <w:color w:val="auto"/>
                <w:sz w:val="20"/>
                <w:szCs w:val="20"/>
                <w:highlight w:val="none"/>
                <w:lang w:eastAsia="zh-CN"/>
              </w:rPr>
            </w:pPr>
            <w:r>
              <w:rPr>
                <w:color w:val="auto"/>
                <w:sz w:val="20"/>
                <w:szCs w:val="20"/>
                <w:highlight w:val="none"/>
              </w:rPr>
              <w:t>经常性项目　</w:t>
            </w:r>
          </w:p>
        </w:tc>
      </w:tr>
      <w:tr w14:paraId="73845B29">
        <w:tblPrEx>
          <w:tblCellMar>
            <w:top w:w="0" w:type="dxa"/>
            <w:left w:w="108" w:type="dxa"/>
            <w:bottom w:w="0" w:type="dxa"/>
            <w:right w:w="108" w:type="dxa"/>
          </w:tblCellMar>
        </w:tblPrEx>
        <w:trPr>
          <w:trHeight w:val="330" w:hRule="atLeast"/>
        </w:trPr>
        <w:tc>
          <w:tcPr>
            <w:tcW w:w="2176" w:type="dxa"/>
            <w:gridSpan w:val="3"/>
            <w:vMerge w:val="restart"/>
            <w:tcBorders>
              <w:top w:val="single" w:color="auto" w:sz="4" w:space="0"/>
              <w:left w:val="single" w:color="auto" w:sz="4" w:space="0"/>
              <w:bottom w:val="single" w:color="000000" w:sz="4" w:space="0"/>
              <w:right w:val="single" w:color="000000" w:sz="4" w:space="0"/>
            </w:tcBorders>
            <w:noWrap w:val="0"/>
            <w:vAlign w:val="center"/>
          </w:tcPr>
          <w:p w14:paraId="1C1D5DED">
            <w:pPr>
              <w:jc w:val="center"/>
              <w:rPr>
                <w:rFonts w:ascii="宋体" w:hAnsi="宋体" w:cs="宋体"/>
                <w:color w:val="auto"/>
                <w:sz w:val="20"/>
                <w:szCs w:val="20"/>
                <w:highlight w:val="none"/>
              </w:rPr>
            </w:pPr>
            <w:r>
              <w:rPr>
                <w:rFonts w:hint="eastAsia"/>
                <w:color w:val="auto"/>
                <w:sz w:val="20"/>
                <w:szCs w:val="20"/>
                <w:highlight w:val="none"/>
              </w:rPr>
              <w:t>项目资金</w:t>
            </w:r>
            <w:r>
              <w:rPr>
                <w:rFonts w:hint="eastAsia"/>
                <w:color w:val="auto"/>
                <w:sz w:val="20"/>
                <w:szCs w:val="20"/>
                <w:highlight w:val="none"/>
              </w:rPr>
              <w:br w:type="textWrapping"/>
            </w:r>
            <w:r>
              <w:rPr>
                <w:rFonts w:hint="eastAsia"/>
                <w:color w:val="auto"/>
                <w:sz w:val="20"/>
                <w:szCs w:val="20"/>
                <w:highlight w:val="none"/>
              </w:rPr>
              <w:t>（万元）</w:t>
            </w:r>
          </w:p>
        </w:tc>
        <w:tc>
          <w:tcPr>
            <w:tcW w:w="2000" w:type="dxa"/>
            <w:tcBorders>
              <w:top w:val="nil"/>
              <w:left w:val="nil"/>
              <w:bottom w:val="single" w:color="auto" w:sz="4" w:space="0"/>
              <w:right w:val="single" w:color="auto" w:sz="4" w:space="0"/>
            </w:tcBorders>
            <w:noWrap w:val="0"/>
            <w:vAlign w:val="center"/>
          </w:tcPr>
          <w:p w14:paraId="4B00A50B">
            <w:pPr>
              <w:rPr>
                <w:rFonts w:ascii="宋体" w:hAnsi="宋体" w:cs="宋体"/>
                <w:color w:val="auto"/>
                <w:sz w:val="20"/>
                <w:szCs w:val="20"/>
                <w:highlight w:val="none"/>
              </w:rPr>
            </w:pPr>
            <w:r>
              <w:rPr>
                <w:rFonts w:hint="eastAsia"/>
                <w:color w:val="auto"/>
                <w:sz w:val="20"/>
                <w:szCs w:val="20"/>
                <w:highlight w:val="none"/>
              </w:rPr>
              <w:t xml:space="preserve"> 中期资金总额：</w:t>
            </w:r>
          </w:p>
        </w:tc>
        <w:tc>
          <w:tcPr>
            <w:tcW w:w="1651" w:type="dxa"/>
            <w:gridSpan w:val="2"/>
            <w:tcBorders>
              <w:top w:val="single" w:color="auto" w:sz="4" w:space="0"/>
              <w:left w:val="nil"/>
              <w:bottom w:val="single" w:color="auto" w:sz="4" w:space="0"/>
              <w:right w:val="single" w:color="auto" w:sz="4" w:space="0"/>
            </w:tcBorders>
            <w:noWrap w:val="0"/>
            <w:vAlign w:val="center"/>
          </w:tcPr>
          <w:p w14:paraId="1FD6B77D">
            <w:pPr>
              <w:jc w:val="center"/>
              <w:rPr>
                <w:rFonts w:ascii="宋体" w:hAnsi="宋体" w:cs="宋体"/>
                <w:color w:val="auto"/>
                <w:sz w:val="20"/>
                <w:szCs w:val="20"/>
                <w:highlight w:val="none"/>
              </w:rPr>
            </w:pPr>
            <w:r>
              <w:rPr>
                <w:rFonts w:hint="eastAsia"/>
                <w:color w:val="auto"/>
                <w:sz w:val="20"/>
                <w:szCs w:val="20"/>
                <w:highlight w:val="none"/>
              </w:rPr>
              <w:t>45.78</w:t>
            </w:r>
          </w:p>
        </w:tc>
        <w:tc>
          <w:tcPr>
            <w:tcW w:w="1929" w:type="dxa"/>
            <w:gridSpan w:val="2"/>
            <w:tcBorders>
              <w:top w:val="single" w:color="auto" w:sz="4" w:space="0"/>
              <w:left w:val="nil"/>
              <w:bottom w:val="single" w:color="auto" w:sz="4" w:space="0"/>
              <w:right w:val="single" w:color="auto" w:sz="4" w:space="0"/>
            </w:tcBorders>
            <w:noWrap w:val="0"/>
            <w:vAlign w:val="center"/>
          </w:tcPr>
          <w:p w14:paraId="159C26B1">
            <w:pPr>
              <w:rPr>
                <w:rFonts w:ascii="宋体" w:hAnsi="宋体" w:cs="宋体"/>
                <w:color w:val="auto"/>
                <w:sz w:val="20"/>
                <w:szCs w:val="20"/>
                <w:highlight w:val="none"/>
              </w:rPr>
            </w:pPr>
            <w:r>
              <w:rPr>
                <w:rFonts w:hint="eastAsia"/>
                <w:color w:val="auto"/>
                <w:sz w:val="20"/>
                <w:szCs w:val="20"/>
                <w:highlight w:val="none"/>
              </w:rPr>
              <w:t xml:space="preserve"> 年度资金总额：</w:t>
            </w:r>
          </w:p>
        </w:tc>
        <w:tc>
          <w:tcPr>
            <w:tcW w:w="1264" w:type="dxa"/>
            <w:gridSpan w:val="2"/>
            <w:tcBorders>
              <w:top w:val="single" w:color="auto" w:sz="4" w:space="0"/>
              <w:left w:val="nil"/>
              <w:bottom w:val="single" w:color="auto" w:sz="4" w:space="0"/>
              <w:right w:val="single" w:color="000000" w:sz="4" w:space="0"/>
            </w:tcBorders>
            <w:noWrap w:val="0"/>
            <w:vAlign w:val="center"/>
          </w:tcPr>
          <w:p w14:paraId="70E16CAE">
            <w:pPr>
              <w:jc w:val="center"/>
              <w:rPr>
                <w:rFonts w:ascii="宋体" w:hAnsi="宋体" w:cs="宋体"/>
                <w:color w:val="auto"/>
                <w:sz w:val="20"/>
                <w:szCs w:val="20"/>
                <w:highlight w:val="none"/>
              </w:rPr>
            </w:pPr>
            <w:r>
              <w:rPr>
                <w:rFonts w:hint="eastAsia"/>
                <w:color w:val="auto"/>
                <w:sz w:val="20"/>
                <w:szCs w:val="20"/>
                <w:highlight w:val="none"/>
              </w:rPr>
              <w:t>　45.78</w:t>
            </w:r>
          </w:p>
        </w:tc>
      </w:tr>
      <w:tr w14:paraId="3E327B4E">
        <w:tblPrEx>
          <w:tblCellMar>
            <w:top w:w="0" w:type="dxa"/>
            <w:left w:w="108" w:type="dxa"/>
            <w:bottom w:w="0" w:type="dxa"/>
            <w:right w:w="108" w:type="dxa"/>
          </w:tblCellMar>
        </w:tblPrEx>
        <w:trPr>
          <w:trHeight w:val="330" w:hRule="atLeast"/>
        </w:trPr>
        <w:tc>
          <w:tcPr>
            <w:tcW w:w="2176"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14:paraId="238FE511">
            <w:pPr>
              <w:rPr>
                <w:rFonts w:ascii="宋体" w:hAnsi="宋体" w:cs="宋体"/>
                <w:color w:val="auto"/>
                <w:sz w:val="20"/>
                <w:szCs w:val="20"/>
                <w:highlight w:val="none"/>
              </w:rPr>
            </w:pPr>
          </w:p>
        </w:tc>
        <w:tc>
          <w:tcPr>
            <w:tcW w:w="2000" w:type="dxa"/>
            <w:tcBorders>
              <w:top w:val="nil"/>
              <w:left w:val="nil"/>
              <w:bottom w:val="single" w:color="auto" w:sz="4" w:space="0"/>
              <w:right w:val="single" w:color="auto" w:sz="4" w:space="0"/>
            </w:tcBorders>
            <w:noWrap w:val="0"/>
            <w:vAlign w:val="center"/>
          </w:tcPr>
          <w:p w14:paraId="15FD0FBF">
            <w:pPr>
              <w:rPr>
                <w:rFonts w:ascii="宋体" w:hAnsi="宋体" w:cs="宋体"/>
                <w:color w:val="auto"/>
                <w:sz w:val="20"/>
                <w:szCs w:val="20"/>
                <w:highlight w:val="none"/>
              </w:rPr>
            </w:pPr>
            <w:r>
              <w:rPr>
                <w:rFonts w:hint="eastAsia"/>
                <w:color w:val="auto"/>
                <w:sz w:val="20"/>
                <w:szCs w:val="20"/>
                <w:highlight w:val="none"/>
              </w:rPr>
              <w:t xml:space="preserve">   其中：财政拨款</w:t>
            </w:r>
          </w:p>
        </w:tc>
        <w:tc>
          <w:tcPr>
            <w:tcW w:w="1651" w:type="dxa"/>
            <w:gridSpan w:val="2"/>
            <w:tcBorders>
              <w:top w:val="single" w:color="auto" w:sz="4" w:space="0"/>
              <w:left w:val="nil"/>
              <w:bottom w:val="single" w:color="auto" w:sz="4" w:space="0"/>
              <w:right w:val="single" w:color="auto" w:sz="4" w:space="0"/>
            </w:tcBorders>
            <w:noWrap w:val="0"/>
            <w:vAlign w:val="center"/>
          </w:tcPr>
          <w:p w14:paraId="338FD58B">
            <w:pPr>
              <w:jc w:val="center"/>
              <w:rPr>
                <w:rFonts w:ascii="宋体" w:hAnsi="宋体" w:cs="宋体"/>
                <w:color w:val="auto"/>
                <w:sz w:val="20"/>
                <w:szCs w:val="20"/>
                <w:highlight w:val="none"/>
              </w:rPr>
            </w:pPr>
            <w:r>
              <w:rPr>
                <w:rFonts w:hint="eastAsia"/>
                <w:color w:val="auto"/>
                <w:sz w:val="20"/>
                <w:szCs w:val="20"/>
                <w:highlight w:val="none"/>
              </w:rPr>
              <w:t>45.78</w:t>
            </w:r>
          </w:p>
        </w:tc>
        <w:tc>
          <w:tcPr>
            <w:tcW w:w="1929" w:type="dxa"/>
            <w:gridSpan w:val="2"/>
            <w:tcBorders>
              <w:top w:val="single" w:color="auto" w:sz="4" w:space="0"/>
              <w:left w:val="nil"/>
              <w:bottom w:val="single" w:color="auto" w:sz="4" w:space="0"/>
              <w:right w:val="single" w:color="auto" w:sz="4" w:space="0"/>
            </w:tcBorders>
            <w:noWrap w:val="0"/>
            <w:vAlign w:val="center"/>
          </w:tcPr>
          <w:p w14:paraId="701EB7E3">
            <w:pPr>
              <w:rPr>
                <w:rFonts w:ascii="宋体" w:hAnsi="宋体" w:cs="宋体"/>
                <w:color w:val="auto"/>
                <w:sz w:val="20"/>
                <w:szCs w:val="20"/>
                <w:highlight w:val="none"/>
              </w:rPr>
            </w:pPr>
            <w:r>
              <w:rPr>
                <w:rFonts w:hint="eastAsia"/>
                <w:color w:val="auto"/>
                <w:sz w:val="20"/>
                <w:szCs w:val="20"/>
                <w:highlight w:val="none"/>
              </w:rPr>
              <w:t xml:space="preserve">   其中：财政拨款</w:t>
            </w:r>
          </w:p>
        </w:tc>
        <w:tc>
          <w:tcPr>
            <w:tcW w:w="1264" w:type="dxa"/>
            <w:gridSpan w:val="2"/>
            <w:tcBorders>
              <w:top w:val="single" w:color="auto" w:sz="4" w:space="0"/>
              <w:left w:val="nil"/>
              <w:bottom w:val="single" w:color="auto" w:sz="4" w:space="0"/>
              <w:right w:val="single" w:color="000000" w:sz="4" w:space="0"/>
            </w:tcBorders>
            <w:noWrap w:val="0"/>
            <w:vAlign w:val="center"/>
          </w:tcPr>
          <w:p w14:paraId="0CECB1F1">
            <w:pPr>
              <w:jc w:val="center"/>
              <w:rPr>
                <w:rFonts w:ascii="宋体" w:hAnsi="宋体" w:cs="宋体"/>
                <w:color w:val="auto"/>
                <w:sz w:val="20"/>
                <w:szCs w:val="20"/>
                <w:highlight w:val="none"/>
              </w:rPr>
            </w:pPr>
            <w:r>
              <w:rPr>
                <w:rFonts w:hint="eastAsia"/>
                <w:color w:val="auto"/>
                <w:sz w:val="20"/>
                <w:szCs w:val="20"/>
                <w:highlight w:val="none"/>
              </w:rPr>
              <w:t>45.78</w:t>
            </w:r>
          </w:p>
        </w:tc>
      </w:tr>
      <w:tr w14:paraId="65A14B36">
        <w:tblPrEx>
          <w:tblCellMar>
            <w:top w:w="0" w:type="dxa"/>
            <w:left w:w="108" w:type="dxa"/>
            <w:bottom w:w="0" w:type="dxa"/>
            <w:right w:w="108" w:type="dxa"/>
          </w:tblCellMar>
        </w:tblPrEx>
        <w:trPr>
          <w:trHeight w:val="330" w:hRule="atLeast"/>
        </w:trPr>
        <w:tc>
          <w:tcPr>
            <w:tcW w:w="2176"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14:paraId="696355C6">
            <w:pPr>
              <w:rPr>
                <w:rFonts w:ascii="宋体" w:hAnsi="宋体" w:cs="宋体"/>
                <w:color w:val="auto"/>
                <w:sz w:val="20"/>
                <w:szCs w:val="20"/>
                <w:highlight w:val="none"/>
              </w:rPr>
            </w:pPr>
          </w:p>
        </w:tc>
        <w:tc>
          <w:tcPr>
            <w:tcW w:w="2000" w:type="dxa"/>
            <w:tcBorders>
              <w:top w:val="nil"/>
              <w:left w:val="nil"/>
              <w:bottom w:val="single" w:color="auto" w:sz="4" w:space="0"/>
              <w:right w:val="single" w:color="auto" w:sz="4" w:space="0"/>
            </w:tcBorders>
            <w:noWrap w:val="0"/>
            <w:vAlign w:val="center"/>
          </w:tcPr>
          <w:p w14:paraId="39E36717">
            <w:pPr>
              <w:rPr>
                <w:rFonts w:ascii="宋体" w:hAnsi="宋体" w:cs="宋体"/>
                <w:color w:val="auto"/>
                <w:sz w:val="20"/>
                <w:szCs w:val="20"/>
                <w:highlight w:val="none"/>
              </w:rPr>
            </w:pPr>
            <w:r>
              <w:rPr>
                <w:rFonts w:hint="eastAsia"/>
                <w:color w:val="auto"/>
                <w:sz w:val="20"/>
                <w:szCs w:val="20"/>
                <w:highlight w:val="none"/>
              </w:rPr>
              <w:t xml:space="preserve">        其他资金</w:t>
            </w:r>
          </w:p>
        </w:tc>
        <w:tc>
          <w:tcPr>
            <w:tcW w:w="1651" w:type="dxa"/>
            <w:gridSpan w:val="2"/>
            <w:tcBorders>
              <w:top w:val="single" w:color="auto" w:sz="4" w:space="0"/>
              <w:left w:val="nil"/>
              <w:bottom w:val="single" w:color="auto" w:sz="4" w:space="0"/>
              <w:right w:val="single" w:color="000000" w:sz="4" w:space="0"/>
            </w:tcBorders>
            <w:noWrap w:val="0"/>
            <w:vAlign w:val="center"/>
          </w:tcPr>
          <w:p w14:paraId="063BA8FB">
            <w:pPr>
              <w:jc w:val="center"/>
              <w:rPr>
                <w:rFonts w:ascii="宋体" w:hAnsi="宋体" w:cs="宋体"/>
                <w:color w:val="auto"/>
                <w:sz w:val="20"/>
                <w:szCs w:val="20"/>
                <w:highlight w:val="none"/>
              </w:rPr>
            </w:pPr>
            <w:r>
              <w:rPr>
                <w:rFonts w:hint="eastAsia"/>
                <w:color w:val="auto"/>
                <w:sz w:val="20"/>
                <w:szCs w:val="20"/>
                <w:highlight w:val="none"/>
              </w:rPr>
              <w:t>　</w:t>
            </w:r>
          </w:p>
        </w:tc>
        <w:tc>
          <w:tcPr>
            <w:tcW w:w="1929" w:type="dxa"/>
            <w:gridSpan w:val="2"/>
            <w:tcBorders>
              <w:top w:val="single" w:color="auto" w:sz="4" w:space="0"/>
              <w:left w:val="nil"/>
              <w:bottom w:val="single" w:color="auto" w:sz="4" w:space="0"/>
              <w:right w:val="single" w:color="auto" w:sz="4" w:space="0"/>
            </w:tcBorders>
            <w:noWrap w:val="0"/>
            <w:vAlign w:val="center"/>
          </w:tcPr>
          <w:p w14:paraId="3FFAB176">
            <w:pPr>
              <w:rPr>
                <w:rFonts w:ascii="宋体" w:hAnsi="宋体" w:cs="宋体"/>
                <w:color w:val="auto"/>
                <w:sz w:val="20"/>
                <w:szCs w:val="20"/>
                <w:highlight w:val="none"/>
              </w:rPr>
            </w:pPr>
            <w:r>
              <w:rPr>
                <w:rFonts w:hint="eastAsia"/>
                <w:color w:val="auto"/>
                <w:sz w:val="20"/>
                <w:szCs w:val="20"/>
                <w:highlight w:val="none"/>
              </w:rPr>
              <w:t xml:space="preserve">         其他资金</w:t>
            </w:r>
          </w:p>
        </w:tc>
        <w:tc>
          <w:tcPr>
            <w:tcW w:w="1264" w:type="dxa"/>
            <w:gridSpan w:val="2"/>
            <w:tcBorders>
              <w:top w:val="single" w:color="auto" w:sz="4" w:space="0"/>
              <w:left w:val="nil"/>
              <w:bottom w:val="single" w:color="auto" w:sz="4" w:space="0"/>
              <w:right w:val="single" w:color="000000" w:sz="4" w:space="0"/>
            </w:tcBorders>
            <w:noWrap w:val="0"/>
            <w:vAlign w:val="center"/>
          </w:tcPr>
          <w:p w14:paraId="701083E2">
            <w:pPr>
              <w:jc w:val="center"/>
              <w:rPr>
                <w:rFonts w:ascii="宋体" w:hAnsi="宋体" w:cs="宋体"/>
                <w:color w:val="auto"/>
                <w:sz w:val="20"/>
                <w:szCs w:val="20"/>
                <w:highlight w:val="none"/>
              </w:rPr>
            </w:pPr>
            <w:r>
              <w:rPr>
                <w:rFonts w:hint="eastAsia"/>
                <w:color w:val="auto"/>
                <w:sz w:val="20"/>
                <w:szCs w:val="20"/>
                <w:highlight w:val="none"/>
              </w:rPr>
              <w:t>　</w:t>
            </w:r>
          </w:p>
        </w:tc>
      </w:tr>
      <w:tr w14:paraId="7C4C2B79">
        <w:tblPrEx>
          <w:tblCellMar>
            <w:top w:w="0" w:type="dxa"/>
            <w:left w:w="108" w:type="dxa"/>
            <w:bottom w:w="0" w:type="dxa"/>
            <w:right w:w="108" w:type="dxa"/>
          </w:tblCellMar>
        </w:tblPrEx>
        <w:trPr>
          <w:trHeight w:val="330" w:hRule="atLeast"/>
        </w:trPr>
        <w:tc>
          <w:tcPr>
            <w:tcW w:w="416" w:type="dxa"/>
            <w:vMerge w:val="restart"/>
            <w:tcBorders>
              <w:top w:val="nil"/>
              <w:left w:val="single" w:color="auto" w:sz="4" w:space="0"/>
              <w:bottom w:val="single" w:color="auto" w:sz="4" w:space="0"/>
              <w:right w:val="single" w:color="auto" w:sz="4" w:space="0"/>
            </w:tcBorders>
            <w:noWrap w:val="0"/>
            <w:vAlign w:val="center"/>
          </w:tcPr>
          <w:p w14:paraId="59969398">
            <w:pPr>
              <w:jc w:val="center"/>
              <w:rPr>
                <w:rFonts w:ascii="宋体" w:hAnsi="宋体" w:cs="宋体"/>
                <w:color w:val="auto"/>
                <w:sz w:val="20"/>
                <w:szCs w:val="20"/>
                <w:highlight w:val="none"/>
              </w:rPr>
            </w:pPr>
            <w:r>
              <w:rPr>
                <w:rFonts w:hint="eastAsia"/>
                <w:color w:val="auto"/>
                <w:sz w:val="20"/>
                <w:szCs w:val="20"/>
                <w:highlight w:val="none"/>
              </w:rPr>
              <w:t>总</w:t>
            </w:r>
            <w:r>
              <w:rPr>
                <w:rFonts w:hint="eastAsia"/>
                <w:color w:val="auto"/>
                <w:sz w:val="20"/>
                <w:szCs w:val="20"/>
                <w:highlight w:val="none"/>
              </w:rPr>
              <w:br w:type="textWrapping"/>
            </w:r>
            <w:r>
              <w:rPr>
                <w:rFonts w:hint="eastAsia"/>
                <w:color w:val="auto"/>
                <w:sz w:val="20"/>
                <w:szCs w:val="20"/>
                <w:highlight w:val="none"/>
              </w:rPr>
              <w:t>体</w:t>
            </w:r>
            <w:r>
              <w:rPr>
                <w:rFonts w:hint="eastAsia"/>
                <w:color w:val="auto"/>
                <w:sz w:val="20"/>
                <w:szCs w:val="20"/>
                <w:highlight w:val="none"/>
              </w:rPr>
              <w:br w:type="textWrapping"/>
            </w:r>
            <w:r>
              <w:rPr>
                <w:rFonts w:hint="eastAsia"/>
                <w:color w:val="auto"/>
                <w:sz w:val="20"/>
                <w:szCs w:val="20"/>
                <w:highlight w:val="none"/>
              </w:rPr>
              <w:t>目</w:t>
            </w:r>
            <w:r>
              <w:rPr>
                <w:rFonts w:hint="eastAsia"/>
                <w:color w:val="auto"/>
                <w:sz w:val="20"/>
                <w:szCs w:val="20"/>
                <w:highlight w:val="none"/>
              </w:rPr>
              <w:br w:type="textWrapping"/>
            </w:r>
            <w:r>
              <w:rPr>
                <w:rFonts w:hint="eastAsia"/>
                <w:color w:val="auto"/>
                <w:sz w:val="20"/>
                <w:szCs w:val="20"/>
                <w:highlight w:val="none"/>
              </w:rPr>
              <w:t>标</w:t>
            </w:r>
          </w:p>
        </w:tc>
        <w:tc>
          <w:tcPr>
            <w:tcW w:w="5411" w:type="dxa"/>
            <w:gridSpan w:val="5"/>
            <w:tcBorders>
              <w:top w:val="single" w:color="auto" w:sz="4" w:space="0"/>
              <w:left w:val="nil"/>
              <w:bottom w:val="single" w:color="auto" w:sz="4" w:space="0"/>
              <w:right w:val="nil"/>
            </w:tcBorders>
            <w:noWrap w:val="0"/>
            <w:vAlign w:val="center"/>
          </w:tcPr>
          <w:p w14:paraId="4DFE8690">
            <w:pPr>
              <w:jc w:val="center"/>
              <w:rPr>
                <w:rFonts w:ascii="宋体" w:hAnsi="宋体" w:cs="宋体"/>
                <w:color w:val="auto"/>
                <w:sz w:val="20"/>
                <w:szCs w:val="20"/>
                <w:highlight w:val="none"/>
              </w:rPr>
            </w:pPr>
            <w:r>
              <w:rPr>
                <w:rFonts w:hint="eastAsia"/>
                <w:color w:val="auto"/>
                <w:sz w:val="20"/>
                <w:szCs w:val="20"/>
                <w:highlight w:val="none"/>
              </w:rPr>
              <w:t>中期目标（2023年-2024年）</w:t>
            </w:r>
          </w:p>
        </w:tc>
        <w:tc>
          <w:tcPr>
            <w:tcW w:w="3193" w:type="dxa"/>
            <w:gridSpan w:val="4"/>
            <w:tcBorders>
              <w:top w:val="single" w:color="auto" w:sz="4" w:space="0"/>
              <w:left w:val="single" w:color="auto" w:sz="4" w:space="0"/>
              <w:bottom w:val="single" w:color="auto" w:sz="4" w:space="0"/>
              <w:right w:val="single" w:color="000000" w:sz="4" w:space="0"/>
            </w:tcBorders>
            <w:noWrap w:val="0"/>
            <w:vAlign w:val="center"/>
          </w:tcPr>
          <w:p w14:paraId="6FE68453">
            <w:pPr>
              <w:jc w:val="center"/>
              <w:rPr>
                <w:rFonts w:ascii="宋体" w:hAnsi="宋体" w:cs="宋体"/>
                <w:color w:val="auto"/>
                <w:sz w:val="20"/>
                <w:szCs w:val="20"/>
                <w:highlight w:val="none"/>
              </w:rPr>
            </w:pPr>
            <w:r>
              <w:rPr>
                <w:rFonts w:hint="eastAsia"/>
                <w:color w:val="auto"/>
                <w:sz w:val="20"/>
                <w:szCs w:val="20"/>
                <w:highlight w:val="none"/>
              </w:rPr>
              <w:t>年度目标</w:t>
            </w:r>
          </w:p>
        </w:tc>
      </w:tr>
      <w:tr w14:paraId="14EE283A">
        <w:tblPrEx>
          <w:tblCellMar>
            <w:top w:w="0" w:type="dxa"/>
            <w:left w:w="108" w:type="dxa"/>
            <w:bottom w:w="0" w:type="dxa"/>
            <w:right w:w="108" w:type="dxa"/>
          </w:tblCellMar>
        </w:tblPrEx>
        <w:trPr>
          <w:trHeight w:val="660" w:hRule="atLeast"/>
        </w:trPr>
        <w:tc>
          <w:tcPr>
            <w:tcW w:w="416" w:type="dxa"/>
            <w:vMerge w:val="continue"/>
            <w:tcBorders>
              <w:top w:val="nil"/>
              <w:left w:val="single" w:color="auto" w:sz="4" w:space="0"/>
              <w:bottom w:val="single" w:color="auto" w:sz="4" w:space="0"/>
              <w:right w:val="single" w:color="auto" w:sz="4" w:space="0"/>
            </w:tcBorders>
            <w:noWrap w:val="0"/>
            <w:vAlign w:val="center"/>
          </w:tcPr>
          <w:p w14:paraId="51D5933B">
            <w:pPr>
              <w:rPr>
                <w:rFonts w:ascii="宋体" w:hAnsi="宋体" w:cs="宋体"/>
                <w:color w:val="auto"/>
                <w:sz w:val="20"/>
                <w:szCs w:val="20"/>
                <w:highlight w:val="none"/>
              </w:rPr>
            </w:pPr>
          </w:p>
        </w:tc>
        <w:tc>
          <w:tcPr>
            <w:tcW w:w="5411" w:type="dxa"/>
            <w:gridSpan w:val="5"/>
            <w:tcBorders>
              <w:top w:val="single" w:color="auto" w:sz="4" w:space="0"/>
              <w:left w:val="nil"/>
              <w:bottom w:val="single" w:color="auto" w:sz="4" w:space="0"/>
              <w:right w:val="nil"/>
            </w:tcBorders>
            <w:noWrap w:val="0"/>
            <w:vAlign w:val="top"/>
          </w:tcPr>
          <w:p w14:paraId="14EBA2A3">
            <w:pPr>
              <w:rPr>
                <w:rFonts w:ascii="宋体" w:hAnsi="宋体" w:cs="宋体"/>
                <w:color w:val="auto"/>
                <w:sz w:val="20"/>
                <w:szCs w:val="20"/>
                <w:highlight w:val="none"/>
              </w:rPr>
            </w:pPr>
            <w:r>
              <w:rPr>
                <w:rFonts w:hint="eastAsia"/>
                <w:color w:val="auto"/>
                <w:sz w:val="20"/>
                <w:szCs w:val="20"/>
                <w:highlight w:val="none"/>
              </w:rPr>
              <w:t xml:space="preserve"> 目标1：完成目标任务数5087对</w:t>
            </w:r>
          </w:p>
        </w:tc>
        <w:tc>
          <w:tcPr>
            <w:tcW w:w="3193" w:type="dxa"/>
            <w:gridSpan w:val="4"/>
            <w:tcBorders>
              <w:top w:val="single" w:color="auto" w:sz="4" w:space="0"/>
              <w:left w:val="single" w:color="auto" w:sz="4" w:space="0"/>
              <w:bottom w:val="single" w:color="auto" w:sz="4" w:space="0"/>
              <w:right w:val="single" w:color="000000" w:sz="4" w:space="0"/>
            </w:tcBorders>
            <w:noWrap w:val="0"/>
            <w:vAlign w:val="top"/>
          </w:tcPr>
          <w:p w14:paraId="2AAD8BF5">
            <w:pPr>
              <w:rPr>
                <w:rFonts w:ascii="宋体" w:hAnsi="宋体" w:cs="宋体"/>
                <w:color w:val="auto"/>
                <w:sz w:val="20"/>
                <w:szCs w:val="20"/>
                <w:highlight w:val="none"/>
              </w:rPr>
            </w:pPr>
            <w:r>
              <w:rPr>
                <w:rFonts w:hint="eastAsia"/>
                <w:color w:val="auto"/>
                <w:sz w:val="20"/>
                <w:szCs w:val="20"/>
                <w:highlight w:val="none"/>
              </w:rPr>
              <w:t xml:space="preserve"> 目标1：完成目标任务数5087对</w:t>
            </w:r>
            <w:r>
              <w:rPr>
                <w:rFonts w:hint="eastAsia"/>
                <w:color w:val="auto"/>
                <w:sz w:val="20"/>
                <w:szCs w:val="20"/>
                <w:highlight w:val="none"/>
              </w:rPr>
              <w:br w:type="textWrapping"/>
            </w:r>
            <w:r>
              <w:rPr>
                <w:rFonts w:hint="eastAsia"/>
                <w:color w:val="auto"/>
                <w:sz w:val="20"/>
                <w:szCs w:val="20"/>
                <w:highlight w:val="none"/>
              </w:rPr>
              <w:t xml:space="preserve"> </w:t>
            </w:r>
            <w:r>
              <w:rPr>
                <w:rFonts w:hint="eastAsia"/>
                <w:color w:val="auto"/>
                <w:sz w:val="20"/>
                <w:szCs w:val="20"/>
                <w:highlight w:val="none"/>
              </w:rPr>
              <w:br w:type="textWrapping"/>
            </w:r>
          </w:p>
        </w:tc>
      </w:tr>
      <w:tr w14:paraId="09B3928F">
        <w:tblPrEx>
          <w:tblCellMar>
            <w:top w:w="0" w:type="dxa"/>
            <w:left w:w="108" w:type="dxa"/>
            <w:bottom w:w="0" w:type="dxa"/>
            <w:right w:w="108" w:type="dxa"/>
          </w:tblCellMar>
        </w:tblPrEx>
        <w:trPr>
          <w:trHeight w:val="830" w:hRule="atLeast"/>
        </w:trPr>
        <w:tc>
          <w:tcPr>
            <w:tcW w:w="416" w:type="dxa"/>
            <w:vMerge w:val="restart"/>
            <w:tcBorders>
              <w:top w:val="nil"/>
              <w:left w:val="single" w:color="auto" w:sz="4" w:space="0"/>
              <w:bottom w:val="single" w:color="000000" w:sz="4" w:space="0"/>
              <w:right w:val="single" w:color="auto" w:sz="4" w:space="0"/>
            </w:tcBorders>
            <w:noWrap w:val="0"/>
            <w:vAlign w:val="center"/>
          </w:tcPr>
          <w:p w14:paraId="04F19D29">
            <w:pPr>
              <w:jc w:val="center"/>
              <w:rPr>
                <w:rFonts w:ascii="宋体" w:hAnsi="宋体" w:cs="宋体"/>
                <w:color w:val="auto"/>
                <w:sz w:val="20"/>
                <w:szCs w:val="20"/>
                <w:highlight w:val="none"/>
              </w:rPr>
            </w:pPr>
            <w:r>
              <w:rPr>
                <w:rFonts w:hint="eastAsia"/>
                <w:color w:val="auto"/>
                <w:sz w:val="20"/>
                <w:szCs w:val="20"/>
                <w:highlight w:val="none"/>
              </w:rPr>
              <w:t>绩</w:t>
            </w:r>
            <w:r>
              <w:rPr>
                <w:rFonts w:hint="eastAsia"/>
                <w:color w:val="auto"/>
                <w:sz w:val="20"/>
                <w:szCs w:val="20"/>
                <w:highlight w:val="none"/>
              </w:rPr>
              <w:br w:type="textWrapping"/>
            </w:r>
            <w:r>
              <w:rPr>
                <w:rFonts w:hint="eastAsia"/>
                <w:color w:val="auto"/>
                <w:sz w:val="20"/>
                <w:szCs w:val="20"/>
                <w:highlight w:val="none"/>
              </w:rPr>
              <w:t>效</w:t>
            </w:r>
            <w:r>
              <w:rPr>
                <w:rFonts w:hint="eastAsia"/>
                <w:color w:val="auto"/>
                <w:sz w:val="20"/>
                <w:szCs w:val="20"/>
                <w:highlight w:val="none"/>
              </w:rPr>
              <w:br w:type="textWrapping"/>
            </w:r>
            <w:r>
              <w:rPr>
                <w:rFonts w:hint="eastAsia"/>
                <w:color w:val="auto"/>
                <w:sz w:val="20"/>
                <w:szCs w:val="20"/>
                <w:highlight w:val="none"/>
              </w:rPr>
              <w:t>指</w:t>
            </w:r>
            <w:r>
              <w:rPr>
                <w:rFonts w:hint="eastAsia"/>
                <w:color w:val="auto"/>
                <w:sz w:val="20"/>
                <w:szCs w:val="20"/>
                <w:highlight w:val="none"/>
              </w:rPr>
              <w:br w:type="textWrapping"/>
            </w:r>
            <w:r>
              <w:rPr>
                <w:rFonts w:hint="eastAsia"/>
                <w:color w:val="auto"/>
                <w:sz w:val="20"/>
                <w:szCs w:val="20"/>
                <w:highlight w:val="none"/>
              </w:rPr>
              <w:t>标</w:t>
            </w:r>
          </w:p>
        </w:tc>
        <w:tc>
          <w:tcPr>
            <w:tcW w:w="820" w:type="dxa"/>
            <w:tcBorders>
              <w:top w:val="nil"/>
              <w:left w:val="nil"/>
              <w:bottom w:val="nil"/>
              <w:right w:val="single" w:color="auto" w:sz="4" w:space="0"/>
            </w:tcBorders>
            <w:noWrap w:val="0"/>
            <w:vAlign w:val="center"/>
          </w:tcPr>
          <w:p w14:paraId="422ED9B1">
            <w:pPr>
              <w:jc w:val="center"/>
              <w:rPr>
                <w:rFonts w:ascii="宋体" w:hAnsi="宋体" w:cs="宋体"/>
                <w:color w:val="auto"/>
                <w:sz w:val="20"/>
                <w:szCs w:val="20"/>
                <w:highlight w:val="none"/>
              </w:rPr>
            </w:pPr>
            <w:r>
              <w:rPr>
                <w:rFonts w:hint="eastAsia"/>
                <w:color w:val="auto"/>
                <w:sz w:val="20"/>
                <w:szCs w:val="20"/>
                <w:highlight w:val="none"/>
              </w:rPr>
              <w:t>一级</w:t>
            </w:r>
            <w:r>
              <w:rPr>
                <w:rFonts w:hint="eastAsia"/>
                <w:color w:val="auto"/>
                <w:sz w:val="20"/>
                <w:szCs w:val="20"/>
                <w:highlight w:val="none"/>
              </w:rPr>
              <w:br w:type="textWrapping"/>
            </w:r>
            <w:r>
              <w:rPr>
                <w:rFonts w:hint="eastAsia"/>
                <w:color w:val="auto"/>
                <w:sz w:val="20"/>
                <w:szCs w:val="20"/>
                <w:highlight w:val="none"/>
              </w:rPr>
              <w:t>指标</w:t>
            </w:r>
          </w:p>
        </w:tc>
        <w:tc>
          <w:tcPr>
            <w:tcW w:w="940" w:type="dxa"/>
            <w:tcBorders>
              <w:top w:val="nil"/>
              <w:left w:val="nil"/>
              <w:bottom w:val="single" w:color="auto" w:sz="4" w:space="0"/>
              <w:right w:val="single" w:color="auto" w:sz="4" w:space="0"/>
            </w:tcBorders>
            <w:noWrap w:val="0"/>
            <w:vAlign w:val="center"/>
          </w:tcPr>
          <w:p w14:paraId="1707364C">
            <w:pPr>
              <w:jc w:val="center"/>
              <w:rPr>
                <w:color w:val="auto"/>
                <w:sz w:val="20"/>
                <w:szCs w:val="20"/>
                <w:highlight w:val="none"/>
              </w:rPr>
            </w:pPr>
            <w:r>
              <w:rPr>
                <w:rFonts w:hint="eastAsia"/>
                <w:color w:val="auto"/>
                <w:sz w:val="20"/>
                <w:szCs w:val="20"/>
                <w:highlight w:val="none"/>
              </w:rPr>
              <w:t>二级</w:t>
            </w:r>
          </w:p>
          <w:p w14:paraId="3CBBCBEE">
            <w:pPr>
              <w:jc w:val="center"/>
              <w:rPr>
                <w:rFonts w:ascii="宋体" w:hAnsi="宋体" w:cs="宋体"/>
                <w:color w:val="auto"/>
                <w:sz w:val="20"/>
                <w:szCs w:val="20"/>
                <w:highlight w:val="none"/>
              </w:rPr>
            </w:pPr>
            <w:r>
              <w:rPr>
                <w:rFonts w:hint="eastAsia"/>
                <w:color w:val="auto"/>
                <w:sz w:val="20"/>
                <w:szCs w:val="20"/>
                <w:highlight w:val="none"/>
              </w:rPr>
              <w:t>指标</w:t>
            </w:r>
          </w:p>
        </w:tc>
        <w:tc>
          <w:tcPr>
            <w:tcW w:w="2000" w:type="dxa"/>
            <w:tcBorders>
              <w:top w:val="nil"/>
              <w:left w:val="nil"/>
              <w:bottom w:val="single" w:color="auto" w:sz="4" w:space="0"/>
              <w:right w:val="single" w:color="auto" w:sz="4" w:space="0"/>
            </w:tcBorders>
            <w:noWrap w:val="0"/>
            <w:vAlign w:val="center"/>
          </w:tcPr>
          <w:p w14:paraId="3BB32D07">
            <w:pPr>
              <w:jc w:val="center"/>
              <w:rPr>
                <w:rFonts w:ascii="宋体" w:hAnsi="宋体" w:cs="宋体"/>
                <w:color w:val="auto"/>
                <w:sz w:val="20"/>
                <w:szCs w:val="20"/>
                <w:highlight w:val="none"/>
              </w:rPr>
            </w:pPr>
            <w:r>
              <w:rPr>
                <w:rFonts w:hint="eastAsia"/>
                <w:color w:val="auto"/>
                <w:sz w:val="20"/>
                <w:szCs w:val="20"/>
                <w:highlight w:val="none"/>
              </w:rPr>
              <w:t>三级指标</w:t>
            </w:r>
          </w:p>
        </w:tc>
        <w:tc>
          <w:tcPr>
            <w:tcW w:w="860" w:type="dxa"/>
            <w:tcBorders>
              <w:top w:val="nil"/>
              <w:left w:val="nil"/>
              <w:bottom w:val="single" w:color="auto" w:sz="4" w:space="0"/>
              <w:right w:val="single" w:color="auto" w:sz="4" w:space="0"/>
            </w:tcBorders>
            <w:noWrap w:val="0"/>
            <w:vAlign w:val="center"/>
          </w:tcPr>
          <w:p w14:paraId="608CCC89">
            <w:pPr>
              <w:jc w:val="center"/>
              <w:rPr>
                <w:rFonts w:ascii="宋体" w:hAnsi="宋体" w:cs="宋体"/>
                <w:color w:val="auto"/>
                <w:sz w:val="20"/>
                <w:szCs w:val="20"/>
                <w:highlight w:val="none"/>
              </w:rPr>
            </w:pPr>
            <w:r>
              <w:rPr>
                <w:rFonts w:hint="eastAsia"/>
                <w:color w:val="auto"/>
                <w:sz w:val="20"/>
                <w:szCs w:val="20"/>
                <w:highlight w:val="none"/>
              </w:rPr>
              <w:t>指标值</w:t>
            </w:r>
          </w:p>
        </w:tc>
        <w:tc>
          <w:tcPr>
            <w:tcW w:w="791" w:type="dxa"/>
            <w:tcBorders>
              <w:top w:val="nil"/>
              <w:left w:val="nil"/>
              <w:bottom w:val="single" w:color="auto" w:sz="4" w:space="0"/>
              <w:right w:val="single" w:color="auto" w:sz="4" w:space="0"/>
            </w:tcBorders>
            <w:noWrap w:val="0"/>
            <w:vAlign w:val="center"/>
          </w:tcPr>
          <w:p w14:paraId="219CD5FB">
            <w:pPr>
              <w:jc w:val="center"/>
              <w:rPr>
                <w:rFonts w:ascii="宋体" w:hAnsi="宋体" w:cs="宋体"/>
                <w:color w:val="auto"/>
                <w:sz w:val="20"/>
                <w:szCs w:val="20"/>
                <w:highlight w:val="none"/>
              </w:rPr>
            </w:pPr>
            <w:r>
              <w:rPr>
                <w:rFonts w:hint="eastAsia"/>
                <w:color w:val="auto"/>
                <w:sz w:val="20"/>
                <w:szCs w:val="20"/>
                <w:highlight w:val="none"/>
              </w:rPr>
              <w:t>绩效标准</w:t>
            </w:r>
          </w:p>
        </w:tc>
        <w:tc>
          <w:tcPr>
            <w:tcW w:w="889" w:type="dxa"/>
            <w:tcBorders>
              <w:top w:val="nil"/>
              <w:left w:val="nil"/>
              <w:bottom w:val="single" w:color="auto" w:sz="4" w:space="0"/>
              <w:right w:val="single" w:color="auto" w:sz="4" w:space="0"/>
            </w:tcBorders>
            <w:noWrap w:val="0"/>
            <w:vAlign w:val="center"/>
          </w:tcPr>
          <w:p w14:paraId="7CC0BC27">
            <w:pPr>
              <w:jc w:val="center"/>
              <w:rPr>
                <w:color w:val="auto"/>
                <w:sz w:val="20"/>
                <w:szCs w:val="20"/>
                <w:highlight w:val="none"/>
              </w:rPr>
            </w:pPr>
            <w:r>
              <w:rPr>
                <w:rFonts w:hint="eastAsia"/>
                <w:color w:val="auto"/>
                <w:sz w:val="20"/>
                <w:szCs w:val="20"/>
                <w:highlight w:val="none"/>
              </w:rPr>
              <w:t>二级</w:t>
            </w:r>
          </w:p>
          <w:p w14:paraId="67E5DDA8">
            <w:pPr>
              <w:jc w:val="center"/>
              <w:rPr>
                <w:rFonts w:ascii="宋体" w:hAnsi="宋体" w:cs="宋体"/>
                <w:color w:val="auto"/>
                <w:sz w:val="20"/>
                <w:szCs w:val="20"/>
                <w:highlight w:val="none"/>
              </w:rPr>
            </w:pPr>
            <w:r>
              <w:rPr>
                <w:rFonts w:hint="eastAsia"/>
                <w:color w:val="auto"/>
                <w:sz w:val="20"/>
                <w:szCs w:val="20"/>
                <w:highlight w:val="none"/>
              </w:rPr>
              <w:t>指标</w:t>
            </w:r>
          </w:p>
        </w:tc>
        <w:tc>
          <w:tcPr>
            <w:tcW w:w="1040" w:type="dxa"/>
            <w:tcBorders>
              <w:top w:val="nil"/>
              <w:left w:val="nil"/>
              <w:bottom w:val="single" w:color="auto" w:sz="4" w:space="0"/>
              <w:right w:val="nil"/>
            </w:tcBorders>
            <w:noWrap w:val="0"/>
            <w:vAlign w:val="center"/>
          </w:tcPr>
          <w:p w14:paraId="78F85CB2">
            <w:pPr>
              <w:jc w:val="center"/>
              <w:rPr>
                <w:rFonts w:ascii="宋体" w:hAnsi="宋体" w:cs="宋体"/>
                <w:color w:val="auto"/>
                <w:sz w:val="20"/>
                <w:szCs w:val="20"/>
                <w:highlight w:val="none"/>
              </w:rPr>
            </w:pPr>
            <w:r>
              <w:rPr>
                <w:rFonts w:hint="eastAsia"/>
                <w:color w:val="auto"/>
                <w:sz w:val="20"/>
                <w:szCs w:val="20"/>
                <w:highlight w:val="none"/>
              </w:rPr>
              <w:t>三级指标</w:t>
            </w:r>
          </w:p>
        </w:tc>
        <w:tc>
          <w:tcPr>
            <w:tcW w:w="623" w:type="dxa"/>
            <w:tcBorders>
              <w:top w:val="nil"/>
              <w:left w:val="single" w:color="auto" w:sz="4" w:space="0"/>
              <w:bottom w:val="single" w:color="auto" w:sz="4" w:space="0"/>
              <w:right w:val="single" w:color="auto" w:sz="4" w:space="0"/>
            </w:tcBorders>
            <w:noWrap w:val="0"/>
            <w:vAlign w:val="center"/>
          </w:tcPr>
          <w:p w14:paraId="15963D2E">
            <w:pPr>
              <w:jc w:val="center"/>
              <w:rPr>
                <w:rFonts w:ascii="宋体" w:hAnsi="宋体" w:cs="宋体"/>
                <w:color w:val="auto"/>
                <w:sz w:val="20"/>
                <w:szCs w:val="20"/>
                <w:highlight w:val="none"/>
              </w:rPr>
            </w:pPr>
            <w:r>
              <w:rPr>
                <w:rFonts w:hint="eastAsia"/>
                <w:color w:val="auto"/>
                <w:sz w:val="20"/>
                <w:szCs w:val="20"/>
                <w:highlight w:val="none"/>
              </w:rPr>
              <w:t>指标值</w:t>
            </w:r>
          </w:p>
        </w:tc>
        <w:tc>
          <w:tcPr>
            <w:tcW w:w="641" w:type="dxa"/>
            <w:tcBorders>
              <w:top w:val="nil"/>
              <w:left w:val="nil"/>
              <w:bottom w:val="single" w:color="auto" w:sz="4" w:space="0"/>
              <w:right w:val="single" w:color="auto" w:sz="4" w:space="0"/>
            </w:tcBorders>
            <w:noWrap w:val="0"/>
            <w:vAlign w:val="center"/>
          </w:tcPr>
          <w:p w14:paraId="7561CF63">
            <w:pPr>
              <w:jc w:val="center"/>
              <w:rPr>
                <w:rFonts w:ascii="宋体" w:hAnsi="宋体" w:cs="宋体"/>
                <w:color w:val="auto"/>
                <w:sz w:val="20"/>
                <w:szCs w:val="20"/>
                <w:highlight w:val="none"/>
              </w:rPr>
            </w:pPr>
            <w:r>
              <w:rPr>
                <w:rFonts w:hint="eastAsia"/>
                <w:color w:val="auto"/>
                <w:sz w:val="20"/>
                <w:szCs w:val="20"/>
                <w:highlight w:val="none"/>
              </w:rPr>
              <w:t>绩效标准</w:t>
            </w:r>
          </w:p>
        </w:tc>
      </w:tr>
      <w:tr w14:paraId="164C8437">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5AE12D3D">
            <w:pPr>
              <w:rPr>
                <w:rFonts w:ascii="宋体" w:hAnsi="宋体" w:cs="宋体"/>
                <w:color w:val="auto"/>
                <w:sz w:val="20"/>
                <w:szCs w:val="20"/>
                <w:highlight w:val="none"/>
              </w:rPr>
            </w:pPr>
          </w:p>
        </w:tc>
        <w:tc>
          <w:tcPr>
            <w:tcW w:w="820" w:type="dxa"/>
            <w:vMerge w:val="restart"/>
            <w:tcBorders>
              <w:top w:val="single" w:color="auto" w:sz="4" w:space="0"/>
              <w:left w:val="single" w:color="auto" w:sz="4" w:space="0"/>
              <w:bottom w:val="single" w:color="auto" w:sz="4" w:space="0"/>
              <w:right w:val="single" w:color="auto" w:sz="4" w:space="0"/>
            </w:tcBorders>
            <w:noWrap w:val="0"/>
            <w:vAlign w:val="center"/>
          </w:tcPr>
          <w:p w14:paraId="227CEF46">
            <w:pPr>
              <w:jc w:val="center"/>
              <w:rPr>
                <w:rFonts w:ascii="宋体" w:hAnsi="宋体" w:cs="宋体"/>
                <w:color w:val="auto"/>
                <w:sz w:val="20"/>
                <w:szCs w:val="20"/>
                <w:highlight w:val="none"/>
              </w:rPr>
            </w:pPr>
            <w:r>
              <w:rPr>
                <w:rFonts w:hint="eastAsia"/>
                <w:color w:val="auto"/>
                <w:sz w:val="20"/>
                <w:szCs w:val="20"/>
                <w:highlight w:val="none"/>
              </w:rPr>
              <w:t>产</w:t>
            </w:r>
            <w:r>
              <w:rPr>
                <w:rFonts w:hint="eastAsia"/>
                <w:color w:val="auto"/>
                <w:sz w:val="20"/>
                <w:szCs w:val="20"/>
                <w:highlight w:val="none"/>
              </w:rPr>
              <w:br w:type="textWrapping"/>
            </w:r>
            <w:r>
              <w:rPr>
                <w:rFonts w:hint="eastAsia"/>
                <w:color w:val="auto"/>
                <w:sz w:val="20"/>
                <w:szCs w:val="20"/>
                <w:highlight w:val="none"/>
              </w:rPr>
              <w:t>出</w:t>
            </w:r>
            <w:r>
              <w:rPr>
                <w:rFonts w:hint="eastAsia"/>
                <w:color w:val="auto"/>
                <w:sz w:val="20"/>
                <w:szCs w:val="20"/>
                <w:highlight w:val="none"/>
              </w:rPr>
              <w:br w:type="textWrapping"/>
            </w:r>
            <w:r>
              <w:rPr>
                <w:rFonts w:hint="eastAsia"/>
                <w:color w:val="auto"/>
                <w:sz w:val="20"/>
                <w:szCs w:val="20"/>
                <w:highlight w:val="none"/>
              </w:rPr>
              <w:t>指</w:t>
            </w:r>
            <w:r>
              <w:rPr>
                <w:rFonts w:hint="eastAsia"/>
                <w:color w:val="auto"/>
                <w:sz w:val="20"/>
                <w:szCs w:val="20"/>
                <w:highlight w:val="none"/>
              </w:rPr>
              <w:br w:type="textWrapping"/>
            </w:r>
            <w:r>
              <w:rPr>
                <w:rFonts w:hint="eastAsia"/>
                <w:color w:val="auto"/>
                <w:sz w:val="20"/>
                <w:szCs w:val="20"/>
                <w:highlight w:val="none"/>
              </w:rPr>
              <w:t>标</w:t>
            </w:r>
          </w:p>
        </w:tc>
        <w:tc>
          <w:tcPr>
            <w:tcW w:w="940" w:type="dxa"/>
            <w:tcBorders>
              <w:top w:val="nil"/>
              <w:left w:val="single" w:color="auto" w:sz="4" w:space="0"/>
              <w:bottom w:val="single" w:color="000000" w:sz="4" w:space="0"/>
              <w:right w:val="single" w:color="auto" w:sz="4" w:space="0"/>
            </w:tcBorders>
            <w:noWrap w:val="0"/>
            <w:vAlign w:val="center"/>
          </w:tcPr>
          <w:p w14:paraId="7C48B17B">
            <w:pPr>
              <w:jc w:val="center"/>
              <w:rPr>
                <w:color w:val="auto"/>
                <w:sz w:val="20"/>
                <w:szCs w:val="20"/>
                <w:highlight w:val="none"/>
              </w:rPr>
            </w:pPr>
            <w:r>
              <w:rPr>
                <w:rFonts w:hint="eastAsia"/>
                <w:color w:val="auto"/>
                <w:sz w:val="20"/>
                <w:szCs w:val="20"/>
                <w:highlight w:val="none"/>
              </w:rPr>
              <w:t>数量</w:t>
            </w:r>
          </w:p>
          <w:p w14:paraId="5B806ACE">
            <w:pPr>
              <w:jc w:val="center"/>
              <w:rPr>
                <w:rFonts w:ascii="宋体" w:hAnsi="宋体" w:cs="宋体"/>
                <w:color w:val="auto"/>
                <w:sz w:val="20"/>
                <w:szCs w:val="20"/>
                <w:highlight w:val="none"/>
              </w:rPr>
            </w:pPr>
            <w:r>
              <w:rPr>
                <w:rFonts w:hint="eastAsia"/>
                <w:color w:val="auto"/>
                <w:sz w:val="20"/>
                <w:szCs w:val="20"/>
                <w:highlight w:val="none"/>
              </w:rPr>
              <w:t>指标</w:t>
            </w:r>
          </w:p>
        </w:tc>
        <w:tc>
          <w:tcPr>
            <w:tcW w:w="2000" w:type="dxa"/>
            <w:tcBorders>
              <w:top w:val="nil"/>
              <w:left w:val="nil"/>
              <w:bottom w:val="single" w:color="auto" w:sz="4" w:space="0"/>
              <w:right w:val="single" w:color="auto" w:sz="4" w:space="0"/>
            </w:tcBorders>
            <w:noWrap w:val="0"/>
            <w:vAlign w:val="center"/>
          </w:tcPr>
          <w:p w14:paraId="476D66EB">
            <w:pPr>
              <w:rPr>
                <w:rFonts w:ascii="宋体" w:hAnsi="宋体" w:cs="宋体"/>
                <w:color w:val="auto"/>
                <w:sz w:val="20"/>
                <w:szCs w:val="20"/>
                <w:highlight w:val="none"/>
              </w:rPr>
            </w:pPr>
            <w:r>
              <w:rPr>
                <w:rFonts w:hint="eastAsia"/>
                <w:color w:val="auto"/>
                <w:sz w:val="20"/>
                <w:szCs w:val="20"/>
                <w:highlight w:val="none"/>
              </w:rPr>
              <w:t xml:space="preserve"> 指标1：完成检查人数</w:t>
            </w:r>
          </w:p>
        </w:tc>
        <w:tc>
          <w:tcPr>
            <w:tcW w:w="860" w:type="dxa"/>
            <w:tcBorders>
              <w:top w:val="nil"/>
              <w:left w:val="nil"/>
              <w:bottom w:val="single" w:color="auto" w:sz="4" w:space="0"/>
              <w:right w:val="single" w:color="auto" w:sz="4" w:space="0"/>
            </w:tcBorders>
            <w:noWrap w:val="0"/>
            <w:vAlign w:val="center"/>
          </w:tcPr>
          <w:p w14:paraId="75BC94E2">
            <w:pPr>
              <w:rPr>
                <w:rFonts w:ascii="宋体" w:hAnsi="宋体" w:cs="宋体"/>
                <w:color w:val="auto"/>
                <w:sz w:val="20"/>
                <w:szCs w:val="20"/>
                <w:highlight w:val="none"/>
              </w:rPr>
            </w:pPr>
            <w:r>
              <w:rPr>
                <w:rFonts w:hint="eastAsia"/>
                <w:color w:val="auto"/>
                <w:sz w:val="20"/>
                <w:szCs w:val="20"/>
                <w:highlight w:val="none"/>
              </w:rPr>
              <w:t>　5087</w:t>
            </w:r>
          </w:p>
        </w:tc>
        <w:tc>
          <w:tcPr>
            <w:tcW w:w="791" w:type="dxa"/>
            <w:tcBorders>
              <w:top w:val="nil"/>
              <w:left w:val="nil"/>
              <w:bottom w:val="single" w:color="auto" w:sz="4" w:space="0"/>
              <w:right w:val="single" w:color="auto" w:sz="4" w:space="0"/>
            </w:tcBorders>
            <w:noWrap w:val="0"/>
            <w:vAlign w:val="center"/>
          </w:tcPr>
          <w:p w14:paraId="49E63881">
            <w:pPr>
              <w:rPr>
                <w:rFonts w:ascii="宋体" w:hAnsi="宋体" w:cs="宋体"/>
                <w:color w:val="auto"/>
                <w:sz w:val="20"/>
                <w:szCs w:val="20"/>
                <w:highlight w:val="none"/>
              </w:rPr>
            </w:pPr>
            <w:r>
              <w:rPr>
                <w:rFonts w:hint="eastAsia"/>
                <w:color w:val="auto"/>
                <w:sz w:val="20"/>
                <w:szCs w:val="20"/>
                <w:highlight w:val="none"/>
              </w:rPr>
              <w:t>　100%</w:t>
            </w:r>
          </w:p>
        </w:tc>
        <w:tc>
          <w:tcPr>
            <w:tcW w:w="889" w:type="dxa"/>
            <w:tcBorders>
              <w:top w:val="nil"/>
              <w:left w:val="single" w:color="auto" w:sz="4" w:space="0"/>
              <w:bottom w:val="single" w:color="000000" w:sz="4" w:space="0"/>
              <w:right w:val="single" w:color="auto" w:sz="4" w:space="0"/>
            </w:tcBorders>
            <w:noWrap w:val="0"/>
            <w:vAlign w:val="center"/>
          </w:tcPr>
          <w:p w14:paraId="10FDF07A">
            <w:pPr>
              <w:jc w:val="center"/>
              <w:rPr>
                <w:color w:val="auto"/>
                <w:sz w:val="20"/>
                <w:szCs w:val="20"/>
                <w:highlight w:val="none"/>
              </w:rPr>
            </w:pPr>
            <w:r>
              <w:rPr>
                <w:rFonts w:hint="eastAsia"/>
                <w:color w:val="auto"/>
                <w:sz w:val="20"/>
                <w:szCs w:val="20"/>
                <w:highlight w:val="none"/>
              </w:rPr>
              <w:t>数量</w:t>
            </w:r>
          </w:p>
          <w:p w14:paraId="7516CAC6">
            <w:pPr>
              <w:jc w:val="center"/>
              <w:rPr>
                <w:rFonts w:ascii="宋体" w:hAnsi="宋体" w:cs="宋体"/>
                <w:color w:val="auto"/>
                <w:sz w:val="20"/>
                <w:szCs w:val="20"/>
                <w:highlight w:val="none"/>
              </w:rPr>
            </w:pPr>
            <w:r>
              <w:rPr>
                <w:rFonts w:hint="eastAsia"/>
                <w:color w:val="auto"/>
                <w:sz w:val="20"/>
                <w:szCs w:val="20"/>
                <w:highlight w:val="none"/>
              </w:rPr>
              <w:t>指标</w:t>
            </w:r>
          </w:p>
        </w:tc>
        <w:tc>
          <w:tcPr>
            <w:tcW w:w="1040" w:type="dxa"/>
            <w:tcBorders>
              <w:top w:val="nil"/>
              <w:left w:val="nil"/>
              <w:bottom w:val="single" w:color="auto" w:sz="4" w:space="0"/>
              <w:right w:val="single" w:color="auto" w:sz="4" w:space="0"/>
            </w:tcBorders>
            <w:noWrap w:val="0"/>
            <w:vAlign w:val="center"/>
          </w:tcPr>
          <w:p w14:paraId="17D4160E">
            <w:pPr>
              <w:rPr>
                <w:rFonts w:ascii="宋体" w:hAnsi="宋体" w:cs="宋体"/>
                <w:color w:val="auto"/>
                <w:sz w:val="20"/>
                <w:szCs w:val="20"/>
                <w:highlight w:val="none"/>
              </w:rPr>
            </w:pPr>
            <w:r>
              <w:rPr>
                <w:rFonts w:hint="eastAsia"/>
                <w:color w:val="auto"/>
                <w:sz w:val="20"/>
                <w:szCs w:val="20"/>
                <w:highlight w:val="none"/>
              </w:rPr>
              <w:t xml:space="preserve"> 指标1：</w:t>
            </w:r>
          </w:p>
        </w:tc>
        <w:tc>
          <w:tcPr>
            <w:tcW w:w="623" w:type="dxa"/>
            <w:tcBorders>
              <w:top w:val="nil"/>
              <w:left w:val="nil"/>
              <w:bottom w:val="single" w:color="auto" w:sz="4" w:space="0"/>
              <w:right w:val="single" w:color="auto" w:sz="4" w:space="0"/>
            </w:tcBorders>
            <w:noWrap w:val="0"/>
            <w:vAlign w:val="center"/>
          </w:tcPr>
          <w:p w14:paraId="00BEF083">
            <w:pPr>
              <w:rPr>
                <w:rFonts w:ascii="宋体" w:hAnsi="宋体" w:cs="宋体"/>
                <w:color w:val="auto"/>
                <w:sz w:val="20"/>
                <w:szCs w:val="20"/>
                <w:highlight w:val="none"/>
              </w:rPr>
            </w:pPr>
            <w:r>
              <w:rPr>
                <w:rFonts w:hint="eastAsia"/>
                <w:color w:val="auto"/>
                <w:sz w:val="20"/>
                <w:szCs w:val="20"/>
                <w:highlight w:val="none"/>
              </w:rPr>
              <w:t>5087</w:t>
            </w:r>
          </w:p>
        </w:tc>
        <w:tc>
          <w:tcPr>
            <w:tcW w:w="641" w:type="dxa"/>
            <w:tcBorders>
              <w:top w:val="nil"/>
              <w:left w:val="nil"/>
              <w:bottom w:val="single" w:color="auto" w:sz="4" w:space="0"/>
              <w:right w:val="single" w:color="auto" w:sz="4" w:space="0"/>
            </w:tcBorders>
            <w:noWrap w:val="0"/>
            <w:vAlign w:val="center"/>
          </w:tcPr>
          <w:p w14:paraId="52B31BC3">
            <w:pPr>
              <w:rPr>
                <w:rFonts w:ascii="宋体" w:hAnsi="宋体" w:cs="宋体"/>
                <w:color w:val="auto"/>
                <w:sz w:val="20"/>
                <w:szCs w:val="20"/>
                <w:highlight w:val="none"/>
              </w:rPr>
            </w:pPr>
            <w:r>
              <w:rPr>
                <w:rFonts w:hint="eastAsia"/>
                <w:color w:val="auto"/>
                <w:sz w:val="20"/>
                <w:szCs w:val="20"/>
                <w:highlight w:val="none"/>
              </w:rPr>
              <w:t>　100%</w:t>
            </w:r>
          </w:p>
        </w:tc>
      </w:tr>
      <w:tr w14:paraId="53BFE974">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4CE269D2">
            <w:pPr>
              <w:rPr>
                <w:rFonts w:ascii="宋体" w:hAnsi="宋体" w:cs="宋体"/>
                <w:color w:val="auto"/>
                <w:sz w:val="20"/>
                <w:szCs w:val="20"/>
                <w:highlight w:val="none"/>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14:paraId="406B7695">
            <w:pPr>
              <w:rPr>
                <w:rFonts w:ascii="宋体" w:hAnsi="宋体" w:cs="宋体"/>
                <w:color w:val="auto"/>
                <w:sz w:val="20"/>
                <w:szCs w:val="20"/>
                <w:highlight w:val="none"/>
              </w:rPr>
            </w:pPr>
          </w:p>
        </w:tc>
        <w:tc>
          <w:tcPr>
            <w:tcW w:w="940" w:type="dxa"/>
            <w:tcBorders>
              <w:top w:val="nil"/>
              <w:left w:val="single" w:color="auto" w:sz="4" w:space="0"/>
              <w:bottom w:val="single" w:color="000000" w:sz="4" w:space="0"/>
              <w:right w:val="single" w:color="auto" w:sz="4" w:space="0"/>
            </w:tcBorders>
            <w:noWrap w:val="0"/>
            <w:vAlign w:val="center"/>
          </w:tcPr>
          <w:p w14:paraId="20F7AF3F">
            <w:pPr>
              <w:jc w:val="center"/>
              <w:rPr>
                <w:color w:val="auto"/>
                <w:sz w:val="20"/>
                <w:szCs w:val="20"/>
                <w:highlight w:val="none"/>
              </w:rPr>
            </w:pPr>
            <w:r>
              <w:rPr>
                <w:rFonts w:hint="eastAsia"/>
                <w:color w:val="auto"/>
                <w:sz w:val="20"/>
                <w:szCs w:val="20"/>
                <w:highlight w:val="none"/>
              </w:rPr>
              <w:t>质量</w:t>
            </w:r>
          </w:p>
          <w:p w14:paraId="3C598493">
            <w:pPr>
              <w:jc w:val="center"/>
              <w:rPr>
                <w:rFonts w:ascii="宋体" w:hAnsi="宋体" w:cs="宋体"/>
                <w:color w:val="auto"/>
                <w:sz w:val="20"/>
                <w:szCs w:val="20"/>
                <w:highlight w:val="none"/>
              </w:rPr>
            </w:pPr>
            <w:r>
              <w:rPr>
                <w:rFonts w:hint="eastAsia"/>
                <w:color w:val="auto"/>
                <w:sz w:val="20"/>
                <w:szCs w:val="20"/>
                <w:highlight w:val="none"/>
              </w:rPr>
              <w:t>指标</w:t>
            </w:r>
          </w:p>
        </w:tc>
        <w:tc>
          <w:tcPr>
            <w:tcW w:w="2000" w:type="dxa"/>
            <w:tcBorders>
              <w:top w:val="nil"/>
              <w:left w:val="nil"/>
              <w:bottom w:val="single" w:color="auto" w:sz="4" w:space="0"/>
              <w:right w:val="single" w:color="auto" w:sz="4" w:space="0"/>
            </w:tcBorders>
            <w:noWrap w:val="0"/>
            <w:vAlign w:val="center"/>
          </w:tcPr>
          <w:p w14:paraId="20B2211C">
            <w:pPr>
              <w:rPr>
                <w:rFonts w:ascii="宋体" w:hAnsi="宋体" w:cs="宋体"/>
                <w:color w:val="auto"/>
                <w:sz w:val="20"/>
                <w:szCs w:val="20"/>
                <w:highlight w:val="none"/>
              </w:rPr>
            </w:pPr>
            <w:r>
              <w:rPr>
                <w:rFonts w:hint="eastAsia"/>
                <w:color w:val="auto"/>
                <w:sz w:val="20"/>
                <w:szCs w:val="20"/>
                <w:highlight w:val="none"/>
              </w:rPr>
              <w:t xml:space="preserve"> 指标1：完成质量</w:t>
            </w:r>
          </w:p>
        </w:tc>
        <w:tc>
          <w:tcPr>
            <w:tcW w:w="860" w:type="dxa"/>
            <w:tcBorders>
              <w:top w:val="nil"/>
              <w:left w:val="nil"/>
              <w:bottom w:val="single" w:color="auto" w:sz="4" w:space="0"/>
              <w:right w:val="single" w:color="auto" w:sz="4" w:space="0"/>
            </w:tcBorders>
            <w:noWrap w:val="0"/>
            <w:vAlign w:val="center"/>
          </w:tcPr>
          <w:p w14:paraId="4D903C82">
            <w:pPr>
              <w:rPr>
                <w:rFonts w:ascii="宋体" w:hAnsi="宋体" w:cs="宋体"/>
                <w:color w:val="auto"/>
                <w:sz w:val="20"/>
                <w:szCs w:val="20"/>
                <w:highlight w:val="none"/>
              </w:rPr>
            </w:pPr>
            <w:r>
              <w:rPr>
                <w:rFonts w:hint="eastAsia"/>
                <w:color w:val="auto"/>
                <w:sz w:val="20"/>
                <w:szCs w:val="20"/>
                <w:highlight w:val="none"/>
              </w:rPr>
              <w:t>　保质保量</w:t>
            </w:r>
          </w:p>
        </w:tc>
        <w:tc>
          <w:tcPr>
            <w:tcW w:w="791" w:type="dxa"/>
            <w:tcBorders>
              <w:top w:val="nil"/>
              <w:left w:val="nil"/>
              <w:bottom w:val="single" w:color="auto" w:sz="4" w:space="0"/>
              <w:right w:val="single" w:color="auto" w:sz="4" w:space="0"/>
            </w:tcBorders>
            <w:noWrap w:val="0"/>
            <w:vAlign w:val="center"/>
          </w:tcPr>
          <w:p w14:paraId="1CB4F386">
            <w:pPr>
              <w:rPr>
                <w:rFonts w:ascii="宋体" w:hAnsi="宋体" w:cs="宋体"/>
                <w:color w:val="auto"/>
                <w:sz w:val="20"/>
                <w:szCs w:val="20"/>
                <w:highlight w:val="none"/>
              </w:rPr>
            </w:pPr>
            <w:r>
              <w:rPr>
                <w:rFonts w:hint="eastAsia"/>
                <w:color w:val="auto"/>
                <w:sz w:val="20"/>
                <w:szCs w:val="20"/>
                <w:highlight w:val="none"/>
              </w:rPr>
              <w:t>　100%</w:t>
            </w:r>
          </w:p>
        </w:tc>
        <w:tc>
          <w:tcPr>
            <w:tcW w:w="889" w:type="dxa"/>
            <w:tcBorders>
              <w:top w:val="nil"/>
              <w:left w:val="single" w:color="auto" w:sz="4" w:space="0"/>
              <w:bottom w:val="single" w:color="000000" w:sz="4" w:space="0"/>
              <w:right w:val="single" w:color="auto" w:sz="4" w:space="0"/>
            </w:tcBorders>
            <w:noWrap w:val="0"/>
            <w:vAlign w:val="center"/>
          </w:tcPr>
          <w:p w14:paraId="2B048DC8">
            <w:pPr>
              <w:jc w:val="center"/>
              <w:rPr>
                <w:color w:val="auto"/>
                <w:sz w:val="20"/>
                <w:szCs w:val="20"/>
                <w:highlight w:val="none"/>
              </w:rPr>
            </w:pPr>
            <w:r>
              <w:rPr>
                <w:rFonts w:hint="eastAsia"/>
                <w:color w:val="auto"/>
                <w:sz w:val="20"/>
                <w:szCs w:val="20"/>
                <w:highlight w:val="none"/>
              </w:rPr>
              <w:t>质量</w:t>
            </w:r>
          </w:p>
          <w:p w14:paraId="464D9B44">
            <w:pPr>
              <w:jc w:val="center"/>
              <w:rPr>
                <w:rFonts w:ascii="宋体" w:hAnsi="宋体" w:cs="宋体"/>
                <w:color w:val="auto"/>
                <w:sz w:val="20"/>
                <w:szCs w:val="20"/>
                <w:highlight w:val="none"/>
              </w:rPr>
            </w:pPr>
            <w:r>
              <w:rPr>
                <w:rFonts w:hint="eastAsia"/>
                <w:color w:val="auto"/>
                <w:sz w:val="20"/>
                <w:szCs w:val="20"/>
                <w:highlight w:val="none"/>
              </w:rPr>
              <w:t>指标</w:t>
            </w:r>
          </w:p>
        </w:tc>
        <w:tc>
          <w:tcPr>
            <w:tcW w:w="1040" w:type="dxa"/>
            <w:tcBorders>
              <w:top w:val="nil"/>
              <w:left w:val="nil"/>
              <w:bottom w:val="single" w:color="auto" w:sz="4" w:space="0"/>
              <w:right w:val="single" w:color="auto" w:sz="4" w:space="0"/>
            </w:tcBorders>
            <w:noWrap w:val="0"/>
            <w:vAlign w:val="center"/>
          </w:tcPr>
          <w:p w14:paraId="14C48069">
            <w:pPr>
              <w:rPr>
                <w:rFonts w:ascii="宋体" w:hAnsi="宋体" w:cs="宋体"/>
                <w:color w:val="auto"/>
                <w:sz w:val="20"/>
                <w:szCs w:val="20"/>
                <w:highlight w:val="none"/>
              </w:rPr>
            </w:pPr>
            <w:r>
              <w:rPr>
                <w:rFonts w:hint="eastAsia"/>
                <w:color w:val="auto"/>
                <w:sz w:val="20"/>
                <w:szCs w:val="20"/>
                <w:highlight w:val="none"/>
              </w:rPr>
              <w:t xml:space="preserve"> 指标1：</w:t>
            </w:r>
          </w:p>
        </w:tc>
        <w:tc>
          <w:tcPr>
            <w:tcW w:w="623" w:type="dxa"/>
            <w:tcBorders>
              <w:top w:val="nil"/>
              <w:left w:val="nil"/>
              <w:bottom w:val="single" w:color="auto" w:sz="4" w:space="0"/>
              <w:right w:val="single" w:color="auto" w:sz="4" w:space="0"/>
            </w:tcBorders>
            <w:noWrap w:val="0"/>
            <w:vAlign w:val="center"/>
          </w:tcPr>
          <w:p w14:paraId="3898B5B1">
            <w:pPr>
              <w:rPr>
                <w:rFonts w:ascii="宋体" w:hAnsi="宋体" w:cs="宋体"/>
                <w:color w:val="auto"/>
                <w:sz w:val="20"/>
                <w:szCs w:val="20"/>
                <w:highlight w:val="none"/>
              </w:rPr>
            </w:pPr>
            <w:r>
              <w:rPr>
                <w:rFonts w:hint="eastAsia"/>
                <w:color w:val="auto"/>
                <w:sz w:val="20"/>
                <w:szCs w:val="20"/>
                <w:highlight w:val="none"/>
              </w:rPr>
              <w:t>保质保量　</w:t>
            </w:r>
          </w:p>
        </w:tc>
        <w:tc>
          <w:tcPr>
            <w:tcW w:w="641" w:type="dxa"/>
            <w:tcBorders>
              <w:top w:val="nil"/>
              <w:left w:val="nil"/>
              <w:bottom w:val="single" w:color="auto" w:sz="4" w:space="0"/>
              <w:right w:val="single" w:color="auto" w:sz="4" w:space="0"/>
            </w:tcBorders>
            <w:noWrap w:val="0"/>
            <w:vAlign w:val="center"/>
          </w:tcPr>
          <w:p w14:paraId="44FDF88F">
            <w:pPr>
              <w:rPr>
                <w:rFonts w:ascii="宋体" w:hAnsi="宋体" w:cs="宋体"/>
                <w:color w:val="auto"/>
                <w:sz w:val="20"/>
                <w:szCs w:val="20"/>
                <w:highlight w:val="none"/>
              </w:rPr>
            </w:pPr>
            <w:r>
              <w:rPr>
                <w:rFonts w:hint="eastAsia"/>
                <w:color w:val="auto"/>
                <w:sz w:val="20"/>
                <w:szCs w:val="20"/>
                <w:highlight w:val="none"/>
              </w:rPr>
              <w:t>　100%</w:t>
            </w:r>
          </w:p>
        </w:tc>
      </w:tr>
      <w:tr w14:paraId="6E1A3E8F">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73359912">
            <w:pPr>
              <w:rPr>
                <w:rFonts w:ascii="宋体" w:hAnsi="宋体" w:cs="宋体"/>
                <w:color w:val="auto"/>
                <w:sz w:val="20"/>
                <w:szCs w:val="20"/>
                <w:highlight w:val="none"/>
              </w:rPr>
            </w:pPr>
          </w:p>
        </w:tc>
        <w:tc>
          <w:tcPr>
            <w:tcW w:w="820" w:type="dxa"/>
            <w:tcBorders>
              <w:top w:val="nil"/>
              <w:left w:val="single" w:color="auto" w:sz="4" w:space="0"/>
              <w:bottom w:val="single" w:color="000000" w:sz="4" w:space="0"/>
              <w:right w:val="single" w:color="auto" w:sz="4" w:space="0"/>
            </w:tcBorders>
            <w:noWrap w:val="0"/>
            <w:vAlign w:val="center"/>
          </w:tcPr>
          <w:p w14:paraId="5407980B">
            <w:pPr>
              <w:jc w:val="center"/>
              <w:rPr>
                <w:rFonts w:ascii="宋体" w:hAnsi="宋体" w:cs="宋体"/>
                <w:color w:val="auto"/>
                <w:sz w:val="20"/>
                <w:szCs w:val="20"/>
                <w:highlight w:val="none"/>
              </w:rPr>
            </w:pPr>
            <w:r>
              <w:rPr>
                <w:rFonts w:hint="eastAsia"/>
                <w:color w:val="auto"/>
                <w:sz w:val="20"/>
                <w:szCs w:val="20"/>
                <w:highlight w:val="none"/>
              </w:rPr>
              <w:t>满意度指标</w:t>
            </w:r>
          </w:p>
        </w:tc>
        <w:tc>
          <w:tcPr>
            <w:tcW w:w="940" w:type="dxa"/>
            <w:tcBorders>
              <w:top w:val="nil"/>
              <w:left w:val="single" w:color="auto" w:sz="4" w:space="0"/>
              <w:bottom w:val="single" w:color="000000" w:sz="4" w:space="0"/>
              <w:right w:val="single" w:color="auto" w:sz="4" w:space="0"/>
            </w:tcBorders>
            <w:noWrap w:val="0"/>
            <w:vAlign w:val="center"/>
          </w:tcPr>
          <w:p w14:paraId="6D83BB73">
            <w:pPr>
              <w:jc w:val="center"/>
              <w:rPr>
                <w:rFonts w:ascii="宋体" w:hAnsi="宋体" w:cs="宋体"/>
                <w:color w:val="auto"/>
                <w:sz w:val="20"/>
                <w:szCs w:val="20"/>
                <w:highlight w:val="none"/>
              </w:rPr>
            </w:pPr>
            <w:r>
              <w:rPr>
                <w:rFonts w:hint="eastAsia"/>
                <w:color w:val="auto"/>
                <w:sz w:val="20"/>
                <w:szCs w:val="20"/>
                <w:highlight w:val="none"/>
              </w:rPr>
              <w:t>服务对象满意度指标</w:t>
            </w:r>
          </w:p>
        </w:tc>
        <w:tc>
          <w:tcPr>
            <w:tcW w:w="2000" w:type="dxa"/>
            <w:tcBorders>
              <w:top w:val="nil"/>
              <w:left w:val="nil"/>
              <w:bottom w:val="single" w:color="auto" w:sz="4" w:space="0"/>
              <w:right w:val="single" w:color="auto" w:sz="4" w:space="0"/>
            </w:tcBorders>
            <w:noWrap w:val="0"/>
            <w:vAlign w:val="center"/>
          </w:tcPr>
          <w:p w14:paraId="7E93C97B">
            <w:pPr>
              <w:rPr>
                <w:rFonts w:ascii="宋体" w:hAnsi="宋体" w:cs="宋体"/>
                <w:color w:val="auto"/>
                <w:sz w:val="20"/>
                <w:szCs w:val="20"/>
                <w:highlight w:val="none"/>
              </w:rPr>
            </w:pPr>
            <w:r>
              <w:rPr>
                <w:rFonts w:hint="eastAsia"/>
                <w:color w:val="auto"/>
                <w:sz w:val="20"/>
                <w:szCs w:val="20"/>
                <w:highlight w:val="none"/>
              </w:rPr>
              <w:t xml:space="preserve"> 指标1：满意度</w:t>
            </w:r>
          </w:p>
        </w:tc>
        <w:tc>
          <w:tcPr>
            <w:tcW w:w="860" w:type="dxa"/>
            <w:tcBorders>
              <w:top w:val="nil"/>
              <w:left w:val="nil"/>
              <w:bottom w:val="single" w:color="auto" w:sz="4" w:space="0"/>
              <w:right w:val="single" w:color="auto" w:sz="4" w:space="0"/>
            </w:tcBorders>
            <w:noWrap w:val="0"/>
            <w:vAlign w:val="center"/>
          </w:tcPr>
          <w:p w14:paraId="48B8BB55">
            <w:pPr>
              <w:jc w:val="center"/>
              <w:rPr>
                <w:rFonts w:ascii="宋体" w:hAnsi="宋体" w:cs="宋体"/>
                <w:color w:val="auto"/>
                <w:sz w:val="20"/>
                <w:szCs w:val="20"/>
                <w:highlight w:val="none"/>
              </w:rPr>
            </w:pPr>
            <w:r>
              <w:rPr>
                <w:rFonts w:hint="eastAsia"/>
                <w:color w:val="auto"/>
                <w:sz w:val="20"/>
                <w:szCs w:val="20"/>
                <w:highlight w:val="none"/>
              </w:rPr>
              <w:t>满意度百分之百</w:t>
            </w:r>
          </w:p>
        </w:tc>
        <w:tc>
          <w:tcPr>
            <w:tcW w:w="791" w:type="dxa"/>
            <w:tcBorders>
              <w:top w:val="nil"/>
              <w:left w:val="nil"/>
              <w:bottom w:val="single" w:color="auto" w:sz="4" w:space="0"/>
              <w:right w:val="single" w:color="auto" w:sz="4" w:space="0"/>
            </w:tcBorders>
            <w:noWrap w:val="0"/>
            <w:vAlign w:val="center"/>
          </w:tcPr>
          <w:p w14:paraId="21F6E98D">
            <w:pPr>
              <w:jc w:val="center"/>
              <w:rPr>
                <w:rFonts w:ascii="宋体" w:hAnsi="宋体" w:cs="宋体"/>
                <w:color w:val="auto"/>
                <w:sz w:val="20"/>
                <w:szCs w:val="20"/>
                <w:highlight w:val="none"/>
              </w:rPr>
            </w:pPr>
            <w:r>
              <w:rPr>
                <w:rFonts w:hint="eastAsia"/>
                <w:color w:val="auto"/>
                <w:sz w:val="20"/>
                <w:szCs w:val="20"/>
                <w:highlight w:val="none"/>
              </w:rPr>
              <w:t>100%　</w:t>
            </w:r>
          </w:p>
        </w:tc>
        <w:tc>
          <w:tcPr>
            <w:tcW w:w="889" w:type="dxa"/>
            <w:tcBorders>
              <w:top w:val="nil"/>
              <w:left w:val="single" w:color="auto" w:sz="4" w:space="0"/>
              <w:bottom w:val="single" w:color="000000" w:sz="4" w:space="0"/>
              <w:right w:val="single" w:color="auto" w:sz="4" w:space="0"/>
            </w:tcBorders>
            <w:noWrap w:val="0"/>
            <w:vAlign w:val="center"/>
          </w:tcPr>
          <w:p w14:paraId="4C1B1792">
            <w:pPr>
              <w:jc w:val="center"/>
              <w:rPr>
                <w:color w:val="auto"/>
                <w:sz w:val="20"/>
                <w:szCs w:val="20"/>
                <w:highlight w:val="none"/>
              </w:rPr>
            </w:pPr>
            <w:r>
              <w:rPr>
                <w:rFonts w:hint="eastAsia"/>
                <w:color w:val="auto"/>
                <w:sz w:val="20"/>
                <w:szCs w:val="20"/>
                <w:highlight w:val="none"/>
              </w:rPr>
              <w:t>服务对</w:t>
            </w:r>
          </w:p>
          <w:p w14:paraId="37FB6789">
            <w:pPr>
              <w:jc w:val="center"/>
              <w:rPr>
                <w:color w:val="auto"/>
                <w:sz w:val="20"/>
                <w:szCs w:val="20"/>
                <w:highlight w:val="none"/>
              </w:rPr>
            </w:pPr>
            <w:r>
              <w:rPr>
                <w:rFonts w:hint="eastAsia"/>
                <w:color w:val="auto"/>
                <w:sz w:val="20"/>
                <w:szCs w:val="20"/>
                <w:highlight w:val="none"/>
              </w:rPr>
              <w:t>象满意</w:t>
            </w:r>
          </w:p>
          <w:p w14:paraId="4500D3D6">
            <w:pPr>
              <w:jc w:val="center"/>
              <w:rPr>
                <w:rFonts w:ascii="宋体" w:hAnsi="宋体" w:cs="宋体"/>
                <w:color w:val="auto"/>
                <w:sz w:val="20"/>
                <w:szCs w:val="20"/>
                <w:highlight w:val="none"/>
              </w:rPr>
            </w:pPr>
            <w:r>
              <w:rPr>
                <w:rFonts w:hint="eastAsia"/>
                <w:color w:val="auto"/>
                <w:sz w:val="20"/>
                <w:szCs w:val="20"/>
                <w:highlight w:val="none"/>
              </w:rPr>
              <w:t>度指标</w:t>
            </w:r>
          </w:p>
        </w:tc>
        <w:tc>
          <w:tcPr>
            <w:tcW w:w="1040" w:type="dxa"/>
            <w:tcBorders>
              <w:top w:val="nil"/>
              <w:left w:val="nil"/>
              <w:bottom w:val="single" w:color="auto" w:sz="4" w:space="0"/>
              <w:right w:val="single" w:color="auto" w:sz="4" w:space="0"/>
            </w:tcBorders>
            <w:noWrap w:val="0"/>
            <w:vAlign w:val="center"/>
          </w:tcPr>
          <w:p w14:paraId="0B641CC0">
            <w:pPr>
              <w:rPr>
                <w:rFonts w:ascii="宋体" w:hAnsi="宋体" w:cs="宋体"/>
                <w:color w:val="auto"/>
                <w:sz w:val="20"/>
                <w:szCs w:val="20"/>
                <w:highlight w:val="none"/>
              </w:rPr>
            </w:pPr>
            <w:r>
              <w:rPr>
                <w:rFonts w:hint="eastAsia"/>
                <w:color w:val="auto"/>
                <w:sz w:val="20"/>
                <w:szCs w:val="20"/>
                <w:highlight w:val="none"/>
              </w:rPr>
              <w:t xml:space="preserve"> 指标1：满意度</w:t>
            </w:r>
          </w:p>
        </w:tc>
        <w:tc>
          <w:tcPr>
            <w:tcW w:w="623" w:type="dxa"/>
            <w:tcBorders>
              <w:top w:val="nil"/>
              <w:left w:val="nil"/>
              <w:bottom w:val="single" w:color="auto" w:sz="4" w:space="0"/>
              <w:right w:val="single" w:color="auto" w:sz="4" w:space="0"/>
            </w:tcBorders>
            <w:noWrap w:val="0"/>
            <w:vAlign w:val="center"/>
          </w:tcPr>
          <w:p w14:paraId="7749EDB3">
            <w:pPr>
              <w:rPr>
                <w:rFonts w:ascii="宋体" w:hAnsi="宋体" w:cs="宋体"/>
                <w:color w:val="auto"/>
                <w:sz w:val="20"/>
                <w:szCs w:val="20"/>
                <w:highlight w:val="none"/>
              </w:rPr>
            </w:pPr>
            <w:r>
              <w:rPr>
                <w:rFonts w:hint="eastAsia"/>
                <w:color w:val="auto"/>
                <w:sz w:val="20"/>
                <w:szCs w:val="20"/>
                <w:highlight w:val="none"/>
              </w:rPr>
              <w:t>　满意度百分之百</w:t>
            </w:r>
          </w:p>
        </w:tc>
        <w:tc>
          <w:tcPr>
            <w:tcW w:w="641" w:type="dxa"/>
            <w:tcBorders>
              <w:top w:val="nil"/>
              <w:left w:val="nil"/>
              <w:bottom w:val="single" w:color="auto" w:sz="4" w:space="0"/>
              <w:right w:val="single" w:color="auto" w:sz="4" w:space="0"/>
            </w:tcBorders>
            <w:noWrap w:val="0"/>
            <w:vAlign w:val="center"/>
          </w:tcPr>
          <w:p w14:paraId="4EDA2F4C">
            <w:pPr>
              <w:rPr>
                <w:rFonts w:ascii="宋体" w:hAnsi="宋体" w:cs="宋体"/>
                <w:color w:val="auto"/>
                <w:sz w:val="20"/>
                <w:szCs w:val="20"/>
                <w:highlight w:val="none"/>
              </w:rPr>
            </w:pPr>
            <w:r>
              <w:rPr>
                <w:rFonts w:hint="eastAsia"/>
                <w:color w:val="auto"/>
                <w:sz w:val="20"/>
                <w:szCs w:val="20"/>
                <w:highlight w:val="none"/>
              </w:rPr>
              <w:t>100%　</w:t>
            </w:r>
          </w:p>
        </w:tc>
      </w:tr>
    </w:tbl>
    <w:p w14:paraId="2BCFC42C">
      <w:pPr>
        <w:adjustRightInd w:val="0"/>
        <w:snapToGrid w:val="0"/>
        <w:spacing w:line="600" w:lineRule="exact"/>
        <w:rPr>
          <w:rFonts w:ascii="仿宋_GB2312" w:hAnsi="楷体" w:eastAsia="仿宋_GB2312"/>
          <w:b/>
          <w:color w:val="auto"/>
          <w:sz w:val="32"/>
          <w:szCs w:val="32"/>
          <w:highlight w:val="none"/>
        </w:rPr>
      </w:pPr>
    </w:p>
    <w:p w14:paraId="222228D2">
      <w:pPr>
        <w:adjustRightInd w:val="0"/>
        <w:snapToGrid w:val="0"/>
        <w:spacing w:line="600" w:lineRule="exact"/>
        <w:ind w:firstLine="803" w:firstLineChars="250"/>
        <w:rPr>
          <w:rFonts w:ascii="仿宋_GB2312" w:hAnsi="楷体" w:eastAsia="仿宋_GB2312"/>
          <w:b/>
          <w:color w:val="auto"/>
          <w:sz w:val="32"/>
          <w:szCs w:val="32"/>
          <w:highlight w:val="none"/>
        </w:rPr>
      </w:pPr>
      <w:r>
        <w:rPr>
          <w:rFonts w:hint="eastAsia" w:ascii="仿宋_GB2312" w:hAnsi="楷体" w:eastAsia="仿宋_GB2312"/>
          <w:b/>
          <w:color w:val="auto"/>
          <w:sz w:val="32"/>
          <w:szCs w:val="32"/>
          <w:highlight w:val="none"/>
          <w:lang w:val="en-US" w:eastAsia="zh-CN"/>
        </w:rPr>
        <w:t>5</w:t>
      </w:r>
      <w:r>
        <w:rPr>
          <w:rFonts w:hint="eastAsia" w:ascii="仿宋_GB2312" w:hAnsi="楷体" w:eastAsia="仿宋_GB2312"/>
          <w:b/>
          <w:color w:val="auto"/>
          <w:sz w:val="32"/>
          <w:szCs w:val="32"/>
          <w:highlight w:val="none"/>
        </w:rPr>
        <w:t>.“儿童出生缺陷防治项目”项目。</w:t>
      </w:r>
    </w:p>
    <w:p w14:paraId="1754B7DB">
      <w:pPr>
        <w:adjustRightInd w:val="0"/>
        <w:snapToGrid w:val="0"/>
        <w:spacing w:line="600" w:lineRule="exact"/>
        <w:ind w:firstLine="640" w:firstLineChars="200"/>
        <w:rPr>
          <w:rFonts w:hint="eastAsia" w:ascii="仿宋_GB2312" w:hAnsi="楷体" w:eastAsia="仿宋_GB2312"/>
          <w:color w:val="auto"/>
          <w:sz w:val="32"/>
          <w:szCs w:val="32"/>
          <w:highlight w:val="none"/>
        </w:rPr>
      </w:pPr>
      <w:r>
        <w:rPr>
          <w:rFonts w:hint="eastAsia" w:ascii="仿宋_GB2312" w:hAnsi="楷体" w:eastAsia="仿宋_GB2312"/>
          <w:color w:val="auto"/>
          <w:sz w:val="32"/>
          <w:szCs w:val="32"/>
          <w:highlight w:val="none"/>
        </w:rPr>
        <w:t>（1）项目概述</w:t>
      </w:r>
      <w:r>
        <w:rPr>
          <w:rFonts w:hint="eastAsia" w:ascii="仿宋_GB2312" w:hAnsi="楷体" w:eastAsia="仿宋_GB2312"/>
          <w:color w:val="auto"/>
          <w:sz w:val="32"/>
          <w:szCs w:val="32"/>
          <w:highlight w:val="none"/>
          <w:lang w:val="en-US" w:eastAsia="zh-CN"/>
        </w:rPr>
        <w:t>:</w:t>
      </w:r>
      <w:r>
        <w:rPr>
          <w:rFonts w:hint="eastAsia" w:ascii="仿宋_GB2312" w:hAnsi="楷体" w:eastAsia="仿宋_GB2312"/>
          <w:color w:val="auto"/>
          <w:sz w:val="32"/>
          <w:szCs w:val="32"/>
          <w:highlight w:val="none"/>
        </w:rPr>
        <w:t>主要对孕妇进行与优生优育和产前筛查相关的知识教育，免费实验室检测以及免费咨询随访等服务</w:t>
      </w:r>
    </w:p>
    <w:p w14:paraId="41137379">
      <w:pPr>
        <w:spacing w:line="600" w:lineRule="exact"/>
        <w:ind w:firstLine="585" w:firstLineChars="183"/>
        <w:rPr>
          <w:rFonts w:ascii="仿宋_GB2312" w:hAnsi="楷体" w:eastAsia="仿宋_GB2312"/>
          <w:color w:val="auto"/>
          <w:sz w:val="32"/>
          <w:szCs w:val="32"/>
          <w:highlight w:val="none"/>
          <w:u w:val="single"/>
        </w:rPr>
      </w:pPr>
      <w:r>
        <w:rPr>
          <w:rFonts w:hint="eastAsia" w:ascii="仿宋_GB2312" w:hAnsi="楷体" w:eastAsia="仿宋_GB2312"/>
          <w:color w:val="auto"/>
          <w:sz w:val="32"/>
          <w:szCs w:val="32"/>
          <w:highlight w:val="none"/>
        </w:rPr>
        <w:t>（2）立项依据</w:t>
      </w:r>
      <w:r>
        <w:rPr>
          <w:rFonts w:hint="eastAsia" w:ascii="仿宋_GB2312" w:hAnsi="楷体" w:eastAsia="仿宋_GB2312"/>
          <w:color w:val="auto"/>
          <w:sz w:val="32"/>
          <w:szCs w:val="32"/>
          <w:highlight w:val="none"/>
          <w:lang w:eastAsia="zh-CN"/>
        </w:rPr>
        <w:t>：</w:t>
      </w:r>
      <w:r>
        <w:rPr>
          <w:rFonts w:hint="eastAsia" w:ascii="仿宋_GB2312" w:hAnsi="楷体" w:eastAsia="仿宋_GB2312"/>
          <w:color w:val="auto"/>
          <w:sz w:val="32"/>
          <w:szCs w:val="32"/>
          <w:highlight w:val="none"/>
        </w:rPr>
        <w:t>属于民生工程</w:t>
      </w:r>
    </w:p>
    <w:p w14:paraId="3F354D0D">
      <w:pPr>
        <w:spacing w:line="600" w:lineRule="exact"/>
        <w:ind w:firstLine="585" w:firstLineChars="183"/>
        <w:rPr>
          <w:rFonts w:ascii="仿宋_GB2312" w:hAnsi="楷体" w:eastAsia="仿宋_GB2312"/>
          <w:color w:val="auto"/>
          <w:sz w:val="32"/>
          <w:szCs w:val="32"/>
          <w:highlight w:val="none"/>
          <w:u w:val="single"/>
        </w:rPr>
      </w:pPr>
      <w:r>
        <w:rPr>
          <w:rFonts w:hint="eastAsia" w:ascii="仿宋_GB2312" w:hAnsi="楷体" w:eastAsia="仿宋_GB2312"/>
          <w:color w:val="auto"/>
          <w:sz w:val="32"/>
          <w:szCs w:val="32"/>
          <w:highlight w:val="none"/>
        </w:rPr>
        <w:t>（3）实施主体</w:t>
      </w:r>
      <w:r>
        <w:rPr>
          <w:rFonts w:hint="eastAsia" w:ascii="仿宋_GB2312" w:hAnsi="楷体" w:eastAsia="仿宋_GB2312"/>
          <w:color w:val="auto"/>
          <w:sz w:val="32"/>
          <w:szCs w:val="32"/>
          <w:highlight w:val="none"/>
          <w:lang w:eastAsia="zh-CN"/>
        </w:rPr>
        <w:t>：</w:t>
      </w:r>
      <w:r>
        <w:rPr>
          <w:rFonts w:hint="eastAsia" w:ascii="仿宋_GB2312" w:hAnsi="楷体" w:eastAsia="仿宋_GB2312"/>
          <w:color w:val="auto"/>
          <w:sz w:val="32"/>
          <w:szCs w:val="32"/>
          <w:highlight w:val="none"/>
        </w:rPr>
        <w:t>妇幼计生中心</w:t>
      </w:r>
    </w:p>
    <w:p w14:paraId="79A7247D">
      <w:pPr>
        <w:adjustRightInd w:val="0"/>
        <w:snapToGrid w:val="0"/>
        <w:spacing w:line="600" w:lineRule="exact"/>
        <w:ind w:firstLine="640" w:firstLineChars="200"/>
        <w:rPr>
          <w:rFonts w:hint="eastAsia" w:ascii="仿宋_GB2312" w:hAnsi="仿宋" w:eastAsia="仿宋_GB2312"/>
          <w:color w:val="auto"/>
          <w:sz w:val="32"/>
          <w:szCs w:val="32"/>
          <w:highlight w:val="none"/>
          <w:lang w:eastAsia="zh-CN"/>
        </w:rPr>
      </w:pPr>
      <w:r>
        <w:rPr>
          <w:rFonts w:hint="eastAsia" w:ascii="仿宋_GB2312" w:hAnsi="楷体" w:eastAsia="仿宋_GB2312"/>
          <w:color w:val="auto"/>
          <w:sz w:val="32"/>
          <w:szCs w:val="32"/>
          <w:highlight w:val="none"/>
        </w:rPr>
        <w:t>（4）起止时间</w:t>
      </w:r>
      <w:r>
        <w:rPr>
          <w:rFonts w:hint="eastAsia" w:ascii="仿宋_GB2312" w:hAnsi="楷体" w:eastAsia="仿宋_GB2312"/>
          <w:color w:val="auto"/>
          <w:sz w:val="32"/>
          <w:szCs w:val="32"/>
          <w:highlight w:val="none"/>
          <w:lang w:val="en-US" w:eastAsia="zh-CN"/>
        </w:rPr>
        <w:t>;</w:t>
      </w:r>
      <w:r>
        <w:rPr>
          <w:rFonts w:hint="eastAsia" w:ascii="仿宋_GB2312" w:hAnsi="仿宋" w:eastAsia="仿宋_GB2312"/>
          <w:color w:val="auto"/>
          <w:sz w:val="32"/>
          <w:szCs w:val="32"/>
          <w:highlight w:val="none"/>
        </w:rPr>
        <w:t>2023</w:t>
      </w:r>
      <w:r>
        <w:rPr>
          <w:rFonts w:hint="eastAsia" w:ascii="仿宋_GB2312" w:hAnsi="仿宋" w:eastAsia="仿宋_GB2312"/>
          <w:color w:val="auto"/>
          <w:sz w:val="32"/>
          <w:szCs w:val="32"/>
          <w:highlight w:val="none"/>
          <w:lang w:eastAsia="zh-CN"/>
        </w:rPr>
        <w:t>年</w:t>
      </w:r>
      <w:r>
        <w:rPr>
          <w:rFonts w:hint="eastAsia" w:ascii="仿宋_GB2312" w:hAnsi="仿宋" w:eastAsia="仿宋_GB2312"/>
          <w:color w:val="auto"/>
          <w:sz w:val="32"/>
          <w:szCs w:val="32"/>
          <w:highlight w:val="none"/>
        </w:rPr>
        <w:t>1-12</w:t>
      </w:r>
      <w:r>
        <w:rPr>
          <w:rFonts w:hint="eastAsia" w:ascii="仿宋_GB2312" w:hAnsi="仿宋" w:eastAsia="仿宋_GB2312"/>
          <w:color w:val="auto"/>
          <w:sz w:val="32"/>
          <w:szCs w:val="32"/>
          <w:highlight w:val="none"/>
          <w:lang w:eastAsia="zh-CN"/>
        </w:rPr>
        <w:t>月份。</w:t>
      </w:r>
    </w:p>
    <w:p w14:paraId="78985839">
      <w:pPr>
        <w:adjustRightInd w:val="0"/>
        <w:snapToGrid w:val="0"/>
        <w:spacing w:line="600" w:lineRule="exact"/>
        <w:ind w:firstLine="640" w:firstLineChars="200"/>
        <w:rPr>
          <w:rFonts w:hint="eastAsia" w:ascii="仿宋_GB2312" w:hAnsi="楷体" w:eastAsia="仿宋_GB2312"/>
          <w:color w:val="auto"/>
          <w:sz w:val="32"/>
          <w:szCs w:val="32"/>
          <w:highlight w:val="none"/>
        </w:rPr>
      </w:pPr>
      <w:r>
        <w:rPr>
          <w:rFonts w:hint="eastAsia" w:ascii="仿宋_GB2312" w:hAnsi="楷体" w:eastAsia="仿宋_GB2312"/>
          <w:color w:val="auto"/>
          <w:sz w:val="32"/>
          <w:szCs w:val="32"/>
          <w:highlight w:val="none"/>
        </w:rPr>
        <w:t>（5）项目内容</w:t>
      </w:r>
      <w:r>
        <w:rPr>
          <w:rFonts w:hint="eastAsia" w:ascii="仿宋_GB2312" w:hAnsi="楷体" w:eastAsia="仿宋_GB2312"/>
          <w:color w:val="auto"/>
          <w:sz w:val="32"/>
          <w:szCs w:val="32"/>
          <w:highlight w:val="none"/>
          <w:lang w:val="en-US" w:eastAsia="zh-CN"/>
        </w:rPr>
        <w:t>:</w:t>
      </w:r>
      <w:r>
        <w:rPr>
          <w:rFonts w:hint="eastAsia" w:ascii="仿宋_GB2312" w:hAnsi="楷体" w:eastAsia="仿宋_GB2312"/>
          <w:color w:val="auto"/>
          <w:sz w:val="32"/>
          <w:szCs w:val="32"/>
          <w:highlight w:val="none"/>
        </w:rPr>
        <w:t>主要对孕妇进行与优生优育和产前筛查相关的知识教育，免费实验室检测以及免费咨询随访等服务</w:t>
      </w:r>
    </w:p>
    <w:p w14:paraId="540559DD">
      <w:pPr>
        <w:spacing w:line="600" w:lineRule="exact"/>
        <w:ind w:firstLine="642"/>
        <w:rPr>
          <w:rFonts w:hint="eastAsia" w:ascii="仿宋_GB2312" w:hAnsi="仿宋" w:eastAsia="仿宋_GB2312"/>
          <w:color w:val="auto"/>
          <w:sz w:val="32"/>
          <w:szCs w:val="32"/>
          <w:highlight w:val="none"/>
          <w:lang w:val="en-US" w:eastAsia="zh-CN"/>
        </w:rPr>
      </w:pPr>
      <w:r>
        <w:rPr>
          <w:rFonts w:hint="eastAsia" w:ascii="仿宋_GB2312" w:hAnsi="楷体" w:eastAsia="仿宋_GB2312"/>
          <w:color w:val="auto"/>
          <w:sz w:val="32"/>
          <w:szCs w:val="32"/>
          <w:highlight w:val="none"/>
        </w:rPr>
        <w:t>（6）年度预算安排</w:t>
      </w:r>
      <w:r>
        <w:rPr>
          <w:rFonts w:hint="eastAsia" w:ascii="仿宋_GB2312" w:hAnsi="楷体" w:eastAsia="仿宋_GB2312"/>
          <w:color w:val="auto"/>
          <w:sz w:val="32"/>
          <w:szCs w:val="32"/>
          <w:highlight w:val="none"/>
          <w:lang w:val="en-US" w:eastAsia="zh-CN"/>
        </w:rPr>
        <w:t>:</w:t>
      </w:r>
      <w:r>
        <w:rPr>
          <w:rFonts w:hint="eastAsia" w:ascii="仿宋_GB2312" w:hAnsi="仿宋" w:eastAsia="仿宋_GB2312"/>
          <w:color w:val="auto"/>
          <w:sz w:val="32"/>
          <w:szCs w:val="32"/>
          <w:highlight w:val="none"/>
        </w:rPr>
        <w:t>78万元</w:t>
      </w:r>
      <w:r>
        <w:rPr>
          <w:rFonts w:hint="eastAsia" w:ascii="仿宋_GB2312" w:hAnsi="仿宋" w:eastAsia="仿宋_GB2312"/>
          <w:color w:val="auto"/>
          <w:sz w:val="32"/>
          <w:szCs w:val="32"/>
          <w:highlight w:val="none"/>
          <w:lang w:val="en-US" w:eastAsia="zh-CN"/>
        </w:rPr>
        <w:t>.</w:t>
      </w:r>
    </w:p>
    <w:p w14:paraId="2D29CDEB">
      <w:pPr>
        <w:adjustRightInd w:val="0"/>
        <w:snapToGrid w:val="0"/>
        <w:spacing w:line="600" w:lineRule="exact"/>
        <w:ind w:firstLine="960" w:firstLineChars="300"/>
        <w:rPr>
          <w:rFonts w:ascii="仿宋_GB2312" w:hAnsi="楷体" w:eastAsia="仿宋_GB2312"/>
          <w:color w:val="auto"/>
          <w:sz w:val="32"/>
          <w:szCs w:val="32"/>
          <w:highlight w:val="none"/>
        </w:rPr>
      </w:pPr>
      <w:r>
        <w:rPr>
          <w:rFonts w:hint="eastAsia" w:ascii="仿宋_GB2312" w:hAnsi="楷体" w:eastAsia="仿宋_GB2312"/>
          <w:color w:val="auto"/>
          <w:sz w:val="32"/>
          <w:szCs w:val="32"/>
          <w:highlight w:val="none"/>
        </w:rPr>
        <w:t xml:space="preserve"> </w:t>
      </w:r>
    </w:p>
    <w:tbl>
      <w:tblPr>
        <w:tblStyle w:val="3"/>
        <w:tblW w:w="9020" w:type="dxa"/>
        <w:tblInd w:w="93" w:type="dxa"/>
        <w:tblLayout w:type="fixed"/>
        <w:tblCellMar>
          <w:top w:w="0" w:type="dxa"/>
          <w:left w:w="108" w:type="dxa"/>
          <w:bottom w:w="0" w:type="dxa"/>
          <w:right w:w="108" w:type="dxa"/>
        </w:tblCellMar>
      </w:tblPr>
      <w:tblGrid>
        <w:gridCol w:w="416"/>
        <w:gridCol w:w="820"/>
        <w:gridCol w:w="940"/>
        <w:gridCol w:w="2000"/>
        <w:gridCol w:w="860"/>
        <w:gridCol w:w="791"/>
        <w:gridCol w:w="889"/>
        <w:gridCol w:w="1040"/>
        <w:gridCol w:w="623"/>
        <w:gridCol w:w="641"/>
      </w:tblGrid>
      <w:tr w14:paraId="643103E4">
        <w:tblPrEx>
          <w:tblCellMar>
            <w:top w:w="0" w:type="dxa"/>
            <w:left w:w="108" w:type="dxa"/>
            <w:bottom w:w="0" w:type="dxa"/>
            <w:right w:w="108" w:type="dxa"/>
          </w:tblCellMar>
        </w:tblPrEx>
        <w:trPr>
          <w:trHeight w:val="360" w:hRule="atLeast"/>
        </w:trPr>
        <w:tc>
          <w:tcPr>
            <w:tcW w:w="9020" w:type="dxa"/>
            <w:gridSpan w:val="10"/>
            <w:tcBorders>
              <w:top w:val="nil"/>
              <w:left w:val="nil"/>
              <w:bottom w:val="nil"/>
              <w:right w:val="nil"/>
            </w:tcBorders>
            <w:noWrap w:val="0"/>
            <w:vAlign w:val="center"/>
          </w:tcPr>
          <w:p w14:paraId="7B8DDE72">
            <w:pPr>
              <w:rPr>
                <w:b/>
                <w:bCs/>
                <w:color w:val="auto"/>
                <w:sz w:val="32"/>
                <w:szCs w:val="32"/>
                <w:highlight w:val="none"/>
              </w:rPr>
            </w:pPr>
          </w:p>
          <w:p w14:paraId="38B8A23D">
            <w:pPr>
              <w:jc w:val="center"/>
              <w:rPr>
                <w:rFonts w:ascii="宋体" w:hAnsi="宋体" w:cs="宋体"/>
                <w:b/>
                <w:bCs/>
                <w:color w:val="auto"/>
                <w:sz w:val="32"/>
                <w:szCs w:val="32"/>
                <w:highlight w:val="none"/>
              </w:rPr>
            </w:pPr>
            <w:r>
              <w:rPr>
                <w:rFonts w:hint="eastAsia"/>
                <w:b/>
                <w:bCs/>
                <w:color w:val="auto"/>
                <w:sz w:val="32"/>
                <w:szCs w:val="32"/>
                <w:highlight w:val="none"/>
              </w:rPr>
              <w:t>项目支出绩效目标表</w:t>
            </w:r>
          </w:p>
        </w:tc>
      </w:tr>
      <w:tr w14:paraId="0D5FA762">
        <w:tblPrEx>
          <w:tblCellMar>
            <w:top w:w="0" w:type="dxa"/>
            <w:left w:w="108" w:type="dxa"/>
            <w:bottom w:w="0" w:type="dxa"/>
            <w:right w:w="108" w:type="dxa"/>
          </w:tblCellMar>
        </w:tblPrEx>
        <w:trPr>
          <w:trHeight w:val="270" w:hRule="atLeast"/>
        </w:trPr>
        <w:tc>
          <w:tcPr>
            <w:tcW w:w="9020" w:type="dxa"/>
            <w:gridSpan w:val="10"/>
            <w:tcBorders>
              <w:top w:val="nil"/>
              <w:left w:val="nil"/>
              <w:bottom w:val="nil"/>
              <w:right w:val="nil"/>
            </w:tcBorders>
            <w:noWrap w:val="0"/>
            <w:vAlign w:val="center"/>
          </w:tcPr>
          <w:p w14:paraId="1E21FD94">
            <w:pPr>
              <w:jc w:val="center"/>
              <w:rPr>
                <w:rFonts w:ascii="宋体" w:hAnsi="宋体" w:cs="宋体"/>
                <w:color w:val="auto"/>
                <w:sz w:val="20"/>
                <w:szCs w:val="20"/>
                <w:highlight w:val="none"/>
              </w:rPr>
            </w:pPr>
            <w:r>
              <w:rPr>
                <w:rFonts w:hint="eastAsia"/>
                <w:color w:val="auto"/>
                <w:sz w:val="20"/>
                <w:szCs w:val="20"/>
                <w:highlight w:val="none"/>
              </w:rPr>
              <w:t>（2023年度）</w:t>
            </w:r>
          </w:p>
        </w:tc>
      </w:tr>
      <w:tr w14:paraId="2561E435">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noWrap w:val="0"/>
            <w:vAlign w:val="center"/>
          </w:tcPr>
          <w:p w14:paraId="4FFC3305">
            <w:pPr>
              <w:jc w:val="center"/>
              <w:rPr>
                <w:rFonts w:ascii="宋体" w:hAnsi="宋体" w:cs="宋体"/>
                <w:color w:val="auto"/>
                <w:sz w:val="20"/>
                <w:szCs w:val="20"/>
                <w:highlight w:val="none"/>
              </w:rPr>
            </w:pPr>
            <w:r>
              <w:rPr>
                <w:rFonts w:hint="eastAsia"/>
                <w:color w:val="auto"/>
                <w:sz w:val="20"/>
                <w:szCs w:val="20"/>
                <w:highlight w:val="none"/>
              </w:rPr>
              <w:t>项目名称</w:t>
            </w:r>
          </w:p>
        </w:tc>
        <w:tc>
          <w:tcPr>
            <w:tcW w:w="7784" w:type="dxa"/>
            <w:gridSpan w:val="8"/>
            <w:tcBorders>
              <w:top w:val="single" w:color="auto" w:sz="4" w:space="0"/>
              <w:left w:val="nil"/>
              <w:bottom w:val="single" w:color="auto" w:sz="4" w:space="0"/>
              <w:right w:val="single" w:color="000000" w:sz="4" w:space="0"/>
            </w:tcBorders>
            <w:noWrap w:val="0"/>
            <w:vAlign w:val="center"/>
          </w:tcPr>
          <w:p w14:paraId="7BAB28D0">
            <w:pPr>
              <w:jc w:val="center"/>
              <w:rPr>
                <w:rFonts w:ascii="宋体" w:hAnsi="宋体" w:cs="宋体"/>
                <w:color w:val="auto"/>
                <w:sz w:val="20"/>
                <w:szCs w:val="20"/>
                <w:highlight w:val="none"/>
              </w:rPr>
            </w:pPr>
            <w:r>
              <w:rPr>
                <w:rFonts w:hint="eastAsia"/>
                <w:color w:val="auto"/>
                <w:sz w:val="20"/>
                <w:szCs w:val="20"/>
                <w:highlight w:val="none"/>
              </w:rPr>
              <w:t>儿童出生缺陷防治项目</w:t>
            </w:r>
          </w:p>
        </w:tc>
      </w:tr>
      <w:tr w14:paraId="495D15DD">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noWrap w:val="0"/>
            <w:vAlign w:val="center"/>
          </w:tcPr>
          <w:p w14:paraId="0992D824">
            <w:pPr>
              <w:jc w:val="center"/>
              <w:rPr>
                <w:rFonts w:ascii="宋体" w:hAnsi="宋体" w:cs="宋体"/>
                <w:color w:val="auto"/>
                <w:sz w:val="20"/>
                <w:szCs w:val="20"/>
                <w:highlight w:val="none"/>
              </w:rPr>
            </w:pPr>
            <w:r>
              <w:rPr>
                <w:rFonts w:hint="eastAsia"/>
                <w:color w:val="auto"/>
                <w:sz w:val="20"/>
                <w:szCs w:val="20"/>
                <w:highlight w:val="none"/>
              </w:rPr>
              <w:t>实施单位</w:t>
            </w:r>
          </w:p>
        </w:tc>
        <w:tc>
          <w:tcPr>
            <w:tcW w:w="7784" w:type="dxa"/>
            <w:gridSpan w:val="8"/>
            <w:tcBorders>
              <w:top w:val="single" w:color="auto" w:sz="4" w:space="0"/>
              <w:left w:val="nil"/>
              <w:bottom w:val="single" w:color="auto" w:sz="4" w:space="0"/>
              <w:right w:val="single" w:color="auto" w:sz="4" w:space="0"/>
            </w:tcBorders>
            <w:noWrap w:val="0"/>
            <w:vAlign w:val="center"/>
          </w:tcPr>
          <w:p w14:paraId="7F8BD635">
            <w:pPr>
              <w:jc w:val="center"/>
              <w:rPr>
                <w:rFonts w:ascii="宋体" w:hAnsi="宋体" w:cs="宋体"/>
                <w:color w:val="auto"/>
                <w:sz w:val="20"/>
                <w:szCs w:val="20"/>
                <w:highlight w:val="none"/>
              </w:rPr>
            </w:pPr>
            <w:r>
              <w:rPr>
                <w:rFonts w:hint="eastAsia"/>
                <w:color w:val="auto"/>
                <w:sz w:val="20"/>
                <w:szCs w:val="20"/>
                <w:highlight w:val="none"/>
              </w:rPr>
              <w:t>妇幼计生中心</w:t>
            </w:r>
          </w:p>
        </w:tc>
      </w:tr>
      <w:tr w14:paraId="0E6F9DED">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noWrap w:val="0"/>
            <w:vAlign w:val="center"/>
          </w:tcPr>
          <w:p w14:paraId="48D53BF6">
            <w:pPr>
              <w:jc w:val="center"/>
              <w:rPr>
                <w:rFonts w:ascii="宋体" w:hAnsi="宋体" w:cs="宋体"/>
                <w:color w:val="auto"/>
                <w:sz w:val="20"/>
                <w:szCs w:val="20"/>
                <w:highlight w:val="none"/>
              </w:rPr>
            </w:pPr>
            <w:r>
              <w:rPr>
                <w:rFonts w:hint="eastAsia"/>
                <w:color w:val="auto"/>
                <w:sz w:val="20"/>
                <w:szCs w:val="20"/>
                <w:highlight w:val="none"/>
              </w:rPr>
              <w:t>项目属性</w:t>
            </w:r>
          </w:p>
        </w:tc>
        <w:tc>
          <w:tcPr>
            <w:tcW w:w="7784" w:type="dxa"/>
            <w:gridSpan w:val="8"/>
            <w:tcBorders>
              <w:top w:val="single" w:color="auto" w:sz="4" w:space="0"/>
              <w:left w:val="nil"/>
              <w:bottom w:val="single" w:color="auto" w:sz="4" w:space="0"/>
              <w:right w:val="single" w:color="auto" w:sz="4" w:space="0"/>
            </w:tcBorders>
            <w:noWrap w:val="0"/>
            <w:vAlign w:val="center"/>
          </w:tcPr>
          <w:p w14:paraId="02712FF7">
            <w:pPr>
              <w:jc w:val="center"/>
              <w:rPr>
                <w:rFonts w:ascii="宋体" w:hAnsi="宋体" w:cs="宋体"/>
                <w:color w:val="auto"/>
                <w:sz w:val="20"/>
                <w:szCs w:val="20"/>
                <w:highlight w:val="none"/>
              </w:rPr>
            </w:pPr>
            <w:r>
              <w:rPr>
                <w:color w:val="auto"/>
                <w:sz w:val="20"/>
                <w:szCs w:val="20"/>
                <w:highlight w:val="none"/>
              </w:rPr>
              <w:t>经常性项目　</w:t>
            </w:r>
          </w:p>
        </w:tc>
      </w:tr>
      <w:tr w14:paraId="38D2F6C0">
        <w:tblPrEx>
          <w:tblCellMar>
            <w:top w:w="0" w:type="dxa"/>
            <w:left w:w="108" w:type="dxa"/>
            <w:bottom w:w="0" w:type="dxa"/>
            <w:right w:w="108" w:type="dxa"/>
          </w:tblCellMar>
        </w:tblPrEx>
        <w:trPr>
          <w:trHeight w:val="330" w:hRule="atLeast"/>
        </w:trPr>
        <w:tc>
          <w:tcPr>
            <w:tcW w:w="2176" w:type="dxa"/>
            <w:gridSpan w:val="3"/>
            <w:vMerge w:val="restart"/>
            <w:tcBorders>
              <w:top w:val="single" w:color="auto" w:sz="4" w:space="0"/>
              <w:left w:val="single" w:color="auto" w:sz="4" w:space="0"/>
              <w:bottom w:val="single" w:color="000000" w:sz="4" w:space="0"/>
              <w:right w:val="single" w:color="000000" w:sz="4" w:space="0"/>
            </w:tcBorders>
            <w:noWrap w:val="0"/>
            <w:vAlign w:val="center"/>
          </w:tcPr>
          <w:p w14:paraId="4E828892">
            <w:pPr>
              <w:jc w:val="center"/>
              <w:rPr>
                <w:rFonts w:ascii="宋体" w:hAnsi="宋体" w:cs="宋体"/>
                <w:color w:val="auto"/>
                <w:sz w:val="20"/>
                <w:szCs w:val="20"/>
                <w:highlight w:val="none"/>
              </w:rPr>
            </w:pPr>
            <w:r>
              <w:rPr>
                <w:rFonts w:hint="eastAsia"/>
                <w:color w:val="auto"/>
                <w:sz w:val="20"/>
                <w:szCs w:val="20"/>
                <w:highlight w:val="none"/>
              </w:rPr>
              <w:t>项目资金</w:t>
            </w:r>
            <w:r>
              <w:rPr>
                <w:rFonts w:hint="eastAsia"/>
                <w:color w:val="auto"/>
                <w:sz w:val="20"/>
                <w:szCs w:val="20"/>
                <w:highlight w:val="none"/>
              </w:rPr>
              <w:br w:type="textWrapping"/>
            </w:r>
            <w:r>
              <w:rPr>
                <w:rFonts w:hint="eastAsia"/>
                <w:color w:val="auto"/>
                <w:sz w:val="20"/>
                <w:szCs w:val="20"/>
                <w:highlight w:val="none"/>
              </w:rPr>
              <w:t>（万元）</w:t>
            </w:r>
          </w:p>
        </w:tc>
        <w:tc>
          <w:tcPr>
            <w:tcW w:w="2000" w:type="dxa"/>
            <w:tcBorders>
              <w:top w:val="nil"/>
              <w:left w:val="nil"/>
              <w:bottom w:val="single" w:color="auto" w:sz="4" w:space="0"/>
              <w:right w:val="single" w:color="auto" w:sz="4" w:space="0"/>
            </w:tcBorders>
            <w:noWrap w:val="0"/>
            <w:vAlign w:val="center"/>
          </w:tcPr>
          <w:p w14:paraId="35A3B39E">
            <w:pPr>
              <w:rPr>
                <w:rFonts w:ascii="宋体" w:hAnsi="宋体" w:cs="宋体"/>
                <w:color w:val="auto"/>
                <w:sz w:val="20"/>
                <w:szCs w:val="20"/>
                <w:highlight w:val="none"/>
              </w:rPr>
            </w:pPr>
            <w:r>
              <w:rPr>
                <w:rFonts w:hint="eastAsia"/>
                <w:color w:val="auto"/>
                <w:sz w:val="20"/>
                <w:szCs w:val="20"/>
                <w:highlight w:val="none"/>
              </w:rPr>
              <w:t xml:space="preserve"> 中期资金总额：</w:t>
            </w:r>
          </w:p>
        </w:tc>
        <w:tc>
          <w:tcPr>
            <w:tcW w:w="1651" w:type="dxa"/>
            <w:gridSpan w:val="2"/>
            <w:tcBorders>
              <w:top w:val="single" w:color="auto" w:sz="4" w:space="0"/>
              <w:left w:val="nil"/>
              <w:bottom w:val="single" w:color="auto" w:sz="4" w:space="0"/>
              <w:right w:val="single" w:color="auto" w:sz="4" w:space="0"/>
            </w:tcBorders>
            <w:noWrap w:val="0"/>
            <w:vAlign w:val="center"/>
          </w:tcPr>
          <w:p w14:paraId="4F6D653C">
            <w:pPr>
              <w:jc w:val="center"/>
              <w:rPr>
                <w:rFonts w:ascii="宋体" w:hAnsi="宋体" w:cs="宋体"/>
                <w:color w:val="auto"/>
                <w:sz w:val="20"/>
                <w:szCs w:val="20"/>
                <w:highlight w:val="none"/>
              </w:rPr>
            </w:pPr>
            <w:r>
              <w:rPr>
                <w:rFonts w:hint="eastAsia"/>
                <w:color w:val="auto"/>
                <w:sz w:val="20"/>
                <w:szCs w:val="20"/>
                <w:highlight w:val="none"/>
              </w:rPr>
              <w:t>78</w:t>
            </w:r>
          </w:p>
        </w:tc>
        <w:tc>
          <w:tcPr>
            <w:tcW w:w="1929" w:type="dxa"/>
            <w:gridSpan w:val="2"/>
            <w:tcBorders>
              <w:top w:val="single" w:color="auto" w:sz="4" w:space="0"/>
              <w:left w:val="nil"/>
              <w:bottom w:val="single" w:color="auto" w:sz="4" w:space="0"/>
              <w:right w:val="single" w:color="auto" w:sz="4" w:space="0"/>
            </w:tcBorders>
            <w:noWrap w:val="0"/>
            <w:vAlign w:val="center"/>
          </w:tcPr>
          <w:p w14:paraId="36FB3EEA">
            <w:pPr>
              <w:rPr>
                <w:rFonts w:ascii="宋体" w:hAnsi="宋体" w:cs="宋体"/>
                <w:color w:val="auto"/>
                <w:sz w:val="20"/>
                <w:szCs w:val="20"/>
                <w:highlight w:val="none"/>
              </w:rPr>
            </w:pPr>
            <w:r>
              <w:rPr>
                <w:rFonts w:hint="eastAsia"/>
                <w:color w:val="auto"/>
                <w:sz w:val="20"/>
                <w:szCs w:val="20"/>
                <w:highlight w:val="none"/>
              </w:rPr>
              <w:t xml:space="preserve"> 年度资金总额：</w:t>
            </w:r>
          </w:p>
        </w:tc>
        <w:tc>
          <w:tcPr>
            <w:tcW w:w="1264" w:type="dxa"/>
            <w:gridSpan w:val="2"/>
            <w:tcBorders>
              <w:top w:val="single" w:color="auto" w:sz="4" w:space="0"/>
              <w:left w:val="nil"/>
              <w:bottom w:val="single" w:color="auto" w:sz="4" w:space="0"/>
              <w:right w:val="single" w:color="000000" w:sz="4" w:space="0"/>
            </w:tcBorders>
            <w:noWrap w:val="0"/>
            <w:vAlign w:val="center"/>
          </w:tcPr>
          <w:p w14:paraId="161D283A">
            <w:pPr>
              <w:jc w:val="center"/>
              <w:rPr>
                <w:rFonts w:ascii="宋体" w:hAnsi="宋体" w:cs="宋体"/>
                <w:color w:val="auto"/>
                <w:sz w:val="20"/>
                <w:szCs w:val="20"/>
                <w:highlight w:val="none"/>
              </w:rPr>
            </w:pPr>
            <w:r>
              <w:rPr>
                <w:rFonts w:hint="eastAsia"/>
                <w:color w:val="auto"/>
                <w:sz w:val="20"/>
                <w:szCs w:val="20"/>
                <w:highlight w:val="none"/>
              </w:rPr>
              <w:t>　78</w:t>
            </w:r>
          </w:p>
        </w:tc>
      </w:tr>
      <w:tr w14:paraId="6E68D2D2">
        <w:tblPrEx>
          <w:tblCellMar>
            <w:top w:w="0" w:type="dxa"/>
            <w:left w:w="108" w:type="dxa"/>
            <w:bottom w:w="0" w:type="dxa"/>
            <w:right w:w="108" w:type="dxa"/>
          </w:tblCellMar>
        </w:tblPrEx>
        <w:trPr>
          <w:trHeight w:val="330" w:hRule="atLeast"/>
        </w:trPr>
        <w:tc>
          <w:tcPr>
            <w:tcW w:w="2176"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14:paraId="49BF786F">
            <w:pPr>
              <w:rPr>
                <w:rFonts w:ascii="宋体" w:hAnsi="宋体" w:cs="宋体"/>
                <w:color w:val="auto"/>
                <w:sz w:val="20"/>
                <w:szCs w:val="20"/>
                <w:highlight w:val="none"/>
              </w:rPr>
            </w:pPr>
          </w:p>
        </w:tc>
        <w:tc>
          <w:tcPr>
            <w:tcW w:w="2000" w:type="dxa"/>
            <w:tcBorders>
              <w:top w:val="nil"/>
              <w:left w:val="nil"/>
              <w:bottom w:val="single" w:color="auto" w:sz="4" w:space="0"/>
              <w:right w:val="single" w:color="auto" w:sz="4" w:space="0"/>
            </w:tcBorders>
            <w:noWrap w:val="0"/>
            <w:vAlign w:val="center"/>
          </w:tcPr>
          <w:p w14:paraId="79E07EE0">
            <w:pPr>
              <w:rPr>
                <w:rFonts w:ascii="宋体" w:hAnsi="宋体" w:cs="宋体"/>
                <w:color w:val="auto"/>
                <w:sz w:val="20"/>
                <w:szCs w:val="20"/>
                <w:highlight w:val="none"/>
              </w:rPr>
            </w:pPr>
            <w:r>
              <w:rPr>
                <w:rFonts w:hint="eastAsia"/>
                <w:color w:val="auto"/>
                <w:sz w:val="20"/>
                <w:szCs w:val="20"/>
                <w:highlight w:val="none"/>
              </w:rPr>
              <w:t xml:space="preserve">   其中：财政拨款</w:t>
            </w:r>
          </w:p>
        </w:tc>
        <w:tc>
          <w:tcPr>
            <w:tcW w:w="1651" w:type="dxa"/>
            <w:gridSpan w:val="2"/>
            <w:tcBorders>
              <w:top w:val="single" w:color="auto" w:sz="4" w:space="0"/>
              <w:left w:val="nil"/>
              <w:bottom w:val="single" w:color="auto" w:sz="4" w:space="0"/>
              <w:right w:val="single" w:color="auto" w:sz="4" w:space="0"/>
            </w:tcBorders>
            <w:noWrap w:val="0"/>
            <w:vAlign w:val="center"/>
          </w:tcPr>
          <w:p w14:paraId="5A5D6159">
            <w:pPr>
              <w:jc w:val="center"/>
              <w:rPr>
                <w:rFonts w:ascii="宋体" w:hAnsi="宋体" w:cs="宋体"/>
                <w:color w:val="auto"/>
                <w:sz w:val="20"/>
                <w:szCs w:val="20"/>
                <w:highlight w:val="none"/>
              </w:rPr>
            </w:pPr>
            <w:r>
              <w:rPr>
                <w:rFonts w:hint="eastAsia"/>
                <w:color w:val="auto"/>
                <w:sz w:val="20"/>
                <w:szCs w:val="20"/>
                <w:highlight w:val="none"/>
              </w:rPr>
              <w:t>78</w:t>
            </w:r>
          </w:p>
        </w:tc>
        <w:tc>
          <w:tcPr>
            <w:tcW w:w="1929" w:type="dxa"/>
            <w:gridSpan w:val="2"/>
            <w:tcBorders>
              <w:top w:val="single" w:color="auto" w:sz="4" w:space="0"/>
              <w:left w:val="nil"/>
              <w:bottom w:val="single" w:color="auto" w:sz="4" w:space="0"/>
              <w:right w:val="single" w:color="auto" w:sz="4" w:space="0"/>
            </w:tcBorders>
            <w:noWrap w:val="0"/>
            <w:vAlign w:val="center"/>
          </w:tcPr>
          <w:p w14:paraId="33575A2C">
            <w:pPr>
              <w:rPr>
                <w:rFonts w:ascii="宋体" w:hAnsi="宋体" w:cs="宋体"/>
                <w:color w:val="auto"/>
                <w:sz w:val="20"/>
                <w:szCs w:val="20"/>
                <w:highlight w:val="none"/>
              </w:rPr>
            </w:pPr>
            <w:r>
              <w:rPr>
                <w:rFonts w:hint="eastAsia"/>
                <w:color w:val="auto"/>
                <w:sz w:val="20"/>
                <w:szCs w:val="20"/>
                <w:highlight w:val="none"/>
              </w:rPr>
              <w:t xml:space="preserve">   其中：财政拨款</w:t>
            </w:r>
          </w:p>
        </w:tc>
        <w:tc>
          <w:tcPr>
            <w:tcW w:w="1264" w:type="dxa"/>
            <w:gridSpan w:val="2"/>
            <w:tcBorders>
              <w:top w:val="single" w:color="auto" w:sz="4" w:space="0"/>
              <w:left w:val="nil"/>
              <w:bottom w:val="single" w:color="auto" w:sz="4" w:space="0"/>
              <w:right w:val="single" w:color="000000" w:sz="4" w:space="0"/>
            </w:tcBorders>
            <w:noWrap w:val="0"/>
            <w:vAlign w:val="center"/>
          </w:tcPr>
          <w:p w14:paraId="566B36AD">
            <w:pPr>
              <w:jc w:val="center"/>
              <w:rPr>
                <w:rFonts w:ascii="宋体" w:hAnsi="宋体" w:cs="宋体"/>
                <w:color w:val="auto"/>
                <w:sz w:val="20"/>
                <w:szCs w:val="20"/>
                <w:highlight w:val="none"/>
              </w:rPr>
            </w:pPr>
            <w:r>
              <w:rPr>
                <w:rFonts w:hint="eastAsia"/>
                <w:color w:val="auto"/>
                <w:sz w:val="20"/>
                <w:szCs w:val="20"/>
                <w:highlight w:val="none"/>
              </w:rPr>
              <w:t>78</w:t>
            </w:r>
          </w:p>
        </w:tc>
      </w:tr>
      <w:tr w14:paraId="2A48891B">
        <w:tblPrEx>
          <w:tblCellMar>
            <w:top w:w="0" w:type="dxa"/>
            <w:left w:w="108" w:type="dxa"/>
            <w:bottom w:w="0" w:type="dxa"/>
            <w:right w:w="108" w:type="dxa"/>
          </w:tblCellMar>
        </w:tblPrEx>
        <w:trPr>
          <w:trHeight w:val="330" w:hRule="atLeast"/>
        </w:trPr>
        <w:tc>
          <w:tcPr>
            <w:tcW w:w="2176"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14:paraId="07E7A9FB">
            <w:pPr>
              <w:rPr>
                <w:rFonts w:ascii="宋体" w:hAnsi="宋体" w:cs="宋体"/>
                <w:color w:val="auto"/>
                <w:sz w:val="20"/>
                <w:szCs w:val="20"/>
                <w:highlight w:val="none"/>
              </w:rPr>
            </w:pPr>
          </w:p>
        </w:tc>
        <w:tc>
          <w:tcPr>
            <w:tcW w:w="2000" w:type="dxa"/>
            <w:tcBorders>
              <w:top w:val="nil"/>
              <w:left w:val="nil"/>
              <w:bottom w:val="single" w:color="auto" w:sz="4" w:space="0"/>
              <w:right w:val="single" w:color="auto" w:sz="4" w:space="0"/>
            </w:tcBorders>
            <w:noWrap w:val="0"/>
            <w:vAlign w:val="center"/>
          </w:tcPr>
          <w:p w14:paraId="6E628F6F">
            <w:pPr>
              <w:rPr>
                <w:rFonts w:ascii="宋体" w:hAnsi="宋体" w:cs="宋体"/>
                <w:color w:val="auto"/>
                <w:sz w:val="20"/>
                <w:szCs w:val="20"/>
                <w:highlight w:val="none"/>
              </w:rPr>
            </w:pPr>
            <w:r>
              <w:rPr>
                <w:rFonts w:hint="eastAsia"/>
                <w:color w:val="auto"/>
                <w:sz w:val="20"/>
                <w:szCs w:val="20"/>
                <w:highlight w:val="none"/>
              </w:rPr>
              <w:t xml:space="preserve">        其他资金</w:t>
            </w:r>
          </w:p>
        </w:tc>
        <w:tc>
          <w:tcPr>
            <w:tcW w:w="1651" w:type="dxa"/>
            <w:gridSpan w:val="2"/>
            <w:tcBorders>
              <w:top w:val="single" w:color="auto" w:sz="4" w:space="0"/>
              <w:left w:val="nil"/>
              <w:bottom w:val="single" w:color="auto" w:sz="4" w:space="0"/>
              <w:right w:val="single" w:color="000000" w:sz="4" w:space="0"/>
            </w:tcBorders>
            <w:noWrap w:val="0"/>
            <w:vAlign w:val="center"/>
          </w:tcPr>
          <w:p w14:paraId="3D6B003A">
            <w:pPr>
              <w:jc w:val="center"/>
              <w:rPr>
                <w:rFonts w:ascii="宋体" w:hAnsi="宋体" w:cs="宋体"/>
                <w:color w:val="auto"/>
                <w:sz w:val="20"/>
                <w:szCs w:val="20"/>
                <w:highlight w:val="none"/>
              </w:rPr>
            </w:pPr>
            <w:r>
              <w:rPr>
                <w:rFonts w:hint="eastAsia"/>
                <w:color w:val="auto"/>
                <w:sz w:val="20"/>
                <w:szCs w:val="20"/>
                <w:highlight w:val="none"/>
              </w:rPr>
              <w:t>　</w:t>
            </w:r>
          </w:p>
        </w:tc>
        <w:tc>
          <w:tcPr>
            <w:tcW w:w="1929" w:type="dxa"/>
            <w:gridSpan w:val="2"/>
            <w:tcBorders>
              <w:top w:val="single" w:color="auto" w:sz="4" w:space="0"/>
              <w:left w:val="nil"/>
              <w:bottom w:val="single" w:color="auto" w:sz="4" w:space="0"/>
              <w:right w:val="single" w:color="auto" w:sz="4" w:space="0"/>
            </w:tcBorders>
            <w:noWrap w:val="0"/>
            <w:vAlign w:val="center"/>
          </w:tcPr>
          <w:p w14:paraId="5A8366B2">
            <w:pPr>
              <w:rPr>
                <w:rFonts w:ascii="宋体" w:hAnsi="宋体" w:cs="宋体"/>
                <w:color w:val="auto"/>
                <w:sz w:val="20"/>
                <w:szCs w:val="20"/>
                <w:highlight w:val="none"/>
              </w:rPr>
            </w:pPr>
            <w:r>
              <w:rPr>
                <w:rFonts w:hint="eastAsia"/>
                <w:color w:val="auto"/>
                <w:sz w:val="20"/>
                <w:szCs w:val="20"/>
                <w:highlight w:val="none"/>
              </w:rPr>
              <w:t xml:space="preserve">         其他资金</w:t>
            </w:r>
          </w:p>
        </w:tc>
        <w:tc>
          <w:tcPr>
            <w:tcW w:w="1264" w:type="dxa"/>
            <w:gridSpan w:val="2"/>
            <w:tcBorders>
              <w:top w:val="single" w:color="auto" w:sz="4" w:space="0"/>
              <w:left w:val="nil"/>
              <w:bottom w:val="single" w:color="auto" w:sz="4" w:space="0"/>
              <w:right w:val="single" w:color="000000" w:sz="4" w:space="0"/>
            </w:tcBorders>
            <w:noWrap w:val="0"/>
            <w:vAlign w:val="center"/>
          </w:tcPr>
          <w:p w14:paraId="712314D6">
            <w:pPr>
              <w:jc w:val="center"/>
              <w:rPr>
                <w:rFonts w:ascii="宋体" w:hAnsi="宋体" w:cs="宋体"/>
                <w:color w:val="auto"/>
                <w:sz w:val="20"/>
                <w:szCs w:val="20"/>
                <w:highlight w:val="none"/>
              </w:rPr>
            </w:pPr>
            <w:r>
              <w:rPr>
                <w:rFonts w:hint="eastAsia"/>
                <w:color w:val="auto"/>
                <w:sz w:val="20"/>
                <w:szCs w:val="20"/>
                <w:highlight w:val="none"/>
              </w:rPr>
              <w:t>　</w:t>
            </w:r>
          </w:p>
        </w:tc>
      </w:tr>
      <w:tr w14:paraId="7E2BB34A">
        <w:tblPrEx>
          <w:tblCellMar>
            <w:top w:w="0" w:type="dxa"/>
            <w:left w:w="108" w:type="dxa"/>
            <w:bottom w:w="0" w:type="dxa"/>
            <w:right w:w="108" w:type="dxa"/>
          </w:tblCellMar>
        </w:tblPrEx>
        <w:trPr>
          <w:trHeight w:val="330" w:hRule="atLeast"/>
        </w:trPr>
        <w:tc>
          <w:tcPr>
            <w:tcW w:w="416" w:type="dxa"/>
            <w:vMerge w:val="restart"/>
            <w:tcBorders>
              <w:top w:val="nil"/>
              <w:left w:val="single" w:color="auto" w:sz="4" w:space="0"/>
              <w:bottom w:val="single" w:color="auto" w:sz="4" w:space="0"/>
              <w:right w:val="single" w:color="auto" w:sz="4" w:space="0"/>
            </w:tcBorders>
            <w:noWrap w:val="0"/>
            <w:vAlign w:val="center"/>
          </w:tcPr>
          <w:p w14:paraId="7D79D51D">
            <w:pPr>
              <w:jc w:val="center"/>
              <w:rPr>
                <w:rFonts w:ascii="宋体" w:hAnsi="宋体" w:cs="宋体"/>
                <w:color w:val="auto"/>
                <w:sz w:val="20"/>
                <w:szCs w:val="20"/>
                <w:highlight w:val="none"/>
              </w:rPr>
            </w:pPr>
            <w:r>
              <w:rPr>
                <w:rFonts w:hint="eastAsia"/>
                <w:color w:val="auto"/>
                <w:sz w:val="20"/>
                <w:szCs w:val="20"/>
                <w:highlight w:val="none"/>
              </w:rPr>
              <w:t>总</w:t>
            </w:r>
            <w:r>
              <w:rPr>
                <w:rFonts w:hint="eastAsia"/>
                <w:color w:val="auto"/>
                <w:sz w:val="20"/>
                <w:szCs w:val="20"/>
                <w:highlight w:val="none"/>
              </w:rPr>
              <w:br w:type="textWrapping"/>
            </w:r>
            <w:r>
              <w:rPr>
                <w:rFonts w:hint="eastAsia"/>
                <w:color w:val="auto"/>
                <w:sz w:val="20"/>
                <w:szCs w:val="20"/>
                <w:highlight w:val="none"/>
              </w:rPr>
              <w:t>体</w:t>
            </w:r>
            <w:r>
              <w:rPr>
                <w:rFonts w:hint="eastAsia"/>
                <w:color w:val="auto"/>
                <w:sz w:val="20"/>
                <w:szCs w:val="20"/>
                <w:highlight w:val="none"/>
              </w:rPr>
              <w:br w:type="textWrapping"/>
            </w:r>
            <w:r>
              <w:rPr>
                <w:rFonts w:hint="eastAsia"/>
                <w:color w:val="auto"/>
                <w:sz w:val="20"/>
                <w:szCs w:val="20"/>
                <w:highlight w:val="none"/>
              </w:rPr>
              <w:t>目</w:t>
            </w:r>
            <w:r>
              <w:rPr>
                <w:rFonts w:hint="eastAsia"/>
                <w:color w:val="auto"/>
                <w:sz w:val="20"/>
                <w:szCs w:val="20"/>
                <w:highlight w:val="none"/>
              </w:rPr>
              <w:br w:type="textWrapping"/>
            </w:r>
            <w:r>
              <w:rPr>
                <w:rFonts w:hint="eastAsia"/>
                <w:color w:val="auto"/>
                <w:sz w:val="20"/>
                <w:szCs w:val="20"/>
                <w:highlight w:val="none"/>
              </w:rPr>
              <w:t>标</w:t>
            </w:r>
          </w:p>
        </w:tc>
        <w:tc>
          <w:tcPr>
            <w:tcW w:w="5411" w:type="dxa"/>
            <w:gridSpan w:val="5"/>
            <w:tcBorders>
              <w:top w:val="single" w:color="auto" w:sz="4" w:space="0"/>
              <w:left w:val="nil"/>
              <w:bottom w:val="single" w:color="auto" w:sz="4" w:space="0"/>
              <w:right w:val="nil"/>
            </w:tcBorders>
            <w:noWrap w:val="0"/>
            <w:vAlign w:val="center"/>
          </w:tcPr>
          <w:p w14:paraId="412AD882">
            <w:pPr>
              <w:jc w:val="center"/>
              <w:rPr>
                <w:rFonts w:ascii="宋体" w:hAnsi="宋体" w:cs="宋体"/>
                <w:color w:val="auto"/>
                <w:sz w:val="20"/>
                <w:szCs w:val="20"/>
                <w:highlight w:val="none"/>
              </w:rPr>
            </w:pPr>
            <w:r>
              <w:rPr>
                <w:rFonts w:hint="eastAsia"/>
                <w:color w:val="auto"/>
                <w:sz w:val="20"/>
                <w:szCs w:val="20"/>
                <w:highlight w:val="none"/>
              </w:rPr>
              <w:t>中期目标（2023年-2024年）</w:t>
            </w:r>
          </w:p>
        </w:tc>
        <w:tc>
          <w:tcPr>
            <w:tcW w:w="3193" w:type="dxa"/>
            <w:gridSpan w:val="4"/>
            <w:tcBorders>
              <w:top w:val="single" w:color="auto" w:sz="4" w:space="0"/>
              <w:left w:val="single" w:color="auto" w:sz="4" w:space="0"/>
              <w:bottom w:val="single" w:color="auto" w:sz="4" w:space="0"/>
              <w:right w:val="single" w:color="000000" w:sz="4" w:space="0"/>
            </w:tcBorders>
            <w:noWrap w:val="0"/>
            <w:vAlign w:val="center"/>
          </w:tcPr>
          <w:p w14:paraId="676020C9">
            <w:pPr>
              <w:jc w:val="center"/>
              <w:rPr>
                <w:rFonts w:ascii="宋体" w:hAnsi="宋体" w:cs="宋体"/>
                <w:color w:val="auto"/>
                <w:sz w:val="20"/>
                <w:szCs w:val="20"/>
                <w:highlight w:val="none"/>
              </w:rPr>
            </w:pPr>
            <w:r>
              <w:rPr>
                <w:rFonts w:hint="eastAsia"/>
                <w:color w:val="auto"/>
                <w:sz w:val="20"/>
                <w:szCs w:val="20"/>
                <w:highlight w:val="none"/>
              </w:rPr>
              <w:t>年度目标</w:t>
            </w:r>
          </w:p>
        </w:tc>
      </w:tr>
      <w:tr w14:paraId="6BC0ED41">
        <w:tblPrEx>
          <w:tblCellMar>
            <w:top w:w="0" w:type="dxa"/>
            <w:left w:w="108" w:type="dxa"/>
            <w:bottom w:w="0" w:type="dxa"/>
            <w:right w:w="108" w:type="dxa"/>
          </w:tblCellMar>
        </w:tblPrEx>
        <w:trPr>
          <w:trHeight w:val="660" w:hRule="atLeast"/>
        </w:trPr>
        <w:tc>
          <w:tcPr>
            <w:tcW w:w="416" w:type="dxa"/>
            <w:vMerge w:val="continue"/>
            <w:tcBorders>
              <w:top w:val="nil"/>
              <w:left w:val="single" w:color="auto" w:sz="4" w:space="0"/>
              <w:bottom w:val="single" w:color="auto" w:sz="4" w:space="0"/>
              <w:right w:val="single" w:color="auto" w:sz="4" w:space="0"/>
            </w:tcBorders>
            <w:noWrap w:val="0"/>
            <w:vAlign w:val="center"/>
          </w:tcPr>
          <w:p w14:paraId="70720E8E">
            <w:pPr>
              <w:rPr>
                <w:rFonts w:ascii="宋体" w:hAnsi="宋体" w:cs="宋体"/>
                <w:color w:val="auto"/>
                <w:sz w:val="20"/>
                <w:szCs w:val="20"/>
                <w:highlight w:val="none"/>
              </w:rPr>
            </w:pPr>
          </w:p>
        </w:tc>
        <w:tc>
          <w:tcPr>
            <w:tcW w:w="5411" w:type="dxa"/>
            <w:gridSpan w:val="5"/>
            <w:tcBorders>
              <w:top w:val="single" w:color="auto" w:sz="4" w:space="0"/>
              <w:left w:val="nil"/>
              <w:bottom w:val="single" w:color="auto" w:sz="4" w:space="0"/>
              <w:right w:val="nil"/>
            </w:tcBorders>
            <w:noWrap w:val="0"/>
            <w:vAlign w:val="top"/>
          </w:tcPr>
          <w:p w14:paraId="4A7B19DF">
            <w:pPr>
              <w:rPr>
                <w:rFonts w:ascii="宋体" w:hAnsi="宋体" w:cs="宋体"/>
                <w:color w:val="auto"/>
                <w:sz w:val="20"/>
                <w:szCs w:val="20"/>
                <w:highlight w:val="none"/>
              </w:rPr>
            </w:pPr>
            <w:r>
              <w:rPr>
                <w:rFonts w:hint="eastAsia"/>
                <w:color w:val="auto"/>
                <w:sz w:val="20"/>
                <w:szCs w:val="20"/>
                <w:highlight w:val="none"/>
              </w:rPr>
              <w:t xml:space="preserve"> 目标1：完成目标任务数5820人</w:t>
            </w:r>
          </w:p>
        </w:tc>
        <w:tc>
          <w:tcPr>
            <w:tcW w:w="3193" w:type="dxa"/>
            <w:gridSpan w:val="4"/>
            <w:tcBorders>
              <w:top w:val="single" w:color="auto" w:sz="4" w:space="0"/>
              <w:left w:val="single" w:color="auto" w:sz="4" w:space="0"/>
              <w:bottom w:val="single" w:color="auto" w:sz="4" w:space="0"/>
              <w:right w:val="single" w:color="000000" w:sz="4" w:space="0"/>
            </w:tcBorders>
            <w:noWrap w:val="0"/>
            <w:vAlign w:val="top"/>
          </w:tcPr>
          <w:p w14:paraId="4BFAF100">
            <w:pPr>
              <w:rPr>
                <w:rFonts w:ascii="宋体" w:hAnsi="宋体" w:cs="宋体"/>
                <w:color w:val="auto"/>
                <w:sz w:val="20"/>
                <w:szCs w:val="20"/>
                <w:highlight w:val="none"/>
              </w:rPr>
            </w:pPr>
            <w:r>
              <w:rPr>
                <w:rFonts w:hint="eastAsia"/>
                <w:color w:val="auto"/>
                <w:sz w:val="20"/>
                <w:szCs w:val="20"/>
                <w:highlight w:val="none"/>
              </w:rPr>
              <w:t xml:space="preserve"> 目标1：完成目标任务数5820人</w:t>
            </w:r>
          </w:p>
        </w:tc>
      </w:tr>
      <w:tr w14:paraId="29ABE9E5">
        <w:tblPrEx>
          <w:tblCellMar>
            <w:top w:w="0" w:type="dxa"/>
            <w:left w:w="108" w:type="dxa"/>
            <w:bottom w:w="0" w:type="dxa"/>
            <w:right w:w="108" w:type="dxa"/>
          </w:tblCellMar>
        </w:tblPrEx>
        <w:trPr>
          <w:trHeight w:val="830" w:hRule="atLeast"/>
        </w:trPr>
        <w:tc>
          <w:tcPr>
            <w:tcW w:w="416" w:type="dxa"/>
            <w:vMerge w:val="restart"/>
            <w:tcBorders>
              <w:top w:val="nil"/>
              <w:left w:val="single" w:color="auto" w:sz="4" w:space="0"/>
              <w:bottom w:val="single" w:color="000000" w:sz="4" w:space="0"/>
              <w:right w:val="single" w:color="auto" w:sz="4" w:space="0"/>
            </w:tcBorders>
            <w:noWrap w:val="0"/>
            <w:vAlign w:val="center"/>
          </w:tcPr>
          <w:p w14:paraId="36F5526E">
            <w:pPr>
              <w:jc w:val="center"/>
              <w:rPr>
                <w:rFonts w:ascii="宋体" w:hAnsi="宋体" w:cs="宋体"/>
                <w:color w:val="auto"/>
                <w:sz w:val="20"/>
                <w:szCs w:val="20"/>
                <w:highlight w:val="none"/>
              </w:rPr>
            </w:pPr>
            <w:r>
              <w:rPr>
                <w:rFonts w:hint="eastAsia"/>
                <w:color w:val="auto"/>
                <w:sz w:val="20"/>
                <w:szCs w:val="20"/>
                <w:highlight w:val="none"/>
              </w:rPr>
              <w:t>绩</w:t>
            </w:r>
            <w:r>
              <w:rPr>
                <w:rFonts w:hint="eastAsia"/>
                <w:color w:val="auto"/>
                <w:sz w:val="20"/>
                <w:szCs w:val="20"/>
                <w:highlight w:val="none"/>
              </w:rPr>
              <w:br w:type="textWrapping"/>
            </w:r>
            <w:r>
              <w:rPr>
                <w:rFonts w:hint="eastAsia"/>
                <w:color w:val="auto"/>
                <w:sz w:val="20"/>
                <w:szCs w:val="20"/>
                <w:highlight w:val="none"/>
              </w:rPr>
              <w:t>效</w:t>
            </w:r>
            <w:r>
              <w:rPr>
                <w:rFonts w:hint="eastAsia"/>
                <w:color w:val="auto"/>
                <w:sz w:val="20"/>
                <w:szCs w:val="20"/>
                <w:highlight w:val="none"/>
              </w:rPr>
              <w:br w:type="textWrapping"/>
            </w:r>
            <w:r>
              <w:rPr>
                <w:rFonts w:hint="eastAsia"/>
                <w:color w:val="auto"/>
                <w:sz w:val="20"/>
                <w:szCs w:val="20"/>
                <w:highlight w:val="none"/>
              </w:rPr>
              <w:t>指</w:t>
            </w:r>
            <w:r>
              <w:rPr>
                <w:rFonts w:hint="eastAsia"/>
                <w:color w:val="auto"/>
                <w:sz w:val="20"/>
                <w:szCs w:val="20"/>
                <w:highlight w:val="none"/>
              </w:rPr>
              <w:br w:type="textWrapping"/>
            </w:r>
            <w:r>
              <w:rPr>
                <w:rFonts w:hint="eastAsia"/>
                <w:color w:val="auto"/>
                <w:sz w:val="20"/>
                <w:szCs w:val="20"/>
                <w:highlight w:val="none"/>
              </w:rPr>
              <w:t>标</w:t>
            </w:r>
          </w:p>
        </w:tc>
        <w:tc>
          <w:tcPr>
            <w:tcW w:w="820" w:type="dxa"/>
            <w:tcBorders>
              <w:top w:val="nil"/>
              <w:left w:val="nil"/>
              <w:bottom w:val="nil"/>
              <w:right w:val="single" w:color="auto" w:sz="4" w:space="0"/>
            </w:tcBorders>
            <w:noWrap w:val="0"/>
            <w:vAlign w:val="center"/>
          </w:tcPr>
          <w:p w14:paraId="045C5D25">
            <w:pPr>
              <w:jc w:val="center"/>
              <w:rPr>
                <w:rFonts w:ascii="宋体" w:hAnsi="宋体" w:cs="宋体"/>
                <w:color w:val="auto"/>
                <w:sz w:val="20"/>
                <w:szCs w:val="20"/>
                <w:highlight w:val="none"/>
              </w:rPr>
            </w:pPr>
            <w:r>
              <w:rPr>
                <w:rFonts w:hint="eastAsia"/>
                <w:color w:val="auto"/>
                <w:sz w:val="20"/>
                <w:szCs w:val="20"/>
                <w:highlight w:val="none"/>
              </w:rPr>
              <w:t>一级</w:t>
            </w:r>
            <w:r>
              <w:rPr>
                <w:rFonts w:hint="eastAsia"/>
                <w:color w:val="auto"/>
                <w:sz w:val="20"/>
                <w:szCs w:val="20"/>
                <w:highlight w:val="none"/>
              </w:rPr>
              <w:br w:type="textWrapping"/>
            </w:r>
            <w:r>
              <w:rPr>
                <w:rFonts w:hint="eastAsia"/>
                <w:color w:val="auto"/>
                <w:sz w:val="20"/>
                <w:szCs w:val="20"/>
                <w:highlight w:val="none"/>
              </w:rPr>
              <w:t>指标</w:t>
            </w:r>
          </w:p>
        </w:tc>
        <w:tc>
          <w:tcPr>
            <w:tcW w:w="940" w:type="dxa"/>
            <w:tcBorders>
              <w:top w:val="nil"/>
              <w:left w:val="nil"/>
              <w:bottom w:val="single" w:color="auto" w:sz="4" w:space="0"/>
              <w:right w:val="single" w:color="auto" w:sz="4" w:space="0"/>
            </w:tcBorders>
            <w:noWrap w:val="0"/>
            <w:vAlign w:val="center"/>
          </w:tcPr>
          <w:p w14:paraId="51411226">
            <w:pPr>
              <w:jc w:val="center"/>
              <w:rPr>
                <w:color w:val="auto"/>
                <w:sz w:val="20"/>
                <w:szCs w:val="20"/>
                <w:highlight w:val="none"/>
              </w:rPr>
            </w:pPr>
            <w:r>
              <w:rPr>
                <w:rFonts w:hint="eastAsia"/>
                <w:color w:val="auto"/>
                <w:sz w:val="20"/>
                <w:szCs w:val="20"/>
                <w:highlight w:val="none"/>
              </w:rPr>
              <w:t>二级</w:t>
            </w:r>
          </w:p>
          <w:p w14:paraId="4946F738">
            <w:pPr>
              <w:jc w:val="center"/>
              <w:rPr>
                <w:rFonts w:ascii="宋体" w:hAnsi="宋体" w:cs="宋体"/>
                <w:color w:val="auto"/>
                <w:sz w:val="20"/>
                <w:szCs w:val="20"/>
                <w:highlight w:val="none"/>
              </w:rPr>
            </w:pPr>
            <w:r>
              <w:rPr>
                <w:rFonts w:hint="eastAsia"/>
                <w:color w:val="auto"/>
                <w:sz w:val="20"/>
                <w:szCs w:val="20"/>
                <w:highlight w:val="none"/>
              </w:rPr>
              <w:t>指标</w:t>
            </w:r>
          </w:p>
        </w:tc>
        <w:tc>
          <w:tcPr>
            <w:tcW w:w="2000" w:type="dxa"/>
            <w:tcBorders>
              <w:top w:val="nil"/>
              <w:left w:val="nil"/>
              <w:bottom w:val="single" w:color="auto" w:sz="4" w:space="0"/>
              <w:right w:val="single" w:color="auto" w:sz="4" w:space="0"/>
            </w:tcBorders>
            <w:noWrap w:val="0"/>
            <w:vAlign w:val="center"/>
          </w:tcPr>
          <w:p w14:paraId="1F6A2600">
            <w:pPr>
              <w:jc w:val="center"/>
              <w:rPr>
                <w:rFonts w:ascii="宋体" w:hAnsi="宋体" w:cs="宋体"/>
                <w:color w:val="auto"/>
                <w:sz w:val="20"/>
                <w:szCs w:val="20"/>
                <w:highlight w:val="none"/>
              </w:rPr>
            </w:pPr>
            <w:r>
              <w:rPr>
                <w:rFonts w:hint="eastAsia"/>
                <w:color w:val="auto"/>
                <w:sz w:val="20"/>
                <w:szCs w:val="20"/>
                <w:highlight w:val="none"/>
              </w:rPr>
              <w:t>三级指标</w:t>
            </w:r>
          </w:p>
        </w:tc>
        <w:tc>
          <w:tcPr>
            <w:tcW w:w="860" w:type="dxa"/>
            <w:tcBorders>
              <w:top w:val="nil"/>
              <w:left w:val="nil"/>
              <w:bottom w:val="single" w:color="auto" w:sz="4" w:space="0"/>
              <w:right w:val="single" w:color="auto" w:sz="4" w:space="0"/>
            </w:tcBorders>
            <w:noWrap w:val="0"/>
            <w:vAlign w:val="center"/>
          </w:tcPr>
          <w:p w14:paraId="7FC15A0E">
            <w:pPr>
              <w:jc w:val="center"/>
              <w:rPr>
                <w:rFonts w:ascii="宋体" w:hAnsi="宋体" w:cs="宋体"/>
                <w:color w:val="auto"/>
                <w:sz w:val="20"/>
                <w:szCs w:val="20"/>
                <w:highlight w:val="none"/>
              </w:rPr>
            </w:pPr>
            <w:r>
              <w:rPr>
                <w:rFonts w:hint="eastAsia"/>
                <w:color w:val="auto"/>
                <w:sz w:val="20"/>
                <w:szCs w:val="20"/>
                <w:highlight w:val="none"/>
              </w:rPr>
              <w:t>指标值</w:t>
            </w:r>
          </w:p>
        </w:tc>
        <w:tc>
          <w:tcPr>
            <w:tcW w:w="791" w:type="dxa"/>
            <w:tcBorders>
              <w:top w:val="nil"/>
              <w:left w:val="nil"/>
              <w:bottom w:val="single" w:color="auto" w:sz="4" w:space="0"/>
              <w:right w:val="single" w:color="auto" w:sz="4" w:space="0"/>
            </w:tcBorders>
            <w:noWrap w:val="0"/>
            <w:vAlign w:val="center"/>
          </w:tcPr>
          <w:p w14:paraId="7A061B1C">
            <w:pPr>
              <w:jc w:val="center"/>
              <w:rPr>
                <w:rFonts w:ascii="宋体" w:hAnsi="宋体" w:cs="宋体"/>
                <w:color w:val="auto"/>
                <w:sz w:val="20"/>
                <w:szCs w:val="20"/>
                <w:highlight w:val="none"/>
              </w:rPr>
            </w:pPr>
            <w:r>
              <w:rPr>
                <w:rFonts w:hint="eastAsia"/>
                <w:color w:val="auto"/>
                <w:sz w:val="20"/>
                <w:szCs w:val="20"/>
                <w:highlight w:val="none"/>
              </w:rPr>
              <w:t>绩效标准</w:t>
            </w:r>
          </w:p>
        </w:tc>
        <w:tc>
          <w:tcPr>
            <w:tcW w:w="889" w:type="dxa"/>
            <w:tcBorders>
              <w:top w:val="nil"/>
              <w:left w:val="nil"/>
              <w:bottom w:val="single" w:color="auto" w:sz="4" w:space="0"/>
              <w:right w:val="single" w:color="auto" w:sz="4" w:space="0"/>
            </w:tcBorders>
            <w:noWrap w:val="0"/>
            <w:vAlign w:val="center"/>
          </w:tcPr>
          <w:p w14:paraId="7841A9A3">
            <w:pPr>
              <w:jc w:val="center"/>
              <w:rPr>
                <w:color w:val="auto"/>
                <w:sz w:val="20"/>
                <w:szCs w:val="20"/>
                <w:highlight w:val="none"/>
              </w:rPr>
            </w:pPr>
            <w:r>
              <w:rPr>
                <w:rFonts w:hint="eastAsia"/>
                <w:color w:val="auto"/>
                <w:sz w:val="20"/>
                <w:szCs w:val="20"/>
                <w:highlight w:val="none"/>
              </w:rPr>
              <w:t>二级</w:t>
            </w:r>
          </w:p>
          <w:p w14:paraId="09C1D4DA">
            <w:pPr>
              <w:jc w:val="center"/>
              <w:rPr>
                <w:rFonts w:ascii="宋体" w:hAnsi="宋体" w:cs="宋体"/>
                <w:color w:val="auto"/>
                <w:sz w:val="20"/>
                <w:szCs w:val="20"/>
                <w:highlight w:val="none"/>
              </w:rPr>
            </w:pPr>
            <w:r>
              <w:rPr>
                <w:rFonts w:hint="eastAsia"/>
                <w:color w:val="auto"/>
                <w:sz w:val="20"/>
                <w:szCs w:val="20"/>
                <w:highlight w:val="none"/>
              </w:rPr>
              <w:t>指标</w:t>
            </w:r>
          </w:p>
        </w:tc>
        <w:tc>
          <w:tcPr>
            <w:tcW w:w="1040" w:type="dxa"/>
            <w:tcBorders>
              <w:top w:val="nil"/>
              <w:left w:val="nil"/>
              <w:bottom w:val="single" w:color="auto" w:sz="4" w:space="0"/>
              <w:right w:val="nil"/>
            </w:tcBorders>
            <w:noWrap w:val="0"/>
            <w:vAlign w:val="center"/>
          </w:tcPr>
          <w:p w14:paraId="57D07B4A">
            <w:pPr>
              <w:jc w:val="center"/>
              <w:rPr>
                <w:rFonts w:ascii="宋体" w:hAnsi="宋体" w:cs="宋体"/>
                <w:color w:val="auto"/>
                <w:sz w:val="20"/>
                <w:szCs w:val="20"/>
                <w:highlight w:val="none"/>
              </w:rPr>
            </w:pPr>
            <w:r>
              <w:rPr>
                <w:rFonts w:hint="eastAsia"/>
                <w:color w:val="auto"/>
                <w:sz w:val="20"/>
                <w:szCs w:val="20"/>
                <w:highlight w:val="none"/>
              </w:rPr>
              <w:t>三级指标</w:t>
            </w:r>
          </w:p>
        </w:tc>
        <w:tc>
          <w:tcPr>
            <w:tcW w:w="623" w:type="dxa"/>
            <w:tcBorders>
              <w:top w:val="nil"/>
              <w:left w:val="single" w:color="auto" w:sz="4" w:space="0"/>
              <w:bottom w:val="single" w:color="auto" w:sz="4" w:space="0"/>
              <w:right w:val="single" w:color="auto" w:sz="4" w:space="0"/>
            </w:tcBorders>
            <w:noWrap w:val="0"/>
            <w:vAlign w:val="center"/>
          </w:tcPr>
          <w:p w14:paraId="01713291">
            <w:pPr>
              <w:jc w:val="center"/>
              <w:rPr>
                <w:rFonts w:ascii="宋体" w:hAnsi="宋体" w:cs="宋体"/>
                <w:color w:val="auto"/>
                <w:sz w:val="20"/>
                <w:szCs w:val="20"/>
                <w:highlight w:val="none"/>
              </w:rPr>
            </w:pPr>
            <w:r>
              <w:rPr>
                <w:rFonts w:hint="eastAsia"/>
                <w:color w:val="auto"/>
                <w:sz w:val="20"/>
                <w:szCs w:val="20"/>
                <w:highlight w:val="none"/>
              </w:rPr>
              <w:t>指标值</w:t>
            </w:r>
          </w:p>
        </w:tc>
        <w:tc>
          <w:tcPr>
            <w:tcW w:w="641" w:type="dxa"/>
            <w:tcBorders>
              <w:top w:val="nil"/>
              <w:left w:val="nil"/>
              <w:bottom w:val="single" w:color="auto" w:sz="4" w:space="0"/>
              <w:right w:val="single" w:color="auto" w:sz="4" w:space="0"/>
            </w:tcBorders>
            <w:noWrap w:val="0"/>
            <w:vAlign w:val="center"/>
          </w:tcPr>
          <w:p w14:paraId="4CD67601">
            <w:pPr>
              <w:jc w:val="center"/>
              <w:rPr>
                <w:rFonts w:ascii="宋体" w:hAnsi="宋体" w:cs="宋体"/>
                <w:color w:val="auto"/>
                <w:sz w:val="20"/>
                <w:szCs w:val="20"/>
                <w:highlight w:val="none"/>
              </w:rPr>
            </w:pPr>
            <w:r>
              <w:rPr>
                <w:rFonts w:hint="eastAsia"/>
                <w:color w:val="auto"/>
                <w:sz w:val="20"/>
                <w:szCs w:val="20"/>
                <w:highlight w:val="none"/>
              </w:rPr>
              <w:t>绩效标准</w:t>
            </w:r>
          </w:p>
        </w:tc>
      </w:tr>
      <w:tr w14:paraId="55868EC9">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2E9C19F4">
            <w:pPr>
              <w:rPr>
                <w:rFonts w:ascii="宋体" w:hAnsi="宋体" w:cs="宋体"/>
                <w:color w:val="auto"/>
                <w:sz w:val="20"/>
                <w:szCs w:val="20"/>
                <w:highlight w:val="none"/>
              </w:rPr>
            </w:pPr>
          </w:p>
        </w:tc>
        <w:tc>
          <w:tcPr>
            <w:tcW w:w="820" w:type="dxa"/>
            <w:vMerge w:val="restart"/>
            <w:tcBorders>
              <w:top w:val="single" w:color="auto" w:sz="4" w:space="0"/>
              <w:left w:val="single" w:color="auto" w:sz="4" w:space="0"/>
              <w:bottom w:val="single" w:color="auto" w:sz="4" w:space="0"/>
              <w:right w:val="single" w:color="auto" w:sz="4" w:space="0"/>
            </w:tcBorders>
            <w:noWrap w:val="0"/>
            <w:vAlign w:val="center"/>
          </w:tcPr>
          <w:p w14:paraId="7E9494A0">
            <w:pPr>
              <w:jc w:val="center"/>
              <w:rPr>
                <w:rFonts w:ascii="宋体" w:hAnsi="宋体" w:cs="宋体"/>
                <w:color w:val="auto"/>
                <w:sz w:val="20"/>
                <w:szCs w:val="20"/>
                <w:highlight w:val="none"/>
              </w:rPr>
            </w:pPr>
            <w:r>
              <w:rPr>
                <w:rFonts w:hint="eastAsia"/>
                <w:color w:val="auto"/>
                <w:sz w:val="20"/>
                <w:szCs w:val="20"/>
                <w:highlight w:val="none"/>
              </w:rPr>
              <w:t>产</w:t>
            </w:r>
            <w:r>
              <w:rPr>
                <w:rFonts w:hint="eastAsia"/>
                <w:color w:val="auto"/>
                <w:sz w:val="20"/>
                <w:szCs w:val="20"/>
                <w:highlight w:val="none"/>
              </w:rPr>
              <w:br w:type="textWrapping"/>
            </w:r>
            <w:r>
              <w:rPr>
                <w:rFonts w:hint="eastAsia"/>
                <w:color w:val="auto"/>
                <w:sz w:val="20"/>
                <w:szCs w:val="20"/>
                <w:highlight w:val="none"/>
              </w:rPr>
              <w:t>出</w:t>
            </w:r>
            <w:r>
              <w:rPr>
                <w:rFonts w:hint="eastAsia"/>
                <w:color w:val="auto"/>
                <w:sz w:val="20"/>
                <w:szCs w:val="20"/>
                <w:highlight w:val="none"/>
              </w:rPr>
              <w:br w:type="textWrapping"/>
            </w:r>
            <w:r>
              <w:rPr>
                <w:rFonts w:hint="eastAsia"/>
                <w:color w:val="auto"/>
                <w:sz w:val="20"/>
                <w:szCs w:val="20"/>
                <w:highlight w:val="none"/>
              </w:rPr>
              <w:t>指</w:t>
            </w:r>
            <w:r>
              <w:rPr>
                <w:rFonts w:hint="eastAsia"/>
                <w:color w:val="auto"/>
                <w:sz w:val="20"/>
                <w:szCs w:val="20"/>
                <w:highlight w:val="none"/>
              </w:rPr>
              <w:br w:type="textWrapping"/>
            </w:r>
            <w:r>
              <w:rPr>
                <w:rFonts w:hint="eastAsia"/>
                <w:color w:val="auto"/>
                <w:sz w:val="20"/>
                <w:szCs w:val="20"/>
                <w:highlight w:val="none"/>
              </w:rPr>
              <w:t>标</w:t>
            </w:r>
          </w:p>
        </w:tc>
        <w:tc>
          <w:tcPr>
            <w:tcW w:w="940" w:type="dxa"/>
            <w:tcBorders>
              <w:top w:val="nil"/>
              <w:left w:val="single" w:color="auto" w:sz="4" w:space="0"/>
              <w:bottom w:val="single" w:color="000000" w:sz="4" w:space="0"/>
              <w:right w:val="single" w:color="auto" w:sz="4" w:space="0"/>
            </w:tcBorders>
            <w:noWrap w:val="0"/>
            <w:vAlign w:val="center"/>
          </w:tcPr>
          <w:p w14:paraId="6B3F01FE">
            <w:pPr>
              <w:jc w:val="center"/>
              <w:rPr>
                <w:color w:val="auto"/>
                <w:sz w:val="20"/>
                <w:szCs w:val="20"/>
                <w:highlight w:val="none"/>
              </w:rPr>
            </w:pPr>
            <w:r>
              <w:rPr>
                <w:rFonts w:hint="eastAsia"/>
                <w:color w:val="auto"/>
                <w:sz w:val="20"/>
                <w:szCs w:val="20"/>
                <w:highlight w:val="none"/>
              </w:rPr>
              <w:t>数量</w:t>
            </w:r>
          </w:p>
          <w:p w14:paraId="377C112B">
            <w:pPr>
              <w:jc w:val="center"/>
              <w:rPr>
                <w:rFonts w:ascii="宋体" w:hAnsi="宋体" w:cs="宋体"/>
                <w:color w:val="auto"/>
                <w:sz w:val="20"/>
                <w:szCs w:val="20"/>
                <w:highlight w:val="none"/>
              </w:rPr>
            </w:pPr>
            <w:r>
              <w:rPr>
                <w:rFonts w:hint="eastAsia"/>
                <w:color w:val="auto"/>
                <w:sz w:val="20"/>
                <w:szCs w:val="20"/>
                <w:highlight w:val="none"/>
              </w:rPr>
              <w:t>指标</w:t>
            </w:r>
          </w:p>
        </w:tc>
        <w:tc>
          <w:tcPr>
            <w:tcW w:w="2000" w:type="dxa"/>
            <w:tcBorders>
              <w:top w:val="nil"/>
              <w:left w:val="nil"/>
              <w:bottom w:val="single" w:color="auto" w:sz="4" w:space="0"/>
              <w:right w:val="single" w:color="auto" w:sz="4" w:space="0"/>
            </w:tcBorders>
            <w:noWrap w:val="0"/>
            <w:vAlign w:val="center"/>
          </w:tcPr>
          <w:p w14:paraId="4CD8AE17">
            <w:pPr>
              <w:rPr>
                <w:rFonts w:ascii="宋体" w:hAnsi="宋体" w:cs="宋体"/>
                <w:color w:val="auto"/>
                <w:sz w:val="20"/>
                <w:szCs w:val="20"/>
                <w:highlight w:val="none"/>
              </w:rPr>
            </w:pPr>
            <w:r>
              <w:rPr>
                <w:rFonts w:hint="eastAsia"/>
                <w:color w:val="auto"/>
                <w:sz w:val="20"/>
                <w:szCs w:val="20"/>
                <w:highlight w:val="none"/>
              </w:rPr>
              <w:t xml:space="preserve"> 指标1：完成检查人数</w:t>
            </w:r>
          </w:p>
        </w:tc>
        <w:tc>
          <w:tcPr>
            <w:tcW w:w="860" w:type="dxa"/>
            <w:tcBorders>
              <w:top w:val="nil"/>
              <w:left w:val="nil"/>
              <w:bottom w:val="single" w:color="auto" w:sz="4" w:space="0"/>
              <w:right w:val="single" w:color="auto" w:sz="4" w:space="0"/>
            </w:tcBorders>
            <w:noWrap w:val="0"/>
            <w:vAlign w:val="center"/>
          </w:tcPr>
          <w:p w14:paraId="48D2A599">
            <w:pPr>
              <w:rPr>
                <w:rFonts w:ascii="宋体" w:hAnsi="宋体" w:cs="宋体"/>
                <w:color w:val="auto"/>
                <w:sz w:val="20"/>
                <w:szCs w:val="20"/>
                <w:highlight w:val="none"/>
              </w:rPr>
            </w:pPr>
            <w:r>
              <w:rPr>
                <w:rFonts w:hint="eastAsia"/>
                <w:color w:val="auto"/>
                <w:sz w:val="20"/>
                <w:szCs w:val="20"/>
                <w:highlight w:val="none"/>
              </w:rPr>
              <w:t>　5820</w:t>
            </w:r>
          </w:p>
        </w:tc>
        <w:tc>
          <w:tcPr>
            <w:tcW w:w="791" w:type="dxa"/>
            <w:tcBorders>
              <w:top w:val="nil"/>
              <w:left w:val="nil"/>
              <w:bottom w:val="single" w:color="auto" w:sz="4" w:space="0"/>
              <w:right w:val="single" w:color="auto" w:sz="4" w:space="0"/>
            </w:tcBorders>
            <w:noWrap w:val="0"/>
            <w:vAlign w:val="center"/>
          </w:tcPr>
          <w:p w14:paraId="125CB570">
            <w:pPr>
              <w:rPr>
                <w:rFonts w:ascii="宋体" w:hAnsi="宋体" w:cs="宋体"/>
                <w:color w:val="auto"/>
                <w:sz w:val="20"/>
                <w:szCs w:val="20"/>
                <w:highlight w:val="none"/>
              </w:rPr>
            </w:pPr>
            <w:r>
              <w:rPr>
                <w:rFonts w:hint="eastAsia"/>
                <w:color w:val="auto"/>
                <w:sz w:val="20"/>
                <w:szCs w:val="20"/>
                <w:highlight w:val="none"/>
              </w:rPr>
              <w:t>　100%</w:t>
            </w:r>
          </w:p>
        </w:tc>
        <w:tc>
          <w:tcPr>
            <w:tcW w:w="889" w:type="dxa"/>
            <w:tcBorders>
              <w:top w:val="nil"/>
              <w:left w:val="single" w:color="auto" w:sz="4" w:space="0"/>
              <w:bottom w:val="single" w:color="000000" w:sz="4" w:space="0"/>
              <w:right w:val="single" w:color="auto" w:sz="4" w:space="0"/>
            </w:tcBorders>
            <w:noWrap w:val="0"/>
            <w:vAlign w:val="center"/>
          </w:tcPr>
          <w:p w14:paraId="3B12CE78">
            <w:pPr>
              <w:jc w:val="center"/>
              <w:rPr>
                <w:color w:val="auto"/>
                <w:sz w:val="20"/>
                <w:szCs w:val="20"/>
                <w:highlight w:val="none"/>
              </w:rPr>
            </w:pPr>
            <w:r>
              <w:rPr>
                <w:rFonts w:hint="eastAsia"/>
                <w:color w:val="auto"/>
                <w:sz w:val="20"/>
                <w:szCs w:val="20"/>
                <w:highlight w:val="none"/>
              </w:rPr>
              <w:t>数量</w:t>
            </w:r>
          </w:p>
          <w:p w14:paraId="08D03BF3">
            <w:pPr>
              <w:jc w:val="center"/>
              <w:rPr>
                <w:rFonts w:ascii="宋体" w:hAnsi="宋体" w:cs="宋体"/>
                <w:color w:val="auto"/>
                <w:sz w:val="20"/>
                <w:szCs w:val="20"/>
                <w:highlight w:val="none"/>
              </w:rPr>
            </w:pPr>
            <w:r>
              <w:rPr>
                <w:rFonts w:hint="eastAsia"/>
                <w:color w:val="auto"/>
                <w:sz w:val="20"/>
                <w:szCs w:val="20"/>
                <w:highlight w:val="none"/>
              </w:rPr>
              <w:t>指标</w:t>
            </w:r>
          </w:p>
        </w:tc>
        <w:tc>
          <w:tcPr>
            <w:tcW w:w="1040" w:type="dxa"/>
            <w:tcBorders>
              <w:top w:val="nil"/>
              <w:left w:val="nil"/>
              <w:bottom w:val="single" w:color="auto" w:sz="4" w:space="0"/>
              <w:right w:val="single" w:color="auto" w:sz="4" w:space="0"/>
            </w:tcBorders>
            <w:noWrap w:val="0"/>
            <w:vAlign w:val="center"/>
          </w:tcPr>
          <w:p w14:paraId="71DDA783">
            <w:pPr>
              <w:rPr>
                <w:rFonts w:ascii="宋体" w:hAnsi="宋体" w:cs="宋体"/>
                <w:color w:val="auto"/>
                <w:sz w:val="20"/>
                <w:szCs w:val="20"/>
                <w:highlight w:val="none"/>
              </w:rPr>
            </w:pPr>
            <w:r>
              <w:rPr>
                <w:rFonts w:hint="eastAsia"/>
                <w:color w:val="auto"/>
                <w:sz w:val="20"/>
                <w:szCs w:val="20"/>
                <w:highlight w:val="none"/>
              </w:rPr>
              <w:t xml:space="preserve"> 指标1：</w:t>
            </w:r>
          </w:p>
        </w:tc>
        <w:tc>
          <w:tcPr>
            <w:tcW w:w="623" w:type="dxa"/>
            <w:tcBorders>
              <w:top w:val="nil"/>
              <w:left w:val="nil"/>
              <w:bottom w:val="single" w:color="auto" w:sz="4" w:space="0"/>
              <w:right w:val="single" w:color="auto" w:sz="4" w:space="0"/>
            </w:tcBorders>
            <w:noWrap w:val="0"/>
            <w:vAlign w:val="center"/>
          </w:tcPr>
          <w:p w14:paraId="77A12B4E">
            <w:pPr>
              <w:rPr>
                <w:rFonts w:ascii="宋体" w:hAnsi="宋体" w:cs="宋体"/>
                <w:color w:val="auto"/>
                <w:sz w:val="20"/>
                <w:szCs w:val="20"/>
                <w:highlight w:val="none"/>
              </w:rPr>
            </w:pPr>
            <w:r>
              <w:rPr>
                <w:rFonts w:hint="eastAsia"/>
                <w:color w:val="auto"/>
                <w:sz w:val="20"/>
                <w:szCs w:val="20"/>
                <w:highlight w:val="none"/>
              </w:rPr>
              <w:t>5820</w:t>
            </w:r>
          </w:p>
        </w:tc>
        <w:tc>
          <w:tcPr>
            <w:tcW w:w="641" w:type="dxa"/>
            <w:tcBorders>
              <w:top w:val="nil"/>
              <w:left w:val="nil"/>
              <w:bottom w:val="single" w:color="auto" w:sz="4" w:space="0"/>
              <w:right w:val="single" w:color="auto" w:sz="4" w:space="0"/>
            </w:tcBorders>
            <w:noWrap w:val="0"/>
            <w:vAlign w:val="center"/>
          </w:tcPr>
          <w:p w14:paraId="463348F2">
            <w:pPr>
              <w:rPr>
                <w:rFonts w:ascii="宋体" w:hAnsi="宋体" w:cs="宋体"/>
                <w:color w:val="auto"/>
                <w:sz w:val="20"/>
                <w:szCs w:val="20"/>
                <w:highlight w:val="none"/>
              </w:rPr>
            </w:pPr>
            <w:r>
              <w:rPr>
                <w:rFonts w:hint="eastAsia"/>
                <w:color w:val="auto"/>
                <w:sz w:val="20"/>
                <w:szCs w:val="20"/>
                <w:highlight w:val="none"/>
              </w:rPr>
              <w:t>　100%</w:t>
            </w:r>
          </w:p>
        </w:tc>
      </w:tr>
      <w:tr w14:paraId="7BE84D87">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28B7EE90">
            <w:pPr>
              <w:rPr>
                <w:rFonts w:ascii="宋体" w:hAnsi="宋体" w:cs="宋体"/>
                <w:color w:val="auto"/>
                <w:sz w:val="20"/>
                <w:szCs w:val="20"/>
                <w:highlight w:val="none"/>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14:paraId="4061BBC6">
            <w:pPr>
              <w:rPr>
                <w:rFonts w:ascii="宋体" w:hAnsi="宋体" w:cs="宋体"/>
                <w:color w:val="auto"/>
                <w:sz w:val="20"/>
                <w:szCs w:val="20"/>
                <w:highlight w:val="none"/>
              </w:rPr>
            </w:pPr>
          </w:p>
        </w:tc>
        <w:tc>
          <w:tcPr>
            <w:tcW w:w="940" w:type="dxa"/>
            <w:tcBorders>
              <w:top w:val="nil"/>
              <w:left w:val="single" w:color="auto" w:sz="4" w:space="0"/>
              <w:bottom w:val="single" w:color="000000" w:sz="4" w:space="0"/>
              <w:right w:val="single" w:color="auto" w:sz="4" w:space="0"/>
            </w:tcBorders>
            <w:noWrap w:val="0"/>
            <w:vAlign w:val="center"/>
          </w:tcPr>
          <w:p w14:paraId="7390CDEA">
            <w:pPr>
              <w:jc w:val="center"/>
              <w:rPr>
                <w:color w:val="auto"/>
                <w:sz w:val="20"/>
                <w:szCs w:val="20"/>
                <w:highlight w:val="none"/>
              </w:rPr>
            </w:pPr>
            <w:r>
              <w:rPr>
                <w:rFonts w:hint="eastAsia"/>
                <w:color w:val="auto"/>
                <w:sz w:val="20"/>
                <w:szCs w:val="20"/>
                <w:highlight w:val="none"/>
              </w:rPr>
              <w:t>质量</w:t>
            </w:r>
          </w:p>
          <w:p w14:paraId="1E1591AE">
            <w:pPr>
              <w:jc w:val="center"/>
              <w:rPr>
                <w:rFonts w:ascii="宋体" w:hAnsi="宋体" w:cs="宋体"/>
                <w:color w:val="auto"/>
                <w:sz w:val="20"/>
                <w:szCs w:val="20"/>
                <w:highlight w:val="none"/>
              </w:rPr>
            </w:pPr>
            <w:r>
              <w:rPr>
                <w:rFonts w:hint="eastAsia"/>
                <w:color w:val="auto"/>
                <w:sz w:val="20"/>
                <w:szCs w:val="20"/>
                <w:highlight w:val="none"/>
              </w:rPr>
              <w:t>指标</w:t>
            </w:r>
          </w:p>
        </w:tc>
        <w:tc>
          <w:tcPr>
            <w:tcW w:w="2000" w:type="dxa"/>
            <w:tcBorders>
              <w:top w:val="nil"/>
              <w:left w:val="nil"/>
              <w:bottom w:val="single" w:color="auto" w:sz="4" w:space="0"/>
              <w:right w:val="single" w:color="auto" w:sz="4" w:space="0"/>
            </w:tcBorders>
            <w:noWrap w:val="0"/>
            <w:vAlign w:val="center"/>
          </w:tcPr>
          <w:p w14:paraId="5735A341">
            <w:pPr>
              <w:rPr>
                <w:rFonts w:ascii="宋体" w:hAnsi="宋体" w:cs="宋体"/>
                <w:color w:val="auto"/>
                <w:sz w:val="20"/>
                <w:szCs w:val="20"/>
                <w:highlight w:val="none"/>
              </w:rPr>
            </w:pPr>
            <w:r>
              <w:rPr>
                <w:rFonts w:hint="eastAsia"/>
                <w:color w:val="auto"/>
                <w:sz w:val="20"/>
                <w:szCs w:val="20"/>
                <w:highlight w:val="none"/>
              </w:rPr>
              <w:t xml:space="preserve"> 指标1：完成质量</w:t>
            </w:r>
          </w:p>
        </w:tc>
        <w:tc>
          <w:tcPr>
            <w:tcW w:w="860" w:type="dxa"/>
            <w:tcBorders>
              <w:top w:val="nil"/>
              <w:left w:val="nil"/>
              <w:bottom w:val="single" w:color="auto" w:sz="4" w:space="0"/>
              <w:right w:val="single" w:color="auto" w:sz="4" w:space="0"/>
            </w:tcBorders>
            <w:noWrap w:val="0"/>
            <w:vAlign w:val="center"/>
          </w:tcPr>
          <w:p w14:paraId="0D0E5A5F">
            <w:pPr>
              <w:rPr>
                <w:rFonts w:ascii="宋体" w:hAnsi="宋体" w:cs="宋体"/>
                <w:color w:val="auto"/>
                <w:sz w:val="20"/>
                <w:szCs w:val="20"/>
                <w:highlight w:val="none"/>
              </w:rPr>
            </w:pPr>
            <w:r>
              <w:rPr>
                <w:rFonts w:hint="eastAsia"/>
                <w:color w:val="auto"/>
                <w:sz w:val="20"/>
                <w:szCs w:val="20"/>
                <w:highlight w:val="none"/>
              </w:rPr>
              <w:t>　保质保量</w:t>
            </w:r>
          </w:p>
        </w:tc>
        <w:tc>
          <w:tcPr>
            <w:tcW w:w="791" w:type="dxa"/>
            <w:tcBorders>
              <w:top w:val="nil"/>
              <w:left w:val="nil"/>
              <w:bottom w:val="single" w:color="auto" w:sz="4" w:space="0"/>
              <w:right w:val="single" w:color="auto" w:sz="4" w:space="0"/>
            </w:tcBorders>
            <w:noWrap w:val="0"/>
            <w:vAlign w:val="center"/>
          </w:tcPr>
          <w:p w14:paraId="4DD81EE0">
            <w:pPr>
              <w:rPr>
                <w:rFonts w:ascii="宋体" w:hAnsi="宋体" w:cs="宋体"/>
                <w:color w:val="auto"/>
                <w:sz w:val="20"/>
                <w:szCs w:val="20"/>
                <w:highlight w:val="none"/>
              </w:rPr>
            </w:pPr>
            <w:r>
              <w:rPr>
                <w:rFonts w:hint="eastAsia"/>
                <w:color w:val="auto"/>
                <w:sz w:val="20"/>
                <w:szCs w:val="20"/>
                <w:highlight w:val="none"/>
              </w:rPr>
              <w:t>　100%</w:t>
            </w:r>
          </w:p>
        </w:tc>
        <w:tc>
          <w:tcPr>
            <w:tcW w:w="889" w:type="dxa"/>
            <w:tcBorders>
              <w:top w:val="nil"/>
              <w:left w:val="single" w:color="auto" w:sz="4" w:space="0"/>
              <w:bottom w:val="single" w:color="000000" w:sz="4" w:space="0"/>
              <w:right w:val="single" w:color="auto" w:sz="4" w:space="0"/>
            </w:tcBorders>
            <w:noWrap w:val="0"/>
            <w:vAlign w:val="center"/>
          </w:tcPr>
          <w:p w14:paraId="07B1A7CE">
            <w:pPr>
              <w:jc w:val="center"/>
              <w:rPr>
                <w:color w:val="auto"/>
                <w:sz w:val="20"/>
                <w:szCs w:val="20"/>
                <w:highlight w:val="none"/>
              </w:rPr>
            </w:pPr>
            <w:r>
              <w:rPr>
                <w:rFonts w:hint="eastAsia"/>
                <w:color w:val="auto"/>
                <w:sz w:val="20"/>
                <w:szCs w:val="20"/>
                <w:highlight w:val="none"/>
              </w:rPr>
              <w:t>质量</w:t>
            </w:r>
          </w:p>
          <w:p w14:paraId="28C49752">
            <w:pPr>
              <w:jc w:val="center"/>
              <w:rPr>
                <w:rFonts w:ascii="宋体" w:hAnsi="宋体" w:cs="宋体"/>
                <w:color w:val="auto"/>
                <w:sz w:val="20"/>
                <w:szCs w:val="20"/>
                <w:highlight w:val="none"/>
              </w:rPr>
            </w:pPr>
            <w:r>
              <w:rPr>
                <w:rFonts w:hint="eastAsia"/>
                <w:color w:val="auto"/>
                <w:sz w:val="20"/>
                <w:szCs w:val="20"/>
                <w:highlight w:val="none"/>
              </w:rPr>
              <w:t>指标</w:t>
            </w:r>
          </w:p>
        </w:tc>
        <w:tc>
          <w:tcPr>
            <w:tcW w:w="1040" w:type="dxa"/>
            <w:tcBorders>
              <w:top w:val="nil"/>
              <w:left w:val="nil"/>
              <w:bottom w:val="single" w:color="auto" w:sz="4" w:space="0"/>
              <w:right w:val="single" w:color="auto" w:sz="4" w:space="0"/>
            </w:tcBorders>
            <w:noWrap w:val="0"/>
            <w:vAlign w:val="center"/>
          </w:tcPr>
          <w:p w14:paraId="2E7836E9">
            <w:pPr>
              <w:rPr>
                <w:rFonts w:ascii="宋体" w:hAnsi="宋体" w:cs="宋体"/>
                <w:color w:val="auto"/>
                <w:sz w:val="20"/>
                <w:szCs w:val="20"/>
                <w:highlight w:val="none"/>
              </w:rPr>
            </w:pPr>
            <w:r>
              <w:rPr>
                <w:rFonts w:hint="eastAsia"/>
                <w:color w:val="auto"/>
                <w:sz w:val="20"/>
                <w:szCs w:val="20"/>
                <w:highlight w:val="none"/>
              </w:rPr>
              <w:t xml:space="preserve"> 指标1：</w:t>
            </w:r>
          </w:p>
        </w:tc>
        <w:tc>
          <w:tcPr>
            <w:tcW w:w="623" w:type="dxa"/>
            <w:tcBorders>
              <w:top w:val="nil"/>
              <w:left w:val="nil"/>
              <w:bottom w:val="single" w:color="auto" w:sz="4" w:space="0"/>
              <w:right w:val="single" w:color="auto" w:sz="4" w:space="0"/>
            </w:tcBorders>
            <w:noWrap w:val="0"/>
            <w:vAlign w:val="center"/>
          </w:tcPr>
          <w:p w14:paraId="211D520E">
            <w:pPr>
              <w:rPr>
                <w:rFonts w:ascii="宋体" w:hAnsi="宋体" w:cs="宋体"/>
                <w:color w:val="auto"/>
                <w:sz w:val="20"/>
                <w:szCs w:val="20"/>
                <w:highlight w:val="none"/>
              </w:rPr>
            </w:pPr>
            <w:r>
              <w:rPr>
                <w:rFonts w:hint="eastAsia"/>
                <w:color w:val="auto"/>
                <w:sz w:val="20"/>
                <w:szCs w:val="20"/>
                <w:highlight w:val="none"/>
              </w:rPr>
              <w:t>保质保量　</w:t>
            </w:r>
          </w:p>
        </w:tc>
        <w:tc>
          <w:tcPr>
            <w:tcW w:w="641" w:type="dxa"/>
            <w:tcBorders>
              <w:top w:val="nil"/>
              <w:left w:val="nil"/>
              <w:bottom w:val="single" w:color="auto" w:sz="4" w:space="0"/>
              <w:right w:val="single" w:color="auto" w:sz="4" w:space="0"/>
            </w:tcBorders>
            <w:noWrap w:val="0"/>
            <w:vAlign w:val="center"/>
          </w:tcPr>
          <w:p w14:paraId="61C11464">
            <w:pPr>
              <w:rPr>
                <w:rFonts w:ascii="宋体" w:hAnsi="宋体" w:cs="宋体"/>
                <w:color w:val="auto"/>
                <w:sz w:val="20"/>
                <w:szCs w:val="20"/>
                <w:highlight w:val="none"/>
              </w:rPr>
            </w:pPr>
            <w:r>
              <w:rPr>
                <w:rFonts w:hint="eastAsia"/>
                <w:color w:val="auto"/>
                <w:sz w:val="20"/>
                <w:szCs w:val="20"/>
                <w:highlight w:val="none"/>
              </w:rPr>
              <w:t>　100%</w:t>
            </w:r>
          </w:p>
        </w:tc>
      </w:tr>
      <w:tr w14:paraId="42F209DD">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196B322A">
            <w:pPr>
              <w:rPr>
                <w:rFonts w:ascii="宋体" w:hAnsi="宋体" w:cs="宋体"/>
                <w:color w:val="auto"/>
                <w:sz w:val="20"/>
                <w:szCs w:val="20"/>
                <w:highlight w:val="none"/>
              </w:rPr>
            </w:pPr>
          </w:p>
        </w:tc>
        <w:tc>
          <w:tcPr>
            <w:tcW w:w="820" w:type="dxa"/>
            <w:tcBorders>
              <w:top w:val="nil"/>
              <w:left w:val="single" w:color="auto" w:sz="4" w:space="0"/>
              <w:bottom w:val="single" w:color="000000" w:sz="4" w:space="0"/>
              <w:right w:val="single" w:color="auto" w:sz="4" w:space="0"/>
            </w:tcBorders>
            <w:noWrap w:val="0"/>
            <w:vAlign w:val="center"/>
          </w:tcPr>
          <w:p w14:paraId="087830D4">
            <w:pPr>
              <w:jc w:val="center"/>
              <w:rPr>
                <w:rFonts w:ascii="宋体" w:hAnsi="宋体" w:cs="宋体"/>
                <w:color w:val="auto"/>
                <w:sz w:val="20"/>
                <w:szCs w:val="20"/>
                <w:highlight w:val="none"/>
              </w:rPr>
            </w:pPr>
            <w:r>
              <w:rPr>
                <w:rFonts w:hint="eastAsia"/>
                <w:color w:val="auto"/>
                <w:sz w:val="20"/>
                <w:szCs w:val="20"/>
                <w:highlight w:val="none"/>
              </w:rPr>
              <w:t>满意度指标</w:t>
            </w:r>
          </w:p>
        </w:tc>
        <w:tc>
          <w:tcPr>
            <w:tcW w:w="940" w:type="dxa"/>
            <w:tcBorders>
              <w:top w:val="nil"/>
              <w:left w:val="single" w:color="auto" w:sz="4" w:space="0"/>
              <w:bottom w:val="single" w:color="000000" w:sz="4" w:space="0"/>
              <w:right w:val="single" w:color="auto" w:sz="4" w:space="0"/>
            </w:tcBorders>
            <w:noWrap w:val="0"/>
            <w:vAlign w:val="center"/>
          </w:tcPr>
          <w:p w14:paraId="4282AEFA">
            <w:pPr>
              <w:jc w:val="center"/>
              <w:rPr>
                <w:rFonts w:ascii="宋体" w:hAnsi="宋体" w:cs="宋体"/>
                <w:color w:val="auto"/>
                <w:sz w:val="20"/>
                <w:szCs w:val="20"/>
                <w:highlight w:val="none"/>
              </w:rPr>
            </w:pPr>
            <w:r>
              <w:rPr>
                <w:rFonts w:hint="eastAsia"/>
                <w:color w:val="auto"/>
                <w:sz w:val="20"/>
                <w:szCs w:val="20"/>
                <w:highlight w:val="none"/>
              </w:rPr>
              <w:t>服务对象满意度指标</w:t>
            </w:r>
          </w:p>
        </w:tc>
        <w:tc>
          <w:tcPr>
            <w:tcW w:w="2000" w:type="dxa"/>
            <w:tcBorders>
              <w:top w:val="nil"/>
              <w:left w:val="nil"/>
              <w:bottom w:val="single" w:color="auto" w:sz="4" w:space="0"/>
              <w:right w:val="single" w:color="auto" w:sz="4" w:space="0"/>
            </w:tcBorders>
            <w:noWrap w:val="0"/>
            <w:vAlign w:val="center"/>
          </w:tcPr>
          <w:p w14:paraId="472429E1">
            <w:pPr>
              <w:rPr>
                <w:rFonts w:ascii="宋体" w:hAnsi="宋体" w:cs="宋体"/>
                <w:color w:val="auto"/>
                <w:sz w:val="20"/>
                <w:szCs w:val="20"/>
                <w:highlight w:val="none"/>
              </w:rPr>
            </w:pPr>
            <w:r>
              <w:rPr>
                <w:rFonts w:hint="eastAsia"/>
                <w:color w:val="auto"/>
                <w:sz w:val="20"/>
                <w:szCs w:val="20"/>
                <w:highlight w:val="none"/>
              </w:rPr>
              <w:t xml:space="preserve"> 指标1：满意度</w:t>
            </w:r>
          </w:p>
        </w:tc>
        <w:tc>
          <w:tcPr>
            <w:tcW w:w="860" w:type="dxa"/>
            <w:tcBorders>
              <w:top w:val="nil"/>
              <w:left w:val="nil"/>
              <w:bottom w:val="single" w:color="auto" w:sz="4" w:space="0"/>
              <w:right w:val="single" w:color="auto" w:sz="4" w:space="0"/>
            </w:tcBorders>
            <w:noWrap w:val="0"/>
            <w:vAlign w:val="center"/>
          </w:tcPr>
          <w:p w14:paraId="41F167F4">
            <w:pPr>
              <w:jc w:val="center"/>
              <w:rPr>
                <w:rFonts w:ascii="宋体" w:hAnsi="宋体" w:cs="宋体"/>
                <w:color w:val="auto"/>
                <w:sz w:val="20"/>
                <w:szCs w:val="20"/>
                <w:highlight w:val="none"/>
              </w:rPr>
            </w:pPr>
            <w:r>
              <w:rPr>
                <w:rFonts w:hint="eastAsia"/>
                <w:color w:val="auto"/>
                <w:sz w:val="20"/>
                <w:szCs w:val="20"/>
                <w:highlight w:val="none"/>
              </w:rPr>
              <w:t>满意度百分之百</w:t>
            </w:r>
          </w:p>
        </w:tc>
        <w:tc>
          <w:tcPr>
            <w:tcW w:w="791" w:type="dxa"/>
            <w:tcBorders>
              <w:top w:val="nil"/>
              <w:left w:val="nil"/>
              <w:bottom w:val="single" w:color="auto" w:sz="4" w:space="0"/>
              <w:right w:val="single" w:color="auto" w:sz="4" w:space="0"/>
            </w:tcBorders>
            <w:noWrap w:val="0"/>
            <w:vAlign w:val="center"/>
          </w:tcPr>
          <w:p w14:paraId="7B0698D2">
            <w:pPr>
              <w:jc w:val="center"/>
              <w:rPr>
                <w:rFonts w:ascii="宋体" w:hAnsi="宋体" w:cs="宋体"/>
                <w:color w:val="auto"/>
                <w:sz w:val="20"/>
                <w:szCs w:val="20"/>
                <w:highlight w:val="none"/>
              </w:rPr>
            </w:pPr>
            <w:r>
              <w:rPr>
                <w:rFonts w:hint="eastAsia"/>
                <w:color w:val="auto"/>
                <w:sz w:val="20"/>
                <w:szCs w:val="20"/>
                <w:highlight w:val="none"/>
              </w:rPr>
              <w:t>100%　</w:t>
            </w:r>
          </w:p>
        </w:tc>
        <w:tc>
          <w:tcPr>
            <w:tcW w:w="889" w:type="dxa"/>
            <w:tcBorders>
              <w:top w:val="nil"/>
              <w:left w:val="single" w:color="auto" w:sz="4" w:space="0"/>
              <w:bottom w:val="single" w:color="000000" w:sz="4" w:space="0"/>
              <w:right w:val="single" w:color="auto" w:sz="4" w:space="0"/>
            </w:tcBorders>
            <w:noWrap w:val="0"/>
            <w:vAlign w:val="center"/>
          </w:tcPr>
          <w:p w14:paraId="58788607">
            <w:pPr>
              <w:jc w:val="center"/>
              <w:rPr>
                <w:color w:val="auto"/>
                <w:sz w:val="20"/>
                <w:szCs w:val="20"/>
                <w:highlight w:val="none"/>
              </w:rPr>
            </w:pPr>
            <w:r>
              <w:rPr>
                <w:rFonts w:hint="eastAsia"/>
                <w:color w:val="auto"/>
                <w:sz w:val="20"/>
                <w:szCs w:val="20"/>
                <w:highlight w:val="none"/>
              </w:rPr>
              <w:t>服务对</w:t>
            </w:r>
          </w:p>
          <w:p w14:paraId="243FBC9A">
            <w:pPr>
              <w:jc w:val="center"/>
              <w:rPr>
                <w:color w:val="auto"/>
                <w:sz w:val="20"/>
                <w:szCs w:val="20"/>
                <w:highlight w:val="none"/>
              </w:rPr>
            </w:pPr>
            <w:r>
              <w:rPr>
                <w:rFonts w:hint="eastAsia"/>
                <w:color w:val="auto"/>
                <w:sz w:val="20"/>
                <w:szCs w:val="20"/>
                <w:highlight w:val="none"/>
              </w:rPr>
              <w:t>象满意</w:t>
            </w:r>
          </w:p>
          <w:p w14:paraId="333D6AB0">
            <w:pPr>
              <w:jc w:val="center"/>
              <w:rPr>
                <w:rFonts w:ascii="宋体" w:hAnsi="宋体" w:cs="宋体"/>
                <w:color w:val="auto"/>
                <w:sz w:val="20"/>
                <w:szCs w:val="20"/>
                <w:highlight w:val="none"/>
              </w:rPr>
            </w:pPr>
            <w:r>
              <w:rPr>
                <w:rFonts w:hint="eastAsia"/>
                <w:color w:val="auto"/>
                <w:sz w:val="20"/>
                <w:szCs w:val="20"/>
                <w:highlight w:val="none"/>
              </w:rPr>
              <w:t>度指标</w:t>
            </w:r>
          </w:p>
        </w:tc>
        <w:tc>
          <w:tcPr>
            <w:tcW w:w="1040" w:type="dxa"/>
            <w:tcBorders>
              <w:top w:val="nil"/>
              <w:left w:val="nil"/>
              <w:bottom w:val="single" w:color="auto" w:sz="4" w:space="0"/>
              <w:right w:val="single" w:color="auto" w:sz="4" w:space="0"/>
            </w:tcBorders>
            <w:noWrap w:val="0"/>
            <w:vAlign w:val="center"/>
          </w:tcPr>
          <w:p w14:paraId="2535C8BB">
            <w:pPr>
              <w:rPr>
                <w:rFonts w:ascii="宋体" w:hAnsi="宋体" w:cs="宋体"/>
                <w:color w:val="auto"/>
                <w:sz w:val="20"/>
                <w:szCs w:val="20"/>
                <w:highlight w:val="none"/>
              </w:rPr>
            </w:pPr>
            <w:r>
              <w:rPr>
                <w:rFonts w:hint="eastAsia"/>
                <w:color w:val="auto"/>
                <w:sz w:val="20"/>
                <w:szCs w:val="20"/>
                <w:highlight w:val="none"/>
              </w:rPr>
              <w:t xml:space="preserve"> 指标1：满意度</w:t>
            </w:r>
          </w:p>
        </w:tc>
        <w:tc>
          <w:tcPr>
            <w:tcW w:w="623" w:type="dxa"/>
            <w:tcBorders>
              <w:top w:val="nil"/>
              <w:left w:val="nil"/>
              <w:bottom w:val="single" w:color="auto" w:sz="4" w:space="0"/>
              <w:right w:val="single" w:color="auto" w:sz="4" w:space="0"/>
            </w:tcBorders>
            <w:noWrap w:val="0"/>
            <w:vAlign w:val="center"/>
          </w:tcPr>
          <w:p w14:paraId="727CB094">
            <w:pPr>
              <w:rPr>
                <w:rFonts w:ascii="宋体" w:hAnsi="宋体" w:cs="宋体"/>
                <w:color w:val="auto"/>
                <w:sz w:val="20"/>
                <w:szCs w:val="20"/>
                <w:highlight w:val="none"/>
              </w:rPr>
            </w:pPr>
            <w:r>
              <w:rPr>
                <w:rFonts w:hint="eastAsia"/>
                <w:color w:val="auto"/>
                <w:sz w:val="20"/>
                <w:szCs w:val="20"/>
                <w:highlight w:val="none"/>
              </w:rPr>
              <w:t>　满意度百分之百</w:t>
            </w:r>
          </w:p>
        </w:tc>
        <w:tc>
          <w:tcPr>
            <w:tcW w:w="641" w:type="dxa"/>
            <w:tcBorders>
              <w:top w:val="nil"/>
              <w:left w:val="nil"/>
              <w:bottom w:val="single" w:color="auto" w:sz="4" w:space="0"/>
              <w:right w:val="single" w:color="auto" w:sz="4" w:space="0"/>
            </w:tcBorders>
            <w:noWrap w:val="0"/>
            <w:vAlign w:val="center"/>
          </w:tcPr>
          <w:p w14:paraId="27074DF0">
            <w:pPr>
              <w:rPr>
                <w:rFonts w:ascii="宋体" w:hAnsi="宋体" w:cs="宋体"/>
                <w:color w:val="auto"/>
                <w:sz w:val="20"/>
                <w:szCs w:val="20"/>
                <w:highlight w:val="none"/>
              </w:rPr>
            </w:pPr>
            <w:r>
              <w:rPr>
                <w:rFonts w:hint="eastAsia"/>
                <w:color w:val="auto"/>
                <w:sz w:val="20"/>
                <w:szCs w:val="20"/>
                <w:highlight w:val="none"/>
              </w:rPr>
              <w:t>100%　</w:t>
            </w:r>
          </w:p>
        </w:tc>
      </w:tr>
    </w:tbl>
    <w:p w14:paraId="2EF7F932">
      <w:pPr>
        <w:adjustRightInd w:val="0"/>
        <w:snapToGrid w:val="0"/>
        <w:spacing w:line="600" w:lineRule="exact"/>
        <w:rPr>
          <w:rFonts w:ascii="仿宋_GB2312" w:hAnsi="楷体" w:eastAsia="仿宋_GB2312"/>
          <w:b/>
          <w:color w:val="auto"/>
          <w:sz w:val="32"/>
          <w:szCs w:val="32"/>
          <w:highlight w:val="none"/>
        </w:rPr>
      </w:pPr>
    </w:p>
    <w:p w14:paraId="7DCA9058">
      <w:pPr>
        <w:adjustRightInd w:val="0"/>
        <w:snapToGrid w:val="0"/>
        <w:spacing w:line="600" w:lineRule="exact"/>
        <w:ind w:firstLine="803" w:firstLineChars="250"/>
        <w:rPr>
          <w:rFonts w:ascii="仿宋_GB2312" w:hAnsi="楷体" w:eastAsia="仿宋_GB2312"/>
          <w:b/>
          <w:color w:val="auto"/>
          <w:sz w:val="32"/>
          <w:szCs w:val="32"/>
          <w:highlight w:val="none"/>
        </w:rPr>
      </w:pPr>
      <w:r>
        <w:rPr>
          <w:rFonts w:hint="eastAsia" w:ascii="仿宋_GB2312" w:hAnsi="楷体" w:eastAsia="仿宋_GB2312"/>
          <w:b/>
          <w:color w:val="auto"/>
          <w:sz w:val="32"/>
          <w:szCs w:val="32"/>
          <w:highlight w:val="none"/>
          <w:lang w:val="en-US" w:eastAsia="zh-CN"/>
        </w:rPr>
        <w:t>6</w:t>
      </w:r>
      <w:r>
        <w:rPr>
          <w:rFonts w:hint="eastAsia" w:ascii="仿宋_GB2312" w:hAnsi="楷体" w:eastAsia="仿宋_GB2312"/>
          <w:b/>
          <w:color w:val="auto"/>
          <w:sz w:val="32"/>
          <w:szCs w:val="32"/>
          <w:highlight w:val="none"/>
        </w:rPr>
        <w:t>. “离休干部、正高级</w:t>
      </w:r>
      <w:r>
        <w:rPr>
          <w:rFonts w:hint="eastAsia" w:ascii="仿宋_GB2312" w:hAnsi="楷体" w:eastAsia="仿宋_GB2312"/>
          <w:b/>
          <w:color w:val="auto"/>
          <w:sz w:val="32"/>
          <w:szCs w:val="32"/>
          <w:highlight w:val="none"/>
          <w:lang w:eastAsia="zh-CN"/>
        </w:rPr>
        <w:t>专业技术</w:t>
      </w:r>
      <w:r>
        <w:rPr>
          <w:rFonts w:hint="eastAsia" w:ascii="仿宋_GB2312" w:hAnsi="楷体" w:eastAsia="仿宋_GB2312"/>
          <w:b/>
          <w:color w:val="auto"/>
          <w:sz w:val="32"/>
          <w:szCs w:val="32"/>
          <w:highlight w:val="none"/>
        </w:rPr>
        <w:t>人员医</w:t>
      </w:r>
      <w:r>
        <w:rPr>
          <w:rFonts w:hint="eastAsia" w:ascii="仿宋_GB2312" w:hAnsi="楷体" w:eastAsia="仿宋_GB2312"/>
          <w:b/>
          <w:color w:val="auto"/>
          <w:sz w:val="32"/>
          <w:szCs w:val="32"/>
          <w:highlight w:val="none"/>
          <w:lang w:eastAsia="zh-CN"/>
        </w:rPr>
        <w:t>疗</w:t>
      </w:r>
      <w:r>
        <w:rPr>
          <w:rFonts w:hint="eastAsia" w:ascii="仿宋_GB2312" w:hAnsi="楷体" w:eastAsia="仿宋_GB2312"/>
          <w:b/>
          <w:color w:val="auto"/>
          <w:sz w:val="32"/>
          <w:szCs w:val="32"/>
          <w:highlight w:val="none"/>
        </w:rPr>
        <w:t>统筹费”项目。</w:t>
      </w:r>
    </w:p>
    <w:p w14:paraId="7CCFEDC0">
      <w:pPr>
        <w:adjustRightInd w:val="0"/>
        <w:snapToGrid w:val="0"/>
        <w:spacing w:line="600" w:lineRule="exact"/>
        <w:ind w:firstLine="640" w:firstLineChars="200"/>
        <w:rPr>
          <w:rFonts w:hint="eastAsia" w:ascii="仿宋_GB2312" w:hAnsi="楷体" w:eastAsia="仿宋_GB2312"/>
          <w:color w:val="auto"/>
          <w:sz w:val="32"/>
          <w:szCs w:val="32"/>
          <w:highlight w:val="none"/>
        </w:rPr>
      </w:pPr>
      <w:r>
        <w:rPr>
          <w:rFonts w:hint="eastAsia" w:ascii="仿宋_GB2312" w:hAnsi="楷体" w:eastAsia="仿宋_GB2312"/>
          <w:color w:val="auto"/>
          <w:sz w:val="32"/>
          <w:szCs w:val="32"/>
          <w:highlight w:val="none"/>
        </w:rPr>
        <w:t>（1）项目概述。本项目为2023年度离休干部、正高级专业技术人员、特级教师的医疗统筹费预算项目。</w:t>
      </w:r>
    </w:p>
    <w:p w14:paraId="1AAE1806">
      <w:pPr>
        <w:spacing w:line="560" w:lineRule="exact"/>
        <w:ind w:firstLine="645"/>
        <w:jc w:val="left"/>
        <w:rPr>
          <w:rFonts w:ascii="仿宋" w:hAnsi="仿宋" w:eastAsia="仿宋"/>
          <w:color w:val="auto"/>
          <w:sz w:val="32"/>
          <w:szCs w:val="32"/>
          <w:highlight w:val="none"/>
        </w:rPr>
      </w:pPr>
      <w:r>
        <w:rPr>
          <w:rFonts w:hint="eastAsia" w:ascii="仿宋_GB2312" w:hAnsi="楷体" w:eastAsia="仿宋_GB2312"/>
          <w:color w:val="auto"/>
          <w:sz w:val="32"/>
          <w:szCs w:val="32"/>
          <w:highlight w:val="none"/>
        </w:rPr>
        <w:t>（2）立项依据。</w:t>
      </w:r>
      <w:r>
        <w:rPr>
          <w:rFonts w:hint="eastAsia" w:ascii="仿宋" w:hAnsi="仿宋" w:eastAsia="仿宋"/>
          <w:color w:val="auto"/>
          <w:sz w:val="32"/>
          <w:szCs w:val="32"/>
          <w:highlight w:val="none"/>
        </w:rPr>
        <w:t>（一）中共安徽省委办公厅、安徽省人民政府办公厅关于转发《省委组织部、省委老干部局、省经贸委、省财政厅、省从事厅、省劳动和社会保障厅、省卫生厅关于建立和完善离休干部离休费、医药费保障机制的意见》的通知（厅[2001]61号）；（二）中共安徽省委保健委员会《关于解决我省高级专业技术人员医疗保健待遇的补充通知》（健办字[2003]81号）；（三）中共淮北市委办公室《关于加强干部医疗保健工作的意见》（淮办发[2018]34号）；（四）中共淮北市委保健委员会《关于落实2009年以来正高级职称专业技术人员医疗保健待遇问题的通知》（淮健办[2013]14号）；（五）中共濉溪县委办公室 濉溪县人民政府办公室关于印发《濉溪县2021年离休干部和六级以上（含六级）残疾军人医药费统筹方案》的通知（濉办发[2021]10号）。</w:t>
      </w:r>
    </w:p>
    <w:p w14:paraId="64A36826">
      <w:pPr>
        <w:adjustRightInd w:val="0"/>
        <w:snapToGrid w:val="0"/>
        <w:spacing w:line="600" w:lineRule="exact"/>
        <w:ind w:firstLine="640" w:firstLineChars="200"/>
        <w:rPr>
          <w:rFonts w:ascii="仿宋_GB2312" w:hAnsi="楷体" w:eastAsia="仿宋_GB2312"/>
          <w:color w:val="auto"/>
          <w:sz w:val="32"/>
          <w:szCs w:val="32"/>
          <w:highlight w:val="none"/>
        </w:rPr>
      </w:pPr>
      <w:r>
        <w:rPr>
          <w:rFonts w:hint="eastAsia" w:ascii="仿宋_GB2312" w:hAnsi="楷体" w:eastAsia="仿宋_GB2312"/>
          <w:color w:val="auto"/>
          <w:sz w:val="32"/>
          <w:szCs w:val="32"/>
          <w:highlight w:val="none"/>
        </w:rPr>
        <w:t>（3）实施主体。</w:t>
      </w:r>
      <w:r>
        <w:rPr>
          <w:rFonts w:hint="eastAsia" w:ascii="仿宋_GB2312" w:hAnsi="仿宋" w:eastAsia="仿宋_GB2312" w:cs="宋体"/>
          <w:color w:val="auto"/>
          <w:kern w:val="0"/>
          <w:sz w:val="32"/>
          <w:szCs w:val="32"/>
          <w:highlight w:val="none"/>
        </w:rPr>
        <w:t>濉溪县</w:t>
      </w:r>
      <w:r>
        <w:rPr>
          <w:rFonts w:hint="eastAsia" w:ascii="仿宋_GB2312" w:hAnsi="仿宋" w:eastAsia="仿宋_GB2312"/>
          <w:color w:val="auto"/>
          <w:sz w:val="32"/>
          <w:szCs w:val="32"/>
          <w:highlight w:val="none"/>
        </w:rPr>
        <w:t>离休干部和残疾军人医疗保健服务中心</w:t>
      </w:r>
    </w:p>
    <w:p w14:paraId="49D01B88">
      <w:pPr>
        <w:adjustRightInd w:val="0"/>
        <w:snapToGrid w:val="0"/>
        <w:spacing w:line="600" w:lineRule="exact"/>
        <w:ind w:firstLine="640" w:firstLineChars="200"/>
        <w:rPr>
          <w:rFonts w:hint="eastAsia" w:ascii="仿宋_GB2312" w:hAnsi="楷体" w:eastAsia="仿宋_GB2312"/>
          <w:color w:val="auto"/>
          <w:sz w:val="32"/>
          <w:szCs w:val="32"/>
          <w:highlight w:val="none"/>
        </w:rPr>
      </w:pPr>
      <w:r>
        <w:rPr>
          <w:rFonts w:hint="eastAsia" w:ascii="仿宋_GB2312" w:hAnsi="楷体" w:eastAsia="仿宋_GB2312"/>
          <w:color w:val="auto"/>
          <w:sz w:val="32"/>
          <w:szCs w:val="32"/>
          <w:highlight w:val="none"/>
        </w:rPr>
        <w:t xml:space="preserve">（4）起止时间：2023年1月1日至2023年12月31日 </w:t>
      </w:r>
    </w:p>
    <w:p w14:paraId="502682D2">
      <w:pPr>
        <w:adjustRightInd w:val="0"/>
        <w:snapToGrid w:val="0"/>
        <w:spacing w:line="600" w:lineRule="exact"/>
        <w:ind w:firstLine="640" w:firstLineChars="200"/>
        <w:rPr>
          <w:rFonts w:hint="eastAsia" w:ascii="仿宋_GB2312" w:hAnsi="楷体" w:eastAsia="仿宋_GB2312"/>
          <w:color w:val="auto"/>
          <w:sz w:val="32"/>
          <w:szCs w:val="32"/>
          <w:highlight w:val="none"/>
        </w:rPr>
      </w:pPr>
      <w:r>
        <w:rPr>
          <w:rFonts w:hint="eastAsia" w:ascii="仿宋_GB2312" w:hAnsi="楷体" w:eastAsia="仿宋_GB2312"/>
          <w:color w:val="auto"/>
          <w:sz w:val="32"/>
          <w:szCs w:val="32"/>
          <w:highlight w:val="none"/>
        </w:rPr>
        <w:t>（5）项目内容：该项目为2023年度离休干部、正高级专业技术人员、特级教师的医疗统筹资金，用于其本年度医疗费支出。</w:t>
      </w:r>
    </w:p>
    <w:p w14:paraId="20EAB9D5">
      <w:pPr>
        <w:adjustRightInd w:val="0"/>
        <w:snapToGrid w:val="0"/>
        <w:spacing w:line="600" w:lineRule="exact"/>
        <w:ind w:firstLine="640" w:firstLineChars="200"/>
        <w:rPr>
          <w:rFonts w:hint="eastAsia" w:ascii="仿宋_GB2312" w:hAnsi="楷体" w:eastAsia="仿宋_GB2312"/>
          <w:color w:val="auto"/>
          <w:sz w:val="32"/>
          <w:szCs w:val="32"/>
          <w:highlight w:val="none"/>
        </w:rPr>
      </w:pPr>
      <w:r>
        <w:rPr>
          <w:rFonts w:hint="eastAsia" w:ascii="仿宋_GB2312" w:hAnsi="楷体" w:eastAsia="仿宋_GB2312"/>
          <w:color w:val="auto"/>
          <w:sz w:val="32"/>
          <w:szCs w:val="32"/>
          <w:highlight w:val="none"/>
        </w:rPr>
        <w:t>（6）年度预算安排：一般公共预算安排103.44万元。</w:t>
      </w:r>
    </w:p>
    <w:p w14:paraId="18713365">
      <w:pPr>
        <w:adjustRightInd w:val="0"/>
        <w:snapToGrid w:val="0"/>
        <w:spacing w:line="600" w:lineRule="exact"/>
        <w:ind w:firstLine="640" w:firstLineChars="200"/>
        <w:rPr>
          <w:rFonts w:ascii="仿宋_GB2312" w:hAnsi="楷体" w:eastAsia="仿宋_GB2312"/>
          <w:color w:val="auto"/>
          <w:sz w:val="32"/>
          <w:szCs w:val="32"/>
          <w:highlight w:val="none"/>
        </w:rPr>
      </w:pPr>
      <w:r>
        <w:rPr>
          <w:rFonts w:hint="eastAsia" w:ascii="仿宋_GB2312" w:hAnsi="楷体" w:eastAsia="仿宋_GB2312"/>
          <w:color w:val="auto"/>
          <w:sz w:val="32"/>
          <w:szCs w:val="32"/>
          <w:highlight w:val="none"/>
        </w:rPr>
        <w:t>（7）绩效目标：项目的实施保障了我县离休干部、正高级专业技术人员、特级教师的医疗待遇，贯彻了相关文件精神，体现了县委、县政府关心爱护老干部以及积极落实党的知识分子政策、重视人才、尊重人才。</w:t>
      </w:r>
    </w:p>
    <w:tbl>
      <w:tblPr>
        <w:tblStyle w:val="3"/>
        <w:tblW w:w="0" w:type="auto"/>
        <w:tblInd w:w="93" w:type="dxa"/>
        <w:tblLayout w:type="autofit"/>
        <w:tblCellMar>
          <w:top w:w="0" w:type="dxa"/>
          <w:left w:w="108" w:type="dxa"/>
          <w:bottom w:w="0" w:type="dxa"/>
          <w:right w:w="108" w:type="dxa"/>
        </w:tblCellMar>
      </w:tblPr>
      <w:tblGrid>
        <w:gridCol w:w="416"/>
        <w:gridCol w:w="597"/>
        <w:gridCol w:w="734"/>
        <w:gridCol w:w="1127"/>
        <w:gridCol w:w="871"/>
        <w:gridCol w:w="871"/>
        <w:gridCol w:w="573"/>
        <w:gridCol w:w="1115"/>
        <w:gridCol w:w="1062"/>
        <w:gridCol w:w="1063"/>
      </w:tblGrid>
      <w:tr w14:paraId="564C6156">
        <w:tblPrEx>
          <w:tblCellMar>
            <w:top w:w="0" w:type="dxa"/>
            <w:left w:w="108" w:type="dxa"/>
            <w:bottom w:w="0" w:type="dxa"/>
            <w:right w:w="108" w:type="dxa"/>
          </w:tblCellMar>
        </w:tblPrEx>
        <w:trPr>
          <w:trHeight w:val="360" w:hRule="atLeast"/>
        </w:trPr>
        <w:tc>
          <w:tcPr>
            <w:tcW w:w="0" w:type="auto"/>
            <w:gridSpan w:val="10"/>
            <w:tcBorders>
              <w:top w:val="nil"/>
              <w:left w:val="nil"/>
              <w:bottom w:val="nil"/>
              <w:right w:val="nil"/>
            </w:tcBorders>
            <w:noWrap w:val="0"/>
            <w:vAlign w:val="center"/>
          </w:tcPr>
          <w:p w14:paraId="6E939F9E">
            <w:pPr>
              <w:jc w:val="center"/>
              <w:rPr>
                <w:rFonts w:ascii="宋体" w:hAnsi="宋体" w:cs="宋体"/>
                <w:b/>
                <w:bCs/>
                <w:color w:val="auto"/>
                <w:sz w:val="32"/>
                <w:szCs w:val="32"/>
                <w:highlight w:val="none"/>
              </w:rPr>
            </w:pPr>
            <w:r>
              <w:rPr>
                <w:rFonts w:hint="eastAsia"/>
                <w:b/>
                <w:bCs/>
                <w:color w:val="auto"/>
                <w:sz w:val="32"/>
                <w:szCs w:val="32"/>
                <w:highlight w:val="none"/>
              </w:rPr>
              <w:t>项目支出绩效目标表</w:t>
            </w:r>
          </w:p>
        </w:tc>
      </w:tr>
      <w:tr w14:paraId="190E1BA4">
        <w:tblPrEx>
          <w:tblCellMar>
            <w:top w:w="0" w:type="dxa"/>
            <w:left w:w="108" w:type="dxa"/>
            <w:bottom w:w="0" w:type="dxa"/>
            <w:right w:w="108" w:type="dxa"/>
          </w:tblCellMar>
        </w:tblPrEx>
        <w:trPr>
          <w:trHeight w:val="270" w:hRule="atLeast"/>
        </w:trPr>
        <w:tc>
          <w:tcPr>
            <w:tcW w:w="0" w:type="auto"/>
            <w:gridSpan w:val="10"/>
            <w:tcBorders>
              <w:top w:val="nil"/>
              <w:left w:val="nil"/>
              <w:bottom w:val="nil"/>
              <w:right w:val="nil"/>
            </w:tcBorders>
            <w:noWrap w:val="0"/>
            <w:vAlign w:val="center"/>
          </w:tcPr>
          <w:p w14:paraId="34E7F705">
            <w:pPr>
              <w:jc w:val="center"/>
              <w:rPr>
                <w:rFonts w:ascii="宋体" w:hAnsi="宋体" w:cs="宋体"/>
                <w:color w:val="auto"/>
                <w:sz w:val="20"/>
                <w:szCs w:val="20"/>
                <w:highlight w:val="none"/>
              </w:rPr>
            </w:pPr>
            <w:r>
              <w:rPr>
                <w:rFonts w:hint="eastAsia"/>
                <w:color w:val="auto"/>
                <w:sz w:val="20"/>
                <w:szCs w:val="20"/>
                <w:highlight w:val="none"/>
              </w:rPr>
              <w:t>（2023 年度）</w:t>
            </w:r>
          </w:p>
        </w:tc>
      </w:tr>
      <w:tr w14:paraId="29EE8290">
        <w:tblPrEx>
          <w:tblCellMar>
            <w:top w:w="0" w:type="dxa"/>
            <w:left w:w="108" w:type="dxa"/>
            <w:bottom w:w="0" w:type="dxa"/>
            <w:right w:w="108" w:type="dxa"/>
          </w:tblCellMar>
        </w:tblPrEx>
        <w:trPr>
          <w:trHeight w:val="330" w:hRule="atLeast"/>
        </w:trPr>
        <w:tc>
          <w:tcPr>
            <w:tcW w:w="0" w:type="auto"/>
            <w:gridSpan w:val="2"/>
            <w:tcBorders>
              <w:top w:val="single" w:color="auto" w:sz="4" w:space="0"/>
              <w:left w:val="single" w:color="auto" w:sz="4" w:space="0"/>
              <w:bottom w:val="single" w:color="auto" w:sz="4" w:space="0"/>
              <w:right w:val="single" w:color="auto" w:sz="4" w:space="0"/>
            </w:tcBorders>
            <w:noWrap w:val="0"/>
            <w:vAlign w:val="center"/>
          </w:tcPr>
          <w:p w14:paraId="7CDE1E2D">
            <w:pPr>
              <w:rPr>
                <w:rFonts w:ascii="宋体" w:hAnsi="宋体" w:cs="宋体"/>
                <w:color w:val="auto"/>
                <w:sz w:val="20"/>
                <w:szCs w:val="20"/>
                <w:highlight w:val="none"/>
              </w:rPr>
            </w:pPr>
            <w:r>
              <w:rPr>
                <w:rFonts w:hint="eastAsia" w:ascii="宋体" w:hAnsi="宋体"/>
                <w:color w:val="auto"/>
                <w:sz w:val="20"/>
                <w:szCs w:val="20"/>
                <w:highlight w:val="none"/>
              </w:rPr>
              <w:t>项目名称</w:t>
            </w:r>
          </w:p>
        </w:tc>
        <w:tc>
          <w:tcPr>
            <w:tcW w:w="0" w:type="auto"/>
            <w:gridSpan w:val="8"/>
            <w:tcBorders>
              <w:top w:val="single" w:color="auto" w:sz="4" w:space="0"/>
              <w:left w:val="nil"/>
              <w:bottom w:val="single" w:color="auto" w:sz="4" w:space="0"/>
              <w:right w:val="single" w:color="000000" w:sz="4" w:space="0"/>
            </w:tcBorders>
            <w:noWrap w:val="0"/>
            <w:vAlign w:val="center"/>
          </w:tcPr>
          <w:p w14:paraId="53C5D8A4">
            <w:pPr>
              <w:jc w:val="center"/>
              <w:rPr>
                <w:rFonts w:ascii="宋体" w:hAnsi="宋体" w:cs="宋体"/>
                <w:color w:val="auto"/>
                <w:sz w:val="20"/>
                <w:szCs w:val="20"/>
                <w:highlight w:val="none"/>
              </w:rPr>
            </w:pPr>
            <w:r>
              <w:rPr>
                <w:rFonts w:hint="eastAsia" w:ascii="宋体" w:hAnsi="宋体"/>
                <w:b/>
                <w:color w:val="auto"/>
                <w:sz w:val="20"/>
                <w:szCs w:val="20"/>
                <w:highlight w:val="none"/>
              </w:rPr>
              <w:t>离休干部、正高级人员医药统筹费</w:t>
            </w:r>
          </w:p>
        </w:tc>
      </w:tr>
      <w:tr w14:paraId="558EB175">
        <w:tblPrEx>
          <w:tblCellMar>
            <w:top w:w="0" w:type="dxa"/>
            <w:left w:w="108" w:type="dxa"/>
            <w:bottom w:w="0" w:type="dxa"/>
            <w:right w:w="108" w:type="dxa"/>
          </w:tblCellMar>
        </w:tblPrEx>
        <w:trPr>
          <w:trHeight w:val="330" w:hRule="atLeast"/>
        </w:trPr>
        <w:tc>
          <w:tcPr>
            <w:tcW w:w="0" w:type="auto"/>
            <w:gridSpan w:val="2"/>
            <w:tcBorders>
              <w:top w:val="single" w:color="auto" w:sz="4" w:space="0"/>
              <w:left w:val="single" w:color="auto" w:sz="4" w:space="0"/>
              <w:bottom w:val="single" w:color="auto" w:sz="4" w:space="0"/>
              <w:right w:val="single" w:color="auto" w:sz="4" w:space="0"/>
            </w:tcBorders>
            <w:noWrap w:val="0"/>
            <w:vAlign w:val="center"/>
          </w:tcPr>
          <w:p w14:paraId="2B6AF14A">
            <w:pPr>
              <w:rPr>
                <w:rFonts w:ascii="宋体" w:hAnsi="宋体" w:cs="宋体"/>
                <w:color w:val="auto"/>
                <w:sz w:val="20"/>
                <w:szCs w:val="20"/>
                <w:highlight w:val="none"/>
              </w:rPr>
            </w:pPr>
            <w:r>
              <w:rPr>
                <w:rFonts w:hint="eastAsia" w:ascii="宋体" w:hAnsi="宋体"/>
                <w:color w:val="auto"/>
                <w:sz w:val="20"/>
                <w:szCs w:val="20"/>
                <w:highlight w:val="none"/>
              </w:rPr>
              <w:t>实施单位</w:t>
            </w:r>
          </w:p>
        </w:tc>
        <w:tc>
          <w:tcPr>
            <w:tcW w:w="0" w:type="auto"/>
            <w:gridSpan w:val="8"/>
            <w:tcBorders>
              <w:top w:val="single" w:color="auto" w:sz="4" w:space="0"/>
              <w:left w:val="nil"/>
              <w:bottom w:val="single" w:color="auto" w:sz="4" w:space="0"/>
              <w:right w:val="single" w:color="auto" w:sz="4" w:space="0"/>
            </w:tcBorders>
            <w:noWrap w:val="0"/>
            <w:vAlign w:val="center"/>
          </w:tcPr>
          <w:p w14:paraId="50810659">
            <w:pPr>
              <w:jc w:val="center"/>
              <w:rPr>
                <w:rFonts w:ascii="宋体" w:hAnsi="宋体" w:cs="宋体"/>
                <w:color w:val="auto"/>
                <w:sz w:val="20"/>
                <w:szCs w:val="20"/>
                <w:highlight w:val="none"/>
              </w:rPr>
            </w:pPr>
            <w:r>
              <w:rPr>
                <w:rFonts w:hint="eastAsia" w:ascii="宋体" w:hAnsi="宋体" w:cs="宋体"/>
                <w:color w:val="auto"/>
                <w:kern w:val="0"/>
                <w:sz w:val="20"/>
                <w:szCs w:val="20"/>
                <w:highlight w:val="none"/>
              </w:rPr>
              <w:t>濉溪县</w:t>
            </w:r>
            <w:r>
              <w:rPr>
                <w:rFonts w:hint="eastAsia" w:ascii="宋体" w:hAnsi="宋体"/>
                <w:color w:val="auto"/>
                <w:sz w:val="20"/>
                <w:szCs w:val="20"/>
                <w:highlight w:val="none"/>
              </w:rPr>
              <w:t>离休干部和残疾军人医疗保健服务中心</w:t>
            </w:r>
          </w:p>
        </w:tc>
      </w:tr>
      <w:tr w14:paraId="2A84EE96">
        <w:tblPrEx>
          <w:tblCellMar>
            <w:top w:w="0" w:type="dxa"/>
            <w:left w:w="108" w:type="dxa"/>
            <w:bottom w:w="0" w:type="dxa"/>
            <w:right w:w="108" w:type="dxa"/>
          </w:tblCellMar>
        </w:tblPrEx>
        <w:trPr>
          <w:trHeight w:val="330" w:hRule="atLeast"/>
        </w:trPr>
        <w:tc>
          <w:tcPr>
            <w:tcW w:w="0" w:type="auto"/>
            <w:gridSpan w:val="2"/>
            <w:tcBorders>
              <w:top w:val="single" w:color="auto" w:sz="4" w:space="0"/>
              <w:left w:val="single" w:color="auto" w:sz="4" w:space="0"/>
              <w:bottom w:val="single" w:color="auto" w:sz="4" w:space="0"/>
              <w:right w:val="single" w:color="auto" w:sz="4" w:space="0"/>
            </w:tcBorders>
            <w:noWrap w:val="0"/>
            <w:vAlign w:val="center"/>
          </w:tcPr>
          <w:p w14:paraId="79D54EF2">
            <w:pPr>
              <w:rPr>
                <w:rFonts w:ascii="宋体" w:hAnsi="宋体" w:cs="宋体"/>
                <w:color w:val="auto"/>
                <w:sz w:val="20"/>
                <w:szCs w:val="20"/>
                <w:highlight w:val="none"/>
              </w:rPr>
            </w:pPr>
            <w:r>
              <w:rPr>
                <w:rFonts w:hint="eastAsia" w:ascii="宋体" w:hAnsi="宋体"/>
                <w:color w:val="auto"/>
                <w:sz w:val="20"/>
                <w:szCs w:val="20"/>
                <w:highlight w:val="none"/>
              </w:rPr>
              <w:t>项目属性</w:t>
            </w:r>
          </w:p>
        </w:tc>
        <w:tc>
          <w:tcPr>
            <w:tcW w:w="0" w:type="auto"/>
            <w:gridSpan w:val="8"/>
            <w:tcBorders>
              <w:top w:val="single" w:color="auto" w:sz="4" w:space="0"/>
              <w:left w:val="nil"/>
              <w:bottom w:val="single" w:color="auto" w:sz="4" w:space="0"/>
              <w:right w:val="single" w:color="auto" w:sz="4" w:space="0"/>
            </w:tcBorders>
            <w:noWrap w:val="0"/>
            <w:vAlign w:val="center"/>
          </w:tcPr>
          <w:p w14:paraId="40D62ECD">
            <w:pPr>
              <w:jc w:val="center"/>
              <w:rPr>
                <w:rFonts w:ascii="宋体" w:hAnsi="宋体" w:cs="宋体"/>
                <w:color w:val="auto"/>
                <w:sz w:val="20"/>
                <w:szCs w:val="20"/>
                <w:highlight w:val="none"/>
              </w:rPr>
            </w:pPr>
            <w:r>
              <w:rPr>
                <w:rFonts w:hint="eastAsia" w:ascii="宋体" w:hAnsi="宋体"/>
                <w:color w:val="auto"/>
                <w:sz w:val="20"/>
                <w:szCs w:val="20"/>
                <w:highlight w:val="none"/>
              </w:rPr>
              <w:t>一般公共预算</w:t>
            </w:r>
          </w:p>
        </w:tc>
      </w:tr>
      <w:tr w14:paraId="5BBB8B2F">
        <w:tblPrEx>
          <w:tblCellMar>
            <w:top w:w="0" w:type="dxa"/>
            <w:left w:w="108" w:type="dxa"/>
            <w:bottom w:w="0" w:type="dxa"/>
            <w:right w:w="108" w:type="dxa"/>
          </w:tblCellMar>
        </w:tblPrEx>
        <w:trPr>
          <w:trHeight w:val="330" w:hRule="atLeast"/>
        </w:trPr>
        <w:tc>
          <w:tcPr>
            <w:tcW w:w="0" w:type="auto"/>
            <w:gridSpan w:val="3"/>
            <w:vMerge w:val="restart"/>
            <w:tcBorders>
              <w:top w:val="single" w:color="auto" w:sz="4" w:space="0"/>
              <w:left w:val="single" w:color="auto" w:sz="4" w:space="0"/>
              <w:bottom w:val="single" w:color="000000" w:sz="4" w:space="0"/>
              <w:right w:val="single" w:color="000000" w:sz="4" w:space="0"/>
            </w:tcBorders>
            <w:noWrap w:val="0"/>
            <w:vAlign w:val="center"/>
          </w:tcPr>
          <w:p w14:paraId="336EB600">
            <w:pPr>
              <w:jc w:val="center"/>
              <w:rPr>
                <w:rFonts w:ascii="宋体" w:hAnsi="宋体" w:cs="宋体"/>
                <w:color w:val="auto"/>
                <w:sz w:val="20"/>
                <w:szCs w:val="20"/>
                <w:highlight w:val="none"/>
              </w:rPr>
            </w:pPr>
            <w:r>
              <w:rPr>
                <w:rFonts w:hint="eastAsia" w:ascii="宋体" w:hAnsi="宋体"/>
                <w:color w:val="auto"/>
                <w:sz w:val="20"/>
                <w:szCs w:val="20"/>
                <w:highlight w:val="none"/>
              </w:rPr>
              <w:t>项目资金</w:t>
            </w:r>
            <w:r>
              <w:rPr>
                <w:rFonts w:hint="eastAsia" w:ascii="宋体" w:hAnsi="宋体"/>
                <w:color w:val="auto"/>
                <w:sz w:val="20"/>
                <w:szCs w:val="20"/>
                <w:highlight w:val="none"/>
              </w:rPr>
              <w:br w:type="textWrapping"/>
            </w:r>
            <w:r>
              <w:rPr>
                <w:rFonts w:hint="eastAsia" w:ascii="宋体" w:hAnsi="宋体"/>
                <w:color w:val="auto"/>
                <w:sz w:val="20"/>
                <w:szCs w:val="20"/>
                <w:highlight w:val="none"/>
              </w:rPr>
              <w:t>（万元）</w:t>
            </w:r>
          </w:p>
        </w:tc>
        <w:tc>
          <w:tcPr>
            <w:tcW w:w="0" w:type="auto"/>
            <w:tcBorders>
              <w:top w:val="nil"/>
              <w:left w:val="nil"/>
              <w:bottom w:val="single" w:color="auto" w:sz="4" w:space="0"/>
              <w:right w:val="single" w:color="auto" w:sz="4" w:space="0"/>
            </w:tcBorders>
            <w:noWrap w:val="0"/>
            <w:vAlign w:val="center"/>
          </w:tcPr>
          <w:p w14:paraId="6F6C280B">
            <w:pPr>
              <w:rPr>
                <w:rFonts w:ascii="宋体" w:hAnsi="宋体" w:cs="宋体"/>
                <w:color w:val="auto"/>
                <w:sz w:val="20"/>
                <w:szCs w:val="20"/>
                <w:highlight w:val="none"/>
              </w:rPr>
            </w:pPr>
            <w:r>
              <w:rPr>
                <w:rFonts w:hint="eastAsia" w:ascii="宋体" w:hAnsi="宋体"/>
                <w:color w:val="auto"/>
                <w:sz w:val="20"/>
                <w:szCs w:val="20"/>
                <w:highlight w:val="none"/>
              </w:rPr>
              <w:t xml:space="preserve"> 中期资金总额：</w:t>
            </w:r>
          </w:p>
        </w:tc>
        <w:tc>
          <w:tcPr>
            <w:tcW w:w="0" w:type="auto"/>
            <w:gridSpan w:val="2"/>
            <w:tcBorders>
              <w:top w:val="single" w:color="auto" w:sz="4" w:space="0"/>
              <w:left w:val="nil"/>
              <w:bottom w:val="single" w:color="auto" w:sz="4" w:space="0"/>
              <w:right w:val="single" w:color="auto" w:sz="4" w:space="0"/>
            </w:tcBorders>
            <w:noWrap w:val="0"/>
            <w:vAlign w:val="center"/>
          </w:tcPr>
          <w:p w14:paraId="12463134">
            <w:pPr>
              <w:jc w:val="center"/>
              <w:rPr>
                <w:rFonts w:ascii="宋体" w:hAnsi="宋体" w:cs="宋体"/>
                <w:color w:val="auto"/>
                <w:sz w:val="20"/>
                <w:szCs w:val="20"/>
                <w:highlight w:val="none"/>
              </w:rPr>
            </w:pPr>
            <w:r>
              <w:rPr>
                <w:rFonts w:hint="eastAsia" w:ascii="宋体" w:hAnsi="宋体"/>
                <w:color w:val="auto"/>
                <w:sz w:val="20"/>
                <w:szCs w:val="20"/>
                <w:highlight w:val="none"/>
              </w:rPr>
              <w:t>50</w:t>
            </w:r>
          </w:p>
        </w:tc>
        <w:tc>
          <w:tcPr>
            <w:tcW w:w="0" w:type="auto"/>
            <w:gridSpan w:val="2"/>
            <w:tcBorders>
              <w:top w:val="single" w:color="auto" w:sz="4" w:space="0"/>
              <w:left w:val="nil"/>
              <w:bottom w:val="single" w:color="auto" w:sz="4" w:space="0"/>
              <w:right w:val="single" w:color="auto" w:sz="4" w:space="0"/>
            </w:tcBorders>
            <w:noWrap w:val="0"/>
            <w:vAlign w:val="center"/>
          </w:tcPr>
          <w:p w14:paraId="7E843C19">
            <w:pPr>
              <w:rPr>
                <w:rFonts w:ascii="宋体" w:hAnsi="宋体" w:cs="宋体"/>
                <w:color w:val="auto"/>
                <w:sz w:val="20"/>
                <w:szCs w:val="20"/>
                <w:highlight w:val="none"/>
              </w:rPr>
            </w:pPr>
            <w:r>
              <w:rPr>
                <w:rFonts w:hint="eastAsia" w:ascii="宋体" w:hAnsi="宋体"/>
                <w:color w:val="auto"/>
                <w:sz w:val="20"/>
                <w:szCs w:val="20"/>
                <w:highlight w:val="none"/>
              </w:rPr>
              <w:t xml:space="preserve"> 年度资金总额：</w:t>
            </w:r>
          </w:p>
        </w:tc>
        <w:tc>
          <w:tcPr>
            <w:tcW w:w="0" w:type="auto"/>
            <w:gridSpan w:val="2"/>
            <w:tcBorders>
              <w:top w:val="single" w:color="auto" w:sz="4" w:space="0"/>
              <w:left w:val="nil"/>
              <w:bottom w:val="single" w:color="auto" w:sz="4" w:space="0"/>
              <w:right w:val="single" w:color="000000" w:sz="4" w:space="0"/>
            </w:tcBorders>
            <w:noWrap w:val="0"/>
            <w:vAlign w:val="center"/>
          </w:tcPr>
          <w:p w14:paraId="7A72CF98">
            <w:pPr>
              <w:jc w:val="center"/>
              <w:rPr>
                <w:rFonts w:ascii="宋体" w:hAnsi="宋体" w:cs="宋体"/>
                <w:color w:val="auto"/>
                <w:sz w:val="20"/>
                <w:szCs w:val="20"/>
                <w:highlight w:val="none"/>
              </w:rPr>
            </w:pPr>
            <w:r>
              <w:rPr>
                <w:rFonts w:hint="eastAsia" w:ascii="宋体" w:hAnsi="宋体"/>
                <w:color w:val="auto"/>
                <w:sz w:val="20"/>
                <w:szCs w:val="20"/>
                <w:highlight w:val="none"/>
              </w:rPr>
              <w:t>103.44</w:t>
            </w:r>
          </w:p>
        </w:tc>
      </w:tr>
      <w:tr w14:paraId="1B5E3E72">
        <w:tblPrEx>
          <w:tblCellMar>
            <w:top w:w="0" w:type="dxa"/>
            <w:left w:w="108" w:type="dxa"/>
            <w:bottom w:w="0" w:type="dxa"/>
            <w:right w:w="108" w:type="dxa"/>
          </w:tblCellMar>
        </w:tblPrEx>
        <w:trPr>
          <w:trHeight w:val="330" w:hRule="atLeast"/>
        </w:trPr>
        <w:tc>
          <w:tcPr>
            <w:tcW w:w="0" w:type="auto"/>
            <w:gridSpan w:val="3"/>
            <w:vMerge w:val="continue"/>
            <w:tcBorders>
              <w:top w:val="single" w:color="auto" w:sz="4" w:space="0"/>
              <w:left w:val="single" w:color="auto" w:sz="4" w:space="0"/>
              <w:bottom w:val="single" w:color="000000" w:sz="4" w:space="0"/>
              <w:right w:val="single" w:color="000000" w:sz="4" w:space="0"/>
            </w:tcBorders>
            <w:noWrap w:val="0"/>
            <w:vAlign w:val="center"/>
          </w:tcPr>
          <w:p w14:paraId="02168868">
            <w:pPr>
              <w:rPr>
                <w:rFonts w:ascii="宋体" w:hAnsi="宋体" w:cs="宋体"/>
                <w:color w:val="auto"/>
                <w:sz w:val="20"/>
                <w:szCs w:val="20"/>
                <w:highlight w:val="none"/>
              </w:rPr>
            </w:pPr>
          </w:p>
        </w:tc>
        <w:tc>
          <w:tcPr>
            <w:tcW w:w="0" w:type="auto"/>
            <w:tcBorders>
              <w:top w:val="nil"/>
              <w:left w:val="nil"/>
              <w:bottom w:val="single" w:color="auto" w:sz="4" w:space="0"/>
              <w:right w:val="single" w:color="auto" w:sz="4" w:space="0"/>
            </w:tcBorders>
            <w:noWrap w:val="0"/>
            <w:vAlign w:val="center"/>
          </w:tcPr>
          <w:p w14:paraId="3D1DC6A4">
            <w:pPr>
              <w:rPr>
                <w:rFonts w:ascii="宋体" w:hAnsi="宋体" w:cs="宋体"/>
                <w:color w:val="auto"/>
                <w:sz w:val="20"/>
                <w:szCs w:val="20"/>
                <w:highlight w:val="none"/>
              </w:rPr>
            </w:pPr>
            <w:r>
              <w:rPr>
                <w:rFonts w:hint="eastAsia" w:ascii="宋体" w:hAnsi="宋体"/>
                <w:color w:val="auto"/>
                <w:sz w:val="20"/>
                <w:szCs w:val="20"/>
                <w:highlight w:val="none"/>
              </w:rPr>
              <w:t xml:space="preserve">   其中：财政拨款</w:t>
            </w:r>
          </w:p>
        </w:tc>
        <w:tc>
          <w:tcPr>
            <w:tcW w:w="0" w:type="auto"/>
            <w:gridSpan w:val="2"/>
            <w:tcBorders>
              <w:top w:val="single" w:color="auto" w:sz="4" w:space="0"/>
              <w:left w:val="nil"/>
              <w:bottom w:val="single" w:color="auto" w:sz="4" w:space="0"/>
              <w:right w:val="single" w:color="auto" w:sz="4" w:space="0"/>
            </w:tcBorders>
            <w:noWrap w:val="0"/>
            <w:vAlign w:val="center"/>
          </w:tcPr>
          <w:p w14:paraId="0D0247A5">
            <w:pPr>
              <w:jc w:val="center"/>
              <w:rPr>
                <w:rFonts w:ascii="宋体" w:hAnsi="宋体" w:cs="宋体"/>
                <w:color w:val="auto"/>
                <w:sz w:val="20"/>
                <w:szCs w:val="20"/>
                <w:highlight w:val="none"/>
              </w:rPr>
            </w:pPr>
            <w:r>
              <w:rPr>
                <w:rFonts w:hint="eastAsia" w:ascii="宋体" w:hAnsi="宋体"/>
                <w:color w:val="auto"/>
                <w:sz w:val="20"/>
                <w:szCs w:val="20"/>
                <w:highlight w:val="none"/>
              </w:rPr>
              <w:t>50</w:t>
            </w:r>
          </w:p>
        </w:tc>
        <w:tc>
          <w:tcPr>
            <w:tcW w:w="0" w:type="auto"/>
            <w:gridSpan w:val="2"/>
            <w:tcBorders>
              <w:top w:val="single" w:color="auto" w:sz="4" w:space="0"/>
              <w:left w:val="nil"/>
              <w:bottom w:val="single" w:color="auto" w:sz="4" w:space="0"/>
              <w:right w:val="single" w:color="auto" w:sz="4" w:space="0"/>
            </w:tcBorders>
            <w:noWrap w:val="0"/>
            <w:vAlign w:val="center"/>
          </w:tcPr>
          <w:p w14:paraId="556CBF02">
            <w:pPr>
              <w:rPr>
                <w:rFonts w:ascii="宋体" w:hAnsi="宋体" w:cs="宋体"/>
                <w:color w:val="auto"/>
                <w:sz w:val="20"/>
                <w:szCs w:val="20"/>
                <w:highlight w:val="none"/>
              </w:rPr>
            </w:pPr>
            <w:r>
              <w:rPr>
                <w:rFonts w:hint="eastAsia" w:ascii="宋体" w:hAnsi="宋体"/>
                <w:color w:val="auto"/>
                <w:sz w:val="20"/>
                <w:szCs w:val="20"/>
                <w:highlight w:val="none"/>
              </w:rPr>
              <w:t xml:space="preserve">   其中：财政拨款</w:t>
            </w:r>
          </w:p>
        </w:tc>
        <w:tc>
          <w:tcPr>
            <w:tcW w:w="0" w:type="auto"/>
            <w:gridSpan w:val="2"/>
            <w:tcBorders>
              <w:top w:val="single" w:color="auto" w:sz="4" w:space="0"/>
              <w:left w:val="nil"/>
              <w:bottom w:val="single" w:color="auto" w:sz="4" w:space="0"/>
              <w:right w:val="single" w:color="000000" w:sz="4" w:space="0"/>
            </w:tcBorders>
            <w:noWrap w:val="0"/>
            <w:vAlign w:val="center"/>
          </w:tcPr>
          <w:p w14:paraId="6C22259E">
            <w:pPr>
              <w:jc w:val="center"/>
              <w:rPr>
                <w:rFonts w:ascii="宋体" w:hAnsi="宋体" w:cs="宋体"/>
                <w:color w:val="auto"/>
                <w:sz w:val="20"/>
                <w:szCs w:val="20"/>
                <w:highlight w:val="none"/>
              </w:rPr>
            </w:pPr>
            <w:r>
              <w:rPr>
                <w:rFonts w:hint="eastAsia" w:ascii="宋体" w:hAnsi="宋体"/>
                <w:color w:val="auto"/>
                <w:sz w:val="20"/>
                <w:szCs w:val="20"/>
                <w:highlight w:val="none"/>
              </w:rPr>
              <w:t>103.44</w:t>
            </w:r>
          </w:p>
        </w:tc>
      </w:tr>
      <w:tr w14:paraId="1F3A7442">
        <w:tblPrEx>
          <w:tblCellMar>
            <w:top w:w="0" w:type="dxa"/>
            <w:left w:w="108" w:type="dxa"/>
            <w:bottom w:w="0" w:type="dxa"/>
            <w:right w:w="108" w:type="dxa"/>
          </w:tblCellMar>
        </w:tblPrEx>
        <w:trPr>
          <w:trHeight w:val="330" w:hRule="atLeast"/>
        </w:trPr>
        <w:tc>
          <w:tcPr>
            <w:tcW w:w="0" w:type="auto"/>
            <w:gridSpan w:val="3"/>
            <w:vMerge w:val="continue"/>
            <w:tcBorders>
              <w:top w:val="single" w:color="auto" w:sz="4" w:space="0"/>
              <w:left w:val="single" w:color="auto" w:sz="4" w:space="0"/>
              <w:bottom w:val="single" w:color="000000" w:sz="4" w:space="0"/>
              <w:right w:val="single" w:color="000000" w:sz="4" w:space="0"/>
            </w:tcBorders>
            <w:noWrap w:val="0"/>
            <w:vAlign w:val="center"/>
          </w:tcPr>
          <w:p w14:paraId="59EFFED5">
            <w:pPr>
              <w:rPr>
                <w:rFonts w:ascii="宋体" w:hAnsi="宋体" w:cs="宋体"/>
                <w:color w:val="auto"/>
                <w:sz w:val="20"/>
                <w:szCs w:val="20"/>
                <w:highlight w:val="none"/>
              </w:rPr>
            </w:pPr>
          </w:p>
        </w:tc>
        <w:tc>
          <w:tcPr>
            <w:tcW w:w="0" w:type="auto"/>
            <w:tcBorders>
              <w:top w:val="nil"/>
              <w:left w:val="nil"/>
              <w:bottom w:val="single" w:color="auto" w:sz="4" w:space="0"/>
              <w:right w:val="single" w:color="auto" w:sz="4" w:space="0"/>
            </w:tcBorders>
            <w:noWrap w:val="0"/>
            <w:vAlign w:val="center"/>
          </w:tcPr>
          <w:p w14:paraId="4E2F0E2B">
            <w:pPr>
              <w:rPr>
                <w:rFonts w:ascii="宋体" w:hAnsi="宋体" w:cs="宋体"/>
                <w:color w:val="auto"/>
                <w:sz w:val="20"/>
                <w:szCs w:val="20"/>
                <w:highlight w:val="none"/>
              </w:rPr>
            </w:pPr>
            <w:r>
              <w:rPr>
                <w:rFonts w:hint="eastAsia" w:ascii="宋体" w:hAnsi="宋体"/>
                <w:color w:val="auto"/>
                <w:sz w:val="20"/>
                <w:szCs w:val="20"/>
                <w:highlight w:val="none"/>
              </w:rPr>
              <w:t xml:space="preserve">  其他资金</w:t>
            </w:r>
          </w:p>
        </w:tc>
        <w:tc>
          <w:tcPr>
            <w:tcW w:w="0" w:type="auto"/>
            <w:gridSpan w:val="2"/>
            <w:tcBorders>
              <w:top w:val="single" w:color="auto" w:sz="4" w:space="0"/>
              <w:left w:val="nil"/>
              <w:bottom w:val="single" w:color="auto" w:sz="4" w:space="0"/>
              <w:right w:val="single" w:color="000000" w:sz="4" w:space="0"/>
            </w:tcBorders>
            <w:noWrap w:val="0"/>
            <w:vAlign w:val="center"/>
          </w:tcPr>
          <w:p w14:paraId="46CF26F5">
            <w:pPr>
              <w:rPr>
                <w:rFonts w:ascii="宋体" w:hAnsi="宋体" w:cs="宋体"/>
                <w:color w:val="auto"/>
                <w:sz w:val="20"/>
                <w:szCs w:val="20"/>
                <w:highlight w:val="none"/>
              </w:rPr>
            </w:pPr>
            <w:r>
              <w:rPr>
                <w:rFonts w:hint="eastAsia" w:ascii="宋体" w:hAnsi="宋体"/>
                <w:color w:val="auto"/>
                <w:sz w:val="20"/>
                <w:szCs w:val="20"/>
                <w:highlight w:val="none"/>
              </w:rPr>
              <w:t>　</w:t>
            </w:r>
          </w:p>
        </w:tc>
        <w:tc>
          <w:tcPr>
            <w:tcW w:w="0" w:type="auto"/>
            <w:gridSpan w:val="2"/>
            <w:tcBorders>
              <w:top w:val="single" w:color="auto" w:sz="4" w:space="0"/>
              <w:left w:val="nil"/>
              <w:bottom w:val="single" w:color="auto" w:sz="4" w:space="0"/>
              <w:right w:val="single" w:color="auto" w:sz="4" w:space="0"/>
            </w:tcBorders>
            <w:noWrap w:val="0"/>
            <w:vAlign w:val="center"/>
          </w:tcPr>
          <w:p w14:paraId="221CD3B6">
            <w:pPr>
              <w:rPr>
                <w:rFonts w:ascii="宋体" w:hAnsi="宋体" w:cs="宋体"/>
                <w:color w:val="auto"/>
                <w:sz w:val="20"/>
                <w:szCs w:val="20"/>
                <w:highlight w:val="none"/>
              </w:rPr>
            </w:pPr>
            <w:r>
              <w:rPr>
                <w:rFonts w:hint="eastAsia" w:ascii="宋体" w:hAnsi="宋体"/>
                <w:color w:val="auto"/>
                <w:sz w:val="20"/>
                <w:szCs w:val="20"/>
                <w:highlight w:val="none"/>
              </w:rPr>
              <w:t xml:space="preserve">         其他资金</w:t>
            </w:r>
          </w:p>
        </w:tc>
        <w:tc>
          <w:tcPr>
            <w:tcW w:w="0" w:type="auto"/>
            <w:gridSpan w:val="2"/>
            <w:tcBorders>
              <w:top w:val="single" w:color="auto" w:sz="4" w:space="0"/>
              <w:left w:val="nil"/>
              <w:bottom w:val="single" w:color="auto" w:sz="4" w:space="0"/>
              <w:right w:val="single" w:color="000000" w:sz="4" w:space="0"/>
            </w:tcBorders>
            <w:noWrap w:val="0"/>
            <w:vAlign w:val="center"/>
          </w:tcPr>
          <w:p w14:paraId="0EE55A7D">
            <w:pPr>
              <w:rPr>
                <w:rFonts w:ascii="宋体" w:hAnsi="宋体" w:cs="宋体"/>
                <w:color w:val="auto"/>
                <w:sz w:val="20"/>
                <w:szCs w:val="20"/>
                <w:highlight w:val="none"/>
              </w:rPr>
            </w:pPr>
            <w:r>
              <w:rPr>
                <w:rFonts w:hint="eastAsia" w:ascii="宋体" w:hAnsi="宋体"/>
                <w:color w:val="auto"/>
                <w:sz w:val="20"/>
                <w:szCs w:val="20"/>
                <w:highlight w:val="none"/>
              </w:rPr>
              <w:t>　</w:t>
            </w:r>
          </w:p>
        </w:tc>
      </w:tr>
      <w:tr w14:paraId="7590B681">
        <w:tblPrEx>
          <w:tblCellMar>
            <w:top w:w="0" w:type="dxa"/>
            <w:left w:w="108" w:type="dxa"/>
            <w:bottom w:w="0" w:type="dxa"/>
            <w:right w:w="108" w:type="dxa"/>
          </w:tblCellMar>
        </w:tblPrEx>
        <w:trPr>
          <w:trHeight w:val="330" w:hRule="atLeast"/>
        </w:trPr>
        <w:tc>
          <w:tcPr>
            <w:tcW w:w="0" w:type="auto"/>
            <w:vMerge w:val="restart"/>
            <w:tcBorders>
              <w:top w:val="nil"/>
              <w:left w:val="single" w:color="auto" w:sz="4" w:space="0"/>
              <w:bottom w:val="single" w:color="auto" w:sz="4" w:space="0"/>
              <w:right w:val="single" w:color="auto" w:sz="4" w:space="0"/>
            </w:tcBorders>
            <w:noWrap w:val="0"/>
            <w:vAlign w:val="center"/>
          </w:tcPr>
          <w:p w14:paraId="6E74F5EB">
            <w:pPr>
              <w:rPr>
                <w:rFonts w:ascii="宋体" w:hAnsi="宋体" w:cs="宋体"/>
                <w:color w:val="auto"/>
                <w:sz w:val="20"/>
                <w:szCs w:val="20"/>
                <w:highlight w:val="none"/>
              </w:rPr>
            </w:pPr>
            <w:r>
              <w:rPr>
                <w:rFonts w:hint="eastAsia" w:ascii="宋体" w:hAnsi="宋体"/>
                <w:color w:val="auto"/>
                <w:sz w:val="20"/>
                <w:szCs w:val="20"/>
                <w:highlight w:val="none"/>
              </w:rPr>
              <w:t>总</w:t>
            </w:r>
            <w:r>
              <w:rPr>
                <w:rFonts w:hint="eastAsia" w:ascii="宋体" w:hAnsi="宋体"/>
                <w:color w:val="auto"/>
                <w:sz w:val="20"/>
                <w:szCs w:val="20"/>
                <w:highlight w:val="none"/>
              </w:rPr>
              <w:br w:type="textWrapping"/>
            </w:r>
            <w:r>
              <w:rPr>
                <w:rFonts w:hint="eastAsia" w:ascii="宋体" w:hAnsi="宋体"/>
                <w:color w:val="auto"/>
                <w:sz w:val="20"/>
                <w:szCs w:val="20"/>
                <w:highlight w:val="none"/>
              </w:rPr>
              <w:t>体</w:t>
            </w:r>
            <w:r>
              <w:rPr>
                <w:rFonts w:hint="eastAsia" w:ascii="宋体" w:hAnsi="宋体"/>
                <w:color w:val="auto"/>
                <w:sz w:val="20"/>
                <w:szCs w:val="20"/>
                <w:highlight w:val="none"/>
              </w:rPr>
              <w:br w:type="textWrapping"/>
            </w:r>
            <w:r>
              <w:rPr>
                <w:rFonts w:hint="eastAsia" w:ascii="宋体" w:hAnsi="宋体"/>
                <w:color w:val="auto"/>
                <w:sz w:val="20"/>
                <w:szCs w:val="20"/>
                <w:highlight w:val="none"/>
              </w:rPr>
              <w:t>目</w:t>
            </w:r>
            <w:r>
              <w:rPr>
                <w:rFonts w:hint="eastAsia" w:ascii="宋体" w:hAnsi="宋体"/>
                <w:color w:val="auto"/>
                <w:sz w:val="20"/>
                <w:szCs w:val="20"/>
                <w:highlight w:val="none"/>
              </w:rPr>
              <w:br w:type="textWrapping"/>
            </w:r>
            <w:r>
              <w:rPr>
                <w:rFonts w:hint="eastAsia" w:ascii="宋体" w:hAnsi="宋体"/>
                <w:color w:val="auto"/>
                <w:sz w:val="20"/>
                <w:szCs w:val="20"/>
                <w:highlight w:val="none"/>
              </w:rPr>
              <w:t>标</w:t>
            </w:r>
          </w:p>
        </w:tc>
        <w:tc>
          <w:tcPr>
            <w:tcW w:w="0" w:type="auto"/>
            <w:gridSpan w:val="5"/>
            <w:tcBorders>
              <w:top w:val="single" w:color="auto" w:sz="4" w:space="0"/>
              <w:left w:val="nil"/>
              <w:bottom w:val="single" w:color="auto" w:sz="4" w:space="0"/>
              <w:right w:val="nil"/>
            </w:tcBorders>
            <w:noWrap w:val="0"/>
            <w:vAlign w:val="center"/>
          </w:tcPr>
          <w:p w14:paraId="396923AD">
            <w:pPr>
              <w:jc w:val="center"/>
              <w:rPr>
                <w:rFonts w:ascii="宋体" w:hAnsi="宋体" w:cs="宋体"/>
                <w:color w:val="auto"/>
                <w:sz w:val="20"/>
                <w:szCs w:val="20"/>
                <w:highlight w:val="none"/>
              </w:rPr>
            </w:pPr>
            <w:r>
              <w:rPr>
                <w:rFonts w:hint="eastAsia" w:ascii="宋体" w:hAnsi="宋体"/>
                <w:color w:val="auto"/>
                <w:sz w:val="20"/>
                <w:szCs w:val="20"/>
                <w:highlight w:val="none"/>
              </w:rPr>
              <w:t>中期目标（2023年1月—2023年6月）</w:t>
            </w:r>
          </w:p>
        </w:tc>
        <w:tc>
          <w:tcPr>
            <w:tcW w:w="0" w:type="auto"/>
            <w:gridSpan w:val="4"/>
            <w:tcBorders>
              <w:top w:val="single" w:color="auto" w:sz="4" w:space="0"/>
              <w:left w:val="single" w:color="auto" w:sz="4" w:space="0"/>
              <w:bottom w:val="single" w:color="auto" w:sz="4" w:space="0"/>
              <w:right w:val="single" w:color="000000" w:sz="4" w:space="0"/>
            </w:tcBorders>
            <w:noWrap w:val="0"/>
            <w:vAlign w:val="center"/>
          </w:tcPr>
          <w:p w14:paraId="34E2A7A2">
            <w:pPr>
              <w:jc w:val="center"/>
              <w:rPr>
                <w:rFonts w:ascii="宋体" w:hAnsi="宋体" w:cs="宋体"/>
                <w:color w:val="auto"/>
                <w:sz w:val="20"/>
                <w:szCs w:val="20"/>
                <w:highlight w:val="none"/>
              </w:rPr>
            </w:pPr>
            <w:r>
              <w:rPr>
                <w:rFonts w:hint="eastAsia" w:ascii="宋体" w:hAnsi="宋体"/>
                <w:color w:val="auto"/>
                <w:sz w:val="20"/>
                <w:szCs w:val="20"/>
                <w:highlight w:val="none"/>
              </w:rPr>
              <w:t>年度目标</w:t>
            </w:r>
          </w:p>
        </w:tc>
      </w:tr>
      <w:tr w14:paraId="7B2D2288">
        <w:tblPrEx>
          <w:tblCellMar>
            <w:top w:w="0" w:type="dxa"/>
            <w:left w:w="108" w:type="dxa"/>
            <w:bottom w:w="0" w:type="dxa"/>
            <w:right w:w="108" w:type="dxa"/>
          </w:tblCellMar>
        </w:tblPrEx>
        <w:trPr>
          <w:trHeight w:val="660" w:hRule="atLeast"/>
        </w:trPr>
        <w:tc>
          <w:tcPr>
            <w:tcW w:w="0" w:type="auto"/>
            <w:vMerge w:val="continue"/>
            <w:tcBorders>
              <w:top w:val="nil"/>
              <w:left w:val="single" w:color="auto" w:sz="4" w:space="0"/>
              <w:bottom w:val="single" w:color="auto" w:sz="4" w:space="0"/>
              <w:right w:val="single" w:color="auto" w:sz="4" w:space="0"/>
            </w:tcBorders>
            <w:noWrap w:val="0"/>
            <w:vAlign w:val="center"/>
          </w:tcPr>
          <w:p w14:paraId="4E4713E6">
            <w:pPr>
              <w:rPr>
                <w:rFonts w:ascii="宋体" w:hAnsi="宋体" w:cs="宋体"/>
                <w:color w:val="auto"/>
                <w:sz w:val="20"/>
                <w:szCs w:val="20"/>
                <w:highlight w:val="none"/>
              </w:rPr>
            </w:pPr>
          </w:p>
        </w:tc>
        <w:tc>
          <w:tcPr>
            <w:tcW w:w="0" w:type="auto"/>
            <w:gridSpan w:val="5"/>
            <w:tcBorders>
              <w:top w:val="single" w:color="auto" w:sz="4" w:space="0"/>
              <w:left w:val="nil"/>
              <w:bottom w:val="single" w:color="auto" w:sz="4" w:space="0"/>
              <w:right w:val="nil"/>
            </w:tcBorders>
            <w:noWrap w:val="0"/>
            <w:vAlign w:val="center"/>
          </w:tcPr>
          <w:p w14:paraId="449DF448">
            <w:pPr>
              <w:rPr>
                <w:rFonts w:ascii="宋体" w:hAnsi="宋体" w:cs="宋体"/>
                <w:color w:val="auto"/>
                <w:sz w:val="20"/>
                <w:szCs w:val="20"/>
                <w:highlight w:val="none"/>
              </w:rPr>
            </w:pPr>
            <w:r>
              <w:rPr>
                <w:rFonts w:hint="eastAsia" w:ascii="宋体" w:hAnsi="宋体"/>
                <w:color w:val="auto"/>
                <w:sz w:val="20"/>
                <w:szCs w:val="20"/>
                <w:highlight w:val="none"/>
              </w:rPr>
              <w:t xml:space="preserve"> 目标：</w:t>
            </w:r>
            <w:r>
              <w:rPr>
                <w:rFonts w:hint="eastAsia" w:ascii="宋体" w:hAnsi="宋体" w:cs="宋体"/>
                <w:color w:val="auto"/>
                <w:kern w:val="0"/>
                <w:sz w:val="20"/>
                <w:szCs w:val="20"/>
                <w:highlight w:val="none"/>
              </w:rPr>
              <w:t>本项目为离休干部、正高级专业技术人员的医疗统筹金，项目实施保障我县离休干部、正高级专业技术人员的医疗待遇，贯彻了相关文件精神，体现了县委、县政府关心爱护老干部以及积极落实党的知识分子政策，是重视人才、尊重人才的体现。</w:t>
            </w:r>
          </w:p>
        </w:tc>
        <w:tc>
          <w:tcPr>
            <w:tcW w:w="0" w:type="auto"/>
            <w:gridSpan w:val="4"/>
            <w:tcBorders>
              <w:top w:val="single" w:color="auto" w:sz="4" w:space="0"/>
              <w:left w:val="single" w:color="auto" w:sz="4" w:space="0"/>
              <w:bottom w:val="single" w:color="auto" w:sz="4" w:space="0"/>
              <w:right w:val="single" w:color="000000" w:sz="4" w:space="0"/>
            </w:tcBorders>
            <w:noWrap w:val="0"/>
            <w:vAlign w:val="center"/>
          </w:tcPr>
          <w:p w14:paraId="798BDA85">
            <w:pPr>
              <w:rPr>
                <w:rFonts w:ascii="宋体" w:hAnsi="宋体" w:cs="宋体"/>
                <w:color w:val="auto"/>
                <w:sz w:val="20"/>
                <w:szCs w:val="20"/>
                <w:highlight w:val="none"/>
              </w:rPr>
            </w:pPr>
            <w:r>
              <w:rPr>
                <w:rFonts w:hint="eastAsia" w:ascii="宋体" w:hAnsi="宋体"/>
                <w:color w:val="auto"/>
                <w:sz w:val="20"/>
                <w:szCs w:val="20"/>
                <w:highlight w:val="none"/>
              </w:rPr>
              <w:t xml:space="preserve"> 目标：</w:t>
            </w:r>
            <w:r>
              <w:rPr>
                <w:rFonts w:hint="eastAsia" w:ascii="宋体" w:hAnsi="宋体" w:cs="宋体"/>
                <w:color w:val="auto"/>
                <w:kern w:val="0"/>
                <w:sz w:val="20"/>
                <w:szCs w:val="20"/>
                <w:highlight w:val="none"/>
              </w:rPr>
              <w:t>本项目为离休干部、正高级专业技术人员的医疗统筹金，项目实施保障我县离休干部、正高级专业技术人员的医疗待遇，贯彻了相关文件精神，体现了县委、县政府关心爱护老干部以及积极落实党的知识分子政策，是重视人才、尊重人才的体现。</w:t>
            </w:r>
          </w:p>
        </w:tc>
      </w:tr>
      <w:tr w14:paraId="49A723CF">
        <w:tblPrEx>
          <w:tblCellMar>
            <w:top w:w="0" w:type="dxa"/>
            <w:left w:w="108" w:type="dxa"/>
            <w:bottom w:w="0" w:type="dxa"/>
            <w:right w:w="108" w:type="dxa"/>
          </w:tblCellMar>
        </w:tblPrEx>
        <w:trPr>
          <w:trHeight w:val="830" w:hRule="atLeast"/>
        </w:trPr>
        <w:tc>
          <w:tcPr>
            <w:tcW w:w="0" w:type="auto"/>
            <w:vMerge w:val="restart"/>
            <w:tcBorders>
              <w:top w:val="nil"/>
              <w:left w:val="single" w:color="auto" w:sz="4" w:space="0"/>
              <w:bottom w:val="single" w:color="000000" w:sz="4" w:space="0"/>
              <w:right w:val="single" w:color="auto" w:sz="4" w:space="0"/>
            </w:tcBorders>
            <w:noWrap w:val="0"/>
            <w:vAlign w:val="center"/>
          </w:tcPr>
          <w:p w14:paraId="38AA8C66">
            <w:pPr>
              <w:rPr>
                <w:rFonts w:ascii="宋体" w:hAnsi="宋体" w:cs="宋体"/>
                <w:color w:val="auto"/>
                <w:sz w:val="20"/>
                <w:szCs w:val="20"/>
                <w:highlight w:val="none"/>
              </w:rPr>
            </w:pPr>
            <w:r>
              <w:rPr>
                <w:rFonts w:hint="eastAsia"/>
                <w:color w:val="auto"/>
                <w:sz w:val="20"/>
                <w:szCs w:val="20"/>
                <w:highlight w:val="none"/>
              </w:rPr>
              <w:t>绩</w:t>
            </w:r>
            <w:r>
              <w:rPr>
                <w:rFonts w:hint="eastAsia"/>
                <w:color w:val="auto"/>
                <w:sz w:val="20"/>
                <w:szCs w:val="20"/>
                <w:highlight w:val="none"/>
              </w:rPr>
              <w:br w:type="textWrapping"/>
            </w:r>
            <w:r>
              <w:rPr>
                <w:rFonts w:hint="eastAsia"/>
                <w:color w:val="auto"/>
                <w:sz w:val="20"/>
                <w:szCs w:val="20"/>
                <w:highlight w:val="none"/>
              </w:rPr>
              <w:t>效</w:t>
            </w:r>
            <w:r>
              <w:rPr>
                <w:rFonts w:hint="eastAsia"/>
                <w:color w:val="auto"/>
                <w:sz w:val="20"/>
                <w:szCs w:val="20"/>
                <w:highlight w:val="none"/>
              </w:rPr>
              <w:br w:type="textWrapping"/>
            </w:r>
            <w:r>
              <w:rPr>
                <w:rFonts w:hint="eastAsia"/>
                <w:color w:val="auto"/>
                <w:sz w:val="20"/>
                <w:szCs w:val="20"/>
                <w:highlight w:val="none"/>
              </w:rPr>
              <w:t>指</w:t>
            </w:r>
            <w:r>
              <w:rPr>
                <w:rFonts w:hint="eastAsia"/>
                <w:color w:val="auto"/>
                <w:sz w:val="20"/>
                <w:szCs w:val="20"/>
                <w:highlight w:val="none"/>
              </w:rPr>
              <w:br w:type="textWrapping"/>
            </w:r>
            <w:r>
              <w:rPr>
                <w:rFonts w:hint="eastAsia"/>
                <w:color w:val="auto"/>
                <w:sz w:val="20"/>
                <w:szCs w:val="20"/>
                <w:highlight w:val="none"/>
              </w:rPr>
              <w:t>标</w:t>
            </w:r>
          </w:p>
        </w:tc>
        <w:tc>
          <w:tcPr>
            <w:tcW w:w="0" w:type="auto"/>
            <w:tcBorders>
              <w:top w:val="nil"/>
              <w:left w:val="nil"/>
              <w:bottom w:val="nil"/>
              <w:right w:val="single" w:color="auto" w:sz="4" w:space="0"/>
            </w:tcBorders>
            <w:noWrap w:val="0"/>
            <w:vAlign w:val="center"/>
          </w:tcPr>
          <w:p w14:paraId="404E8FBA">
            <w:pPr>
              <w:jc w:val="center"/>
              <w:rPr>
                <w:rFonts w:ascii="宋体" w:hAnsi="宋体" w:cs="宋体"/>
                <w:color w:val="auto"/>
                <w:sz w:val="20"/>
                <w:szCs w:val="20"/>
                <w:highlight w:val="none"/>
              </w:rPr>
            </w:pPr>
            <w:r>
              <w:rPr>
                <w:rFonts w:hint="eastAsia"/>
                <w:color w:val="auto"/>
                <w:sz w:val="20"/>
                <w:szCs w:val="20"/>
                <w:highlight w:val="none"/>
              </w:rPr>
              <w:t>一级</w:t>
            </w:r>
            <w:r>
              <w:rPr>
                <w:rFonts w:hint="eastAsia"/>
                <w:color w:val="auto"/>
                <w:sz w:val="20"/>
                <w:szCs w:val="20"/>
                <w:highlight w:val="none"/>
              </w:rPr>
              <w:br w:type="textWrapping"/>
            </w:r>
            <w:r>
              <w:rPr>
                <w:rFonts w:hint="eastAsia"/>
                <w:color w:val="auto"/>
                <w:sz w:val="20"/>
                <w:szCs w:val="20"/>
                <w:highlight w:val="none"/>
              </w:rPr>
              <w:t>指标</w:t>
            </w:r>
          </w:p>
        </w:tc>
        <w:tc>
          <w:tcPr>
            <w:tcW w:w="0" w:type="auto"/>
            <w:tcBorders>
              <w:top w:val="nil"/>
              <w:left w:val="nil"/>
              <w:bottom w:val="single" w:color="auto" w:sz="4" w:space="0"/>
              <w:right w:val="single" w:color="auto" w:sz="4" w:space="0"/>
            </w:tcBorders>
            <w:noWrap w:val="0"/>
            <w:vAlign w:val="center"/>
          </w:tcPr>
          <w:p w14:paraId="12999AA0">
            <w:pPr>
              <w:jc w:val="center"/>
              <w:rPr>
                <w:color w:val="auto"/>
                <w:sz w:val="20"/>
                <w:szCs w:val="20"/>
                <w:highlight w:val="none"/>
              </w:rPr>
            </w:pPr>
            <w:r>
              <w:rPr>
                <w:rFonts w:hint="eastAsia"/>
                <w:color w:val="auto"/>
                <w:sz w:val="20"/>
                <w:szCs w:val="20"/>
                <w:highlight w:val="none"/>
              </w:rPr>
              <w:t>二级</w:t>
            </w:r>
          </w:p>
          <w:p w14:paraId="3ADB8EB6">
            <w:pPr>
              <w:jc w:val="center"/>
              <w:rPr>
                <w:rFonts w:ascii="宋体" w:hAnsi="宋体" w:cs="宋体"/>
                <w:color w:val="auto"/>
                <w:sz w:val="20"/>
                <w:szCs w:val="20"/>
                <w:highlight w:val="none"/>
              </w:rPr>
            </w:pPr>
            <w:r>
              <w:rPr>
                <w:rFonts w:hint="eastAsia"/>
                <w:color w:val="auto"/>
                <w:sz w:val="20"/>
                <w:szCs w:val="20"/>
                <w:highlight w:val="none"/>
              </w:rPr>
              <w:t>指标</w:t>
            </w:r>
          </w:p>
        </w:tc>
        <w:tc>
          <w:tcPr>
            <w:tcW w:w="0" w:type="auto"/>
            <w:tcBorders>
              <w:top w:val="nil"/>
              <w:left w:val="nil"/>
              <w:bottom w:val="single" w:color="auto" w:sz="4" w:space="0"/>
              <w:right w:val="single" w:color="auto" w:sz="4" w:space="0"/>
            </w:tcBorders>
            <w:noWrap w:val="0"/>
            <w:vAlign w:val="center"/>
          </w:tcPr>
          <w:p w14:paraId="29E916CA">
            <w:pPr>
              <w:jc w:val="center"/>
              <w:rPr>
                <w:rFonts w:ascii="宋体" w:hAnsi="宋体" w:cs="宋体"/>
                <w:color w:val="auto"/>
                <w:sz w:val="20"/>
                <w:szCs w:val="20"/>
                <w:highlight w:val="none"/>
              </w:rPr>
            </w:pPr>
            <w:r>
              <w:rPr>
                <w:rFonts w:hint="eastAsia"/>
                <w:color w:val="auto"/>
                <w:sz w:val="20"/>
                <w:szCs w:val="20"/>
                <w:highlight w:val="none"/>
              </w:rPr>
              <w:t>三级指标</w:t>
            </w:r>
          </w:p>
        </w:tc>
        <w:tc>
          <w:tcPr>
            <w:tcW w:w="0" w:type="auto"/>
            <w:tcBorders>
              <w:top w:val="nil"/>
              <w:left w:val="nil"/>
              <w:bottom w:val="single" w:color="auto" w:sz="4" w:space="0"/>
              <w:right w:val="single" w:color="auto" w:sz="4" w:space="0"/>
            </w:tcBorders>
            <w:noWrap w:val="0"/>
            <w:vAlign w:val="center"/>
          </w:tcPr>
          <w:p w14:paraId="7F059A6B">
            <w:pPr>
              <w:jc w:val="center"/>
              <w:rPr>
                <w:rFonts w:ascii="宋体" w:hAnsi="宋体" w:cs="宋体"/>
                <w:color w:val="auto"/>
                <w:sz w:val="20"/>
                <w:szCs w:val="20"/>
                <w:highlight w:val="none"/>
              </w:rPr>
            </w:pPr>
            <w:r>
              <w:rPr>
                <w:rFonts w:hint="eastAsia"/>
                <w:color w:val="auto"/>
                <w:sz w:val="20"/>
                <w:szCs w:val="20"/>
                <w:highlight w:val="none"/>
              </w:rPr>
              <w:t>指标值</w:t>
            </w:r>
          </w:p>
        </w:tc>
        <w:tc>
          <w:tcPr>
            <w:tcW w:w="0" w:type="auto"/>
            <w:tcBorders>
              <w:top w:val="nil"/>
              <w:left w:val="nil"/>
              <w:bottom w:val="single" w:color="auto" w:sz="4" w:space="0"/>
              <w:right w:val="single" w:color="auto" w:sz="4" w:space="0"/>
            </w:tcBorders>
            <w:noWrap w:val="0"/>
            <w:vAlign w:val="center"/>
          </w:tcPr>
          <w:p w14:paraId="4995A3B7">
            <w:pPr>
              <w:jc w:val="center"/>
              <w:rPr>
                <w:rFonts w:ascii="宋体" w:hAnsi="宋体" w:cs="宋体"/>
                <w:color w:val="auto"/>
                <w:sz w:val="20"/>
                <w:szCs w:val="20"/>
                <w:highlight w:val="none"/>
              </w:rPr>
            </w:pPr>
            <w:r>
              <w:rPr>
                <w:rFonts w:hint="eastAsia"/>
                <w:color w:val="auto"/>
                <w:sz w:val="20"/>
                <w:szCs w:val="20"/>
                <w:highlight w:val="none"/>
              </w:rPr>
              <w:t>绩效 标准</w:t>
            </w:r>
          </w:p>
        </w:tc>
        <w:tc>
          <w:tcPr>
            <w:tcW w:w="0" w:type="auto"/>
            <w:tcBorders>
              <w:top w:val="nil"/>
              <w:left w:val="nil"/>
              <w:bottom w:val="single" w:color="auto" w:sz="4" w:space="0"/>
              <w:right w:val="single" w:color="auto" w:sz="4" w:space="0"/>
            </w:tcBorders>
            <w:noWrap w:val="0"/>
            <w:vAlign w:val="center"/>
          </w:tcPr>
          <w:p w14:paraId="192D060C">
            <w:pPr>
              <w:jc w:val="center"/>
              <w:rPr>
                <w:color w:val="auto"/>
                <w:sz w:val="20"/>
                <w:szCs w:val="20"/>
                <w:highlight w:val="none"/>
              </w:rPr>
            </w:pPr>
            <w:r>
              <w:rPr>
                <w:rFonts w:hint="eastAsia"/>
                <w:color w:val="auto"/>
                <w:sz w:val="20"/>
                <w:szCs w:val="20"/>
                <w:highlight w:val="none"/>
              </w:rPr>
              <w:t>二级</w:t>
            </w:r>
          </w:p>
          <w:p w14:paraId="1C89AC99">
            <w:pPr>
              <w:jc w:val="center"/>
              <w:rPr>
                <w:rFonts w:ascii="宋体" w:hAnsi="宋体" w:cs="宋体"/>
                <w:color w:val="auto"/>
                <w:sz w:val="20"/>
                <w:szCs w:val="20"/>
                <w:highlight w:val="none"/>
              </w:rPr>
            </w:pPr>
            <w:r>
              <w:rPr>
                <w:rFonts w:hint="eastAsia"/>
                <w:color w:val="auto"/>
                <w:sz w:val="20"/>
                <w:szCs w:val="20"/>
                <w:highlight w:val="none"/>
              </w:rPr>
              <w:t>指标</w:t>
            </w:r>
          </w:p>
        </w:tc>
        <w:tc>
          <w:tcPr>
            <w:tcW w:w="0" w:type="auto"/>
            <w:tcBorders>
              <w:top w:val="nil"/>
              <w:left w:val="nil"/>
              <w:bottom w:val="single" w:color="auto" w:sz="4" w:space="0"/>
              <w:right w:val="nil"/>
            </w:tcBorders>
            <w:noWrap w:val="0"/>
            <w:vAlign w:val="center"/>
          </w:tcPr>
          <w:p w14:paraId="03AED600">
            <w:pPr>
              <w:jc w:val="center"/>
              <w:rPr>
                <w:rFonts w:ascii="宋体" w:hAnsi="宋体" w:cs="宋体"/>
                <w:color w:val="auto"/>
                <w:sz w:val="20"/>
                <w:szCs w:val="20"/>
                <w:highlight w:val="none"/>
              </w:rPr>
            </w:pPr>
            <w:r>
              <w:rPr>
                <w:rFonts w:hint="eastAsia"/>
                <w:color w:val="auto"/>
                <w:sz w:val="20"/>
                <w:szCs w:val="20"/>
                <w:highlight w:val="none"/>
              </w:rPr>
              <w:t>三级指标</w:t>
            </w:r>
          </w:p>
        </w:tc>
        <w:tc>
          <w:tcPr>
            <w:tcW w:w="0" w:type="auto"/>
            <w:tcBorders>
              <w:top w:val="nil"/>
              <w:left w:val="single" w:color="auto" w:sz="4" w:space="0"/>
              <w:bottom w:val="single" w:color="auto" w:sz="4" w:space="0"/>
              <w:right w:val="single" w:color="auto" w:sz="4" w:space="0"/>
            </w:tcBorders>
            <w:noWrap w:val="0"/>
            <w:vAlign w:val="center"/>
          </w:tcPr>
          <w:p w14:paraId="4DC88556">
            <w:pPr>
              <w:jc w:val="center"/>
              <w:rPr>
                <w:rFonts w:ascii="宋体" w:hAnsi="宋体" w:cs="宋体"/>
                <w:color w:val="auto"/>
                <w:sz w:val="20"/>
                <w:szCs w:val="20"/>
                <w:highlight w:val="none"/>
              </w:rPr>
            </w:pPr>
            <w:r>
              <w:rPr>
                <w:rFonts w:hint="eastAsia"/>
                <w:color w:val="auto"/>
                <w:sz w:val="20"/>
                <w:szCs w:val="20"/>
                <w:highlight w:val="none"/>
              </w:rPr>
              <w:t>指标值</w:t>
            </w:r>
          </w:p>
        </w:tc>
        <w:tc>
          <w:tcPr>
            <w:tcW w:w="0" w:type="auto"/>
            <w:tcBorders>
              <w:top w:val="nil"/>
              <w:left w:val="nil"/>
              <w:bottom w:val="single" w:color="auto" w:sz="4" w:space="0"/>
              <w:right w:val="single" w:color="auto" w:sz="4" w:space="0"/>
            </w:tcBorders>
            <w:noWrap w:val="0"/>
            <w:vAlign w:val="center"/>
          </w:tcPr>
          <w:p w14:paraId="77614175">
            <w:pPr>
              <w:jc w:val="center"/>
              <w:rPr>
                <w:rFonts w:ascii="宋体" w:hAnsi="宋体" w:cs="宋体"/>
                <w:color w:val="auto"/>
                <w:sz w:val="20"/>
                <w:szCs w:val="20"/>
                <w:highlight w:val="none"/>
              </w:rPr>
            </w:pPr>
            <w:r>
              <w:rPr>
                <w:rFonts w:hint="eastAsia"/>
                <w:color w:val="auto"/>
                <w:sz w:val="20"/>
                <w:szCs w:val="20"/>
                <w:highlight w:val="none"/>
              </w:rPr>
              <w:t>绩效标准</w:t>
            </w:r>
          </w:p>
        </w:tc>
      </w:tr>
      <w:tr w14:paraId="24BF8772">
        <w:tblPrEx>
          <w:tblCellMar>
            <w:top w:w="0" w:type="dxa"/>
            <w:left w:w="108" w:type="dxa"/>
            <w:bottom w:w="0" w:type="dxa"/>
            <w:right w:w="108" w:type="dxa"/>
          </w:tblCellMar>
        </w:tblPrEx>
        <w:trPr>
          <w:trHeight w:val="315" w:hRule="atLeast"/>
        </w:trPr>
        <w:tc>
          <w:tcPr>
            <w:tcW w:w="0" w:type="auto"/>
            <w:vMerge w:val="continue"/>
            <w:tcBorders>
              <w:top w:val="nil"/>
              <w:left w:val="single" w:color="auto" w:sz="4" w:space="0"/>
              <w:bottom w:val="single" w:color="000000" w:sz="4" w:space="0"/>
              <w:right w:val="single" w:color="auto" w:sz="4" w:space="0"/>
            </w:tcBorders>
            <w:noWrap w:val="0"/>
            <w:vAlign w:val="center"/>
          </w:tcPr>
          <w:p w14:paraId="478C3215">
            <w:pPr>
              <w:rPr>
                <w:rFonts w:ascii="宋体" w:hAnsi="宋体" w:cs="宋体"/>
                <w:color w:val="auto"/>
                <w:sz w:val="20"/>
                <w:szCs w:val="20"/>
                <w:highlight w:val="none"/>
              </w:rPr>
            </w:pPr>
          </w:p>
        </w:tc>
        <w:tc>
          <w:tcPr>
            <w:tcW w:w="0" w:type="auto"/>
            <w:vMerge w:val="restart"/>
            <w:tcBorders>
              <w:top w:val="single" w:color="auto" w:sz="4" w:space="0"/>
              <w:left w:val="single" w:color="auto" w:sz="4" w:space="0"/>
              <w:bottom w:val="single" w:color="auto" w:sz="4" w:space="0"/>
              <w:right w:val="single" w:color="auto" w:sz="4" w:space="0"/>
            </w:tcBorders>
            <w:noWrap w:val="0"/>
            <w:vAlign w:val="center"/>
          </w:tcPr>
          <w:p w14:paraId="5DE9690B">
            <w:pPr>
              <w:jc w:val="center"/>
              <w:rPr>
                <w:rFonts w:ascii="宋体" w:hAnsi="宋体" w:cs="宋体"/>
                <w:color w:val="auto"/>
                <w:sz w:val="20"/>
                <w:szCs w:val="20"/>
                <w:highlight w:val="none"/>
              </w:rPr>
            </w:pPr>
            <w:r>
              <w:rPr>
                <w:rFonts w:hint="eastAsia"/>
                <w:color w:val="auto"/>
                <w:sz w:val="20"/>
                <w:szCs w:val="20"/>
                <w:highlight w:val="none"/>
              </w:rPr>
              <w:t>产</w:t>
            </w:r>
            <w:r>
              <w:rPr>
                <w:rFonts w:hint="eastAsia"/>
                <w:color w:val="auto"/>
                <w:sz w:val="20"/>
                <w:szCs w:val="20"/>
                <w:highlight w:val="none"/>
              </w:rPr>
              <w:br w:type="textWrapping"/>
            </w:r>
            <w:r>
              <w:rPr>
                <w:rFonts w:hint="eastAsia"/>
                <w:color w:val="auto"/>
                <w:sz w:val="20"/>
                <w:szCs w:val="20"/>
                <w:highlight w:val="none"/>
              </w:rPr>
              <w:t>出</w:t>
            </w:r>
            <w:r>
              <w:rPr>
                <w:rFonts w:hint="eastAsia"/>
                <w:color w:val="auto"/>
                <w:sz w:val="20"/>
                <w:szCs w:val="20"/>
                <w:highlight w:val="none"/>
              </w:rPr>
              <w:br w:type="textWrapping"/>
            </w:r>
            <w:r>
              <w:rPr>
                <w:rFonts w:hint="eastAsia"/>
                <w:color w:val="auto"/>
                <w:sz w:val="20"/>
                <w:szCs w:val="20"/>
                <w:highlight w:val="none"/>
              </w:rPr>
              <w:t>指</w:t>
            </w:r>
            <w:r>
              <w:rPr>
                <w:rFonts w:hint="eastAsia"/>
                <w:color w:val="auto"/>
                <w:sz w:val="20"/>
                <w:szCs w:val="20"/>
                <w:highlight w:val="none"/>
              </w:rPr>
              <w:br w:type="textWrapping"/>
            </w:r>
            <w:r>
              <w:rPr>
                <w:rFonts w:hint="eastAsia"/>
                <w:color w:val="auto"/>
                <w:sz w:val="20"/>
                <w:szCs w:val="20"/>
                <w:highlight w:val="none"/>
              </w:rPr>
              <w:t>标</w:t>
            </w:r>
          </w:p>
        </w:tc>
        <w:tc>
          <w:tcPr>
            <w:tcW w:w="0" w:type="auto"/>
            <w:tcBorders>
              <w:top w:val="nil"/>
              <w:left w:val="single" w:color="auto" w:sz="4" w:space="0"/>
              <w:bottom w:val="single" w:color="000000" w:sz="4" w:space="0"/>
              <w:right w:val="single" w:color="auto" w:sz="4" w:space="0"/>
            </w:tcBorders>
            <w:noWrap w:val="0"/>
            <w:vAlign w:val="center"/>
          </w:tcPr>
          <w:p w14:paraId="67639B1D">
            <w:pPr>
              <w:jc w:val="center"/>
              <w:rPr>
                <w:color w:val="auto"/>
                <w:sz w:val="20"/>
                <w:szCs w:val="20"/>
                <w:highlight w:val="none"/>
              </w:rPr>
            </w:pPr>
            <w:r>
              <w:rPr>
                <w:rFonts w:hint="eastAsia"/>
                <w:color w:val="auto"/>
                <w:sz w:val="20"/>
                <w:szCs w:val="20"/>
                <w:highlight w:val="none"/>
              </w:rPr>
              <w:t>数量</w:t>
            </w:r>
          </w:p>
          <w:p w14:paraId="7E5540CC">
            <w:pPr>
              <w:jc w:val="center"/>
              <w:rPr>
                <w:rFonts w:ascii="宋体" w:hAnsi="宋体" w:cs="宋体"/>
                <w:color w:val="auto"/>
                <w:sz w:val="20"/>
                <w:szCs w:val="20"/>
                <w:highlight w:val="none"/>
              </w:rPr>
            </w:pPr>
            <w:r>
              <w:rPr>
                <w:rFonts w:hint="eastAsia"/>
                <w:color w:val="auto"/>
                <w:sz w:val="20"/>
                <w:szCs w:val="20"/>
                <w:highlight w:val="none"/>
              </w:rPr>
              <w:t>指标</w:t>
            </w:r>
          </w:p>
        </w:tc>
        <w:tc>
          <w:tcPr>
            <w:tcW w:w="0" w:type="auto"/>
            <w:tcBorders>
              <w:top w:val="nil"/>
              <w:left w:val="nil"/>
              <w:bottom w:val="single" w:color="auto" w:sz="4" w:space="0"/>
              <w:right w:val="single" w:color="auto" w:sz="4" w:space="0"/>
            </w:tcBorders>
            <w:noWrap w:val="0"/>
            <w:vAlign w:val="center"/>
          </w:tcPr>
          <w:p w14:paraId="5E909D4D">
            <w:pPr>
              <w:jc w:val="left"/>
              <w:rPr>
                <w:rFonts w:ascii="宋体" w:hAnsi="宋体" w:cs="宋体"/>
                <w:color w:val="auto"/>
                <w:sz w:val="20"/>
                <w:szCs w:val="20"/>
                <w:highlight w:val="none"/>
              </w:rPr>
            </w:pPr>
            <w:r>
              <w:rPr>
                <w:rFonts w:hint="eastAsia"/>
                <w:color w:val="auto"/>
                <w:sz w:val="20"/>
                <w:szCs w:val="20"/>
                <w:highlight w:val="none"/>
              </w:rPr>
              <w:t>保健对象参保率</w:t>
            </w:r>
          </w:p>
        </w:tc>
        <w:tc>
          <w:tcPr>
            <w:tcW w:w="0" w:type="auto"/>
            <w:tcBorders>
              <w:top w:val="nil"/>
              <w:left w:val="nil"/>
              <w:bottom w:val="single" w:color="auto" w:sz="4" w:space="0"/>
              <w:right w:val="single" w:color="auto" w:sz="4" w:space="0"/>
            </w:tcBorders>
            <w:noWrap w:val="0"/>
            <w:vAlign w:val="center"/>
          </w:tcPr>
          <w:p w14:paraId="58D2CAD2">
            <w:pPr>
              <w:jc w:val="center"/>
              <w:rPr>
                <w:rFonts w:ascii="宋体" w:hAnsi="宋体" w:cs="宋体"/>
                <w:color w:val="auto"/>
                <w:sz w:val="20"/>
                <w:szCs w:val="20"/>
                <w:highlight w:val="none"/>
              </w:rPr>
            </w:pPr>
            <w:r>
              <w:rPr>
                <w:rFonts w:hint="eastAsia"/>
                <w:color w:val="auto"/>
                <w:sz w:val="20"/>
                <w:szCs w:val="20"/>
                <w:highlight w:val="none"/>
              </w:rPr>
              <w:t>100%</w:t>
            </w:r>
          </w:p>
        </w:tc>
        <w:tc>
          <w:tcPr>
            <w:tcW w:w="0" w:type="auto"/>
            <w:tcBorders>
              <w:top w:val="nil"/>
              <w:left w:val="nil"/>
              <w:bottom w:val="single" w:color="auto" w:sz="4" w:space="0"/>
              <w:right w:val="single" w:color="auto" w:sz="4" w:space="0"/>
            </w:tcBorders>
            <w:noWrap w:val="0"/>
            <w:vAlign w:val="center"/>
          </w:tcPr>
          <w:p w14:paraId="2A48702E">
            <w:pPr>
              <w:jc w:val="center"/>
              <w:rPr>
                <w:rFonts w:ascii="宋体" w:hAnsi="宋体" w:cs="宋体"/>
                <w:color w:val="auto"/>
                <w:sz w:val="20"/>
                <w:szCs w:val="20"/>
                <w:highlight w:val="none"/>
              </w:rPr>
            </w:pPr>
            <w:r>
              <w:rPr>
                <w:rFonts w:hint="eastAsia"/>
                <w:color w:val="auto"/>
                <w:sz w:val="20"/>
                <w:szCs w:val="20"/>
                <w:highlight w:val="none"/>
              </w:rPr>
              <w:t>100%</w:t>
            </w:r>
          </w:p>
        </w:tc>
        <w:tc>
          <w:tcPr>
            <w:tcW w:w="0" w:type="auto"/>
            <w:tcBorders>
              <w:top w:val="nil"/>
              <w:left w:val="single" w:color="auto" w:sz="4" w:space="0"/>
              <w:bottom w:val="single" w:color="000000" w:sz="4" w:space="0"/>
              <w:right w:val="single" w:color="auto" w:sz="4" w:space="0"/>
            </w:tcBorders>
            <w:noWrap w:val="0"/>
            <w:vAlign w:val="center"/>
          </w:tcPr>
          <w:p w14:paraId="118A673F">
            <w:pPr>
              <w:jc w:val="center"/>
              <w:rPr>
                <w:color w:val="auto"/>
                <w:sz w:val="20"/>
                <w:szCs w:val="20"/>
                <w:highlight w:val="none"/>
              </w:rPr>
            </w:pPr>
            <w:r>
              <w:rPr>
                <w:rFonts w:hint="eastAsia"/>
                <w:color w:val="auto"/>
                <w:sz w:val="20"/>
                <w:szCs w:val="20"/>
                <w:highlight w:val="none"/>
              </w:rPr>
              <w:t>数量</w:t>
            </w:r>
          </w:p>
          <w:p w14:paraId="47F009C6">
            <w:pPr>
              <w:jc w:val="center"/>
              <w:rPr>
                <w:rFonts w:ascii="宋体" w:hAnsi="宋体" w:cs="宋体"/>
                <w:color w:val="auto"/>
                <w:sz w:val="20"/>
                <w:szCs w:val="20"/>
                <w:highlight w:val="none"/>
              </w:rPr>
            </w:pPr>
            <w:r>
              <w:rPr>
                <w:rFonts w:hint="eastAsia"/>
                <w:color w:val="auto"/>
                <w:sz w:val="20"/>
                <w:szCs w:val="20"/>
                <w:highlight w:val="none"/>
              </w:rPr>
              <w:t>指标</w:t>
            </w:r>
          </w:p>
        </w:tc>
        <w:tc>
          <w:tcPr>
            <w:tcW w:w="0" w:type="auto"/>
            <w:tcBorders>
              <w:top w:val="nil"/>
              <w:left w:val="nil"/>
              <w:bottom w:val="single" w:color="auto" w:sz="4" w:space="0"/>
              <w:right w:val="single" w:color="auto" w:sz="4" w:space="0"/>
            </w:tcBorders>
            <w:noWrap w:val="0"/>
            <w:vAlign w:val="center"/>
          </w:tcPr>
          <w:p w14:paraId="631F66FC">
            <w:pPr>
              <w:rPr>
                <w:rFonts w:ascii="宋体" w:hAnsi="宋体" w:cs="宋体"/>
                <w:color w:val="auto"/>
                <w:sz w:val="20"/>
                <w:szCs w:val="20"/>
                <w:highlight w:val="none"/>
              </w:rPr>
            </w:pPr>
            <w:r>
              <w:rPr>
                <w:rFonts w:hint="eastAsia"/>
                <w:color w:val="auto"/>
                <w:sz w:val="20"/>
                <w:szCs w:val="20"/>
                <w:highlight w:val="none"/>
              </w:rPr>
              <w:t>保健对象参保率</w:t>
            </w:r>
          </w:p>
        </w:tc>
        <w:tc>
          <w:tcPr>
            <w:tcW w:w="0" w:type="auto"/>
            <w:tcBorders>
              <w:top w:val="nil"/>
              <w:left w:val="nil"/>
              <w:bottom w:val="single" w:color="auto" w:sz="4" w:space="0"/>
              <w:right w:val="single" w:color="auto" w:sz="4" w:space="0"/>
            </w:tcBorders>
            <w:noWrap w:val="0"/>
            <w:vAlign w:val="center"/>
          </w:tcPr>
          <w:p w14:paraId="42E3B71A">
            <w:pPr>
              <w:rPr>
                <w:rFonts w:ascii="宋体" w:hAnsi="宋体" w:cs="宋体"/>
                <w:color w:val="auto"/>
                <w:sz w:val="20"/>
                <w:szCs w:val="20"/>
                <w:highlight w:val="none"/>
              </w:rPr>
            </w:pPr>
            <w:r>
              <w:rPr>
                <w:rFonts w:hint="eastAsia"/>
                <w:color w:val="auto"/>
                <w:sz w:val="20"/>
                <w:szCs w:val="20"/>
                <w:highlight w:val="none"/>
              </w:rPr>
              <w:t>　100%</w:t>
            </w:r>
          </w:p>
        </w:tc>
        <w:tc>
          <w:tcPr>
            <w:tcW w:w="0" w:type="auto"/>
            <w:tcBorders>
              <w:top w:val="nil"/>
              <w:left w:val="nil"/>
              <w:bottom w:val="single" w:color="auto" w:sz="4" w:space="0"/>
              <w:right w:val="single" w:color="auto" w:sz="4" w:space="0"/>
            </w:tcBorders>
            <w:noWrap w:val="0"/>
            <w:vAlign w:val="center"/>
          </w:tcPr>
          <w:p w14:paraId="146C0864">
            <w:pPr>
              <w:rPr>
                <w:rFonts w:ascii="宋体" w:hAnsi="宋体" w:cs="宋体"/>
                <w:color w:val="auto"/>
                <w:sz w:val="20"/>
                <w:szCs w:val="20"/>
                <w:highlight w:val="none"/>
              </w:rPr>
            </w:pPr>
            <w:r>
              <w:rPr>
                <w:rFonts w:hint="eastAsia"/>
                <w:color w:val="auto"/>
                <w:sz w:val="20"/>
                <w:szCs w:val="20"/>
                <w:highlight w:val="none"/>
              </w:rPr>
              <w:t>　100%</w:t>
            </w:r>
          </w:p>
        </w:tc>
      </w:tr>
      <w:tr w14:paraId="6C6424DF">
        <w:tblPrEx>
          <w:tblCellMar>
            <w:top w:w="0" w:type="dxa"/>
            <w:left w:w="108" w:type="dxa"/>
            <w:bottom w:w="0" w:type="dxa"/>
            <w:right w:w="108" w:type="dxa"/>
          </w:tblCellMar>
        </w:tblPrEx>
        <w:trPr>
          <w:trHeight w:val="315" w:hRule="atLeast"/>
        </w:trPr>
        <w:tc>
          <w:tcPr>
            <w:tcW w:w="0" w:type="auto"/>
            <w:vMerge w:val="continue"/>
            <w:tcBorders>
              <w:top w:val="nil"/>
              <w:left w:val="single" w:color="auto" w:sz="4" w:space="0"/>
              <w:bottom w:val="single" w:color="000000" w:sz="4" w:space="0"/>
              <w:right w:val="single" w:color="auto" w:sz="4" w:space="0"/>
            </w:tcBorders>
            <w:noWrap w:val="0"/>
            <w:vAlign w:val="center"/>
          </w:tcPr>
          <w:p w14:paraId="72E2F9AB">
            <w:pPr>
              <w:rPr>
                <w:rFonts w:ascii="宋体" w:hAnsi="宋体" w:cs="宋体"/>
                <w:color w:val="auto"/>
                <w:sz w:val="20"/>
                <w:szCs w:val="20"/>
                <w:highlight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72920300">
            <w:pPr>
              <w:jc w:val="center"/>
              <w:rPr>
                <w:rFonts w:ascii="宋体" w:hAnsi="宋体" w:cs="宋体"/>
                <w:color w:val="auto"/>
                <w:sz w:val="20"/>
                <w:szCs w:val="20"/>
                <w:highlight w:val="none"/>
              </w:rPr>
            </w:pPr>
          </w:p>
        </w:tc>
        <w:tc>
          <w:tcPr>
            <w:tcW w:w="0" w:type="auto"/>
            <w:tcBorders>
              <w:top w:val="nil"/>
              <w:left w:val="single" w:color="auto" w:sz="4" w:space="0"/>
              <w:bottom w:val="single" w:color="000000" w:sz="4" w:space="0"/>
              <w:right w:val="single" w:color="auto" w:sz="4" w:space="0"/>
            </w:tcBorders>
            <w:noWrap w:val="0"/>
            <w:vAlign w:val="center"/>
          </w:tcPr>
          <w:p w14:paraId="3594F654">
            <w:pPr>
              <w:jc w:val="center"/>
              <w:rPr>
                <w:color w:val="auto"/>
                <w:sz w:val="20"/>
                <w:szCs w:val="20"/>
                <w:highlight w:val="none"/>
              </w:rPr>
            </w:pPr>
            <w:r>
              <w:rPr>
                <w:rFonts w:hint="eastAsia"/>
                <w:color w:val="auto"/>
                <w:sz w:val="20"/>
                <w:szCs w:val="20"/>
                <w:highlight w:val="none"/>
              </w:rPr>
              <w:t>质量</w:t>
            </w:r>
          </w:p>
          <w:p w14:paraId="2A1FDA82">
            <w:pPr>
              <w:jc w:val="center"/>
              <w:rPr>
                <w:rFonts w:ascii="宋体" w:hAnsi="宋体" w:cs="宋体"/>
                <w:color w:val="auto"/>
                <w:sz w:val="20"/>
                <w:szCs w:val="20"/>
                <w:highlight w:val="none"/>
              </w:rPr>
            </w:pPr>
            <w:r>
              <w:rPr>
                <w:rFonts w:hint="eastAsia"/>
                <w:color w:val="auto"/>
                <w:sz w:val="20"/>
                <w:szCs w:val="20"/>
                <w:highlight w:val="none"/>
              </w:rPr>
              <w:t>指标</w:t>
            </w:r>
          </w:p>
        </w:tc>
        <w:tc>
          <w:tcPr>
            <w:tcW w:w="0" w:type="auto"/>
            <w:tcBorders>
              <w:top w:val="nil"/>
              <w:left w:val="nil"/>
              <w:bottom w:val="single" w:color="auto" w:sz="4" w:space="0"/>
              <w:right w:val="single" w:color="auto" w:sz="4" w:space="0"/>
            </w:tcBorders>
            <w:noWrap w:val="0"/>
            <w:vAlign w:val="center"/>
          </w:tcPr>
          <w:p w14:paraId="1D4F582B">
            <w:pPr>
              <w:jc w:val="left"/>
              <w:rPr>
                <w:rFonts w:ascii="宋体" w:hAnsi="宋体" w:cs="宋体"/>
                <w:color w:val="auto"/>
                <w:sz w:val="20"/>
                <w:szCs w:val="20"/>
                <w:highlight w:val="none"/>
              </w:rPr>
            </w:pPr>
            <w:r>
              <w:rPr>
                <w:rFonts w:hint="eastAsia"/>
                <w:color w:val="auto"/>
                <w:sz w:val="20"/>
                <w:szCs w:val="20"/>
                <w:highlight w:val="none"/>
              </w:rPr>
              <w:t>规定范围内医疗费用报销比例</w:t>
            </w:r>
          </w:p>
        </w:tc>
        <w:tc>
          <w:tcPr>
            <w:tcW w:w="0" w:type="auto"/>
            <w:tcBorders>
              <w:top w:val="nil"/>
              <w:left w:val="nil"/>
              <w:bottom w:val="single" w:color="auto" w:sz="4" w:space="0"/>
              <w:right w:val="single" w:color="auto" w:sz="4" w:space="0"/>
            </w:tcBorders>
            <w:noWrap w:val="0"/>
            <w:vAlign w:val="center"/>
          </w:tcPr>
          <w:p w14:paraId="3C860683">
            <w:pPr>
              <w:jc w:val="center"/>
              <w:rPr>
                <w:rFonts w:ascii="宋体" w:hAnsi="宋体" w:cs="宋体"/>
                <w:color w:val="auto"/>
                <w:sz w:val="20"/>
                <w:szCs w:val="20"/>
                <w:highlight w:val="none"/>
              </w:rPr>
            </w:pPr>
            <w:r>
              <w:rPr>
                <w:rFonts w:hint="eastAsia"/>
                <w:color w:val="auto"/>
                <w:sz w:val="20"/>
                <w:szCs w:val="20"/>
                <w:highlight w:val="none"/>
              </w:rPr>
              <w:t>100%</w:t>
            </w:r>
          </w:p>
        </w:tc>
        <w:tc>
          <w:tcPr>
            <w:tcW w:w="0" w:type="auto"/>
            <w:tcBorders>
              <w:top w:val="nil"/>
              <w:left w:val="nil"/>
              <w:bottom w:val="single" w:color="auto" w:sz="4" w:space="0"/>
              <w:right w:val="single" w:color="auto" w:sz="4" w:space="0"/>
            </w:tcBorders>
            <w:noWrap w:val="0"/>
            <w:vAlign w:val="center"/>
          </w:tcPr>
          <w:p w14:paraId="08050EB5">
            <w:pPr>
              <w:jc w:val="center"/>
              <w:rPr>
                <w:rFonts w:ascii="宋体" w:hAnsi="宋体" w:cs="宋体"/>
                <w:color w:val="auto"/>
                <w:sz w:val="20"/>
                <w:szCs w:val="20"/>
                <w:highlight w:val="none"/>
              </w:rPr>
            </w:pPr>
            <w:r>
              <w:rPr>
                <w:rFonts w:hint="eastAsia"/>
                <w:color w:val="auto"/>
                <w:sz w:val="20"/>
                <w:szCs w:val="20"/>
                <w:highlight w:val="none"/>
              </w:rPr>
              <w:t>100%</w:t>
            </w:r>
          </w:p>
        </w:tc>
        <w:tc>
          <w:tcPr>
            <w:tcW w:w="0" w:type="auto"/>
            <w:tcBorders>
              <w:top w:val="nil"/>
              <w:left w:val="single" w:color="auto" w:sz="4" w:space="0"/>
              <w:bottom w:val="single" w:color="000000" w:sz="4" w:space="0"/>
              <w:right w:val="single" w:color="auto" w:sz="4" w:space="0"/>
            </w:tcBorders>
            <w:noWrap w:val="0"/>
            <w:vAlign w:val="center"/>
          </w:tcPr>
          <w:p w14:paraId="1DC87C3B">
            <w:pPr>
              <w:jc w:val="center"/>
              <w:rPr>
                <w:color w:val="auto"/>
                <w:sz w:val="20"/>
                <w:szCs w:val="20"/>
                <w:highlight w:val="none"/>
              </w:rPr>
            </w:pPr>
            <w:r>
              <w:rPr>
                <w:rFonts w:hint="eastAsia"/>
                <w:color w:val="auto"/>
                <w:sz w:val="20"/>
                <w:szCs w:val="20"/>
                <w:highlight w:val="none"/>
              </w:rPr>
              <w:t>质量</w:t>
            </w:r>
          </w:p>
          <w:p w14:paraId="232D2F61">
            <w:pPr>
              <w:jc w:val="center"/>
              <w:rPr>
                <w:rFonts w:ascii="宋体" w:hAnsi="宋体" w:cs="宋体"/>
                <w:color w:val="auto"/>
                <w:sz w:val="20"/>
                <w:szCs w:val="20"/>
                <w:highlight w:val="none"/>
              </w:rPr>
            </w:pPr>
            <w:r>
              <w:rPr>
                <w:rFonts w:hint="eastAsia"/>
                <w:color w:val="auto"/>
                <w:sz w:val="20"/>
                <w:szCs w:val="20"/>
                <w:highlight w:val="none"/>
              </w:rPr>
              <w:t>指标</w:t>
            </w:r>
          </w:p>
        </w:tc>
        <w:tc>
          <w:tcPr>
            <w:tcW w:w="0" w:type="auto"/>
            <w:tcBorders>
              <w:top w:val="nil"/>
              <w:left w:val="nil"/>
              <w:bottom w:val="single" w:color="auto" w:sz="4" w:space="0"/>
              <w:right w:val="single" w:color="auto" w:sz="4" w:space="0"/>
            </w:tcBorders>
            <w:noWrap w:val="0"/>
            <w:vAlign w:val="center"/>
          </w:tcPr>
          <w:p w14:paraId="079514DE">
            <w:pPr>
              <w:rPr>
                <w:rFonts w:ascii="宋体" w:hAnsi="宋体" w:cs="宋体"/>
                <w:color w:val="auto"/>
                <w:sz w:val="20"/>
                <w:szCs w:val="20"/>
                <w:highlight w:val="none"/>
              </w:rPr>
            </w:pPr>
            <w:r>
              <w:rPr>
                <w:rFonts w:hint="eastAsia"/>
                <w:color w:val="auto"/>
                <w:sz w:val="20"/>
                <w:szCs w:val="20"/>
                <w:highlight w:val="none"/>
              </w:rPr>
              <w:t>规定范围内医疗费用报销比例</w:t>
            </w:r>
          </w:p>
        </w:tc>
        <w:tc>
          <w:tcPr>
            <w:tcW w:w="0" w:type="auto"/>
            <w:tcBorders>
              <w:top w:val="nil"/>
              <w:left w:val="nil"/>
              <w:bottom w:val="single" w:color="auto" w:sz="4" w:space="0"/>
              <w:right w:val="single" w:color="auto" w:sz="4" w:space="0"/>
            </w:tcBorders>
            <w:noWrap w:val="0"/>
            <w:vAlign w:val="center"/>
          </w:tcPr>
          <w:p w14:paraId="496A679C">
            <w:pPr>
              <w:rPr>
                <w:rFonts w:ascii="宋体" w:hAnsi="宋体" w:cs="宋体"/>
                <w:color w:val="auto"/>
                <w:sz w:val="20"/>
                <w:szCs w:val="20"/>
                <w:highlight w:val="none"/>
              </w:rPr>
            </w:pPr>
            <w:r>
              <w:rPr>
                <w:rFonts w:hint="eastAsia"/>
                <w:color w:val="auto"/>
                <w:sz w:val="20"/>
                <w:szCs w:val="20"/>
                <w:highlight w:val="none"/>
              </w:rPr>
              <w:t>　100%</w:t>
            </w:r>
          </w:p>
        </w:tc>
        <w:tc>
          <w:tcPr>
            <w:tcW w:w="0" w:type="auto"/>
            <w:tcBorders>
              <w:top w:val="nil"/>
              <w:left w:val="nil"/>
              <w:bottom w:val="single" w:color="auto" w:sz="4" w:space="0"/>
              <w:right w:val="single" w:color="auto" w:sz="4" w:space="0"/>
            </w:tcBorders>
            <w:noWrap w:val="0"/>
            <w:vAlign w:val="center"/>
          </w:tcPr>
          <w:p w14:paraId="1D33D41A">
            <w:pPr>
              <w:rPr>
                <w:rFonts w:ascii="宋体" w:hAnsi="宋体" w:cs="宋体"/>
                <w:color w:val="auto"/>
                <w:sz w:val="20"/>
                <w:szCs w:val="20"/>
                <w:highlight w:val="none"/>
              </w:rPr>
            </w:pPr>
            <w:r>
              <w:rPr>
                <w:rFonts w:hint="eastAsia"/>
                <w:color w:val="auto"/>
                <w:sz w:val="20"/>
                <w:szCs w:val="20"/>
                <w:highlight w:val="none"/>
              </w:rPr>
              <w:t>　100%</w:t>
            </w:r>
          </w:p>
        </w:tc>
      </w:tr>
      <w:tr w14:paraId="563277F6">
        <w:tblPrEx>
          <w:tblCellMar>
            <w:top w:w="0" w:type="dxa"/>
            <w:left w:w="108" w:type="dxa"/>
            <w:bottom w:w="0" w:type="dxa"/>
            <w:right w:w="108" w:type="dxa"/>
          </w:tblCellMar>
        </w:tblPrEx>
        <w:trPr>
          <w:trHeight w:val="315" w:hRule="atLeast"/>
        </w:trPr>
        <w:tc>
          <w:tcPr>
            <w:tcW w:w="0" w:type="auto"/>
            <w:vMerge w:val="continue"/>
            <w:tcBorders>
              <w:top w:val="nil"/>
              <w:left w:val="single" w:color="auto" w:sz="4" w:space="0"/>
              <w:bottom w:val="single" w:color="000000" w:sz="4" w:space="0"/>
              <w:right w:val="single" w:color="auto" w:sz="4" w:space="0"/>
            </w:tcBorders>
            <w:noWrap w:val="0"/>
            <w:vAlign w:val="center"/>
          </w:tcPr>
          <w:p w14:paraId="2E41C9D2">
            <w:pPr>
              <w:rPr>
                <w:rFonts w:ascii="宋体" w:hAnsi="宋体" w:cs="宋体"/>
                <w:color w:val="auto"/>
                <w:sz w:val="20"/>
                <w:szCs w:val="20"/>
                <w:highlight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26DE978F">
            <w:pPr>
              <w:jc w:val="center"/>
              <w:rPr>
                <w:rFonts w:ascii="宋体" w:hAnsi="宋体" w:cs="宋体"/>
                <w:color w:val="auto"/>
                <w:sz w:val="20"/>
                <w:szCs w:val="20"/>
                <w:highlight w:val="none"/>
              </w:rPr>
            </w:pPr>
          </w:p>
        </w:tc>
        <w:tc>
          <w:tcPr>
            <w:tcW w:w="0" w:type="auto"/>
            <w:tcBorders>
              <w:top w:val="nil"/>
              <w:left w:val="single" w:color="auto" w:sz="4" w:space="0"/>
              <w:bottom w:val="single" w:color="000000" w:sz="4" w:space="0"/>
              <w:right w:val="single" w:color="auto" w:sz="4" w:space="0"/>
            </w:tcBorders>
            <w:noWrap w:val="0"/>
            <w:vAlign w:val="center"/>
          </w:tcPr>
          <w:p w14:paraId="2C03F824">
            <w:pPr>
              <w:jc w:val="center"/>
              <w:rPr>
                <w:color w:val="auto"/>
                <w:sz w:val="20"/>
                <w:szCs w:val="20"/>
                <w:highlight w:val="none"/>
              </w:rPr>
            </w:pPr>
            <w:r>
              <w:rPr>
                <w:rFonts w:hint="eastAsia"/>
                <w:color w:val="auto"/>
                <w:sz w:val="20"/>
                <w:szCs w:val="20"/>
                <w:highlight w:val="none"/>
              </w:rPr>
              <w:t>成本</w:t>
            </w:r>
          </w:p>
          <w:p w14:paraId="36EE5F0C">
            <w:pPr>
              <w:jc w:val="center"/>
              <w:rPr>
                <w:rFonts w:ascii="宋体" w:hAnsi="宋体" w:cs="宋体"/>
                <w:color w:val="auto"/>
                <w:sz w:val="20"/>
                <w:szCs w:val="20"/>
                <w:highlight w:val="none"/>
              </w:rPr>
            </w:pPr>
            <w:r>
              <w:rPr>
                <w:rFonts w:hint="eastAsia"/>
                <w:color w:val="auto"/>
                <w:sz w:val="20"/>
                <w:szCs w:val="20"/>
                <w:highlight w:val="none"/>
              </w:rPr>
              <w:t>指标</w:t>
            </w:r>
          </w:p>
        </w:tc>
        <w:tc>
          <w:tcPr>
            <w:tcW w:w="0" w:type="auto"/>
            <w:tcBorders>
              <w:top w:val="nil"/>
              <w:left w:val="nil"/>
              <w:bottom w:val="single" w:color="auto" w:sz="4" w:space="0"/>
              <w:right w:val="single" w:color="auto" w:sz="4" w:space="0"/>
            </w:tcBorders>
            <w:noWrap w:val="0"/>
            <w:vAlign w:val="center"/>
          </w:tcPr>
          <w:p w14:paraId="257CE1FB">
            <w:pPr>
              <w:jc w:val="left"/>
              <w:rPr>
                <w:rFonts w:ascii="宋体" w:hAnsi="宋体" w:cs="宋体"/>
                <w:color w:val="auto"/>
                <w:sz w:val="20"/>
                <w:szCs w:val="20"/>
                <w:highlight w:val="none"/>
              </w:rPr>
            </w:pPr>
            <w:r>
              <w:rPr>
                <w:rFonts w:hint="eastAsia"/>
                <w:color w:val="auto"/>
                <w:sz w:val="20"/>
                <w:szCs w:val="20"/>
                <w:highlight w:val="none"/>
              </w:rPr>
              <w:t>县级财政投入金额</w:t>
            </w:r>
          </w:p>
        </w:tc>
        <w:tc>
          <w:tcPr>
            <w:tcW w:w="0" w:type="auto"/>
            <w:tcBorders>
              <w:top w:val="nil"/>
              <w:left w:val="nil"/>
              <w:bottom w:val="single" w:color="auto" w:sz="4" w:space="0"/>
              <w:right w:val="single" w:color="auto" w:sz="4" w:space="0"/>
            </w:tcBorders>
            <w:noWrap w:val="0"/>
            <w:vAlign w:val="center"/>
          </w:tcPr>
          <w:p w14:paraId="6888AE94">
            <w:pPr>
              <w:jc w:val="center"/>
              <w:rPr>
                <w:rFonts w:ascii="宋体" w:hAnsi="宋体" w:cs="宋体"/>
                <w:color w:val="auto"/>
                <w:sz w:val="20"/>
                <w:szCs w:val="20"/>
                <w:highlight w:val="none"/>
              </w:rPr>
            </w:pPr>
            <w:r>
              <w:rPr>
                <w:rFonts w:hint="eastAsia"/>
                <w:color w:val="auto"/>
                <w:sz w:val="20"/>
                <w:szCs w:val="20"/>
                <w:highlight w:val="none"/>
              </w:rPr>
              <w:t>50万元</w:t>
            </w:r>
          </w:p>
        </w:tc>
        <w:tc>
          <w:tcPr>
            <w:tcW w:w="0" w:type="auto"/>
            <w:tcBorders>
              <w:top w:val="nil"/>
              <w:left w:val="nil"/>
              <w:bottom w:val="single" w:color="auto" w:sz="4" w:space="0"/>
              <w:right w:val="single" w:color="auto" w:sz="4" w:space="0"/>
            </w:tcBorders>
            <w:noWrap w:val="0"/>
            <w:vAlign w:val="center"/>
          </w:tcPr>
          <w:p w14:paraId="10F332B7">
            <w:pPr>
              <w:jc w:val="center"/>
              <w:rPr>
                <w:rFonts w:ascii="宋体" w:hAnsi="宋体" w:cs="宋体"/>
                <w:color w:val="auto"/>
                <w:sz w:val="20"/>
                <w:szCs w:val="20"/>
                <w:highlight w:val="none"/>
              </w:rPr>
            </w:pPr>
            <w:r>
              <w:rPr>
                <w:rFonts w:hint="eastAsia"/>
                <w:color w:val="auto"/>
                <w:sz w:val="20"/>
                <w:szCs w:val="20"/>
                <w:highlight w:val="none"/>
              </w:rPr>
              <w:t>50万元</w:t>
            </w:r>
          </w:p>
        </w:tc>
        <w:tc>
          <w:tcPr>
            <w:tcW w:w="0" w:type="auto"/>
            <w:tcBorders>
              <w:top w:val="nil"/>
              <w:left w:val="single" w:color="auto" w:sz="4" w:space="0"/>
              <w:bottom w:val="single" w:color="000000" w:sz="4" w:space="0"/>
              <w:right w:val="single" w:color="auto" w:sz="4" w:space="0"/>
            </w:tcBorders>
            <w:noWrap w:val="0"/>
            <w:vAlign w:val="center"/>
          </w:tcPr>
          <w:p w14:paraId="342C4ACF">
            <w:pPr>
              <w:jc w:val="center"/>
              <w:rPr>
                <w:color w:val="auto"/>
                <w:sz w:val="20"/>
                <w:szCs w:val="20"/>
                <w:highlight w:val="none"/>
              </w:rPr>
            </w:pPr>
            <w:r>
              <w:rPr>
                <w:rFonts w:hint="eastAsia"/>
                <w:color w:val="auto"/>
                <w:sz w:val="20"/>
                <w:szCs w:val="20"/>
                <w:highlight w:val="none"/>
              </w:rPr>
              <w:t>成本</w:t>
            </w:r>
          </w:p>
          <w:p w14:paraId="1CF04887">
            <w:pPr>
              <w:jc w:val="center"/>
              <w:rPr>
                <w:rFonts w:ascii="宋体" w:hAnsi="宋体" w:cs="宋体"/>
                <w:color w:val="auto"/>
                <w:sz w:val="20"/>
                <w:szCs w:val="20"/>
                <w:highlight w:val="none"/>
              </w:rPr>
            </w:pPr>
            <w:r>
              <w:rPr>
                <w:rFonts w:hint="eastAsia"/>
                <w:color w:val="auto"/>
                <w:sz w:val="20"/>
                <w:szCs w:val="20"/>
                <w:highlight w:val="none"/>
              </w:rPr>
              <w:t>指标</w:t>
            </w:r>
          </w:p>
        </w:tc>
        <w:tc>
          <w:tcPr>
            <w:tcW w:w="0" w:type="auto"/>
            <w:tcBorders>
              <w:top w:val="nil"/>
              <w:left w:val="nil"/>
              <w:bottom w:val="single" w:color="auto" w:sz="4" w:space="0"/>
              <w:right w:val="single" w:color="auto" w:sz="4" w:space="0"/>
            </w:tcBorders>
            <w:noWrap w:val="0"/>
            <w:vAlign w:val="center"/>
          </w:tcPr>
          <w:p w14:paraId="45CD9B1A">
            <w:pPr>
              <w:rPr>
                <w:rFonts w:ascii="宋体" w:hAnsi="宋体" w:cs="宋体"/>
                <w:color w:val="auto"/>
                <w:sz w:val="20"/>
                <w:szCs w:val="20"/>
                <w:highlight w:val="none"/>
              </w:rPr>
            </w:pPr>
            <w:r>
              <w:rPr>
                <w:rFonts w:hint="eastAsia"/>
                <w:color w:val="auto"/>
                <w:sz w:val="20"/>
                <w:szCs w:val="20"/>
                <w:highlight w:val="none"/>
              </w:rPr>
              <w:t>县级财政投入金额</w:t>
            </w:r>
          </w:p>
        </w:tc>
        <w:tc>
          <w:tcPr>
            <w:tcW w:w="0" w:type="auto"/>
            <w:tcBorders>
              <w:top w:val="nil"/>
              <w:left w:val="nil"/>
              <w:bottom w:val="single" w:color="auto" w:sz="4" w:space="0"/>
              <w:right w:val="single" w:color="auto" w:sz="4" w:space="0"/>
            </w:tcBorders>
            <w:noWrap w:val="0"/>
            <w:vAlign w:val="center"/>
          </w:tcPr>
          <w:p w14:paraId="2E8F47FE">
            <w:pPr>
              <w:rPr>
                <w:rFonts w:ascii="宋体" w:hAnsi="宋体" w:cs="宋体"/>
                <w:color w:val="auto"/>
                <w:sz w:val="20"/>
                <w:szCs w:val="20"/>
                <w:highlight w:val="none"/>
              </w:rPr>
            </w:pPr>
            <w:r>
              <w:rPr>
                <w:rFonts w:hint="eastAsia"/>
                <w:color w:val="auto"/>
                <w:sz w:val="20"/>
                <w:szCs w:val="20"/>
                <w:highlight w:val="none"/>
              </w:rPr>
              <w:t>103.44万元</w:t>
            </w:r>
          </w:p>
        </w:tc>
        <w:tc>
          <w:tcPr>
            <w:tcW w:w="0" w:type="auto"/>
            <w:tcBorders>
              <w:top w:val="nil"/>
              <w:left w:val="nil"/>
              <w:bottom w:val="single" w:color="auto" w:sz="4" w:space="0"/>
              <w:right w:val="single" w:color="auto" w:sz="4" w:space="0"/>
            </w:tcBorders>
            <w:noWrap w:val="0"/>
            <w:vAlign w:val="center"/>
          </w:tcPr>
          <w:p w14:paraId="27ACC4C2">
            <w:pPr>
              <w:rPr>
                <w:rFonts w:ascii="宋体" w:hAnsi="宋体" w:cs="宋体"/>
                <w:color w:val="auto"/>
                <w:sz w:val="20"/>
                <w:szCs w:val="20"/>
                <w:highlight w:val="none"/>
              </w:rPr>
            </w:pPr>
            <w:r>
              <w:rPr>
                <w:rFonts w:hint="eastAsia"/>
                <w:color w:val="auto"/>
                <w:sz w:val="20"/>
                <w:szCs w:val="20"/>
                <w:highlight w:val="none"/>
              </w:rPr>
              <w:t>103.44万元</w:t>
            </w:r>
          </w:p>
        </w:tc>
      </w:tr>
      <w:tr w14:paraId="1EFA565B">
        <w:tblPrEx>
          <w:tblCellMar>
            <w:top w:w="0" w:type="dxa"/>
            <w:left w:w="108" w:type="dxa"/>
            <w:bottom w:w="0" w:type="dxa"/>
            <w:right w:w="108" w:type="dxa"/>
          </w:tblCellMar>
        </w:tblPrEx>
        <w:trPr>
          <w:trHeight w:val="315" w:hRule="atLeast"/>
        </w:trPr>
        <w:tc>
          <w:tcPr>
            <w:tcW w:w="0" w:type="auto"/>
            <w:vMerge w:val="continue"/>
            <w:tcBorders>
              <w:top w:val="nil"/>
              <w:left w:val="single" w:color="auto" w:sz="4" w:space="0"/>
              <w:bottom w:val="single" w:color="000000" w:sz="4" w:space="0"/>
              <w:right w:val="single" w:color="auto" w:sz="4" w:space="0"/>
            </w:tcBorders>
            <w:noWrap w:val="0"/>
            <w:vAlign w:val="center"/>
          </w:tcPr>
          <w:p w14:paraId="142C2A48">
            <w:pPr>
              <w:rPr>
                <w:rFonts w:ascii="宋体" w:hAnsi="宋体" w:cs="宋体"/>
                <w:color w:val="auto"/>
                <w:sz w:val="20"/>
                <w:szCs w:val="20"/>
                <w:highlight w:val="none"/>
              </w:rPr>
            </w:pPr>
          </w:p>
        </w:tc>
        <w:tc>
          <w:tcPr>
            <w:tcW w:w="0" w:type="auto"/>
            <w:vMerge w:val="continue"/>
            <w:tcBorders>
              <w:top w:val="nil"/>
              <w:left w:val="single" w:color="auto" w:sz="4" w:space="0"/>
              <w:bottom w:val="single" w:color="auto" w:sz="4" w:space="0"/>
              <w:right w:val="single" w:color="auto" w:sz="4" w:space="0"/>
            </w:tcBorders>
            <w:noWrap w:val="0"/>
            <w:vAlign w:val="center"/>
          </w:tcPr>
          <w:p w14:paraId="1DDBA43B">
            <w:pPr>
              <w:rPr>
                <w:rFonts w:ascii="宋体" w:hAnsi="宋体" w:cs="宋体"/>
                <w:color w:val="auto"/>
                <w:sz w:val="20"/>
                <w:szCs w:val="20"/>
                <w:highlight w:val="none"/>
              </w:rPr>
            </w:pPr>
          </w:p>
        </w:tc>
        <w:tc>
          <w:tcPr>
            <w:tcW w:w="0" w:type="auto"/>
            <w:tcBorders>
              <w:top w:val="nil"/>
              <w:left w:val="single" w:color="auto" w:sz="4" w:space="0"/>
              <w:bottom w:val="single" w:color="000000" w:sz="4" w:space="0"/>
              <w:right w:val="single" w:color="auto" w:sz="4" w:space="0"/>
            </w:tcBorders>
            <w:noWrap w:val="0"/>
            <w:vAlign w:val="center"/>
          </w:tcPr>
          <w:p w14:paraId="568F5F32">
            <w:pPr>
              <w:jc w:val="center"/>
              <w:rPr>
                <w:rFonts w:ascii="宋体" w:hAnsi="宋体" w:cs="宋体"/>
                <w:color w:val="auto"/>
                <w:sz w:val="20"/>
                <w:szCs w:val="20"/>
                <w:highlight w:val="none"/>
              </w:rPr>
            </w:pPr>
            <w:r>
              <w:rPr>
                <w:rFonts w:hint="eastAsia"/>
                <w:color w:val="auto"/>
                <w:sz w:val="20"/>
                <w:szCs w:val="20"/>
                <w:highlight w:val="none"/>
              </w:rPr>
              <w:t>社会效益指标</w:t>
            </w:r>
          </w:p>
        </w:tc>
        <w:tc>
          <w:tcPr>
            <w:tcW w:w="0" w:type="auto"/>
            <w:tcBorders>
              <w:top w:val="nil"/>
              <w:left w:val="nil"/>
              <w:bottom w:val="single" w:color="auto" w:sz="4" w:space="0"/>
              <w:right w:val="single" w:color="auto" w:sz="4" w:space="0"/>
            </w:tcBorders>
            <w:noWrap w:val="0"/>
            <w:vAlign w:val="center"/>
          </w:tcPr>
          <w:p w14:paraId="2F3C7C1D">
            <w:pPr>
              <w:jc w:val="left"/>
              <w:rPr>
                <w:rFonts w:ascii="宋体" w:hAnsi="宋体" w:cs="宋体"/>
                <w:color w:val="auto"/>
                <w:sz w:val="20"/>
                <w:szCs w:val="20"/>
                <w:highlight w:val="none"/>
              </w:rPr>
            </w:pPr>
            <w:r>
              <w:rPr>
                <w:rFonts w:hint="eastAsia"/>
                <w:color w:val="auto"/>
                <w:sz w:val="20"/>
                <w:szCs w:val="20"/>
                <w:highlight w:val="none"/>
              </w:rPr>
              <w:t>保障相关人员医疗待遇</w:t>
            </w:r>
          </w:p>
        </w:tc>
        <w:tc>
          <w:tcPr>
            <w:tcW w:w="0" w:type="auto"/>
            <w:tcBorders>
              <w:top w:val="nil"/>
              <w:left w:val="nil"/>
              <w:bottom w:val="single" w:color="auto" w:sz="4" w:space="0"/>
              <w:right w:val="single" w:color="auto" w:sz="4" w:space="0"/>
            </w:tcBorders>
            <w:noWrap w:val="0"/>
            <w:vAlign w:val="center"/>
          </w:tcPr>
          <w:p w14:paraId="347C3F25">
            <w:pPr>
              <w:jc w:val="center"/>
              <w:rPr>
                <w:rFonts w:ascii="宋体" w:hAnsi="宋体" w:cs="宋体"/>
                <w:color w:val="auto"/>
                <w:sz w:val="20"/>
                <w:szCs w:val="20"/>
                <w:highlight w:val="none"/>
              </w:rPr>
            </w:pPr>
            <w:r>
              <w:rPr>
                <w:rFonts w:hint="eastAsia"/>
                <w:color w:val="auto"/>
                <w:sz w:val="20"/>
                <w:szCs w:val="20"/>
                <w:highlight w:val="none"/>
              </w:rPr>
              <w:t>持续 实施</w:t>
            </w:r>
          </w:p>
        </w:tc>
        <w:tc>
          <w:tcPr>
            <w:tcW w:w="0" w:type="auto"/>
            <w:tcBorders>
              <w:top w:val="nil"/>
              <w:left w:val="nil"/>
              <w:bottom w:val="single" w:color="auto" w:sz="4" w:space="0"/>
              <w:right w:val="single" w:color="auto" w:sz="4" w:space="0"/>
            </w:tcBorders>
            <w:noWrap w:val="0"/>
            <w:vAlign w:val="center"/>
          </w:tcPr>
          <w:p w14:paraId="0BF1214B">
            <w:pPr>
              <w:jc w:val="center"/>
              <w:rPr>
                <w:rFonts w:ascii="宋体" w:hAnsi="宋体" w:cs="宋体"/>
                <w:color w:val="auto"/>
                <w:sz w:val="20"/>
                <w:szCs w:val="20"/>
                <w:highlight w:val="none"/>
              </w:rPr>
            </w:pPr>
            <w:r>
              <w:rPr>
                <w:rFonts w:hint="eastAsia"/>
                <w:color w:val="auto"/>
                <w:sz w:val="20"/>
                <w:szCs w:val="20"/>
                <w:highlight w:val="none"/>
              </w:rPr>
              <w:t>持续 实施</w:t>
            </w:r>
          </w:p>
        </w:tc>
        <w:tc>
          <w:tcPr>
            <w:tcW w:w="0" w:type="auto"/>
            <w:tcBorders>
              <w:top w:val="nil"/>
              <w:left w:val="single" w:color="auto" w:sz="4" w:space="0"/>
              <w:bottom w:val="single" w:color="000000" w:sz="4" w:space="0"/>
              <w:right w:val="single" w:color="auto" w:sz="4" w:space="0"/>
            </w:tcBorders>
            <w:noWrap w:val="0"/>
            <w:vAlign w:val="center"/>
          </w:tcPr>
          <w:p w14:paraId="4574B629">
            <w:pPr>
              <w:jc w:val="center"/>
              <w:rPr>
                <w:color w:val="auto"/>
                <w:sz w:val="20"/>
                <w:szCs w:val="20"/>
                <w:highlight w:val="none"/>
              </w:rPr>
            </w:pPr>
            <w:r>
              <w:rPr>
                <w:rFonts w:hint="eastAsia"/>
                <w:color w:val="auto"/>
                <w:sz w:val="20"/>
                <w:szCs w:val="20"/>
                <w:highlight w:val="none"/>
              </w:rPr>
              <w:t>社会效</w:t>
            </w:r>
          </w:p>
          <w:p w14:paraId="71A5F877">
            <w:pPr>
              <w:jc w:val="center"/>
              <w:rPr>
                <w:rFonts w:ascii="宋体" w:hAnsi="宋体" w:cs="宋体"/>
                <w:color w:val="auto"/>
                <w:sz w:val="20"/>
                <w:szCs w:val="20"/>
                <w:highlight w:val="none"/>
              </w:rPr>
            </w:pPr>
            <w:r>
              <w:rPr>
                <w:rFonts w:hint="eastAsia"/>
                <w:color w:val="auto"/>
                <w:sz w:val="20"/>
                <w:szCs w:val="20"/>
                <w:highlight w:val="none"/>
              </w:rPr>
              <w:t>益指标</w:t>
            </w:r>
          </w:p>
        </w:tc>
        <w:tc>
          <w:tcPr>
            <w:tcW w:w="0" w:type="auto"/>
            <w:tcBorders>
              <w:top w:val="nil"/>
              <w:left w:val="nil"/>
              <w:bottom w:val="single" w:color="auto" w:sz="4" w:space="0"/>
              <w:right w:val="single" w:color="auto" w:sz="4" w:space="0"/>
            </w:tcBorders>
            <w:noWrap w:val="0"/>
            <w:vAlign w:val="center"/>
          </w:tcPr>
          <w:p w14:paraId="298DE755">
            <w:pPr>
              <w:rPr>
                <w:rFonts w:ascii="宋体" w:hAnsi="宋体" w:cs="宋体"/>
                <w:color w:val="auto"/>
                <w:sz w:val="20"/>
                <w:szCs w:val="20"/>
                <w:highlight w:val="none"/>
              </w:rPr>
            </w:pPr>
            <w:r>
              <w:rPr>
                <w:rFonts w:hint="eastAsia"/>
                <w:color w:val="auto"/>
                <w:sz w:val="20"/>
                <w:szCs w:val="20"/>
                <w:highlight w:val="none"/>
              </w:rPr>
              <w:t>保障相关人员医疗待遇</w:t>
            </w:r>
          </w:p>
        </w:tc>
        <w:tc>
          <w:tcPr>
            <w:tcW w:w="0" w:type="auto"/>
            <w:tcBorders>
              <w:top w:val="nil"/>
              <w:left w:val="nil"/>
              <w:bottom w:val="single" w:color="auto" w:sz="4" w:space="0"/>
              <w:right w:val="single" w:color="auto" w:sz="4" w:space="0"/>
            </w:tcBorders>
            <w:noWrap w:val="0"/>
            <w:vAlign w:val="center"/>
          </w:tcPr>
          <w:p w14:paraId="6778649E">
            <w:pPr>
              <w:rPr>
                <w:rFonts w:ascii="宋体" w:hAnsi="宋体" w:cs="宋体"/>
                <w:color w:val="auto"/>
                <w:sz w:val="20"/>
                <w:szCs w:val="20"/>
                <w:highlight w:val="none"/>
              </w:rPr>
            </w:pPr>
            <w:r>
              <w:rPr>
                <w:rFonts w:hint="eastAsia"/>
                <w:color w:val="auto"/>
                <w:sz w:val="20"/>
                <w:szCs w:val="20"/>
                <w:highlight w:val="none"/>
              </w:rPr>
              <w:t>持续实施</w:t>
            </w:r>
          </w:p>
        </w:tc>
        <w:tc>
          <w:tcPr>
            <w:tcW w:w="0" w:type="auto"/>
            <w:tcBorders>
              <w:top w:val="nil"/>
              <w:left w:val="nil"/>
              <w:bottom w:val="single" w:color="auto" w:sz="4" w:space="0"/>
              <w:right w:val="single" w:color="auto" w:sz="4" w:space="0"/>
            </w:tcBorders>
            <w:noWrap w:val="0"/>
            <w:vAlign w:val="center"/>
          </w:tcPr>
          <w:p w14:paraId="751AA9D9">
            <w:pPr>
              <w:rPr>
                <w:rFonts w:ascii="宋体" w:hAnsi="宋体" w:cs="宋体"/>
                <w:color w:val="auto"/>
                <w:sz w:val="20"/>
                <w:szCs w:val="20"/>
                <w:highlight w:val="none"/>
              </w:rPr>
            </w:pPr>
            <w:r>
              <w:rPr>
                <w:rFonts w:hint="eastAsia"/>
                <w:color w:val="auto"/>
                <w:sz w:val="20"/>
                <w:szCs w:val="20"/>
                <w:highlight w:val="none"/>
              </w:rPr>
              <w:t>持续实施</w:t>
            </w:r>
          </w:p>
        </w:tc>
      </w:tr>
      <w:tr w14:paraId="3599099F">
        <w:tblPrEx>
          <w:tblCellMar>
            <w:top w:w="0" w:type="dxa"/>
            <w:left w:w="108" w:type="dxa"/>
            <w:bottom w:w="0" w:type="dxa"/>
            <w:right w:w="108" w:type="dxa"/>
          </w:tblCellMar>
        </w:tblPrEx>
        <w:trPr>
          <w:trHeight w:val="315" w:hRule="atLeast"/>
        </w:trPr>
        <w:tc>
          <w:tcPr>
            <w:tcW w:w="0" w:type="auto"/>
            <w:vMerge w:val="continue"/>
            <w:tcBorders>
              <w:top w:val="nil"/>
              <w:left w:val="single" w:color="auto" w:sz="4" w:space="0"/>
              <w:bottom w:val="single" w:color="000000" w:sz="4" w:space="0"/>
              <w:right w:val="single" w:color="auto" w:sz="4" w:space="0"/>
            </w:tcBorders>
            <w:noWrap w:val="0"/>
            <w:vAlign w:val="center"/>
          </w:tcPr>
          <w:p w14:paraId="40BBEA16">
            <w:pPr>
              <w:rPr>
                <w:rFonts w:ascii="宋体" w:hAnsi="宋体" w:cs="宋体"/>
                <w:color w:val="auto"/>
                <w:sz w:val="20"/>
                <w:szCs w:val="20"/>
                <w:highlight w:val="none"/>
              </w:rPr>
            </w:pPr>
          </w:p>
        </w:tc>
        <w:tc>
          <w:tcPr>
            <w:tcW w:w="0" w:type="auto"/>
            <w:vMerge w:val="continue"/>
            <w:tcBorders>
              <w:top w:val="nil"/>
              <w:left w:val="single" w:color="auto" w:sz="4" w:space="0"/>
              <w:bottom w:val="single" w:color="auto" w:sz="4" w:space="0"/>
              <w:right w:val="single" w:color="auto" w:sz="4" w:space="0"/>
            </w:tcBorders>
            <w:noWrap w:val="0"/>
            <w:vAlign w:val="center"/>
          </w:tcPr>
          <w:p w14:paraId="17C9CC46">
            <w:pPr>
              <w:rPr>
                <w:rFonts w:ascii="宋体" w:hAnsi="宋体" w:cs="宋体"/>
                <w:color w:val="auto"/>
                <w:sz w:val="20"/>
                <w:szCs w:val="20"/>
                <w:highlight w:val="none"/>
              </w:rPr>
            </w:pPr>
          </w:p>
        </w:tc>
        <w:tc>
          <w:tcPr>
            <w:tcW w:w="0" w:type="auto"/>
            <w:tcBorders>
              <w:top w:val="nil"/>
              <w:left w:val="single" w:color="auto" w:sz="4" w:space="0"/>
              <w:bottom w:val="single" w:color="000000" w:sz="4" w:space="0"/>
              <w:right w:val="single" w:color="auto" w:sz="4" w:space="0"/>
            </w:tcBorders>
            <w:noWrap w:val="0"/>
            <w:vAlign w:val="center"/>
          </w:tcPr>
          <w:p w14:paraId="017B14F4">
            <w:pPr>
              <w:jc w:val="center"/>
              <w:rPr>
                <w:rFonts w:ascii="宋体" w:hAnsi="宋体" w:cs="宋体"/>
                <w:color w:val="auto"/>
                <w:sz w:val="20"/>
                <w:szCs w:val="20"/>
                <w:highlight w:val="none"/>
              </w:rPr>
            </w:pPr>
            <w:r>
              <w:rPr>
                <w:rFonts w:hint="eastAsia"/>
                <w:color w:val="auto"/>
                <w:sz w:val="20"/>
                <w:szCs w:val="20"/>
                <w:highlight w:val="none"/>
              </w:rPr>
              <w:t>可持续影响指标</w:t>
            </w:r>
          </w:p>
        </w:tc>
        <w:tc>
          <w:tcPr>
            <w:tcW w:w="0" w:type="auto"/>
            <w:tcBorders>
              <w:top w:val="nil"/>
              <w:left w:val="nil"/>
              <w:bottom w:val="single" w:color="auto" w:sz="4" w:space="0"/>
              <w:right w:val="single" w:color="auto" w:sz="4" w:space="0"/>
            </w:tcBorders>
            <w:noWrap w:val="0"/>
            <w:vAlign w:val="center"/>
          </w:tcPr>
          <w:p w14:paraId="60F80FF9">
            <w:pPr>
              <w:jc w:val="left"/>
              <w:rPr>
                <w:rFonts w:ascii="宋体" w:hAnsi="宋体" w:cs="宋体"/>
                <w:color w:val="auto"/>
                <w:sz w:val="20"/>
                <w:szCs w:val="20"/>
                <w:highlight w:val="none"/>
              </w:rPr>
            </w:pPr>
            <w:r>
              <w:rPr>
                <w:rFonts w:hint="eastAsia" w:ascii="宋体" w:hAnsi="宋体" w:cs="宋体"/>
                <w:color w:val="auto"/>
                <w:sz w:val="20"/>
                <w:szCs w:val="20"/>
                <w:highlight w:val="none"/>
              </w:rPr>
              <w:t>保健对象医疗保障能力的可持续性</w:t>
            </w:r>
          </w:p>
        </w:tc>
        <w:tc>
          <w:tcPr>
            <w:tcW w:w="0" w:type="auto"/>
            <w:tcBorders>
              <w:top w:val="nil"/>
              <w:left w:val="nil"/>
              <w:bottom w:val="single" w:color="auto" w:sz="4" w:space="0"/>
              <w:right w:val="single" w:color="auto" w:sz="4" w:space="0"/>
            </w:tcBorders>
            <w:noWrap w:val="0"/>
            <w:vAlign w:val="center"/>
          </w:tcPr>
          <w:p w14:paraId="14B2D6D1">
            <w:pPr>
              <w:jc w:val="center"/>
              <w:rPr>
                <w:rFonts w:ascii="宋体" w:hAnsi="宋体" w:cs="宋体"/>
                <w:color w:val="auto"/>
                <w:sz w:val="20"/>
                <w:szCs w:val="20"/>
                <w:highlight w:val="none"/>
              </w:rPr>
            </w:pPr>
            <w:r>
              <w:rPr>
                <w:rFonts w:hint="eastAsia" w:ascii="宋体" w:hAnsi="宋体" w:cs="宋体"/>
                <w:color w:val="auto"/>
                <w:sz w:val="20"/>
                <w:szCs w:val="20"/>
                <w:highlight w:val="none"/>
              </w:rPr>
              <w:t>持续保障</w:t>
            </w:r>
          </w:p>
        </w:tc>
        <w:tc>
          <w:tcPr>
            <w:tcW w:w="0" w:type="auto"/>
            <w:tcBorders>
              <w:top w:val="nil"/>
              <w:left w:val="nil"/>
              <w:bottom w:val="single" w:color="auto" w:sz="4" w:space="0"/>
              <w:right w:val="single" w:color="auto" w:sz="4" w:space="0"/>
            </w:tcBorders>
            <w:noWrap w:val="0"/>
            <w:vAlign w:val="center"/>
          </w:tcPr>
          <w:p w14:paraId="3D9CA9D0">
            <w:pPr>
              <w:jc w:val="center"/>
              <w:rPr>
                <w:rFonts w:ascii="宋体" w:hAnsi="宋体" w:cs="宋体"/>
                <w:color w:val="auto"/>
                <w:sz w:val="20"/>
                <w:szCs w:val="20"/>
                <w:highlight w:val="none"/>
              </w:rPr>
            </w:pPr>
            <w:r>
              <w:rPr>
                <w:rFonts w:hint="eastAsia" w:ascii="宋体" w:hAnsi="宋体" w:cs="宋体"/>
                <w:color w:val="auto"/>
                <w:sz w:val="20"/>
                <w:szCs w:val="20"/>
                <w:highlight w:val="none"/>
              </w:rPr>
              <w:t>持续保障</w:t>
            </w:r>
          </w:p>
        </w:tc>
        <w:tc>
          <w:tcPr>
            <w:tcW w:w="0" w:type="auto"/>
            <w:tcBorders>
              <w:top w:val="nil"/>
              <w:left w:val="single" w:color="auto" w:sz="4" w:space="0"/>
              <w:bottom w:val="single" w:color="000000" w:sz="4" w:space="0"/>
              <w:right w:val="single" w:color="auto" w:sz="4" w:space="0"/>
            </w:tcBorders>
            <w:noWrap w:val="0"/>
            <w:vAlign w:val="center"/>
          </w:tcPr>
          <w:p w14:paraId="37E2AACF">
            <w:pPr>
              <w:jc w:val="center"/>
              <w:rPr>
                <w:color w:val="auto"/>
                <w:sz w:val="20"/>
                <w:szCs w:val="20"/>
                <w:highlight w:val="none"/>
              </w:rPr>
            </w:pPr>
            <w:r>
              <w:rPr>
                <w:rFonts w:hint="eastAsia"/>
                <w:color w:val="auto"/>
                <w:sz w:val="20"/>
                <w:szCs w:val="20"/>
                <w:highlight w:val="none"/>
              </w:rPr>
              <w:t>可持续</w:t>
            </w:r>
          </w:p>
          <w:p w14:paraId="6BD007F6">
            <w:pPr>
              <w:jc w:val="center"/>
              <w:rPr>
                <w:color w:val="auto"/>
                <w:sz w:val="20"/>
                <w:szCs w:val="20"/>
                <w:highlight w:val="none"/>
              </w:rPr>
            </w:pPr>
            <w:r>
              <w:rPr>
                <w:rFonts w:hint="eastAsia"/>
                <w:color w:val="auto"/>
                <w:sz w:val="20"/>
                <w:szCs w:val="20"/>
                <w:highlight w:val="none"/>
              </w:rPr>
              <w:t>影响</w:t>
            </w:r>
          </w:p>
          <w:p w14:paraId="141C82A4">
            <w:pPr>
              <w:jc w:val="center"/>
              <w:rPr>
                <w:rFonts w:ascii="宋体" w:hAnsi="宋体" w:cs="宋体"/>
                <w:color w:val="auto"/>
                <w:sz w:val="20"/>
                <w:szCs w:val="20"/>
                <w:highlight w:val="none"/>
              </w:rPr>
            </w:pPr>
            <w:r>
              <w:rPr>
                <w:rFonts w:hint="eastAsia"/>
                <w:color w:val="auto"/>
                <w:sz w:val="20"/>
                <w:szCs w:val="20"/>
                <w:highlight w:val="none"/>
              </w:rPr>
              <w:t>指标</w:t>
            </w:r>
          </w:p>
        </w:tc>
        <w:tc>
          <w:tcPr>
            <w:tcW w:w="0" w:type="auto"/>
            <w:tcBorders>
              <w:top w:val="nil"/>
              <w:left w:val="nil"/>
              <w:bottom w:val="single" w:color="auto" w:sz="4" w:space="0"/>
              <w:right w:val="single" w:color="auto" w:sz="4" w:space="0"/>
            </w:tcBorders>
            <w:noWrap w:val="0"/>
            <w:vAlign w:val="center"/>
          </w:tcPr>
          <w:p w14:paraId="47BDB627">
            <w:pPr>
              <w:jc w:val="left"/>
              <w:rPr>
                <w:rFonts w:ascii="宋体" w:hAnsi="宋体" w:cs="宋体"/>
                <w:color w:val="auto"/>
                <w:sz w:val="20"/>
                <w:szCs w:val="20"/>
                <w:highlight w:val="none"/>
              </w:rPr>
            </w:pPr>
            <w:r>
              <w:rPr>
                <w:rFonts w:hint="eastAsia" w:ascii="宋体" w:hAnsi="宋体" w:cs="宋体"/>
                <w:color w:val="auto"/>
                <w:sz w:val="20"/>
                <w:szCs w:val="20"/>
                <w:highlight w:val="none"/>
              </w:rPr>
              <w:t>保健对象医疗保障能力的可持续性</w:t>
            </w:r>
          </w:p>
        </w:tc>
        <w:tc>
          <w:tcPr>
            <w:tcW w:w="0" w:type="auto"/>
            <w:tcBorders>
              <w:top w:val="nil"/>
              <w:left w:val="nil"/>
              <w:bottom w:val="single" w:color="auto" w:sz="4" w:space="0"/>
              <w:right w:val="single" w:color="auto" w:sz="4" w:space="0"/>
            </w:tcBorders>
            <w:noWrap w:val="0"/>
            <w:vAlign w:val="center"/>
          </w:tcPr>
          <w:p w14:paraId="05EAE124">
            <w:pPr>
              <w:jc w:val="center"/>
              <w:rPr>
                <w:rFonts w:ascii="宋体" w:hAnsi="宋体" w:cs="宋体"/>
                <w:color w:val="auto"/>
                <w:sz w:val="20"/>
                <w:szCs w:val="20"/>
                <w:highlight w:val="none"/>
              </w:rPr>
            </w:pPr>
            <w:r>
              <w:rPr>
                <w:rFonts w:hint="eastAsia" w:ascii="宋体" w:hAnsi="宋体" w:cs="宋体"/>
                <w:color w:val="auto"/>
                <w:sz w:val="20"/>
                <w:szCs w:val="20"/>
                <w:highlight w:val="none"/>
              </w:rPr>
              <w:t>持续保障</w:t>
            </w:r>
          </w:p>
        </w:tc>
        <w:tc>
          <w:tcPr>
            <w:tcW w:w="0" w:type="auto"/>
            <w:tcBorders>
              <w:top w:val="nil"/>
              <w:left w:val="nil"/>
              <w:bottom w:val="single" w:color="auto" w:sz="4" w:space="0"/>
              <w:right w:val="single" w:color="auto" w:sz="4" w:space="0"/>
            </w:tcBorders>
            <w:noWrap w:val="0"/>
            <w:vAlign w:val="center"/>
          </w:tcPr>
          <w:p w14:paraId="0C070476">
            <w:pPr>
              <w:jc w:val="center"/>
              <w:rPr>
                <w:rFonts w:ascii="宋体" w:hAnsi="宋体" w:cs="宋体"/>
                <w:color w:val="auto"/>
                <w:sz w:val="20"/>
                <w:szCs w:val="20"/>
                <w:highlight w:val="none"/>
              </w:rPr>
            </w:pPr>
            <w:r>
              <w:rPr>
                <w:rFonts w:hint="eastAsia" w:ascii="宋体" w:hAnsi="宋体" w:cs="宋体"/>
                <w:color w:val="auto"/>
                <w:sz w:val="20"/>
                <w:szCs w:val="20"/>
                <w:highlight w:val="none"/>
              </w:rPr>
              <w:t>持续保障</w:t>
            </w:r>
          </w:p>
        </w:tc>
      </w:tr>
      <w:tr w14:paraId="46F5B54F">
        <w:tblPrEx>
          <w:tblCellMar>
            <w:top w:w="0" w:type="dxa"/>
            <w:left w:w="108" w:type="dxa"/>
            <w:bottom w:w="0" w:type="dxa"/>
            <w:right w:w="108" w:type="dxa"/>
          </w:tblCellMar>
        </w:tblPrEx>
        <w:trPr>
          <w:trHeight w:val="315" w:hRule="atLeast"/>
        </w:trPr>
        <w:tc>
          <w:tcPr>
            <w:tcW w:w="0" w:type="auto"/>
            <w:vMerge w:val="continue"/>
            <w:tcBorders>
              <w:top w:val="nil"/>
              <w:left w:val="single" w:color="auto" w:sz="4" w:space="0"/>
              <w:bottom w:val="single" w:color="000000" w:sz="4" w:space="0"/>
              <w:right w:val="single" w:color="auto" w:sz="4" w:space="0"/>
            </w:tcBorders>
            <w:noWrap w:val="0"/>
            <w:vAlign w:val="center"/>
          </w:tcPr>
          <w:p w14:paraId="6A6ED7AA">
            <w:pPr>
              <w:rPr>
                <w:rFonts w:ascii="宋体" w:hAnsi="宋体" w:cs="宋体"/>
                <w:color w:val="auto"/>
                <w:sz w:val="20"/>
                <w:szCs w:val="20"/>
                <w:highlight w:val="none"/>
              </w:rPr>
            </w:pPr>
          </w:p>
        </w:tc>
        <w:tc>
          <w:tcPr>
            <w:tcW w:w="0" w:type="auto"/>
            <w:tcBorders>
              <w:top w:val="nil"/>
              <w:left w:val="single" w:color="auto" w:sz="4" w:space="0"/>
              <w:bottom w:val="single" w:color="000000" w:sz="4" w:space="0"/>
              <w:right w:val="single" w:color="auto" w:sz="4" w:space="0"/>
            </w:tcBorders>
            <w:noWrap w:val="0"/>
            <w:vAlign w:val="center"/>
          </w:tcPr>
          <w:p w14:paraId="156A771D">
            <w:pPr>
              <w:rPr>
                <w:rFonts w:ascii="宋体" w:hAnsi="宋体" w:cs="宋体"/>
                <w:color w:val="auto"/>
                <w:sz w:val="20"/>
                <w:szCs w:val="20"/>
                <w:highlight w:val="none"/>
              </w:rPr>
            </w:pPr>
            <w:r>
              <w:rPr>
                <w:rFonts w:hint="eastAsia"/>
                <w:color w:val="auto"/>
                <w:sz w:val="20"/>
                <w:szCs w:val="20"/>
                <w:highlight w:val="none"/>
              </w:rPr>
              <w:t>满意度指标</w:t>
            </w:r>
          </w:p>
        </w:tc>
        <w:tc>
          <w:tcPr>
            <w:tcW w:w="0" w:type="auto"/>
            <w:tcBorders>
              <w:top w:val="nil"/>
              <w:left w:val="single" w:color="auto" w:sz="4" w:space="0"/>
              <w:bottom w:val="single" w:color="000000" w:sz="4" w:space="0"/>
              <w:right w:val="single" w:color="auto" w:sz="4" w:space="0"/>
            </w:tcBorders>
            <w:noWrap w:val="0"/>
            <w:vAlign w:val="center"/>
          </w:tcPr>
          <w:p w14:paraId="69D37A0D">
            <w:pPr>
              <w:jc w:val="center"/>
              <w:rPr>
                <w:rFonts w:ascii="宋体" w:hAnsi="宋体" w:cs="宋体"/>
                <w:color w:val="auto"/>
                <w:sz w:val="20"/>
                <w:szCs w:val="20"/>
                <w:highlight w:val="none"/>
              </w:rPr>
            </w:pPr>
            <w:r>
              <w:rPr>
                <w:rFonts w:hint="eastAsia"/>
                <w:color w:val="auto"/>
                <w:sz w:val="20"/>
                <w:szCs w:val="20"/>
                <w:highlight w:val="none"/>
              </w:rPr>
              <w:t>服务对象满意度指标</w:t>
            </w:r>
          </w:p>
        </w:tc>
        <w:tc>
          <w:tcPr>
            <w:tcW w:w="0" w:type="auto"/>
            <w:tcBorders>
              <w:top w:val="nil"/>
              <w:left w:val="nil"/>
              <w:bottom w:val="single" w:color="auto" w:sz="4" w:space="0"/>
              <w:right w:val="single" w:color="auto" w:sz="4" w:space="0"/>
            </w:tcBorders>
            <w:noWrap w:val="0"/>
            <w:vAlign w:val="center"/>
          </w:tcPr>
          <w:p w14:paraId="06CB9D8C">
            <w:pPr>
              <w:jc w:val="left"/>
              <w:rPr>
                <w:rFonts w:ascii="宋体" w:hAnsi="宋体" w:cs="宋体"/>
                <w:color w:val="auto"/>
                <w:sz w:val="20"/>
                <w:szCs w:val="20"/>
                <w:highlight w:val="none"/>
              </w:rPr>
            </w:pPr>
            <w:r>
              <w:rPr>
                <w:rFonts w:hint="eastAsia"/>
                <w:color w:val="auto"/>
                <w:sz w:val="20"/>
                <w:szCs w:val="20"/>
                <w:highlight w:val="none"/>
              </w:rPr>
              <w:t>保健对象满意度</w:t>
            </w:r>
          </w:p>
        </w:tc>
        <w:tc>
          <w:tcPr>
            <w:tcW w:w="0" w:type="auto"/>
            <w:tcBorders>
              <w:top w:val="nil"/>
              <w:left w:val="nil"/>
              <w:bottom w:val="single" w:color="auto" w:sz="4" w:space="0"/>
              <w:right w:val="single" w:color="auto" w:sz="4" w:space="0"/>
            </w:tcBorders>
            <w:noWrap w:val="0"/>
            <w:vAlign w:val="center"/>
          </w:tcPr>
          <w:p w14:paraId="4C659F73">
            <w:pPr>
              <w:jc w:val="center"/>
              <w:rPr>
                <w:rFonts w:ascii="宋体" w:hAnsi="宋体" w:cs="宋体"/>
                <w:color w:val="auto"/>
                <w:sz w:val="20"/>
                <w:szCs w:val="20"/>
                <w:highlight w:val="none"/>
              </w:rPr>
            </w:pPr>
            <w:r>
              <w:rPr>
                <w:rFonts w:hint="eastAsia"/>
                <w:color w:val="auto"/>
                <w:sz w:val="20"/>
                <w:szCs w:val="20"/>
                <w:highlight w:val="none"/>
              </w:rPr>
              <w:t>大于98%</w:t>
            </w:r>
          </w:p>
        </w:tc>
        <w:tc>
          <w:tcPr>
            <w:tcW w:w="0" w:type="auto"/>
            <w:tcBorders>
              <w:top w:val="nil"/>
              <w:left w:val="nil"/>
              <w:bottom w:val="single" w:color="auto" w:sz="4" w:space="0"/>
              <w:right w:val="single" w:color="auto" w:sz="4" w:space="0"/>
            </w:tcBorders>
            <w:noWrap w:val="0"/>
            <w:vAlign w:val="center"/>
          </w:tcPr>
          <w:p w14:paraId="3A81582F">
            <w:pPr>
              <w:jc w:val="center"/>
              <w:rPr>
                <w:rFonts w:ascii="宋体" w:hAnsi="宋体" w:cs="宋体"/>
                <w:color w:val="auto"/>
                <w:sz w:val="20"/>
                <w:szCs w:val="20"/>
                <w:highlight w:val="none"/>
              </w:rPr>
            </w:pPr>
            <w:r>
              <w:rPr>
                <w:rFonts w:hint="eastAsia"/>
                <w:color w:val="auto"/>
                <w:sz w:val="20"/>
                <w:szCs w:val="20"/>
                <w:highlight w:val="none"/>
              </w:rPr>
              <w:t>大于98%</w:t>
            </w:r>
          </w:p>
        </w:tc>
        <w:tc>
          <w:tcPr>
            <w:tcW w:w="0" w:type="auto"/>
            <w:tcBorders>
              <w:top w:val="nil"/>
              <w:left w:val="single" w:color="auto" w:sz="4" w:space="0"/>
              <w:bottom w:val="single" w:color="000000" w:sz="4" w:space="0"/>
              <w:right w:val="single" w:color="auto" w:sz="4" w:space="0"/>
            </w:tcBorders>
            <w:noWrap w:val="0"/>
            <w:vAlign w:val="center"/>
          </w:tcPr>
          <w:p w14:paraId="54F7FB3C">
            <w:pPr>
              <w:jc w:val="center"/>
              <w:rPr>
                <w:color w:val="auto"/>
                <w:sz w:val="20"/>
                <w:szCs w:val="20"/>
                <w:highlight w:val="none"/>
              </w:rPr>
            </w:pPr>
            <w:r>
              <w:rPr>
                <w:rFonts w:hint="eastAsia"/>
                <w:color w:val="auto"/>
                <w:sz w:val="20"/>
                <w:szCs w:val="20"/>
                <w:highlight w:val="none"/>
              </w:rPr>
              <w:t>服务对</w:t>
            </w:r>
          </w:p>
          <w:p w14:paraId="3D571C71">
            <w:pPr>
              <w:jc w:val="center"/>
              <w:rPr>
                <w:color w:val="auto"/>
                <w:sz w:val="20"/>
                <w:szCs w:val="20"/>
                <w:highlight w:val="none"/>
              </w:rPr>
            </w:pPr>
            <w:r>
              <w:rPr>
                <w:rFonts w:hint="eastAsia"/>
                <w:color w:val="auto"/>
                <w:sz w:val="20"/>
                <w:szCs w:val="20"/>
                <w:highlight w:val="none"/>
              </w:rPr>
              <w:t>象满意</w:t>
            </w:r>
          </w:p>
          <w:p w14:paraId="5A0428DB">
            <w:pPr>
              <w:jc w:val="center"/>
              <w:rPr>
                <w:rFonts w:ascii="宋体" w:hAnsi="宋体" w:cs="宋体"/>
                <w:color w:val="auto"/>
                <w:sz w:val="20"/>
                <w:szCs w:val="20"/>
                <w:highlight w:val="none"/>
              </w:rPr>
            </w:pPr>
            <w:r>
              <w:rPr>
                <w:rFonts w:hint="eastAsia"/>
                <w:color w:val="auto"/>
                <w:sz w:val="20"/>
                <w:szCs w:val="20"/>
                <w:highlight w:val="none"/>
              </w:rPr>
              <w:t>度指标</w:t>
            </w:r>
          </w:p>
        </w:tc>
        <w:tc>
          <w:tcPr>
            <w:tcW w:w="0" w:type="auto"/>
            <w:tcBorders>
              <w:top w:val="nil"/>
              <w:left w:val="nil"/>
              <w:bottom w:val="single" w:color="auto" w:sz="4" w:space="0"/>
              <w:right w:val="single" w:color="auto" w:sz="4" w:space="0"/>
            </w:tcBorders>
            <w:noWrap w:val="0"/>
            <w:vAlign w:val="center"/>
          </w:tcPr>
          <w:p w14:paraId="530B0E2B">
            <w:pPr>
              <w:rPr>
                <w:rFonts w:ascii="宋体" w:hAnsi="宋体" w:cs="宋体"/>
                <w:color w:val="auto"/>
                <w:sz w:val="20"/>
                <w:szCs w:val="20"/>
                <w:highlight w:val="none"/>
              </w:rPr>
            </w:pPr>
            <w:r>
              <w:rPr>
                <w:rFonts w:hint="eastAsia"/>
                <w:color w:val="auto"/>
                <w:sz w:val="20"/>
                <w:szCs w:val="20"/>
                <w:highlight w:val="none"/>
              </w:rPr>
              <w:t>保健对象满意度</w:t>
            </w:r>
          </w:p>
        </w:tc>
        <w:tc>
          <w:tcPr>
            <w:tcW w:w="0" w:type="auto"/>
            <w:tcBorders>
              <w:top w:val="nil"/>
              <w:left w:val="nil"/>
              <w:bottom w:val="single" w:color="auto" w:sz="4" w:space="0"/>
              <w:right w:val="single" w:color="auto" w:sz="4" w:space="0"/>
            </w:tcBorders>
            <w:noWrap w:val="0"/>
            <w:vAlign w:val="center"/>
          </w:tcPr>
          <w:p w14:paraId="0D3D9CB5">
            <w:pPr>
              <w:rPr>
                <w:rFonts w:ascii="宋体" w:hAnsi="宋体" w:cs="宋体"/>
                <w:color w:val="auto"/>
                <w:sz w:val="20"/>
                <w:szCs w:val="20"/>
                <w:highlight w:val="none"/>
              </w:rPr>
            </w:pPr>
            <w:r>
              <w:rPr>
                <w:rFonts w:hint="eastAsia"/>
                <w:color w:val="auto"/>
                <w:sz w:val="20"/>
                <w:szCs w:val="20"/>
                <w:highlight w:val="none"/>
              </w:rPr>
              <w:t>大于98%</w:t>
            </w:r>
          </w:p>
        </w:tc>
        <w:tc>
          <w:tcPr>
            <w:tcW w:w="0" w:type="auto"/>
            <w:tcBorders>
              <w:top w:val="nil"/>
              <w:left w:val="nil"/>
              <w:bottom w:val="single" w:color="auto" w:sz="4" w:space="0"/>
              <w:right w:val="single" w:color="auto" w:sz="4" w:space="0"/>
            </w:tcBorders>
            <w:noWrap w:val="0"/>
            <w:vAlign w:val="center"/>
          </w:tcPr>
          <w:p w14:paraId="3346DB49">
            <w:pPr>
              <w:rPr>
                <w:rFonts w:ascii="宋体" w:hAnsi="宋体" w:cs="宋体"/>
                <w:color w:val="auto"/>
                <w:sz w:val="20"/>
                <w:szCs w:val="20"/>
                <w:highlight w:val="none"/>
              </w:rPr>
            </w:pPr>
            <w:r>
              <w:rPr>
                <w:rFonts w:hint="eastAsia"/>
                <w:color w:val="auto"/>
                <w:sz w:val="20"/>
                <w:szCs w:val="20"/>
                <w:highlight w:val="none"/>
              </w:rPr>
              <w:t>大于98%</w:t>
            </w:r>
          </w:p>
        </w:tc>
      </w:tr>
    </w:tbl>
    <w:p w14:paraId="6664B38E">
      <w:pPr>
        <w:adjustRightInd w:val="0"/>
        <w:snapToGrid w:val="0"/>
        <w:spacing w:line="600" w:lineRule="exact"/>
        <w:rPr>
          <w:rFonts w:ascii="仿宋_GB2312" w:hAnsi="楷体" w:eastAsia="仿宋_GB2312"/>
          <w:b/>
          <w:color w:val="auto"/>
          <w:sz w:val="32"/>
          <w:szCs w:val="32"/>
          <w:highlight w:val="none"/>
        </w:rPr>
      </w:pPr>
    </w:p>
    <w:p w14:paraId="67CDFDE0">
      <w:pPr>
        <w:adjustRightInd w:val="0"/>
        <w:snapToGrid w:val="0"/>
        <w:spacing w:line="600" w:lineRule="exact"/>
        <w:ind w:firstLine="640" w:firstLineChars="200"/>
        <w:rPr>
          <w:rFonts w:ascii="仿宋_GB2312" w:hAnsi="楷体" w:eastAsia="仿宋_GB2312"/>
          <w:color w:val="auto"/>
          <w:sz w:val="32"/>
          <w:szCs w:val="32"/>
          <w:highlight w:val="none"/>
        </w:rPr>
      </w:pPr>
    </w:p>
    <w:p w14:paraId="684722A4">
      <w:pPr>
        <w:adjustRightInd w:val="0"/>
        <w:snapToGrid w:val="0"/>
        <w:spacing w:line="600" w:lineRule="exact"/>
        <w:ind w:firstLine="803" w:firstLineChars="250"/>
        <w:rPr>
          <w:rFonts w:ascii="仿宋_GB2312" w:hAnsi="楷体" w:eastAsia="仿宋_GB2312"/>
          <w:b/>
          <w:color w:val="auto"/>
          <w:sz w:val="32"/>
          <w:szCs w:val="32"/>
          <w:highlight w:val="none"/>
        </w:rPr>
      </w:pPr>
      <w:r>
        <w:rPr>
          <w:rFonts w:hint="eastAsia" w:ascii="仿宋_GB2312" w:hAnsi="楷体" w:eastAsia="仿宋_GB2312"/>
          <w:b/>
          <w:color w:val="auto"/>
          <w:sz w:val="32"/>
          <w:szCs w:val="32"/>
          <w:highlight w:val="none"/>
          <w:lang w:val="en-US" w:eastAsia="zh-CN"/>
        </w:rPr>
        <w:t>7</w:t>
      </w:r>
      <w:r>
        <w:rPr>
          <w:rFonts w:hint="eastAsia" w:ascii="仿宋_GB2312" w:hAnsi="楷体" w:eastAsia="仿宋_GB2312"/>
          <w:b/>
          <w:color w:val="auto"/>
          <w:sz w:val="32"/>
          <w:szCs w:val="32"/>
          <w:highlight w:val="none"/>
        </w:rPr>
        <w:t>.“农饮水卫生监督</w:t>
      </w:r>
      <w:r>
        <w:rPr>
          <w:rFonts w:hint="eastAsia" w:ascii="仿宋_GB2312" w:hAnsi="楷体" w:eastAsia="仿宋_GB2312"/>
          <w:b/>
          <w:color w:val="auto"/>
          <w:sz w:val="32"/>
          <w:szCs w:val="32"/>
          <w:highlight w:val="none"/>
          <w:lang w:eastAsia="zh-CN"/>
        </w:rPr>
        <w:t>监测</w:t>
      </w:r>
      <w:r>
        <w:rPr>
          <w:rFonts w:hint="eastAsia" w:ascii="仿宋_GB2312" w:hAnsi="楷体" w:eastAsia="仿宋_GB2312"/>
          <w:b/>
          <w:color w:val="auto"/>
          <w:sz w:val="32"/>
          <w:szCs w:val="32"/>
          <w:highlight w:val="none"/>
        </w:rPr>
        <w:t>”项目。</w:t>
      </w:r>
    </w:p>
    <w:p w14:paraId="0DAF8A03">
      <w:pPr>
        <w:adjustRightInd w:val="0"/>
        <w:snapToGrid w:val="0"/>
        <w:spacing w:line="600" w:lineRule="exact"/>
        <w:ind w:firstLine="640" w:firstLineChars="200"/>
        <w:rPr>
          <w:rFonts w:hint="eastAsia" w:ascii="仿宋_GB2312" w:hAnsi="楷体" w:eastAsia="仿宋_GB2312"/>
          <w:color w:val="auto"/>
          <w:sz w:val="32"/>
          <w:szCs w:val="32"/>
          <w:highlight w:val="none"/>
        </w:rPr>
      </w:pPr>
      <w:r>
        <w:rPr>
          <w:rFonts w:hint="eastAsia" w:ascii="仿宋_GB2312" w:hAnsi="楷体" w:eastAsia="仿宋_GB2312"/>
          <w:color w:val="auto"/>
          <w:sz w:val="32"/>
          <w:szCs w:val="32"/>
          <w:highlight w:val="none"/>
        </w:rPr>
        <w:t>（1）项目概述。目前全县农村饮用水存在安全隐患，全县农村集中饮用水单位，均不能自行开展水质监测。基本处于卫生监管盲区。尤其是在每年的洪涝灾害期，极易造成介水传染病的爆发流行。为保障我县集中供水的卫生安全，现急需对全县饮水厂开展卫生监督工作。</w:t>
      </w:r>
    </w:p>
    <w:p w14:paraId="7D06C165">
      <w:pPr>
        <w:adjustRightInd w:val="0"/>
        <w:snapToGrid w:val="0"/>
        <w:spacing w:line="600" w:lineRule="exact"/>
        <w:ind w:firstLine="640" w:firstLineChars="200"/>
        <w:rPr>
          <w:rFonts w:ascii="仿宋_GB2312" w:hAnsi="楷体" w:eastAsia="仿宋_GB2312"/>
          <w:color w:val="auto"/>
          <w:sz w:val="32"/>
          <w:szCs w:val="32"/>
          <w:highlight w:val="none"/>
        </w:rPr>
      </w:pPr>
      <w:r>
        <w:rPr>
          <w:rFonts w:hint="eastAsia" w:ascii="仿宋_GB2312" w:hAnsi="楷体" w:eastAsia="仿宋_GB2312"/>
          <w:color w:val="auto"/>
          <w:sz w:val="32"/>
          <w:szCs w:val="32"/>
          <w:highlight w:val="none"/>
        </w:rPr>
        <w:t>（2）立项依据。《关于卫生事业补助政策意见》的通知（财社【2000】17号）、卫生部39号令《关于卫生监督体系建设的若干规定》、卫生部《关于卫生监督体系建设的实施意见》（卫监督发【2006】223号）、安徽省人民代表大会常务委员会《关于进一步加强全省饮用水安全保障工作的决议》、《关于印发国家卫生城市标准（2014版）的通知》（全爱卫发【2014】3号）、国务院办公厅国办法【2018】63号《关于完善医疗卫生行业综合监管制度的指导意见》、《中华人民共和国传染病防治法》、《生活饮用水卫生监督管理办法》、《安徽省城镇供水条例》</w:t>
      </w:r>
    </w:p>
    <w:p w14:paraId="57F22987">
      <w:pPr>
        <w:adjustRightInd w:val="0"/>
        <w:snapToGrid w:val="0"/>
        <w:spacing w:line="600" w:lineRule="exact"/>
        <w:ind w:firstLine="640" w:firstLineChars="200"/>
        <w:rPr>
          <w:rFonts w:hint="eastAsia" w:ascii="仿宋_GB2312" w:hAnsi="楷体" w:eastAsia="仿宋_GB2312"/>
          <w:color w:val="auto"/>
          <w:sz w:val="32"/>
          <w:szCs w:val="32"/>
          <w:highlight w:val="none"/>
        </w:rPr>
      </w:pPr>
      <w:r>
        <w:rPr>
          <w:rFonts w:hint="eastAsia" w:ascii="仿宋_GB2312" w:hAnsi="楷体" w:eastAsia="仿宋_GB2312"/>
          <w:color w:val="auto"/>
          <w:sz w:val="32"/>
          <w:szCs w:val="32"/>
          <w:highlight w:val="none"/>
        </w:rPr>
        <w:t>（3）实施主体</w:t>
      </w:r>
      <w:r>
        <w:rPr>
          <w:rFonts w:hint="eastAsia" w:ascii="仿宋_GB2312" w:hAnsi="楷体" w:eastAsia="仿宋_GB2312"/>
          <w:color w:val="auto"/>
          <w:sz w:val="32"/>
          <w:szCs w:val="32"/>
          <w:highlight w:val="none"/>
          <w:lang w:eastAsia="zh-CN"/>
        </w:rPr>
        <w:t>：</w:t>
      </w:r>
      <w:r>
        <w:rPr>
          <w:rFonts w:hint="eastAsia" w:ascii="仿宋_GB2312" w:hAnsi="楷体" w:eastAsia="仿宋_GB2312"/>
          <w:color w:val="auto"/>
          <w:sz w:val="32"/>
          <w:szCs w:val="32"/>
          <w:highlight w:val="none"/>
        </w:rPr>
        <w:t>濉溪县卫生健康综合执法大队</w:t>
      </w:r>
    </w:p>
    <w:p w14:paraId="086648B4">
      <w:pPr>
        <w:adjustRightInd w:val="0"/>
        <w:snapToGrid w:val="0"/>
        <w:spacing w:line="600" w:lineRule="exact"/>
        <w:ind w:firstLine="640" w:firstLineChars="200"/>
        <w:rPr>
          <w:rFonts w:hint="default" w:ascii="仿宋_GB2312" w:hAnsi="仿宋" w:eastAsia="仿宋_GB2312"/>
          <w:color w:val="auto"/>
          <w:sz w:val="32"/>
          <w:szCs w:val="32"/>
          <w:highlight w:val="none"/>
          <w:lang w:val="en-US" w:eastAsia="zh-CN"/>
        </w:rPr>
      </w:pPr>
      <w:r>
        <w:rPr>
          <w:rFonts w:hint="eastAsia" w:ascii="仿宋_GB2312" w:hAnsi="楷体" w:eastAsia="仿宋_GB2312"/>
          <w:color w:val="auto"/>
          <w:sz w:val="32"/>
          <w:szCs w:val="32"/>
          <w:highlight w:val="none"/>
        </w:rPr>
        <w:t>（4）起止时间</w:t>
      </w:r>
      <w:r>
        <w:rPr>
          <w:rFonts w:hint="eastAsia" w:ascii="仿宋_GB2312" w:hAnsi="楷体" w:eastAsia="仿宋_GB2312"/>
          <w:color w:val="auto"/>
          <w:sz w:val="32"/>
          <w:szCs w:val="32"/>
          <w:highlight w:val="none"/>
          <w:lang w:eastAsia="zh-CN"/>
        </w:rPr>
        <w:t>：</w:t>
      </w:r>
      <w:r>
        <w:rPr>
          <w:rFonts w:hint="eastAsia" w:ascii="仿宋_GB2312" w:hAnsi="仿宋" w:eastAsia="仿宋_GB2312"/>
          <w:color w:val="auto"/>
          <w:sz w:val="32"/>
          <w:szCs w:val="32"/>
          <w:highlight w:val="none"/>
        </w:rPr>
        <w:t>2023年</w:t>
      </w:r>
      <w:r>
        <w:rPr>
          <w:rFonts w:hint="eastAsia" w:ascii="仿宋_GB2312" w:hAnsi="仿宋" w:eastAsia="仿宋_GB2312"/>
          <w:color w:val="auto"/>
          <w:sz w:val="32"/>
          <w:szCs w:val="32"/>
          <w:highlight w:val="none"/>
          <w:lang w:val="en-US" w:eastAsia="zh-CN"/>
        </w:rPr>
        <w:t>1-12月份。</w:t>
      </w:r>
    </w:p>
    <w:p w14:paraId="3991EAFC">
      <w:pPr>
        <w:adjustRightInd w:val="0"/>
        <w:snapToGrid w:val="0"/>
        <w:spacing w:line="600" w:lineRule="exact"/>
        <w:ind w:firstLine="640" w:firstLineChars="200"/>
        <w:rPr>
          <w:rFonts w:hint="eastAsia" w:ascii="仿宋_GB2312" w:hAnsi="仿宋" w:eastAsia="仿宋_GB2312"/>
          <w:color w:val="auto"/>
          <w:sz w:val="32"/>
          <w:szCs w:val="32"/>
          <w:highlight w:val="none"/>
          <w:lang w:eastAsia="zh-CN"/>
        </w:rPr>
      </w:pPr>
      <w:r>
        <w:rPr>
          <w:rFonts w:hint="eastAsia" w:ascii="仿宋_GB2312" w:hAnsi="楷体" w:eastAsia="仿宋_GB2312"/>
          <w:color w:val="auto"/>
          <w:sz w:val="32"/>
          <w:szCs w:val="32"/>
          <w:highlight w:val="none"/>
        </w:rPr>
        <w:t>（5）项目内容</w:t>
      </w:r>
      <w:r>
        <w:rPr>
          <w:rFonts w:hint="eastAsia" w:ascii="仿宋_GB2312" w:hAnsi="楷体" w:eastAsia="仿宋_GB2312"/>
          <w:color w:val="auto"/>
          <w:sz w:val="32"/>
          <w:szCs w:val="32"/>
          <w:highlight w:val="none"/>
          <w:lang w:eastAsia="zh-CN"/>
        </w:rPr>
        <w:t>：</w:t>
      </w:r>
      <w:r>
        <w:rPr>
          <w:rFonts w:hint="eastAsia" w:ascii="仿宋_GB2312" w:hAnsi="仿宋" w:eastAsia="仿宋_GB2312"/>
          <w:color w:val="auto"/>
          <w:sz w:val="32"/>
          <w:szCs w:val="32"/>
          <w:highlight w:val="none"/>
        </w:rPr>
        <w:t>日常培训、宣传监督、水质监测</w:t>
      </w:r>
      <w:r>
        <w:rPr>
          <w:rFonts w:hint="eastAsia" w:ascii="仿宋_GB2312" w:hAnsi="仿宋" w:eastAsia="仿宋_GB2312"/>
          <w:color w:val="auto"/>
          <w:sz w:val="32"/>
          <w:szCs w:val="32"/>
          <w:highlight w:val="none"/>
          <w:lang w:eastAsia="zh-CN"/>
        </w:rPr>
        <w:t>。</w:t>
      </w:r>
    </w:p>
    <w:p w14:paraId="5142051F">
      <w:pPr>
        <w:adjustRightInd w:val="0"/>
        <w:snapToGrid w:val="0"/>
        <w:spacing w:line="600" w:lineRule="exact"/>
        <w:ind w:firstLine="640" w:firstLineChars="200"/>
        <w:rPr>
          <w:rFonts w:hint="eastAsia" w:ascii="仿宋_GB2312" w:hAnsi="仿宋" w:eastAsia="仿宋_GB2312"/>
          <w:color w:val="auto"/>
          <w:sz w:val="32"/>
          <w:szCs w:val="32"/>
          <w:highlight w:val="none"/>
          <w:lang w:eastAsia="zh-CN"/>
        </w:rPr>
      </w:pPr>
      <w:r>
        <w:rPr>
          <w:rFonts w:hint="eastAsia" w:ascii="仿宋_GB2312" w:hAnsi="楷体" w:eastAsia="仿宋_GB2312"/>
          <w:color w:val="auto"/>
          <w:sz w:val="32"/>
          <w:szCs w:val="32"/>
          <w:highlight w:val="none"/>
        </w:rPr>
        <w:t>（6）年度预算安排</w:t>
      </w:r>
      <w:r>
        <w:rPr>
          <w:rFonts w:hint="eastAsia" w:ascii="仿宋_GB2312" w:hAnsi="楷体" w:eastAsia="仿宋_GB2312"/>
          <w:color w:val="auto"/>
          <w:sz w:val="32"/>
          <w:szCs w:val="32"/>
          <w:highlight w:val="none"/>
          <w:lang w:eastAsia="zh-CN"/>
        </w:rPr>
        <w:t>：</w:t>
      </w:r>
      <w:r>
        <w:rPr>
          <w:rFonts w:hint="eastAsia" w:ascii="仿宋_GB2312" w:hAnsi="楷体" w:eastAsia="仿宋_GB2312"/>
          <w:color w:val="auto"/>
          <w:sz w:val="32"/>
          <w:szCs w:val="32"/>
          <w:highlight w:val="none"/>
        </w:rPr>
        <w:t>15万</w:t>
      </w:r>
      <w:r>
        <w:rPr>
          <w:rFonts w:hint="eastAsia" w:ascii="仿宋_GB2312" w:hAnsi="楷体" w:eastAsia="仿宋_GB2312"/>
          <w:color w:val="auto"/>
          <w:sz w:val="32"/>
          <w:szCs w:val="32"/>
          <w:highlight w:val="none"/>
          <w:lang w:eastAsia="zh-CN"/>
        </w:rPr>
        <w:t>元</w:t>
      </w:r>
    </w:p>
    <w:p w14:paraId="2DEA9C2D">
      <w:pPr>
        <w:adjustRightInd w:val="0"/>
        <w:snapToGrid w:val="0"/>
        <w:spacing w:line="600" w:lineRule="exact"/>
        <w:ind w:firstLine="640" w:firstLineChars="200"/>
        <w:rPr>
          <w:rFonts w:ascii="仿宋_GB2312" w:hAnsi="楷体" w:eastAsia="仿宋_GB2312"/>
          <w:color w:val="auto"/>
          <w:sz w:val="32"/>
          <w:szCs w:val="32"/>
          <w:highlight w:val="none"/>
        </w:rPr>
      </w:pPr>
      <w:r>
        <w:rPr>
          <w:rFonts w:hint="eastAsia" w:ascii="仿宋_GB2312" w:hAnsi="楷体" w:eastAsia="仿宋_GB2312"/>
          <w:color w:val="auto"/>
          <w:sz w:val="32"/>
          <w:szCs w:val="32"/>
          <w:highlight w:val="none"/>
        </w:rPr>
        <w:t>（7）绩效目标。保障全县农饮水水质卫生安全</w:t>
      </w:r>
    </w:p>
    <w:tbl>
      <w:tblPr>
        <w:tblStyle w:val="3"/>
        <w:tblW w:w="8640" w:type="dxa"/>
        <w:tblInd w:w="-252" w:type="dxa"/>
        <w:tblLayout w:type="fixed"/>
        <w:tblCellMar>
          <w:top w:w="0" w:type="dxa"/>
          <w:left w:w="108" w:type="dxa"/>
          <w:bottom w:w="0" w:type="dxa"/>
          <w:right w:w="108" w:type="dxa"/>
        </w:tblCellMar>
      </w:tblPr>
      <w:tblGrid>
        <w:gridCol w:w="416"/>
        <w:gridCol w:w="484"/>
        <w:gridCol w:w="141"/>
        <w:gridCol w:w="579"/>
        <w:gridCol w:w="181"/>
        <w:gridCol w:w="1259"/>
        <w:gridCol w:w="540"/>
        <w:gridCol w:w="201"/>
        <w:gridCol w:w="699"/>
        <w:gridCol w:w="900"/>
        <w:gridCol w:w="720"/>
        <w:gridCol w:w="181"/>
        <w:gridCol w:w="1079"/>
        <w:gridCol w:w="1260"/>
      </w:tblGrid>
      <w:tr w14:paraId="501F3868">
        <w:tblPrEx>
          <w:tblCellMar>
            <w:top w:w="0" w:type="dxa"/>
            <w:left w:w="108" w:type="dxa"/>
            <w:bottom w:w="0" w:type="dxa"/>
            <w:right w:w="108" w:type="dxa"/>
          </w:tblCellMar>
        </w:tblPrEx>
        <w:trPr>
          <w:trHeight w:val="360" w:hRule="atLeast"/>
        </w:trPr>
        <w:tc>
          <w:tcPr>
            <w:tcW w:w="8640" w:type="dxa"/>
            <w:gridSpan w:val="14"/>
            <w:tcBorders>
              <w:top w:val="nil"/>
              <w:left w:val="nil"/>
              <w:bottom w:val="nil"/>
              <w:right w:val="nil"/>
            </w:tcBorders>
            <w:noWrap w:val="0"/>
            <w:vAlign w:val="center"/>
          </w:tcPr>
          <w:p w14:paraId="0090B8F7">
            <w:pPr>
              <w:rPr>
                <w:b/>
                <w:bCs/>
                <w:color w:val="auto"/>
                <w:sz w:val="32"/>
                <w:szCs w:val="32"/>
                <w:highlight w:val="none"/>
              </w:rPr>
            </w:pPr>
          </w:p>
          <w:p w14:paraId="3C712F63">
            <w:pPr>
              <w:jc w:val="center"/>
              <w:rPr>
                <w:rFonts w:ascii="宋体" w:hAnsi="宋体" w:cs="宋体"/>
                <w:b/>
                <w:bCs/>
                <w:color w:val="auto"/>
                <w:sz w:val="32"/>
                <w:szCs w:val="32"/>
                <w:highlight w:val="none"/>
              </w:rPr>
            </w:pPr>
            <w:r>
              <w:rPr>
                <w:rFonts w:hint="eastAsia"/>
                <w:b/>
                <w:bCs/>
                <w:color w:val="auto"/>
                <w:sz w:val="32"/>
                <w:szCs w:val="32"/>
                <w:highlight w:val="none"/>
              </w:rPr>
              <w:t>项目支出绩效目标表</w:t>
            </w:r>
          </w:p>
        </w:tc>
      </w:tr>
      <w:tr w14:paraId="4627466E">
        <w:tblPrEx>
          <w:tblCellMar>
            <w:top w:w="0" w:type="dxa"/>
            <w:left w:w="108" w:type="dxa"/>
            <w:bottom w:w="0" w:type="dxa"/>
            <w:right w:w="108" w:type="dxa"/>
          </w:tblCellMar>
        </w:tblPrEx>
        <w:trPr>
          <w:trHeight w:val="270" w:hRule="atLeast"/>
        </w:trPr>
        <w:tc>
          <w:tcPr>
            <w:tcW w:w="8640" w:type="dxa"/>
            <w:gridSpan w:val="14"/>
            <w:tcBorders>
              <w:top w:val="nil"/>
              <w:left w:val="nil"/>
              <w:bottom w:val="nil"/>
              <w:right w:val="nil"/>
            </w:tcBorders>
            <w:noWrap w:val="0"/>
            <w:vAlign w:val="center"/>
          </w:tcPr>
          <w:p w14:paraId="4D6A414E">
            <w:pPr>
              <w:jc w:val="center"/>
              <w:rPr>
                <w:rFonts w:ascii="宋体" w:hAnsi="宋体" w:cs="宋体"/>
                <w:color w:val="auto"/>
                <w:sz w:val="20"/>
                <w:szCs w:val="20"/>
                <w:highlight w:val="none"/>
              </w:rPr>
            </w:pPr>
            <w:r>
              <w:rPr>
                <w:rFonts w:hint="eastAsia"/>
                <w:color w:val="auto"/>
                <w:sz w:val="20"/>
                <w:szCs w:val="20"/>
                <w:highlight w:val="none"/>
              </w:rPr>
              <w:t>（2023年度）</w:t>
            </w:r>
          </w:p>
        </w:tc>
      </w:tr>
      <w:tr w14:paraId="0AC93F9A">
        <w:tblPrEx>
          <w:tblCellMar>
            <w:top w:w="0" w:type="dxa"/>
            <w:left w:w="108" w:type="dxa"/>
            <w:bottom w:w="0" w:type="dxa"/>
            <w:right w:w="108" w:type="dxa"/>
          </w:tblCellMar>
        </w:tblPrEx>
        <w:trPr>
          <w:trHeight w:val="330" w:hRule="atLeast"/>
        </w:trPr>
        <w:tc>
          <w:tcPr>
            <w:tcW w:w="1041" w:type="dxa"/>
            <w:gridSpan w:val="3"/>
            <w:tcBorders>
              <w:top w:val="single" w:color="auto" w:sz="4" w:space="0"/>
              <w:left w:val="single" w:color="auto" w:sz="4" w:space="0"/>
              <w:bottom w:val="single" w:color="auto" w:sz="4" w:space="0"/>
              <w:right w:val="single" w:color="auto" w:sz="4" w:space="0"/>
            </w:tcBorders>
            <w:noWrap w:val="0"/>
            <w:vAlign w:val="center"/>
          </w:tcPr>
          <w:p w14:paraId="0B65B502">
            <w:pPr>
              <w:jc w:val="center"/>
              <w:rPr>
                <w:rFonts w:ascii="宋体" w:hAnsi="宋体" w:cs="宋体"/>
                <w:color w:val="auto"/>
                <w:sz w:val="20"/>
                <w:szCs w:val="20"/>
                <w:highlight w:val="none"/>
              </w:rPr>
            </w:pPr>
            <w:r>
              <w:rPr>
                <w:rFonts w:hint="eastAsia"/>
                <w:color w:val="auto"/>
                <w:sz w:val="20"/>
                <w:szCs w:val="20"/>
                <w:highlight w:val="none"/>
              </w:rPr>
              <w:t>项目名称</w:t>
            </w:r>
          </w:p>
        </w:tc>
        <w:tc>
          <w:tcPr>
            <w:tcW w:w="7599" w:type="dxa"/>
            <w:gridSpan w:val="11"/>
            <w:tcBorders>
              <w:top w:val="single" w:color="auto" w:sz="4" w:space="0"/>
              <w:left w:val="nil"/>
              <w:bottom w:val="single" w:color="auto" w:sz="4" w:space="0"/>
              <w:right w:val="single" w:color="000000" w:sz="4" w:space="0"/>
            </w:tcBorders>
            <w:noWrap w:val="0"/>
            <w:vAlign w:val="center"/>
          </w:tcPr>
          <w:p w14:paraId="6DEB8CF3">
            <w:pPr>
              <w:jc w:val="center"/>
              <w:rPr>
                <w:rFonts w:ascii="宋体" w:hAnsi="宋体" w:cs="宋体"/>
                <w:color w:val="auto"/>
                <w:sz w:val="20"/>
                <w:szCs w:val="20"/>
                <w:highlight w:val="none"/>
              </w:rPr>
            </w:pPr>
            <w:r>
              <w:rPr>
                <w:rFonts w:hint="eastAsia"/>
                <w:color w:val="auto"/>
                <w:sz w:val="20"/>
                <w:szCs w:val="20"/>
                <w:highlight w:val="none"/>
              </w:rPr>
              <w:t>农村饮用水卫生监督项目　</w:t>
            </w:r>
          </w:p>
        </w:tc>
      </w:tr>
      <w:tr w14:paraId="67177254">
        <w:tblPrEx>
          <w:tblCellMar>
            <w:top w:w="0" w:type="dxa"/>
            <w:left w:w="108" w:type="dxa"/>
            <w:bottom w:w="0" w:type="dxa"/>
            <w:right w:w="108" w:type="dxa"/>
          </w:tblCellMar>
        </w:tblPrEx>
        <w:trPr>
          <w:trHeight w:val="330" w:hRule="atLeast"/>
        </w:trPr>
        <w:tc>
          <w:tcPr>
            <w:tcW w:w="1041" w:type="dxa"/>
            <w:gridSpan w:val="3"/>
            <w:tcBorders>
              <w:top w:val="single" w:color="auto" w:sz="4" w:space="0"/>
              <w:left w:val="single" w:color="auto" w:sz="4" w:space="0"/>
              <w:bottom w:val="single" w:color="auto" w:sz="4" w:space="0"/>
              <w:right w:val="single" w:color="auto" w:sz="4" w:space="0"/>
            </w:tcBorders>
            <w:noWrap w:val="0"/>
            <w:vAlign w:val="center"/>
          </w:tcPr>
          <w:p w14:paraId="73A0F54F">
            <w:pPr>
              <w:jc w:val="center"/>
              <w:rPr>
                <w:rFonts w:ascii="宋体" w:hAnsi="宋体" w:cs="宋体"/>
                <w:color w:val="auto"/>
                <w:sz w:val="20"/>
                <w:szCs w:val="20"/>
                <w:highlight w:val="none"/>
              </w:rPr>
            </w:pPr>
            <w:r>
              <w:rPr>
                <w:rFonts w:hint="eastAsia"/>
                <w:color w:val="auto"/>
                <w:sz w:val="20"/>
                <w:szCs w:val="20"/>
                <w:highlight w:val="none"/>
              </w:rPr>
              <w:t>实施单位</w:t>
            </w:r>
          </w:p>
        </w:tc>
        <w:tc>
          <w:tcPr>
            <w:tcW w:w="7599" w:type="dxa"/>
            <w:gridSpan w:val="11"/>
            <w:tcBorders>
              <w:top w:val="single" w:color="auto" w:sz="4" w:space="0"/>
              <w:left w:val="nil"/>
              <w:bottom w:val="single" w:color="auto" w:sz="4" w:space="0"/>
              <w:right w:val="single" w:color="auto" w:sz="4" w:space="0"/>
            </w:tcBorders>
            <w:noWrap w:val="0"/>
            <w:vAlign w:val="center"/>
          </w:tcPr>
          <w:p w14:paraId="2BF56DF8">
            <w:pPr>
              <w:jc w:val="center"/>
              <w:rPr>
                <w:rFonts w:ascii="宋体" w:hAnsi="宋体" w:cs="宋体"/>
                <w:color w:val="auto"/>
                <w:sz w:val="20"/>
                <w:szCs w:val="20"/>
                <w:highlight w:val="none"/>
              </w:rPr>
            </w:pPr>
            <w:r>
              <w:rPr>
                <w:rFonts w:hint="eastAsia"/>
                <w:color w:val="auto"/>
                <w:sz w:val="20"/>
                <w:szCs w:val="20"/>
                <w:highlight w:val="none"/>
              </w:rPr>
              <w:t>濉溪县卫生健康综合执法大队　</w:t>
            </w:r>
          </w:p>
        </w:tc>
      </w:tr>
      <w:tr w14:paraId="6B764904">
        <w:tblPrEx>
          <w:tblCellMar>
            <w:top w:w="0" w:type="dxa"/>
            <w:left w:w="108" w:type="dxa"/>
            <w:bottom w:w="0" w:type="dxa"/>
            <w:right w:w="108" w:type="dxa"/>
          </w:tblCellMar>
        </w:tblPrEx>
        <w:trPr>
          <w:trHeight w:val="330" w:hRule="atLeast"/>
        </w:trPr>
        <w:tc>
          <w:tcPr>
            <w:tcW w:w="1041" w:type="dxa"/>
            <w:gridSpan w:val="3"/>
            <w:tcBorders>
              <w:top w:val="single" w:color="auto" w:sz="4" w:space="0"/>
              <w:left w:val="single" w:color="auto" w:sz="4" w:space="0"/>
              <w:bottom w:val="single" w:color="auto" w:sz="4" w:space="0"/>
              <w:right w:val="single" w:color="auto" w:sz="4" w:space="0"/>
            </w:tcBorders>
            <w:noWrap w:val="0"/>
            <w:vAlign w:val="center"/>
          </w:tcPr>
          <w:p w14:paraId="2AF88B69">
            <w:pPr>
              <w:jc w:val="center"/>
              <w:rPr>
                <w:rFonts w:ascii="宋体" w:hAnsi="宋体" w:cs="宋体"/>
                <w:color w:val="auto"/>
                <w:sz w:val="20"/>
                <w:szCs w:val="20"/>
                <w:highlight w:val="none"/>
              </w:rPr>
            </w:pPr>
            <w:r>
              <w:rPr>
                <w:rFonts w:hint="eastAsia"/>
                <w:color w:val="auto"/>
                <w:sz w:val="20"/>
                <w:szCs w:val="20"/>
                <w:highlight w:val="none"/>
              </w:rPr>
              <w:t>项目属性</w:t>
            </w:r>
          </w:p>
        </w:tc>
        <w:tc>
          <w:tcPr>
            <w:tcW w:w="7599" w:type="dxa"/>
            <w:gridSpan w:val="11"/>
            <w:tcBorders>
              <w:top w:val="single" w:color="auto" w:sz="4" w:space="0"/>
              <w:left w:val="nil"/>
              <w:bottom w:val="single" w:color="auto" w:sz="4" w:space="0"/>
              <w:right w:val="single" w:color="auto" w:sz="4" w:space="0"/>
            </w:tcBorders>
            <w:noWrap w:val="0"/>
            <w:vAlign w:val="center"/>
          </w:tcPr>
          <w:p w14:paraId="0C8E000D">
            <w:pPr>
              <w:jc w:val="center"/>
              <w:rPr>
                <w:rFonts w:ascii="宋体" w:hAnsi="宋体" w:cs="宋体"/>
                <w:color w:val="auto"/>
                <w:sz w:val="20"/>
                <w:szCs w:val="20"/>
                <w:highlight w:val="none"/>
              </w:rPr>
            </w:pPr>
            <w:r>
              <w:rPr>
                <w:rFonts w:hint="eastAsia"/>
                <w:color w:val="auto"/>
                <w:sz w:val="20"/>
                <w:szCs w:val="20"/>
                <w:highlight w:val="none"/>
              </w:rPr>
              <w:t>经常性项目　</w:t>
            </w:r>
          </w:p>
        </w:tc>
      </w:tr>
      <w:tr w14:paraId="20CACE17">
        <w:tblPrEx>
          <w:tblCellMar>
            <w:top w:w="0" w:type="dxa"/>
            <w:left w:w="108" w:type="dxa"/>
            <w:bottom w:w="0" w:type="dxa"/>
            <w:right w:w="108" w:type="dxa"/>
          </w:tblCellMar>
        </w:tblPrEx>
        <w:trPr>
          <w:trHeight w:val="330" w:hRule="atLeast"/>
        </w:trPr>
        <w:tc>
          <w:tcPr>
            <w:tcW w:w="1801" w:type="dxa"/>
            <w:gridSpan w:val="5"/>
            <w:vMerge w:val="restart"/>
            <w:tcBorders>
              <w:top w:val="single" w:color="auto" w:sz="4" w:space="0"/>
              <w:left w:val="single" w:color="auto" w:sz="4" w:space="0"/>
              <w:bottom w:val="single" w:color="000000" w:sz="4" w:space="0"/>
              <w:right w:val="single" w:color="000000" w:sz="4" w:space="0"/>
            </w:tcBorders>
            <w:noWrap w:val="0"/>
            <w:vAlign w:val="center"/>
          </w:tcPr>
          <w:p w14:paraId="6E4AC94B">
            <w:pPr>
              <w:jc w:val="center"/>
              <w:rPr>
                <w:rFonts w:ascii="宋体" w:hAnsi="宋体" w:cs="宋体"/>
                <w:color w:val="auto"/>
                <w:sz w:val="20"/>
                <w:szCs w:val="20"/>
                <w:highlight w:val="none"/>
              </w:rPr>
            </w:pPr>
            <w:r>
              <w:rPr>
                <w:rFonts w:hint="eastAsia"/>
                <w:color w:val="auto"/>
                <w:sz w:val="20"/>
                <w:szCs w:val="20"/>
                <w:highlight w:val="none"/>
              </w:rPr>
              <w:t>项目资金</w:t>
            </w:r>
            <w:r>
              <w:rPr>
                <w:rFonts w:hint="eastAsia"/>
                <w:color w:val="auto"/>
                <w:sz w:val="20"/>
                <w:szCs w:val="20"/>
                <w:highlight w:val="none"/>
              </w:rPr>
              <w:br w:type="textWrapping"/>
            </w:r>
            <w:r>
              <w:rPr>
                <w:rFonts w:hint="eastAsia"/>
                <w:color w:val="auto"/>
                <w:sz w:val="20"/>
                <w:szCs w:val="20"/>
                <w:highlight w:val="none"/>
              </w:rPr>
              <w:t>（万元）</w:t>
            </w:r>
          </w:p>
        </w:tc>
        <w:tc>
          <w:tcPr>
            <w:tcW w:w="2000" w:type="dxa"/>
            <w:gridSpan w:val="3"/>
            <w:tcBorders>
              <w:top w:val="nil"/>
              <w:left w:val="nil"/>
              <w:bottom w:val="single" w:color="auto" w:sz="4" w:space="0"/>
              <w:right w:val="single" w:color="auto" w:sz="4" w:space="0"/>
            </w:tcBorders>
            <w:noWrap w:val="0"/>
            <w:vAlign w:val="center"/>
          </w:tcPr>
          <w:p w14:paraId="39CC1116">
            <w:pPr>
              <w:rPr>
                <w:rFonts w:ascii="宋体" w:hAnsi="宋体" w:cs="宋体"/>
                <w:color w:val="auto"/>
                <w:sz w:val="20"/>
                <w:szCs w:val="20"/>
                <w:highlight w:val="none"/>
              </w:rPr>
            </w:pPr>
            <w:r>
              <w:rPr>
                <w:rFonts w:hint="eastAsia"/>
                <w:color w:val="auto"/>
                <w:sz w:val="20"/>
                <w:szCs w:val="20"/>
                <w:highlight w:val="none"/>
              </w:rPr>
              <w:t xml:space="preserve"> 中期资金总额：</w:t>
            </w:r>
          </w:p>
        </w:tc>
        <w:tc>
          <w:tcPr>
            <w:tcW w:w="699" w:type="dxa"/>
            <w:tcBorders>
              <w:top w:val="single" w:color="auto" w:sz="4" w:space="0"/>
              <w:left w:val="nil"/>
              <w:bottom w:val="single" w:color="auto" w:sz="4" w:space="0"/>
              <w:right w:val="single" w:color="auto" w:sz="4" w:space="0"/>
            </w:tcBorders>
            <w:noWrap w:val="0"/>
            <w:vAlign w:val="center"/>
          </w:tcPr>
          <w:p w14:paraId="1F5AE86E">
            <w:pPr>
              <w:jc w:val="center"/>
              <w:rPr>
                <w:rFonts w:ascii="宋体" w:hAnsi="宋体" w:cs="宋体"/>
                <w:color w:val="auto"/>
                <w:sz w:val="20"/>
                <w:szCs w:val="20"/>
                <w:highlight w:val="none"/>
              </w:rPr>
            </w:pPr>
            <w:r>
              <w:rPr>
                <w:rFonts w:hint="eastAsia"/>
                <w:color w:val="auto"/>
                <w:sz w:val="20"/>
                <w:szCs w:val="20"/>
                <w:highlight w:val="none"/>
              </w:rPr>
              <w:t>7　</w:t>
            </w:r>
          </w:p>
        </w:tc>
        <w:tc>
          <w:tcPr>
            <w:tcW w:w="1801" w:type="dxa"/>
            <w:gridSpan w:val="3"/>
            <w:tcBorders>
              <w:top w:val="single" w:color="auto" w:sz="4" w:space="0"/>
              <w:left w:val="nil"/>
              <w:bottom w:val="single" w:color="auto" w:sz="4" w:space="0"/>
              <w:right w:val="single" w:color="auto" w:sz="4" w:space="0"/>
            </w:tcBorders>
            <w:noWrap w:val="0"/>
            <w:vAlign w:val="center"/>
          </w:tcPr>
          <w:p w14:paraId="32750EA1">
            <w:pPr>
              <w:rPr>
                <w:rFonts w:ascii="宋体" w:hAnsi="宋体" w:cs="宋体"/>
                <w:color w:val="auto"/>
                <w:sz w:val="20"/>
                <w:szCs w:val="20"/>
                <w:highlight w:val="none"/>
              </w:rPr>
            </w:pPr>
            <w:r>
              <w:rPr>
                <w:rFonts w:hint="eastAsia"/>
                <w:color w:val="auto"/>
                <w:sz w:val="20"/>
                <w:szCs w:val="20"/>
                <w:highlight w:val="none"/>
              </w:rPr>
              <w:t xml:space="preserve"> 年度资金总额：</w:t>
            </w:r>
          </w:p>
        </w:tc>
        <w:tc>
          <w:tcPr>
            <w:tcW w:w="2339" w:type="dxa"/>
            <w:gridSpan w:val="2"/>
            <w:tcBorders>
              <w:top w:val="single" w:color="auto" w:sz="4" w:space="0"/>
              <w:left w:val="nil"/>
              <w:bottom w:val="single" w:color="auto" w:sz="4" w:space="0"/>
              <w:right w:val="single" w:color="000000" w:sz="4" w:space="0"/>
            </w:tcBorders>
            <w:noWrap w:val="0"/>
            <w:vAlign w:val="center"/>
          </w:tcPr>
          <w:p w14:paraId="7DF9DBAF">
            <w:pPr>
              <w:jc w:val="center"/>
              <w:rPr>
                <w:rFonts w:ascii="宋体" w:hAnsi="宋体" w:cs="宋体"/>
                <w:color w:val="auto"/>
                <w:sz w:val="20"/>
                <w:szCs w:val="20"/>
                <w:highlight w:val="none"/>
              </w:rPr>
            </w:pPr>
            <w:r>
              <w:rPr>
                <w:rFonts w:hint="eastAsia"/>
                <w:color w:val="auto"/>
                <w:sz w:val="20"/>
                <w:szCs w:val="20"/>
                <w:highlight w:val="none"/>
              </w:rPr>
              <w:t>15　</w:t>
            </w:r>
          </w:p>
        </w:tc>
      </w:tr>
      <w:tr w14:paraId="0275C233">
        <w:tblPrEx>
          <w:tblCellMar>
            <w:top w:w="0" w:type="dxa"/>
            <w:left w:w="108" w:type="dxa"/>
            <w:bottom w:w="0" w:type="dxa"/>
            <w:right w:w="108" w:type="dxa"/>
          </w:tblCellMar>
        </w:tblPrEx>
        <w:trPr>
          <w:trHeight w:val="330" w:hRule="atLeast"/>
        </w:trPr>
        <w:tc>
          <w:tcPr>
            <w:tcW w:w="1801" w:type="dxa"/>
            <w:gridSpan w:val="5"/>
            <w:vMerge w:val="continue"/>
            <w:tcBorders>
              <w:top w:val="single" w:color="auto" w:sz="4" w:space="0"/>
              <w:left w:val="single" w:color="auto" w:sz="4" w:space="0"/>
              <w:bottom w:val="single" w:color="000000" w:sz="4" w:space="0"/>
              <w:right w:val="single" w:color="000000" w:sz="4" w:space="0"/>
            </w:tcBorders>
            <w:noWrap w:val="0"/>
            <w:vAlign w:val="center"/>
          </w:tcPr>
          <w:p w14:paraId="1E04FD49">
            <w:pPr>
              <w:rPr>
                <w:rFonts w:ascii="宋体" w:hAnsi="宋体" w:cs="宋体"/>
                <w:color w:val="auto"/>
                <w:sz w:val="20"/>
                <w:szCs w:val="20"/>
                <w:highlight w:val="none"/>
              </w:rPr>
            </w:pPr>
          </w:p>
        </w:tc>
        <w:tc>
          <w:tcPr>
            <w:tcW w:w="2000" w:type="dxa"/>
            <w:gridSpan w:val="3"/>
            <w:tcBorders>
              <w:top w:val="nil"/>
              <w:left w:val="nil"/>
              <w:bottom w:val="single" w:color="auto" w:sz="4" w:space="0"/>
              <w:right w:val="single" w:color="auto" w:sz="4" w:space="0"/>
            </w:tcBorders>
            <w:noWrap w:val="0"/>
            <w:vAlign w:val="center"/>
          </w:tcPr>
          <w:p w14:paraId="69EA3EBC">
            <w:pPr>
              <w:rPr>
                <w:rFonts w:ascii="宋体" w:hAnsi="宋体" w:cs="宋体"/>
                <w:color w:val="auto"/>
                <w:sz w:val="20"/>
                <w:szCs w:val="20"/>
                <w:highlight w:val="none"/>
              </w:rPr>
            </w:pPr>
            <w:r>
              <w:rPr>
                <w:rFonts w:hint="eastAsia"/>
                <w:color w:val="auto"/>
                <w:sz w:val="20"/>
                <w:szCs w:val="20"/>
                <w:highlight w:val="none"/>
              </w:rPr>
              <w:t xml:space="preserve">   其中：财政拨款</w:t>
            </w:r>
          </w:p>
        </w:tc>
        <w:tc>
          <w:tcPr>
            <w:tcW w:w="699" w:type="dxa"/>
            <w:tcBorders>
              <w:top w:val="single" w:color="auto" w:sz="4" w:space="0"/>
              <w:left w:val="nil"/>
              <w:bottom w:val="single" w:color="auto" w:sz="4" w:space="0"/>
              <w:right w:val="single" w:color="auto" w:sz="4" w:space="0"/>
            </w:tcBorders>
            <w:noWrap w:val="0"/>
            <w:vAlign w:val="center"/>
          </w:tcPr>
          <w:p w14:paraId="18964B1F">
            <w:pPr>
              <w:jc w:val="center"/>
              <w:rPr>
                <w:rFonts w:ascii="宋体" w:hAnsi="宋体" w:cs="宋体"/>
                <w:color w:val="auto"/>
                <w:sz w:val="20"/>
                <w:szCs w:val="20"/>
                <w:highlight w:val="none"/>
              </w:rPr>
            </w:pPr>
            <w:r>
              <w:rPr>
                <w:rFonts w:hint="eastAsia"/>
                <w:color w:val="auto"/>
                <w:sz w:val="20"/>
                <w:szCs w:val="20"/>
                <w:highlight w:val="none"/>
              </w:rPr>
              <w:t>7</w:t>
            </w:r>
          </w:p>
        </w:tc>
        <w:tc>
          <w:tcPr>
            <w:tcW w:w="1801" w:type="dxa"/>
            <w:gridSpan w:val="3"/>
            <w:tcBorders>
              <w:top w:val="single" w:color="auto" w:sz="4" w:space="0"/>
              <w:left w:val="nil"/>
              <w:bottom w:val="single" w:color="auto" w:sz="4" w:space="0"/>
              <w:right w:val="single" w:color="auto" w:sz="4" w:space="0"/>
            </w:tcBorders>
            <w:noWrap w:val="0"/>
            <w:vAlign w:val="center"/>
          </w:tcPr>
          <w:p w14:paraId="5F26FD14">
            <w:pPr>
              <w:rPr>
                <w:rFonts w:ascii="宋体" w:hAnsi="宋体" w:cs="宋体"/>
                <w:color w:val="auto"/>
                <w:sz w:val="20"/>
                <w:szCs w:val="20"/>
                <w:highlight w:val="none"/>
              </w:rPr>
            </w:pPr>
            <w:r>
              <w:rPr>
                <w:rFonts w:hint="eastAsia"/>
                <w:color w:val="auto"/>
                <w:sz w:val="20"/>
                <w:szCs w:val="20"/>
                <w:highlight w:val="none"/>
              </w:rPr>
              <w:t xml:space="preserve">   其中：财政拨款</w:t>
            </w:r>
          </w:p>
        </w:tc>
        <w:tc>
          <w:tcPr>
            <w:tcW w:w="2339" w:type="dxa"/>
            <w:gridSpan w:val="2"/>
            <w:tcBorders>
              <w:top w:val="single" w:color="auto" w:sz="4" w:space="0"/>
              <w:left w:val="nil"/>
              <w:bottom w:val="single" w:color="auto" w:sz="4" w:space="0"/>
              <w:right w:val="single" w:color="000000" w:sz="4" w:space="0"/>
            </w:tcBorders>
            <w:noWrap w:val="0"/>
            <w:vAlign w:val="center"/>
          </w:tcPr>
          <w:p w14:paraId="7D9573D2">
            <w:pPr>
              <w:jc w:val="center"/>
              <w:rPr>
                <w:rFonts w:ascii="宋体" w:hAnsi="宋体" w:cs="宋体"/>
                <w:color w:val="auto"/>
                <w:sz w:val="20"/>
                <w:szCs w:val="20"/>
                <w:highlight w:val="none"/>
              </w:rPr>
            </w:pPr>
            <w:r>
              <w:rPr>
                <w:rFonts w:hint="eastAsia"/>
                <w:color w:val="auto"/>
                <w:sz w:val="20"/>
                <w:szCs w:val="20"/>
                <w:highlight w:val="none"/>
              </w:rPr>
              <w:t>15　</w:t>
            </w:r>
          </w:p>
        </w:tc>
      </w:tr>
      <w:tr w14:paraId="19F3D7A6">
        <w:tblPrEx>
          <w:tblCellMar>
            <w:top w:w="0" w:type="dxa"/>
            <w:left w:w="108" w:type="dxa"/>
            <w:bottom w:w="0" w:type="dxa"/>
            <w:right w:w="108" w:type="dxa"/>
          </w:tblCellMar>
        </w:tblPrEx>
        <w:trPr>
          <w:trHeight w:val="330" w:hRule="atLeast"/>
        </w:trPr>
        <w:tc>
          <w:tcPr>
            <w:tcW w:w="1801" w:type="dxa"/>
            <w:gridSpan w:val="5"/>
            <w:vMerge w:val="continue"/>
            <w:tcBorders>
              <w:top w:val="single" w:color="auto" w:sz="4" w:space="0"/>
              <w:left w:val="single" w:color="auto" w:sz="4" w:space="0"/>
              <w:bottom w:val="single" w:color="000000" w:sz="4" w:space="0"/>
              <w:right w:val="single" w:color="000000" w:sz="4" w:space="0"/>
            </w:tcBorders>
            <w:noWrap w:val="0"/>
            <w:vAlign w:val="center"/>
          </w:tcPr>
          <w:p w14:paraId="1868B61B">
            <w:pPr>
              <w:rPr>
                <w:rFonts w:ascii="宋体" w:hAnsi="宋体" w:cs="宋体"/>
                <w:color w:val="auto"/>
                <w:sz w:val="20"/>
                <w:szCs w:val="20"/>
                <w:highlight w:val="none"/>
              </w:rPr>
            </w:pPr>
          </w:p>
        </w:tc>
        <w:tc>
          <w:tcPr>
            <w:tcW w:w="2000" w:type="dxa"/>
            <w:gridSpan w:val="3"/>
            <w:tcBorders>
              <w:top w:val="nil"/>
              <w:left w:val="nil"/>
              <w:bottom w:val="single" w:color="auto" w:sz="4" w:space="0"/>
              <w:right w:val="single" w:color="auto" w:sz="4" w:space="0"/>
            </w:tcBorders>
            <w:noWrap w:val="0"/>
            <w:vAlign w:val="center"/>
          </w:tcPr>
          <w:p w14:paraId="13B801B3">
            <w:pPr>
              <w:rPr>
                <w:rFonts w:ascii="宋体" w:hAnsi="宋体" w:cs="宋体"/>
                <w:color w:val="auto"/>
                <w:sz w:val="20"/>
                <w:szCs w:val="20"/>
                <w:highlight w:val="none"/>
              </w:rPr>
            </w:pPr>
            <w:r>
              <w:rPr>
                <w:rFonts w:hint="eastAsia"/>
                <w:color w:val="auto"/>
                <w:sz w:val="20"/>
                <w:szCs w:val="20"/>
                <w:highlight w:val="none"/>
              </w:rPr>
              <w:t xml:space="preserve">        其他资金</w:t>
            </w:r>
          </w:p>
        </w:tc>
        <w:tc>
          <w:tcPr>
            <w:tcW w:w="699" w:type="dxa"/>
            <w:tcBorders>
              <w:top w:val="single" w:color="auto" w:sz="4" w:space="0"/>
              <w:left w:val="nil"/>
              <w:bottom w:val="single" w:color="auto" w:sz="4" w:space="0"/>
              <w:right w:val="single" w:color="000000" w:sz="4" w:space="0"/>
            </w:tcBorders>
            <w:noWrap w:val="0"/>
            <w:vAlign w:val="center"/>
          </w:tcPr>
          <w:p w14:paraId="7DB73749">
            <w:pPr>
              <w:jc w:val="center"/>
              <w:rPr>
                <w:rFonts w:ascii="宋体" w:hAnsi="宋体" w:cs="宋体"/>
                <w:color w:val="auto"/>
                <w:sz w:val="20"/>
                <w:szCs w:val="20"/>
                <w:highlight w:val="none"/>
              </w:rPr>
            </w:pPr>
            <w:r>
              <w:rPr>
                <w:rFonts w:hint="eastAsia"/>
                <w:color w:val="auto"/>
                <w:sz w:val="20"/>
                <w:szCs w:val="20"/>
                <w:highlight w:val="none"/>
              </w:rPr>
              <w:t>　</w:t>
            </w:r>
          </w:p>
        </w:tc>
        <w:tc>
          <w:tcPr>
            <w:tcW w:w="1801" w:type="dxa"/>
            <w:gridSpan w:val="3"/>
            <w:tcBorders>
              <w:top w:val="single" w:color="auto" w:sz="4" w:space="0"/>
              <w:left w:val="nil"/>
              <w:bottom w:val="single" w:color="auto" w:sz="4" w:space="0"/>
              <w:right w:val="single" w:color="auto" w:sz="4" w:space="0"/>
            </w:tcBorders>
            <w:noWrap w:val="0"/>
            <w:vAlign w:val="center"/>
          </w:tcPr>
          <w:p w14:paraId="3D9211EE">
            <w:pPr>
              <w:rPr>
                <w:rFonts w:ascii="宋体" w:hAnsi="宋体" w:cs="宋体"/>
                <w:color w:val="auto"/>
                <w:sz w:val="20"/>
                <w:szCs w:val="20"/>
                <w:highlight w:val="none"/>
              </w:rPr>
            </w:pPr>
            <w:r>
              <w:rPr>
                <w:rFonts w:hint="eastAsia"/>
                <w:color w:val="auto"/>
                <w:sz w:val="20"/>
                <w:szCs w:val="20"/>
                <w:highlight w:val="none"/>
              </w:rPr>
              <w:t xml:space="preserve">         其他资金</w:t>
            </w:r>
          </w:p>
        </w:tc>
        <w:tc>
          <w:tcPr>
            <w:tcW w:w="2339" w:type="dxa"/>
            <w:gridSpan w:val="2"/>
            <w:tcBorders>
              <w:top w:val="single" w:color="auto" w:sz="4" w:space="0"/>
              <w:left w:val="nil"/>
              <w:bottom w:val="single" w:color="auto" w:sz="4" w:space="0"/>
              <w:right w:val="single" w:color="000000" w:sz="4" w:space="0"/>
            </w:tcBorders>
            <w:noWrap w:val="0"/>
            <w:vAlign w:val="center"/>
          </w:tcPr>
          <w:p w14:paraId="17606D5C">
            <w:pPr>
              <w:jc w:val="center"/>
              <w:rPr>
                <w:rFonts w:ascii="宋体" w:hAnsi="宋体" w:cs="宋体"/>
                <w:color w:val="auto"/>
                <w:sz w:val="20"/>
                <w:szCs w:val="20"/>
                <w:highlight w:val="none"/>
              </w:rPr>
            </w:pPr>
            <w:r>
              <w:rPr>
                <w:rFonts w:hint="eastAsia"/>
                <w:color w:val="auto"/>
                <w:sz w:val="20"/>
                <w:szCs w:val="20"/>
                <w:highlight w:val="none"/>
              </w:rPr>
              <w:t>　</w:t>
            </w:r>
          </w:p>
        </w:tc>
      </w:tr>
      <w:tr w14:paraId="43A69661">
        <w:tblPrEx>
          <w:tblCellMar>
            <w:top w:w="0" w:type="dxa"/>
            <w:left w:w="108" w:type="dxa"/>
            <w:bottom w:w="0" w:type="dxa"/>
            <w:right w:w="108" w:type="dxa"/>
          </w:tblCellMar>
        </w:tblPrEx>
        <w:trPr>
          <w:trHeight w:val="330" w:hRule="atLeast"/>
        </w:trPr>
        <w:tc>
          <w:tcPr>
            <w:tcW w:w="416" w:type="dxa"/>
            <w:vMerge w:val="restart"/>
            <w:tcBorders>
              <w:top w:val="nil"/>
              <w:left w:val="single" w:color="auto" w:sz="4" w:space="0"/>
              <w:bottom w:val="single" w:color="auto" w:sz="4" w:space="0"/>
              <w:right w:val="single" w:color="auto" w:sz="4" w:space="0"/>
            </w:tcBorders>
            <w:noWrap w:val="0"/>
            <w:vAlign w:val="center"/>
          </w:tcPr>
          <w:p w14:paraId="31EF4296">
            <w:pPr>
              <w:jc w:val="center"/>
              <w:rPr>
                <w:rFonts w:ascii="宋体" w:hAnsi="宋体" w:cs="宋体"/>
                <w:color w:val="auto"/>
                <w:sz w:val="20"/>
                <w:szCs w:val="20"/>
                <w:highlight w:val="none"/>
              </w:rPr>
            </w:pPr>
            <w:r>
              <w:rPr>
                <w:rFonts w:hint="eastAsia"/>
                <w:color w:val="auto"/>
                <w:sz w:val="20"/>
                <w:szCs w:val="20"/>
                <w:highlight w:val="none"/>
              </w:rPr>
              <w:t>总</w:t>
            </w:r>
            <w:r>
              <w:rPr>
                <w:rFonts w:hint="eastAsia"/>
                <w:color w:val="auto"/>
                <w:sz w:val="20"/>
                <w:szCs w:val="20"/>
                <w:highlight w:val="none"/>
              </w:rPr>
              <w:br w:type="textWrapping"/>
            </w:r>
            <w:r>
              <w:rPr>
                <w:rFonts w:hint="eastAsia"/>
                <w:color w:val="auto"/>
                <w:sz w:val="20"/>
                <w:szCs w:val="20"/>
                <w:highlight w:val="none"/>
              </w:rPr>
              <w:t>体</w:t>
            </w:r>
            <w:r>
              <w:rPr>
                <w:rFonts w:hint="eastAsia"/>
                <w:color w:val="auto"/>
                <w:sz w:val="20"/>
                <w:szCs w:val="20"/>
                <w:highlight w:val="none"/>
              </w:rPr>
              <w:br w:type="textWrapping"/>
            </w:r>
            <w:r>
              <w:rPr>
                <w:rFonts w:hint="eastAsia"/>
                <w:color w:val="auto"/>
                <w:sz w:val="20"/>
                <w:szCs w:val="20"/>
                <w:highlight w:val="none"/>
              </w:rPr>
              <w:t>目</w:t>
            </w:r>
            <w:r>
              <w:rPr>
                <w:rFonts w:hint="eastAsia"/>
                <w:color w:val="auto"/>
                <w:sz w:val="20"/>
                <w:szCs w:val="20"/>
                <w:highlight w:val="none"/>
              </w:rPr>
              <w:br w:type="textWrapping"/>
            </w:r>
            <w:r>
              <w:rPr>
                <w:rFonts w:hint="eastAsia"/>
                <w:color w:val="auto"/>
                <w:sz w:val="20"/>
                <w:szCs w:val="20"/>
                <w:highlight w:val="none"/>
              </w:rPr>
              <w:t>标</w:t>
            </w:r>
          </w:p>
        </w:tc>
        <w:tc>
          <w:tcPr>
            <w:tcW w:w="4084" w:type="dxa"/>
            <w:gridSpan w:val="8"/>
            <w:tcBorders>
              <w:top w:val="single" w:color="auto" w:sz="4" w:space="0"/>
              <w:left w:val="nil"/>
              <w:bottom w:val="single" w:color="auto" w:sz="4" w:space="0"/>
              <w:right w:val="nil"/>
            </w:tcBorders>
            <w:noWrap w:val="0"/>
            <w:vAlign w:val="center"/>
          </w:tcPr>
          <w:p w14:paraId="215CA76B">
            <w:pPr>
              <w:jc w:val="center"/>
              <w:rPr>
                <w:rFonts w:ascii="宋体" w:hAnsi="宋体" w:cs="宋体"/>
                <w:color w:val="auto"/>
                <w:sz w:val="20"/>
                <w:szCs w:val="20"/>
                <w:highlight w:val="none"/>
              </w:rPr>
            </w:pPr>
            <w:r>
              <w:rPr>
                <w:rFonts w:hint="eastAsia"/>
                <w:color w:val="auto"/>
                <w:sz w:val="20"/>
                <w:szCs w:val="20"/>
                <w:highlight w:val="none"/>
              </w:rPr>
              <w:t>中期目标</w:t>
            </w:r>
          </w:p>
        </w:tc>
        <w:tc>
          <w:tcPr>
            <w:tcW w:w="4140" w:type="dxa"/>
            <w:gridSpan w:val="5"/>
            <w:tcBorders>
              <w:top w:val="single" w:color="auto" w:sz="4" w:space="0"/>
              <w:left w:val="single" w:color="auto" w:sz="4" w:space="0"/>
              <w:bottom w:val="single" w:color="auto" w:sz="4" w:space="0"/>
              <w:right w:val="single" w:color="000000" w:sz="4" w:space="0"/>
            </w:tcBorders>
            <w:noWrap w:val="0"/>
            <w:vAlign w:val="center"/>
          </w:tcPr>
          <w:p w14:paraId="052CC4B1">
            <w:pPr>
              <w:jc w:val="center"/>
              <w:rPr>
                <w:rFonts w:ascii="宋体" w:hAnsi="宋体" w:cs="宋体"/>
                <w:color w:val="auto"/>
                <w:sz w:val="20"/>
                <w:szCs w:val="20"/>
                <w:highlight w:val="none"/>
              </w:rPr>
            </w:pPr>
            <w:r>
              <w:rPr>
                <w:rFonts w:hint="eastAsia"/>
                <w:color w:val="auto"/>
                <w:sz w:val="20"/>
                <w:szCs w:val="20"/>
                <w:highlight w:val="none"/>
              </w:rPr>
              <w:t>年度目标</w:t>
            </w:r>
          </w:p>
        </w:tc>
      </w:tr>
      <w:tr w14:paraId="2BB191A2">
        <w:tblPrEx>
          <w:tblCellMar>
            <w:top w:w="0" w:type="dxa"/>
            <w:left w:w="108" w:type="dxa"/>
            <w:bottom w:w="0" w:type="dxa"/>
            <w:right w:w="108" w:type="dxa"/>
          </w:tblCellMar>
        </w:tblPrEx>
        <w:trPr>
          <w:trHeight w:val="660" w:hRule="atLeast"/>
        </w:trPr>
        <w:tc>
          <w:tcPr>
            <w:tcW w:w="416" w:type="dxa"/>
            <w:vMerge w:val="continue"/>
            <w:tcBorders>
              <w:top w:val="nil"/>
              <w:left w:val="single" w:color="auto" w:sz="4" w:space="0"/>
              <w:bottom w:val="single" w:color="auto" w:sz="4" w:space="0"/>
              <w:right w:val="single" w:color="auto" w:sz="4" w:space="0"/>
            </w:tcBorders>
            <w:noWrap w:val="0"/>
            <w:vAlign w:val="center"/>
          </w:tcPr>
          <w:p w14:paraId="2EBF3A3C">
            <w:pPr>
              <w:rPr>
                <w:rFonts w:ascii="宋体" w:hAnsi="宋体" w:cs="宋体"/>
                <w:color w:val="auto"/>
                <w:sz w:val="20"/>
                <w:szCs w:val="20"/>
                <w:highlight w:val="none"/>
              </w:rPr>
            </w:pPr>
          </w:p>
        </w:tc>
        <w:tc>
          <w:tcPr>
            <w:tcW w:w="4084" w:type="dxa"/>
            <w:gridSpan w:val="8"/>
            <w:tcBorders>
              <w:top w:val="single" w:color="auto" w:sz="4" w:space="0"/>
              <w:left w:val="nil"/>
              <w:bottom w:val="single" w:color="auto" w:sz="4" w:space="0"/>
              <w:right w:val="nil"/>
            </w:tcBorders>
            <w:noWrap w:val="0"/>
            <w:vAlign w:val="top"/>
          </w:tcPr>
          <w:p w14:paraId="07D11FDF">
            <w:pPr>
              <w:rPr>
                <w:rFonts w:ascii="宋体" w:hAnsi="宋体" w:cs="宋体"/>
                <w:color w:val="auto"/>
                <w:sz w:val="20"/>
                <w:szCs w:val="20"/>
                <w:highlight w:val="none"/>
              </w:rPr>
            </w:pPr>
            <w:r>
              <w:rPr>
                <w:rFonts w:hint="eastAsia"/>
                <w:color w:val="auto"/>
                <w:sz w:val="20"/>
                <w:szCs w:val="20"/>
                <w:highlight w:val="none"/>
              </w:rPr>
              <w:t>全县20家农饮水水厂卫生监督。</w:t>
            </w:r>
            <w:r>
              <w:rPr>
                <w:rFonts w:hint="eastAsia"/>
                <w:color w:val="auto"/>
                <w:sz w:val="20"/>
                <w:szCs w:val="20"/>
                <w:highlight w:val="none"/>
              </w:rPr>
              <w:br w:type="textWrapping"/>
            </w:r>
            <w:r>
              <w:rPr>
                <w:rFonts w:hint="eastAsia"/>
                <w:color w:val="auto"/>
                <w:sz w:val="20"/>
                <w:szCs w:val="20"/>
                <w:highlight w:val="none"/>
              </w:rPr>
              <w:br w:type="textWrapping"/>
            </w:r>
          </w:p>
        </w:tc>
        <w:tc>
          <w:tcPr>
            <w:tcW w:w="4140" w:type="dxa"/>
            <w:gridSpan w:val="5"/>
            <w:tcBorders>
              <w:top w:val="single" w:color="auto" w:sz="4" w:space="0"/>
              <w:left w:val="single" w:color="auto" w:sz="4" w:space="0"/>
              <w:bottom w:val="single" w:color="auto" w:sz="4" w:space="0"/>
              <w:right w:val="single" w:color="000000" w:sz="4" w:space="0"/>
            </w:tcBorders>
            <w:noWrap w:val="0"/>
            <w:vAlign w:val="top"/>
          </w:tcPr>
          <w:p w14:paraId="1936020A">
            <w:pPr>
              <w:rPr>
                <w:rFonts w:ascii="宋体" w:hAnsi="宋体" w:cs="宋体"/>
                <w:color w:val="auto"/>
                <w:sz w:val="20"/>
                <w:szCs w:val="20"/>
                <w:highlight w:val="none"/>
              </w:rPr>
            </w:pPr>
            <w:r>
              <w:rPr>
                <w:rFonts w:hint="eastAsia"/>
                <w:color w:val="auto"/>
                <w:sz w:val="20"/>
                <w:szCs w:val="20"/>
                <w:highlight w:val="none"/>
              </w:rPr>
              <w:t>全县40家农村饮用水水质监测监督。</w:t>
            </w:r>
          </w:p>
        </w:tc>
      </w:tr>
      <w:tr w14:paraId="74738CD3">
        <w:tblPrEx>
          <w:tblCellMar>
            <w:top w:w="0" w:type="dxa"/>
            <w:left w:w="108" w:type="dxa"/>
            <w:bottom w:w="0" w:type="dxa"/>
            <w:right w:w="108" w:type="dxa"/>
          </w:tblCellMar>
        </w:tblPrEx>
        <w:trPr>
          <w:trHeight w:val="830" w:hRule="atLeast"/>
        </w:trPr>
        <w:tc>
          <w:tcPr>
            <w:tcW w:w="416" w:type="dxa"/>
            <w:vMerge w:val="restart"/>
            <w:tcBorders>
              <w:top w:val="nil"/>
              <w:left w:val="single" w:color="auto" w:sz="4" w:space="0"/>
              <w:bottom w:val="single" w:color="000000" w:sz="4" w:space="0"/>
              <w:right w:val="single" w:color="auto" w:sz="4" w:space="0"/>
            </w:tcBorders>
            <w:noWrap w:val="0"/>
            <w:vAlign w:val="center"/>
          </w:tcPr>
          <w:p w14:paraId="7936D410">
            <w:pPr>
              <w:jc w:val="center"/>
              <w:rPr>
                <w:rFonts w:ascii="宋体" w:hAnsi="宋体" w:cs="宋体"/>
                <w:color w:val="auto"/>
                <w:sz w:val="20"/>
                <w:szCs w:val="20"/>
                <w:highlight w:val="none"/>
              </w:rPr>
            </w:pPr>
            <w:r>
              <w:rPr>
                <w:rFonts w:hint="eastAsia"/>
                <w:color w:val="auto"/>
                <w:sz w:val="20"/>
                <w:szCs w:val="20"/>
                <w:highlight w:val="none"/>
              </w:rPr>
              <w:t>绩</w:t>
            </w:r>
            <w:r>
              <w:rPr>
                <w:rFonts w:hint="eastAsia"/>
                <w:color w:val="auto"/>
                <w:sz w:val="20"/>
                <w:szCs w:val="20"/>
                <w:highlight w:val="none"/>
              </w:rPr>
              <w:br w:type="textWrapping"/>
            </w:r>
            <w:r>
              <w:rPr>
                <w:rFonts w:hint="eastAsia"/>
                <w:color w:val="auto"/>
                <w:sz w:val="20"/>
                <w:szCs w:val="20"/>
                <w:highlight w:val="none"/>
              </w:rPr>
              <w:t>效</w:t>
            </w:r>
            <w:r>
              <w:rPr>
                <w:rFonts w:hint="eastAsia"/>
                <w:color w:val="auto"/>
                <w:sz w:val="20"/>
                <w:szCs w:val="20"/>
                <w:highlight w:val="none"/>
              </w:rPr>
              <w:br w:type="textWrapping"/>
            </w:r>
            <w:r>
              <w:rPr>
                <w:rFonts w:hint="eastAsia"/>
                <w:color w:val="auto"/>
                <w:sz w:val="20"/>
                <w:szCs w:val="20"/>
                <w:highlight w:val="none"/>
              </w:rPr>
              <w:t>指</w:t>
            </w:r>
            <w:r>
              <w:rPr>
                <w:rFonts w:hint="eastAsia"/>
                <w:color w:val="auto"/>
                <w:sz w:val="20"/>
                <w:szCs w:val="20"/>
                <w:highlight w:val="none"/>
              </w:rPr>
              <w:br w:type="textWrapping"/>
            </w:r>
            <w:r>
              <w:rPr>
                <w:rFonts w:hint="eastAsia"/>
                <w:color w:val="auto"/>
                <w:sz w:val="20"/>
                <w:szCs w:val="20"/>
                <w:highlight w:val="none"/>
              </w:rPr>
              <w:t>标</w:t>
            </w:r>
          </w:p>
        </w:tc>
        <w:tc>
          <w:tcPr>
            <w:tcW w:w="484" w:type="dxa"/>
            <w:tcBorders>
              <w:top w:val="nil"/>
              <w:left w:val="nil"/>
              <w:bottom w:val="nil"/>
              <w:right w:val="single" w:color="auto" w:sz="4" w:space="0"/>
            </w:tcBorders>
            <w:noWrap w:val="0"/>
            <w:vAlign w:val="center"/>
          </w:tcPr>
          <w:p w14:paraId="57D8A543">
            <w:pPr>
              <w:jc w:val="center"/>
              <w:rPr>
                <w:rFonts w:ascii="宋体" w:hAnsi="宋体" w:cs="宋体"/>
                <w:color w:val="auto"/>
                <w:sz w:val="20"/>
                <w:szCs w:val="20"/>
                <w:highlight w:val="none"/>
              </w:rPr>
            </w:pPr>
            <w:r>
              <w:rPr>
                <w:rFonts w:hint="eastAsia"/>
                <w:color w:val="auto"/>
                <w:sz w:val="20"/>
                <w:szCs w:val="20"/>
                <w:highlight w:val="none"/>
              </w:rPr>
              <w:t>一级</w:t>
            </w:r>
            <w:r>
              <w:rPr>
                <w:rFonts w:hint="eastAsia"/>
                <w:color w:val="auto"/>
                <w:sz w:val="20"/>
                <w:szCs w:val="20"/>
                <w:highlight w:val="none"/>
              </w:rPr>
              <w:br w:type="textWrapping"/>
            </w:r>
            <w:r>
              <w:rPr>
                <w:rFonts w:hint="eastAsia"/>
                <w:color w:val="auto"/>
                <w:sz w:val="20"/>
                <w:szCs w:val="20"/>
                <w:highlight w:val="none"/>
              </w:rPr>
              <w:t>指标</w:t>
            </w:r>
          </w:p>
        </w:tc>
        <w:tc>
          <w:tcPr>
            <w:tcW w:w="720" w:type="dxa"/>
            <w:gridSpan w:val="2"/>
            <w:tcBorders>
              <w:top w:val="nil"/>
              <w:left w:val="nil"/>
              <w:bottom w:val="single" w:color="auto" w:sz="4" w:space="0"/>
              <w:right w:val="single" w:color="auto" w:sz="4" w:space="0"/>
            </w:tcBorders>
            <w:noWrap w:val="0"/>
            <w:vAlign w:val="center"/>
          </w:tcPr>
          <w:p w14:paraId="18D0F788">
            <w:pPr>
              <w:jc w:val="center"/>
              <w:rPr>
                <w:color w:val="auto"/>
                <w:sz w:val="20"/>
                <w:szCs w:val="20"/>
                <w:highlight w:val="none"/>
              </w:rPr>
            </w:pPr>
            <w:r>
              <w:rPr>
                <w:rFonts w:hint="eastAsia"/>
                <w:color w:val="auto"/>
                <w:sz w:val="20"/>
                <w:szCs w:val="20"/>
                <w:highlight w:val="none"/>
              </w:rPr>
              <w:t>二级</w:t>
            </w:r>
          </w:p>
          <w:p w14:paraId="15493489">
            <w:pPr>
              <w:jc w:val="center"/>
              <w:rPr>
                <w:rFonts w:ascii="宋体" w:hAnsi="宋体" w:cs="宋体"/>
                <w:color w:val="auto"/>
                <w:sz w:val="20"/>
                <w:szCs w:val="20"/>
                <w:highlight w:val="none"/>
              </w:rPr>
            </w:pPr>
            <w:r>
              <w:rPr>
                <w:rFonts w:hint="eastAsia"/>
                <w:color w:val="auto"/>
                <w:sz w:val="20"/>
                <w:szCs w:val="20"/>
                <w:highlight w:val="none"/>
              </w:rPr>
              <w:t>指标</w:t>
            </w:r>
          </w:p>
        </w:tc>
        <w:tc>
          <w:tcPr>
            <w:tcW w:w="1440" w:type="dxa"/>
            <w:gridSpan w:val="2"/>
            <w:tcBorders>
              <w:top w:val="nil"/>
              <w:left w:val="nil"/>
              <w:bottom w:val="single" w:color="auto" w:sz="4" w:space="0"/>
              <w:right w:val="single" w:color="auto" w:sz="4" w:space="0"/>
            </w:tcBorders>
            <w:noWrap w:val="0"/>
            <w:vAlign w:val="center"/>
          </w:tcPr>
          <w:p w14:paraId="1433979A">
            <w:pPr>
              <w:jc w:val="center"/>
              <w:rPr>
                <w:rFonts w:ascii="宋体" w:hAnsi="宋体" w:cs="宋体"/>
                <w:color w:val="auto"/>
                <w:sz w:val="20"/>
                <w:szCs w:val="20"/>
                <w:highlight w:val="none"/>
              </w:rPr>
            </w:pPr>
            <w:r>
              <w:rPr>
                <w:rFonts w:hint="eastAsia"/>
                <w:color w:val="auto"/>
                <w:sz w:val="20"/>
                <w:szCs w:val="20"/>
                <w:highlight w:val="none"/>
              </w:rPr>
              <w:t>三级指标</w:t>
            </w:r>
          </w:p>
        </w:tc>
        <w:tc>
          <w:tcPr>
            <w:tcW w:w="540" w:type="dxa"/>
            <w:tcBorders>
              <w:top w:val="nil"/>
              <w:left w:val="nil"/>
              <w:bottom w:val="single" w:color="auto" w:sz="4" w:space="0"/>
              <w:right w:val="single" w:color="auto" w:sz="4" w:space="0"/>
            </w:tcBorders>
            <w:noWrap w:val="0"/>
            <w:vAlign w:val="center"/>
          </w:tcPr>
          <w:p w14:paraId="27E3D395">
            <w:pPr>
              <w:jc w:val="center"/>
              <w:rPr>
                <w:rFonts w:ascii="宋体" w:hAnsi="宋体" w:cs="宋体"/>
                <w:color w:val="auto"/>
                <w:sz w:val="20"/>
                <w:szCs w:val="20"/>
                <w:highlight w:val="none"/>
              </w:rPr>
            </w:pPr>
            <w:r>
              <w:rPr>
                <w:rFonts w:hint="eastAsia"/>
                <w:color w:val="auto"/>
                <w:sz w:val="20"/>
                <w:szCs w:val="20"/>
                <w:highlight w:val="none"/>
              </w:rPr>
              <w:t>指标值</w:t>
            </w:r>
          </w:p>
        </w:tc>
        <w:tc>
          <w:tcPr>
            <w:tcW w:w="900" w:type="dxa"/>
            <w:gridSpan w:val="2"/>
            <w:tcBorders>
              <w:top w:val="nil"/>
              <w:left w:val="nil"/>
              <w:bottom w:val="single" w:color="auto" w:sz="4" w:space="0"/>
              <w:right w:val="single" w:color="auto" w:sz="4" w:space="0"/>
            </w:tcBorders>
            <w:noWrap w:val="0"/>
            <w:vAlign w:val="center"/>
          </w:tcPr>
          <w:p w14:paraId="74A251D4">
            <w:pPr>
              <w:jc w:val="center"/>
              <w:rPr>
                <w:rFonts w:ascii="宋体" w:hAnsi="宋体" w:cs="宋体"/>
                <w:color w:val="auto"/>
                <w:sz w:val="20"/>
                <w:szCs w:val="20"/>
                <w:highlight w:val="none"/>
              </w:rPr>
            </w:pPr>
            <w:r>
              <w:rPr>
                <w:rFonts w:hint="eastAsia"/>
                <w:color w:val="auto"/>
                <w:sz w:val="20"/>
                <w:szCs w:val="20"/>
                <w:highlight w:val="none"/>
              </w:rPr>
              <w:t>绩效标准</w:t>
            </w:r>
          </w:p>
        </w:tc>
        <w:tc>
          <w:tcPr>
            <w:tcW w:w="900" w:type="dxa"/>
            <w:tcBorders>
              <w:top w:val="nil"/>
              <w:left w:val="nil"/>
              <w:bottom w:val="single" w:color="auto" w:sz="4" w:space="0"/>
              <w:right w:val="single" w:color="auto" w:sz="4" w:space="0"/>
            </w:tcBorders>
            <w:noWrap w:val="0"/>
            <w:vAlign w:val="center"/>
          </w:tcPr>
          <w:p w14:paraId="0DAAF3FA">
            <w:pPr>
              <w:jc w:val="center"/>
              <w:rPr>
                <w:color w:val="auto"/>
                <w:sz w:val="20"/>
                <w:szCs w:val="20"/>
                <w:highlight w:val="none"/>
              </w:rPr>
            </w:pPr>
            <w:r>
              <w:rPr>
                <w:rFonts w:hint="eastAsia"/>
                <w:color w:val="auto"/>
                <w:sz w:val="20"/>
                <w:szCs w:val="20"/>
                <w:highlight w:val="none"/>
              </w:rPr>
              <w:t>二级</w:t>
            </w:r>
          </w:p>
          <w:p w14:paraId="4CF3CEC1">
            <w:pPr>
              <w:jc w:val="center"/>
              <w:rPr>
                <w:rFonts w:ascii="宋体" w:hAnsi="宋体" w:cs="宋体"/>
                <w:color w:val="auto"/>
                <w:sz w:val="20"/>
                <w:szCs w:val="20"/>
                <w:highlight w:val="none"/>
              </w:rPr>
            </w:pPr>
            <w:r>
              <w:rPr>
                <w:rFonts w:hint="eastAsia"/>
                <w:color w:val="auto"/>
                <w:sz w:val="20"/>
                <w:szCs w:val="20"/>
                <w:highlight w:val="none"/>
              </w:rPr>
              <w:t>指标</w:t>
            </w:r>
          </w:p>
        </w:tc>
        <w:tc>
          <w:tcPr>
            <w:tcW w:w="720" w:type="dxa"/>
            <w:tcBorders>
              <w:top w:val="nil"/>
              <w:left w:val="nil"/>
              <w:bottom w:val="single" w:color="auto" w:sz="4" w:space="0"/>
              <w:right w:val="nil"/>
            </w:tcBorders>
            <w:noWrap w:val="0"/>
            <w:vAlign w:val="center"/>
          </w:tcPr>
          <w:p w14:paraId="58CC2AB5">
            <w:pPr>
              <w:jc w:val="center"/>
              <w:rPr>
                <w:rFonts w:ascii="宋体" w:hAnsi="宋体" w:cs="宋体"/>
                <w:color w:val="auto"/>
                <w:sz w:val="20"/>
                <w:szCs w:val="20"/>
                <w:highlight w:val="none"/>
              </w:rPr>
            </w:pPr>
            <w:r>
              <w:rPr>
                <w:rFonts w:hint="eastAsia"/>
                <w:color w:val="auto"/>
                <w:sz w:val="20"/>
                <w:szCs w:val="20"/>
                <w:highlight w:val="none"/>
              </w:rPr>
              <w:t>三级指标</w:t>
            </w:r>
          </w:p>
        </w:tc>
        <w:tc>
          <w:tcPr>
            <w:tcW w:w="1260" w:type="dxa"/>
            <w:gridSpan w:val="2"/>
            <w:tcBorders>
              <w:top w:val="nil"/>
              <w:left w:val="single" w:color="auto" w:sz="4" w:space="0"/>
              <w:bottom w:val="single" w:color="auto" w:sz="4" w:space="0"/>
              <w:right w:val="single" w:color="auto" w:sz="4" w:space="0"/>
            </w:tcBorders>
            <w:noWrap w:val="0"/>
            <w:vAlign w:val="center"/>
          </w:tcPr>
          <w:p w14:paraId="79F27171">
            <w:pPr>
              <w:jc w:val="center"/>
              <w:rPr>
                <w:rFonts w:ascii="宋体" w:hAnsi="宋体" w:cs="宋体"/>
                <w:color w:val="auto"/>
                <w:sz w:val="20"/>
                <w:szCs w:val="20"/>
                <w:highlight w:val="none"/>
              </w:rPr>
            </w:pPr>
            <w:r>
              <w:rPr>
                <w:rFonts w:hint="eastAsia"/>
                <w:color w:val="auto"/>
                <w:sz w:val="20"/>
                <w:szCs w:val="20"/>
                <w:highlight w:val="none"/>
              </w:rPr>
              <w:t>指标值</w:t>
            </w:r>
          </w:p>
        </w:tc>
        <w:tc>
          <w:tcPr>
            <w:tcW w:w="1260" w:type="dxa"/>
            <w:tcBorders>
              <w:top w:val="nil"/>
              <w:left w:val="nil"/>
              <w:bottom w:val="single" w:color="auto" w:sz="4" w:space="0"/>
              <w:right w:val="single" w:color="auto" w:sz="4" w:space="0"/>
            </w:tcBorders>
            <w:noWrap w:val="0"/>
            <w:vAlign w:val="center"/>
          </w:tcPr>
          <w:p w14:paraId="3122AB89">
            <w:pPr>
              <w:jc w:val="center"/>
              <w:rPr>
                <w:rFonts w:ascii="宋体" w:hAnsi="宋体" w:cs="宋体"/>
                <w:color w:val="auto"/>
                <w:sz w:val="20"/>
                <w:szCs w:val="20"/>
                <w:highlight w:val="none"/>
              </w:rPr>
            </w:pPr>
            <w:r>
              <w:rPr>
                <w:rFonts w:hint="eastAsia"/>
                <w:color w:val="auto"/>
                <w:sz w:val="20"/>
                <w:szCs w:val="20"/>
                <w:highlight w:val="none"/>
              </w:rPr>
              <w:t>绩效标准</w:t>
            </w:r>
          </w:p>
        </w:tc>
      </w:tr>
      <w:tr w14:paraId="702EB1EE">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696F657E">
            <w:pPr>
              <w:rPr>
                <w:rFonts w:ascii="宋体" w:hAnsi="宋体" w:cs="宋体"/>
                <w:color w:val="auto"/>
                <w:sz w:val="20"/>
                <w:szCs w:val="20"/>
                <w:highlight w:val="none"/>
              </w:rPr>
            </w:pPr>
          </w:p>
        </w:tc>
        <w:tc>
          <w:tcPr>
            <w:tcW w:w="484" w:type="dxa"/>
            <w:vMerge w:val="restart"/>
            <w:tcBorders>
              <w:top w:val="single" w:color="auto" w:sz="4" w:space="0"/>
              <w:left w:val="single" w:color="auto" w:sz="4" w:space="0"/>
              <w:bottom w:val="single" w:color="auto" w:sz="4" w:space="0"/>
              <w:right w:val="single" w:color="auto" w:sz="4" w:space="0"/>
            </w:tcBorders>
            <w:noWrap w:val="0"/>
            <w:vAlign w:val="center"/>
          </w:tcPr>
          <w:p w14:paraId="7C16D63C">
            <w:pPr>
              <w:jc w:val="center"/>
              <w:rPr>
                <w:rFonts w:ascii="宋体" w:hAnsi="宋体" w:cs="宋体"/>
                <w:color w:val="auto"/>
                <w:sz w:val="20"/>
                <w:szCs w:val="20"/>
                <w:highlight w:val="none"/>
              </w:rPr>
            </w:pPr>
            <w:r>
              <w:rPr>
                <w:rFonts w:hint="eastAsia"/>
                <w:color w:val="auto"/>
                <w:sz w:val="20"/>
                <w:szCs w:val="20"/>
                <w:highlight w:val="none"/>
              </w:rPr>
              <w:t>产</w:t>
            </w:r>
            <w:r>
              <w:rPr>
                <w:rFonts w:hint="eastAsia"/>
                <w:color w:val="auto"/>
                <w:sz w:val="20"/>
                <w:szCs w:val="20"/>
                <w:highlight w:val="none"/>
              </w:rPr>
              <w:br w:type="textWrapping"/>
            </w:r>
            <w:r>
              <w:rPr>
                <w:rFonts w:hint="eastAsia"/>
                <w:color w:val="auto"/>
                <w:sz w:val="20"/>
                <w:szCs w:val="20"/>
                <w:highlight w:val="none"/>
              </w:rPr>
              <w:t>出</w:t>
            </w:r>
            <w:r>
              <w:rPr>
                <w:rFonts w:hint="eastAsia"/>
                <w:color w:val="auto"/>
                <w:sz w:val="20"/>
                <w:szCs w:val="20"/>
                <w:highlight w:val="none"/>
              </w:rPr>
              <w:br w:type="textWrapping"/>
            </w:r>
            <w:r>
              <w:rPr>
                <w:rFonts w:hint="eastAsia"/>
                <w:color w:val="auto"/>
                <w:sz w:val="20"/>
                <w:szCs w:val="20"/>
                <w:highlight w:val="none"/>
              </w:rPr>
              <w:t>指</w:t>
            </w:r>
            <w:r>
              <w:rPr>
                <w:rFonts w:hint="eastAsia"/>
                <w:color w:val="auto"/>
                <w:sz w:val="20"/>
                <w:szCs w:val="20"/>
                <w:highlight w:val="none"/>
              </w:rPr>
              <w:br w:type="textWrapping"/>
            </w:r>
            <w:r>
              <w:rPr>
                <w:rFonts w:hint="eastAsia"/>
                <w:color w:val="auto"/>
                <w:sz w:val="20"/>
                <w:szCs w:val="20"/>
                <w:highlight w:val="none"/>
              </w:rPr>
              <w:t>标</w:t>
            </w:r>
          </w:p>
        </w:tc>
        <w:tc>
          <w:tcPr>
            <w:tcW w:w="720" w:type="dxa"/>
            <w:gridSpan w:val="2"/>
            <w:tcBorders>
              <w:top w:val="nil"/>
              <w:left w:val="single" w:color="auto" w:sz="4" w:space="0"/>
              <w:bottom w:val="single" w:color="000000" w:sz="4" w:space="0"/>
              <w:right w:val="single" w:color="auto" w:sz="4" w:space="0"/>
            </w:tcBorders>
            <w:noWrap w:val="0"/>
            <w:vAlign w:val="center"/>
          </w:tcPr>
          <w:p w14:paraId="4C98E50F">
            <w:pPr>
              <w:jc w:val="center"/>
              <w:rPr>
                <w:color w:val="auto"/>
                <w:sz w:val="20"/>
                <w:szCs w:val="20"/>
                <w:highlight w:val="none"/>
              </w:rPr>
            </w:pPr>
            <w:r>
              <w:rPr>
                <w:rFonts w:hint="eastAsia"/>
                <w:color w:val="auto"/>
                <w:sz w:val="20"/>
                <w:szCs w:val="20"/>
                <w:highlight w:val="none"/>
              </w:rPr>
              <w:t>数量</w:t>
            </w:r>
          </w:p>
          <w:p w14:paraId="6294984B">
            <w:pPr>
              <w:jc w:val="center"/>
              <w:rPr>
                <w:rFonts w:ascii="宋体" w:hAnsi="宋体" w:cs="宋体"/>
                <w:color w:val="auto"/>
                <w:sz w:val="20"/>
                <w:szCs w:val="20"/>
                <w:highlight w:val="none"/>
              </w:rPr>
            </w:pPr>
            <w:r>
              <w:rPr>
                <w:rFonts w:hint="eastAsia"/>
                <w:color w:val="auto"/>
                <w:sz w:val="20"/>
                <w:szCs w:val="20"/>
                <w:highlight w:val="none"/>
              </w:rPr>
              <w:t>指标</w:t>
            </w:r>
          </w:p>
        </w:tc>
        <w:tc>
          <w:tcPr>
            <w:tcW w:w="1440" w:type="dxa"/>
            <w:gridSpan w:val="2"/>
            <w:tcBorders>
              <w:top w:val="nil"/>
              <w:left w:val="nil"/>
              <w:bottom w:val="single" w:color="auto" w:sz="4" w:space="0"/>
              <w:right w:val="single" w:color="auto" w:sz="4" w:space="0"/>
            </w:tcBorders>
            <w:noWrap w:val="0"/>
            <w:vAlign w:val="center"/>
          </w:tcPr>
          <w:p w14:paraId="5444F7CC">
            <w:pPr>
              <w:rPr>
                <w:rFonts w:ascii="宋体" w:hAnsi="宋体" w:cs="宋体"/>
                <w:color w:val="auto"/>
                <w:sz w:val="20"/>
                <w:szCs w:val="20"/>
                <w:highlight w:val="none"/>
              </w:rPr>
            </w:pPr>
            <w:r>
              <w:rPr>
                <w:rFonts w:hint="eastAsia"/>
                <w:color w:val="auto"/>
                <w:sz w:val="20"/>
                <w:szCs w:val="20"/>
                <w:highlight w:val="none"/>
              </w:rPr>
              <w:t xml:space="preserve"> 指标1：农饮水厂</w:t>
            </w:r>
          </w:p>
        </w:tc>
        <w:tc>
          <w:tcPr>
            <w:tcW w:w="540" w:type="dxa"/>
            <w:tcBorders>
              <w:top w:val="nil"/>
              <w:left w:val="nil"/>
              <w:bottom w:val="single" w:color="auto" w:sz="4" w:space="0"/>
              <w:right w:val="single" w:color="auto" w:sz="4" w:space="0"/>
            </w:tcBorders>
            <w:noWrap w:val="0"/>
            <w:vAlign w:val="center"/>
          </w:tcPr>
          <w:p w14:paraId="2A2F9F07">
            <w:pPr>
              <w:rPr>
                <w:rFonts w:ascii="宋体" w:hAnsi="宋体" w:cs="宋体"/>
                <w:color w:val="auto"/>
                <w:sz w:val="20"/>
                <w:szCs w:val="20"/>
                <w:highlight w:val="none"/>
              </w:rPr>
            </w:pPr>
            <w:r>
              <w:rPr>
                <w:rFonts w:hint="eastAsia"/>
                <w:color w:val="auto"/>
                <w:sz w:val="20"/>
                <w:szCs w:val="20"/>
                <w:highlight w:val="none"/>
              </w:rPr>
              <w:t>　20</w:t>
            </w:r>
          </w:p>
        </w:tc>
        <w:tc>
          <w:tcPr>
            <w:tcW w:w="900" w:type="dxa"/>
            <w:gridSpan w:val="2"/>
            <w:tcBorders>
              <w:top w:val="nil"/>
              <w:left w:val="nil"/>
              <w:bottom w:val="single" w:color="auto" w:sz="4" w:space="0"/>
              <w:right w:val="single" w:color="auto" w:sz="4" w:space="0"/>
            </w:tcBorders>
            <w:noWrap w:val="0"/>
            <w:vAlign w:val="center"/>
          </w:tcPr>
          <w:p w14:paraId="5FFC0BA7">
            <w:pPr>
              <w:rPr>
                <w:rFonts w:ascii="宋体" w:hAnsi="宋体" w:cs="宋体"/>
                <w:color w:val="auto"/>
                <w:sz w:val="20"/>
                <w:szCs w:val="20"/>
                <w:highlight w:val="none"/>
              </w:rPr>
            </w:pPr>
            <w:r>
              <w:rPr>
                <w:rFonts w:hint="eastAsia"/>
                <w:color w:val="auto"/>
                <w:sz w:val="20"/>
                <w:szCs w:val="20"/>
                <w:highlight w:val="none"/>
              </w:rPr>
              <w:t>　按标准完成</w:t>
            </w:r>
          </w:p>
        </w:tc>
        <w:tc>
          <w:tcPr>
            <w:tcW w:w="900" w:type="dxa"/>
            <w:tcBorders>
              <w:top w:val="nil"/>
              <w:left w:val="single" w:color="auto" w:sz="4" w:space="0"/>
              <w:bottom w:val="single" w:color="000000" w:sz="4" w:space="0"/>
              <w:right w:val="single" w:color="auto" w:sz="4" w:space="0"/>
            </w:tcBorders>
            <w:noWrap w:val="0"/>
            <w:vAlign w:val="center"/>
          </w:tcPr>
          <w:p w14:paraId="5B6AF0C4">
            <w:pPr>
              <w:jc w:val="center"/>
              <w:rPr>
                <w:color w:val="auto"/>
                <w:sz w:val="20"/>
                <w:szCs w:val="20"/>
                <w:highlight w:val="none"/>
              </w:rPr>
            </w:pPr>
            <w:r>
              <w:rPr>
                <w:rFonts w:hint="eastAsia"/>
                <w:color w:val="auto"/>
                <w:sz w:val="20"/>
                <w:szCs w:val="20"/>
                <w:highlight w:val="none"/>
              </w:rPr>
              <w:t>数量</w:t>
            </w:r>
          </w:p>
          <w:p w14:paraId="36F457EA">
            <w:pPr>
              <w:jc w:val="center"/>
              <w:rPr>
                <w:rFonts w:ascii="宋体" w:hAnsi="宋体" w:cs="宋体"/>
                <w:color w:val="auto"/>
                <w:sz w:val="20"/>
                <w:szCs w:val="20"/>
                <w:highlight w:val="none"/>
              </w:rPr>
            </w:pPr>
            <w:r>
              <w:rPr>
                <w:rFonts w:hint="eastAsia"/>
                <w:color w:val="auto"/>
                <w:sz w:val="20"/>
                <w:szCs w:val="20"/>
                <w:highlight w:val="none"/>
              </w:rPr>
              <w:t>指标</w:t>
            </w:r>
          </w:p>
        </w:tc>
        <w:tc>
          <w:tcPr>
            <w:tcW w:w="720" w:type="dxa"/>
            <w:tcBorders>
              <w:top w:val="nil"/>
              <w:left w:val="nil"/>
              <w:bottom w:val="single" w:color="auto" w:sz="4" w:space="0"/>
              <w:right w:val="single" w:color="auto" w:sz="4" w:space="0"/>
            </w:tcBorders>
            <w:noWrap w:val="0"/>
            <w:vAlign w:val="center"/>
          </w:tcPr>
          <w:p w14:paraId="38B4FBCB">
            <w:pPr>
              <w:rPr>
                <w:rFonts w:ascii="宋体" w:hAnsi="宋体" w:cs="宋体"/>
                <w:color w:val="auto"/>
                <w:sz w:val="20"/>
                <w:szCs w:val="20"/>
                <w:highlight w:val="none"/>
              </w:rPr>
            </w:pPr>
            <w:r>
              <w:rPr>
                <w:rFonts w:hint="eastAsia"/>
                <w:color w:val="auto"/>
                <w:sz w:val="20"/>
                <w:szCs w:val="20"/>
                <w:highlight w:val="none"/>
              </w:rPr>
              <w:t xml:space="preserve"> 指标1：</w:t>
            </w:r>
          </w:p>
        </w:tc>
        <w:tc>
          <w:tcPr>
            <w:tcW w:w="1260" w:type="dxa"/>
            <w:gridSpan w:val="2"/>
            <w:tcBorders>
              <w:top w:val="nil"/>
              <w:left w:val="nil"/>
              <w:bottom w:val="single" w:color="auto" w:sz="4" w:space="0"/>
              <w:right w:val="single" w:color="auto" w:sz="4" w:space="0"/>
            </w:tcBorders>
            <w:noWrap w:val="0"/>
            <w:vAlign w:val="center"/>
          </w:tcPr>
          <w:p w14:paraId="32C87E24">
            <w:pPr>
              <w:rPr>
                <w:rFonts w:ascii="宋体" w:hAnsi="宋体" w:cs="宋体"/>
                <w:color w:val="auto"/>
                <w:sz w:val="20"/>
                <w:szCs w:val="20"/>
                <w:highlight w:val="none"/>
              </w:rPr>
            </w:pPr>
            <w:r>
              <w:rPr>
                <w:rFonts w:hint="eastAsia"/>
                <w:color w:val="auto"/>
                <w:sz w:val="20"/>
                <w:szCs w:val="20"/>
                <w:highlight w:val="none"/>
              </w:rPr>
              <w:t>　40</w:t>
            </w:r>
          </w:p>
        </w:tc>
        <w:tc>
          <w:tcPr>
            <w:tcW w:w="1260" w:type="dxa"/>
            <w:tcBorders>
              <w:top w:val="nil"/>
              <w:left w:val="nil"/>
              <w:bottom w:val="single" w:color="auto" w:sz="4" w:space="0"/>
              <w:right w:val="single" w:color="auto" w:sz="4" w:space="0"/>
            </w:tcBorders>
            <w:noWrap w:val="0"/>
            <w:vAlign w:val="center"/>
          </w:tcPr>
          <w:p w14:paraId="35965E61">
            <w:pPr>
              <w:rPr>
                <w:rFonts w:ascii="宋体" w:hAnsi="宋体" w:cs="宋体"/>
                <w:color w:val="auto"/>
                <w:sz w:val="20"/>
                <w:szCs w:val="20"/>
                <w:highlight w:val="none"/>
              </w:rPr>
            </w:pPr>
            <w:r>
              <w:rPr>
                <w:rFonts w:hint="eastAsia"/>
                <w:color w:val="auto"/>
                <w:sz w:val="20"/>
                <w:szCs w:val="20"/>
                <w:highlight w:val="none"/>
              </w:rPr>
              <w:t>　按标准完成</w:t>
            </w:r>
          </w:p>
        </w:tc>
      </w:tr>
      <w:tr w14:paraId="61105AE9">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46F210CA">
            <w:pPr>
              <w:rPr>
                <w:rFonts w:ascii="宋体" w:hAnsi="宋体" w:cs="宋体"/>
                <w:color w:val="auto"/>
                <w:sz w:val="20"/>
                <w:szCs w:val="20"/>
                <w:highlight w:val="none"/>
              </w:rPr>
            </w:pPr>
          </w:p>
        </w:tc>
        <w:tc>
          <w:tcPr>
            <w:tcW w:w="484" w:type="dxa"/>
            <w:vMerge w:val="continue"/>
            <w:tcBorders>
              <w:top w:val="single" w:color="auto" w:sz="4" w:space="0"/>
              <w:left w:val="single" w:color="auto" w:sz="4" w:space="0"/>
              <w:bottom w:val="single" w:color="auto" w:sz="4" w:space="0"/>
              <w:right w:val="single" w:color="auto" w:sz="4" w:space="0"/>
            </w:tcBorders>
            <w:noWrap w:val="0"/>
            <w:vAlign w:val="center"/>
          </w:tcPr>
          <w:p w14:paraId="5CD32309">
            <w:pPr>
              <w:rPr>
                <w:rFonts w:ascii="宋体" w:hAnsi="宋体" w:cs="宋体"/>
                <w:color w:val="auto"/>
                <w:sz w:val="20"/>
                <w:szCs w:val="20"/>
                <w:highlight w:val="none"/>
              </w:rPr>
            </w:pPr>
          </w:p>
        </w:tc>
        <w:tc>
          <w:tcPr>
            <w:tcW w:w="720" w:type="dxa"/>
            <w:gridSpan w:val="2"/>
            <w:tcBorders>
              <w:top w:val="nil"/>
              <w:left w:val="single" w:color="auto" w:sz="4" w:space="0"/>
              <w:bottom w:val="single" w:color="000000" w:sz="4" w:space="0"/>
              <w:right w:val="single" w:color="auto" w:sz="4" w:space="0"/>
            </w:tcBorders>
            <w:noWrap w:val="0"/>
            <w:vAlign w:val="center"/>
          </w:tcPr>
          <w:p w14:paraId="0C3FA320">
            <w:pPr>
              <w:jc w:val="center"/>
              <w:rPr>
                <w:color w:val="auto"/>
                <w:sz w:val="20"/>
                <w:szCs w:val="20"/>
                <w:highlight w:val="none"/>
              </w:rPr>
            </w:pPr>
            <w:r>
              <w:rPr>
                <w:rFonts w:hint="eastAsia"/>
                <w:color w:val="auto"/>
                <w:sz w:val="20"/>
                <w:szCs w:val="20"/>
                <w:highlight w:val="none"/>
              </w:rPr>
              <w:t>质量</w:t>
            </w:r>
          </w:p>
          <w:p w14:paraId="1C4BE9D0">
            <w:pPr>
              <w:jc w:val="center"/>
              <w:rPr>
                <w:rFonts w:ascii="宋体" w:hAnsi="宋体" w:cs="宋体"/>
                <w:color w:val="auto"/>
                <w:sz w:val="20"/>
                <w:szCs w:val="20"/>
                <w:highlight w:val="none"/>
              </w:rPr>
            </w:pPr>
            <w:r>
              <w:rPr>
                <w:rFonts w:hint="eastAsia"/>
                <w:color w:val="auto"/>
                <w:sz w:val="20"/>
                <w:szCs w:val="20"/>
                <w:highlight w:val="none"/>
              </w:rPr>
              <w:t>指标</w:t>
            </w:r>
          </w:p>
        </w:tc>
        <w:tc>
          <w:tcPr>
            <w:tcW w:w="1440" w:type="dxa"/>
            <w:gridSpan w:val="2"/>
            <w:tcBorders>
              <w:top w:val="nil"/>
              <w:left w:val="nil"/>
              <w:bottom w:val="single" w:color="auto" w:sz="4" w:space="0"/>
              <w:right w:val="single" w:color="auto" w:sz="4" w:space="0"/>
            </w:tcBorders>
            <w:noWrap w:val="0"/>
            <w:vAlign w:val="center"/>
          </w:tcPr>
          <w:p w14:paraId="6447A445">
            <w:pPr>
              <w:rPr>
                <w:rFonts w:ascii="宋体" w:hAnsi="宋体" w:cs="宋体"/>
                <w:color w:val="auto"/>
                <w:sz w:val="20"/>
                <w:szCs w:val="20"/>
                <w:highlight w:val="none"/>
              </w:rPr>
            </w:pPr>
            <w:r>
              <w:rPr>
                <w:rFonts w:hint="eastAsia"/>
                <w:color w:val="auto"/>
                <w:sz w:val="20"/>
                <w:szCs w:val="20"/>
                <w:highlight w:val="none"/>
              </w:rPr>
              <w:t xml:space="preserve"> 指标1：水质检测监督</w:t>
            </w:r>
          </w:p>
        </w:tc>
        <w:tc>
          <w:tcPr>
            <w:tcW w:w="540" w:type="dxa"/>
            <w:tcBorders>
              <w:top w:val="nil"/>
              <w:left w:val="nil"/>
              <w:bottom w:val="single" w:color="auto" w:sz="4" w:space="0"/>
              <w:right w:val="single" w:color="auto" w:sz="4" w:space="0"/>
            </w:tcBorders>
            <w:noWrap w:val="0"/>
            <w:vAlign w:val="center"/>
          </w:tcPr>
          <w:p w14:paraId="57F41FE7">
            <w:pPr>
              <w:rPr>
                <w:rFonts w:ascii="宋体" w:hAnsi="宋体" w:cs="宋体"/>
                <w:color w:val="auto"/>
                <w:sz w:val="20"/>
                <w:szCs w:val="20"/>
                <w:highlight w:val="none"/>
              </w:rPr>
            </w:pPr>
            <w:r>
              <w:rPr>
                <w:rFonts w:hint="eastAsia"/>
                <w:color w:val="auto"/>
                <w:sz w:val="20"/>
                <w:szCs w:val="20"/>
                <w:highlight w:val="none"/>
              </w:rPr>
              <w:t>　20</w:t>
            </w:r>
          </w:p>
        </w:tc>
        <w:tc>
          <w:tcPr>
            <w:tcW w:w="900" w:type="dxa"/>
            <w:gridSpan w:val="2"/>
            <w:tcBorders>
              <w:top w:val="nil"/>
              <w:left w:val="nil"/>
              <w:bottom w:val="single" w:color="auto" w:sz="4" w:space="0"/>
              <w:right w:val="single" w:color="auto" w:sz="4" w:space="0"/>
            </w:tcBorders>
            <w:noWrap w:val="0"/>
            <w:vAlign w:val="center"/>
          </w:tcPr>
          <w:p w14:paraId="0666D3AB">
            <w:pPr>
              <w:rPr>
                <w:rFonts w:ascii="宋体" w:hAnsi="宋体" w:cs="宋体"/>
                <w:color w:val="auto"/>
                <w:sz w:val="20"/>
                <w:szCs w:val="20"/>
                <w:highlight w:val="none"/>
              </w:rPr>
            </w:pPr>
            <w:r>
              <w:rPr>
                <w:rFonts w:hint="eastAsia"/>
                <w:color w:val="auto"/>
                <w:sz w:val="20"/>
                <w:szCs w:val="20"/>
                <w:highlight w:val="none"/>
              </w:rPr>
              <w:t>　　按标准完</w:t>
            </w:r>
          </w:p>
        </w:tc>
        <w:tc>
          <w:tcPr>
            <w:tcW w:w="900" w:type="dxa"/>
            <w:tcBorders>
              <w:top w:val="nil"/>
              <w:left w:val="single" w:color="auto" w:sz="4" w:space="0"/>
              <w:bottom w:val="single" w:color="000000" w:sz="4" w:space="0"/>
              <w:right w:val="single" w:color="auto" w:sz="4" w:space="0"/>
            </w:tcBorders>
            <w:noWrap w:val="0"/>
            <w:vAlign w:val="center"/>
          </w:tcPr>
          <w:p w14:paraId="2F1E42D9">
            <w:pPr>
              <w:jc w:val="center"/>
              <w:rPr>
                <w:color w:val="auto"/>
                <w:sz w:val="20"/>
                <w:szCs w:val="20"/>
                <w:highlight w:val="none"/>
              </w:rPr>
            </w:pPr>
            <w:r>
              <w:rPr>
                <w:rFonts w:hint="eastAsia"/>
                <w:color w:val="auto"/>
                <w:sz w:val="20"/>
                <w:szCs w:val="20"/>
                <w:highlight w:val="none"/>
              </w:rPr>
              <w:t>质量</w:t>
            </w:r>
          </w:p>
          <w:p w14:paraId="6CA7D315">
            <w:pPr>
              <w:jc w:val="center"/>
              <w:rPr>
                <w:rFonts w:ascii="宋体" w:hAnsi="宋体" w:cs="宋体"/>
                <w:color w:val="auto"/>
                <w:sz w:val="20"/>
                <w:szCs w:val="20"/>
                <w:highlight w:val="none"/>
              </w:rPr>
            </w:pPr>
            <w:r>
              <w:rPr>
                <w:rFonts w:hint="eastAsia"/>
                <w:color w:val="auto"/>
                <w:sz w:val="20"/>
                <w:szCs w:val="20"/>
                <w:highlight w:val="none"/>
              </w:rPr>
              <w:t>指标</w:t>
            </w:r>
          </w:p>
        </w:tc>
        <w:tc>
          <w:tcPr>
            <w:tcW w:w="720" w:type="dxa"/>
            <w:tcBorders>
              <w:top w:val="nil"/>
              <w:left w:val="nil"/>
              <w:bottom w:val="single" w:color="auto" w:sz="4" w:space="0"/>
              <w:right w:val="single" w:color="auto" w:sz="4" w:space="0"/>
            </w:tcBorders>
            <w:noWrap w:val="0"/>
            <w:vAlign w:val="center"/>
          </w:tcPr>
          <w:p w14:paraId="727C8EB5">
            <w:pPr>
              <w:rPr>
                <w:rFonts w:ascii="宋体" w:hAnsi="宋体" w:cs="宋体"/>
                <w:color w:val="auto"/>
                <w:sz w:val="20"/>
                <w:szCs w:val="20"/>
                <w:highlight w:val="none"/>
              </w:rPr>
            </w:pPr>
            <w:r>
              <w:rPr>
                <w:rFonts w:hint="eastAsia"/>
                <w:color w:val="auto"/>
                <w:sz w:val="20"/>
                <w:szCs w:val="20"/>
                <w:highlight w:val="none"/>
              </w:rPr>
              <w:t xml:space="preserve"> 指标1：</w:t>
            </w:r>
          </w:p>
        </w:tc>
        <w:tc>
          <w:tcPr>
            <w:tcW w:w="1260" w:type="dxa"/>
            <w:gridSpan w:val="2"/>
            <w:tcBorders>
              <w:top w:val="nil"/>
              <w:left w:val="nil"/>
              <w:bottom w:val="single" w:color="auto" w:sz="4" w:space="0"/>
              <w:right w:val="single" w:color="auto" w:sz="4" w:space="0"/>
            </w:tcBorders>
            <w:noWrap w:val="0"/>
            <w:vAlign w:val="center"/>
          </w:tcPr>
          <w:p w14:paraId="45631D9E">
            <w:pPr>
              <w:rPr>
                <w:rFonts w:ascii="宋体" w:hAnsi="宋体" w:cs="宋体"/>
                <w:color w:val="auto"/>
                <w:sz w:val="20"/>
                <w:szCs w:val="20"/>
                <w:highlight w:val="none"/>
              </w:rPr>
            </w:pPr>
            <w:r>
              <w:rPr>
                <w:rFonts w:hint="eastAsia"/>
                <w:color w:val="auto"/>
                <w:sz w:val="20"/>
                <w:szCs w:val="20"/>
                <w:highlight w:val="none"/>
              </w:rPr>
              <w:t>　40</w:t>
            </w:r>
          </w:p>
        </w:tc>
        <w:tc>
          <w:tcPr>
            <w:tcW w:w="1260" w:type="dxa"/>
            <w:tcBorders>
              <w:top w:val="nil"/>
              <w:left w:val="nil"/>
              <w:bottom w:val="single" w:color="auto" w:sz="4" w:space="0"/>
              <w:right w:val="single" w:color="auto" w:sz="4" w:space="0"/>
            </w:tcBorders>
            <w:noWrap w:val="0"/>
            <w:vAlign w:val="center"/>
          </w:tcPr>
          <w:p w14:paraId="2928A6C1">
            <w:pPr>
              <w:rPr>
                <w:rFonts w:ascii="宋体" w:hAnsi="宋体" w:cs="宋体"/>
                <w:color w:val="auto"/>
                <w:sz w:val="20"/>
                <w:szCs w:val="20"/>
                <w:highlight w:val="none"/>
              </w:rPr>
            </w:pPr>
            <w:r>
              <w:rPr>
                <w:rFonts w:hint="eastAsia"/>
                <w:color w:val="auto"/>
                <w:sz w:val="20"/>
                <w:szCs w:val="20"/>
                <w:highlight w:val="none"/>
              </w:rPr>
              <w:t>　按标准完成</w:t>
            </w:r>
          </w:p>
        </w:tc>
      </w:tr>
      <w:tr w14:paraId="586A3B6C">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61AC100D">
            <w:pPr>
              <w:rPr>
                <w:rFonts w:ascii="宋体" w:hAnsi="宋体" w:cs="宋体"/>
                <w:color w:val="auto"/>
                <w:sz w:val="20"/>
                <w:szCs w:val="20"/>
                <w:highlight w:val="none"/>
              </w:rPr>
            </w:pPr>
          </w:p>
        </w:tc>
        <w:tc>
          <w:tcPr>
            <w:tcW w:w="484" w:type="dxa"/>
            <w:vMerge w:val="continue"/>
            <w:tcBorders>
              <w:top w:val="single" w:color="auto" w:sz="4" w:space="0"/>
              <w:left w:val="single" w:color="auto" w:sz="4" w:space="0"/>
              <w:bottom w:val="single" w:color="auto" w:sz="4" w:space="0"/>
              <w:right w:val="single" w:color="auto" w:sz="4" w:space="0"/>
            </w:tcBorders>
            <w:noWrap w:val="0"/>
            <w:vAlign w:val="center"/>
          </w:tcPr>
          <w:p w14:paraId="049E220A">
            <w:pPr>
              <w:rPr>
                <w:rFonts w:ascii="宋体" w:hAnsi="宋体" w:cs="宋体"/>
                <w:color w:val="auto"/>
                <w:sz w:val="20"/>
                <w:szCs w:val="20"/>
                <w:highlight w:val="none"/>
              </w:rPr>
            </w:pPr>
          </w:p>
        </w:tc>
        <w:tc>
          <w:tcPr>
            <w:tcW w:w="720" w:type="dxa"/>
            <w:gridSpan w:val="2"/>
            <w:tcBorders>
              <w:top w:val="nil"/>
              <w:left w:val="single" w:color="auto" w:sz="4" w:space="0"/>
              <w:bottom w:val="single" w:color="000000" w:sz="4" w:space="0"/>
              <w:right w:val="single" w:color="auto" w:sz="4" w:space="0"/>
            </w:tcBorders>
            <w:noWrap w:val="0"/>
            <w:vAlign w:val="center"/>
          </w:tcPr>
          <w:p w14:paraId="5139782E">
            <w:pPr>
              <w:jc w:val="center"/>
              <w:rPr>
                <w:color w:val="auto"/>
                <w:sz w:val="20"/>
                <w:szCs w:val="20"/>
                <w:highlight w:val="none"/>
              </w:rPr>
            </w:pPr>
            <w:r>
              <w:rPr>
                <w:rFonts w:hint="eastAsia"/>
                <w:color w:val="auto"/>
                <w:sz w:val="20"/>
                <w:szCs w:val="20"/>
                <w:highlight w:val="none"/>
              </w:rPr>
              <w:t>时效</w:t>
            </w:r>
          </w:p>
          <w:p w14:paraId="03CEE97D">
            <w:pPr>
              <w:jc w:val="center"/>
              <w:rPr>
                <w:rFonts w:ascii="宋体" w:hAnsi="宋体" w:cs="宋体"/>
                <w:color w:val="auto"/>
                <w:sz w:val="20"/>
                <w:szCs w:val="20"/>
                <w:highlight w:val="none"/>
              </w:rPr>
            </w:pPr>
            <w:r>
              <w:rPr>
                <w:rFonts w:hint="eastAsia"/>
                <w:color w:val="auto"/>
                <w:sz w:val="20"/>
                <w:szCs w:val="20"/>
                <w:highlight w:val="none"/>
              </w:rPr>
              <w:t>指标</w:t>
            </w:r>
          </w:p>
        </w:tc>
        <w:tc>
          <w:tcPr>
            <w:tcW w:w="1440" w:type="dxa"/>
            <w:gridSpan w:val="2"/>
            <w:tcBorders>
              <w:top w:val="nil"/>
              <w:left w:val="nil"/>
              <w:bottom w:val="single" w:color="auto" w:sz="4" w:space="0"/>
              <w:right w:val="single" w:color="auto" w:sz="4" w:space="0"/>
            </w:tcBorders>
            <w:noWrap w:val="0"/>
            <w:vAlign w:val="center"/>
          </w:tcPr>
          <w:p w14:paraId="7ECD7BA5">
            <w:pPr>
              <w:rPr>
                <w:rFonts w:ascii="宋体" w:hAnsi="宋体" w:cs="宋体"/>
                <w:color w:val="auto"/>
                <w:sz w:val="20"/>
                <w:szCs w:val="20"/>
                <w:highlight w:val="none"/>
              </w:rPr>
            </w:pPr>
            <w:r>
              <w:rPr>
                <w:rFonts w:hint="eastAsia"/>
                <w:color w:val="auto"/>
                <w:sz w:val="20"/>
                <w:szCs w:val="20"/>
                <w:highlight w:val="none"/>
              </w:rPr>
              <w:t xml:space="preserve"> 指标1：在规定的时间内完成</w:t>
            </w:r>
          </w:p>
        </w:tc>
        <w:tc>
          <w:tcPr>
            <w:tcW w:w="540" w:type="dxa"/>
            <w:tcBorders>
              <w:top w:val="nil"/>
              <w:left w:val="nil"/>
              <w:bottom w:val="single" w:color="auto" w:sz="4" w:space="0"/>
              <w:right w:val="single" w:color="auto" w:sz="4" w:space="0"/>
            </w:tcBorders>
            <w:noWrap w:val="0"/>
            <w:vAlign w:val="center"/>
          </w:tcPr>
          <w:p w14:paraId="7FF26C63">
            <w:pPr>
              <w:rPr>
                <w:rFonts w:ascii="宋体" w:hAnsi="宋体" w:cs="宋体"/>
                <w:color w:val="auto"/>
                <w:sz w:val="20"/>
                <w:szCs w:val="20"/>
                <w:highlight w:val="none"/>
              </w:rPr>
            </w:pPr>
            <w:r>
              <w:rPr>
                <w:rFonts w:hint="eastAsia"/>
                <w:color w:val="auto"/>
                <w:sz w:val="20"/>
                <w:szCs w:val="20"/>
                <w:highlight w:val="none"/>
              </w:rPr>
              <w:t>　2个月</w:t>
            </w:r>
          </w:p>
        </w:tc>
        <w:tc>
          <w:tcPr>
            <w:tcW w:w="900" w:type="dxa"/>
            <w:gridSpan w:val="2"/>
            <w:tcBorders>
              <w:top w:val="nil"/>
              <w:left w:val="nil"/>
              <w:bottom w:val="single" w:color="auto" w:sz="4" w:space="0"/>
              <w:right w:val="single" w:color="auto" w:sz="4" w:space="0"/>
            </w:tcBorders>
            <w:noWrap w:val="0"/>
            <w:vAlign w:val="center"/>
          </w:tcPr>
          <w:p w14:paraId="7FCFAE63">
            <w:pPr>
              <w:rPr>
                <w:rFonts w:ascii="宋体" w:hAnsi="宋体" w:cs="宋体"/>
                <w:color w:val="auto"/>
                <w:sz w:val="20"/>
                <w:szCs w:val="20"/>
                <w:highlight w:val="none"/>
              </w:rPr>
            </w:pPr>
            <w:r>
              <w:rPr>
                <w:rFonts w:hint="eastAsia"/>
                <w:color w:val="auto"/>
                <w:sz w:val="20"/>
                <w:szCs w:val="20"/>
                <w:highlight w:val="none"/>
              </w:rPr>
              <w:t>　　按标准完成</w:t>
            </w:r>
          </w:p>
        </w:tc>
        <w:tc>
          <w:tcPr>
            <w:tcW w:w="900" w:type="dxa"/>
            <w:tcBorders>
              <w:top w:val="nil"/>
              <w:left w:val="single" w:color="auto" w:sz="4" w:space="0"/>
              <w:bottom w:val="single" w:color="000000" w:sz="4" w:space="0"/>
              <w:right w:val="single" w:color="auto" w:sz="4" w:space="0"/>
            </w:tcBorders>
            <w:noWrap w:val="0"/>
            <w:vAlign w:val="center"/>
          </w:tcPr>
          <w:p w14:paraId="14E0517D">
            <w:pPr>
              <w:jc w:val="center"/>
              <w:rPr>
                <w:color w:val="auto"/>
                <w:sz w:val="20"/>
                <w:szCs w:val="20"/>
                <w:highlight w:val="none"/>
              </w:rPr>
            </w:pPr>
            <w:r>
              <w:rPr>
                <w:rFonts w:hint="eastAsia"/>
                <w:color w:val="auto"/>
                <w:sz w:val="20"/>
                <w:szCs w:val="20"/>
                <w:highlight w:val="none"/>
              </w:rPr>
              <w:t>时效</w:t>
            </w:r>
          </w:p>
          <w:p w14:paraId="16823889">
            <w:pPr>
              <w:jc w:val="center"/>
              <w:rPr>
                <w:rFonts w:ascii="宋体" w:hAnsi="宋体" w:cs="宋体"/>
                <w:color w:val="auto"/>
                <w:sz w:val="20"/>
                <w:szCs w:val="20"/>
                <w:highlight w:val="none"/>
              </w:rPr>
            </w:pPr>
            <w:r>
              <w:rPr>
                <w:rFonts w:hint="eastAsia"/>
                <w:color w:val="auto"/>
                <w:sz w:val="20"/>
                <w:szCs w:val="20"/>
                <w:highlight w:val="none"/>
              </w:rPr>
              <w:t>指标</w:t>
            </w:r>
          </w:p>
        </w:tc>
        <w:tc>
          <w:tcPr>
            <w:tcW w:w="720" w:type="dxa"/>
            <w:tcBorders>
              <w:top w:val="nil"/>
              <w:left w:val="nil"/>
              <w:bottom w:val="single" w:color="auto" w:sz="4" w:space="0"/>
              <w:right w:val="single" w:color="auto" w:sz="4" w:space="0"/>
            </w:tcBorders>
            <w:noWrap w:val="0"/>
            <w:vAlign w:val="center"/>
          </w:tcPr>
          <w:p w14:paraId="002E24BE">
            <w:pPr>
              <w:rPr>
                <w:rFonts w:ascii="宋体" w:hAnsi="宋体" w:cs="宋体"/>
                <w:color w:val="auto"/>
                <w:sz w:val="20"/>
                <w:szCs w:val="20"/>
                <w:highlight w:val="none"/>
              </w:rPr>
            </w:pPr>
            <w:r>
              <w:rPr>
                <w:rFonts w:hint="eastAsia"/>
                <w:color w:val="auto"/>
                <w:sz w:val="20"/>
                <w:szCs w:val="20"/>
                <w:highlight w:val="none"/>
              </w:rPr>
              <w:t xml:space="preserve"> 指标1：</w:t>
            </w:r>
          </w:p>
        </w:tc>
        <w:tc>
          <w:tcPr>
            <w:tcW w:w="1260" w:type="dxa"/>
            <w:gridSpan w:val="2"/>
            <w:tcBorders>
              <w:top w:val="nil"/>
              <w:left w:val="nil"/>
              <w:bottom w:val="single" w:color="auto" w:sz="4" w:space="0"/>
              <w:right w:val="single" w:color="auto" w:sz="4" w:space="0"/>
            </w:tcBorders>
            <w:noWrap w:val="0"/>
            <w:vAlign w:val="center"/>
          </w:tcPr>
          <w:p w14:paraId="40F44DC9">
            <w:pPr>
              <w:rPr>
                <w:rFonts w:ascii="宋体" w:hAnsi="宋体" w:cs="宋体"/>
                <w:color w:val="auto"/>
                <w:sz w:val="20"/>
                <w:szCs w:val="20"/>
                <w:highlight w:val="none"/>
              </w:rPr>
            </w:pPr>
            <w:r>
              <w:rPr>
                <w:rFonts w:hint="eastAsia"/>
                <w:color w:val="auto"/>
                <w:sz w:val="20"/>
                <w:szCs w:val="20"/>
                <w:highlight w:val="none"/>
              </w:rPr>
              <w:t>4个月　</w:t>
            </w:r>
          </w:p>
        </w:tc>
        <w:tc>
          <w:tcPr>
            <w:tcW w:w="1260" w:type="dxa"/>
            <w:tcBorders>
              <w:top w:val="nil"/>
              <w:left w:val="nil"/>
              <w:bottom w:val="single" w:color="auto" w:sz="4" w:space="0"/>
              <w:right w:val="single" w:color="auto" w:sz="4" w:space="0"/>
            </w:tcBorders>
            <w:noWrap w:val="0"/>
            <w:vAlign w:val="center"/>
          </w:tcPr>
          <w:p w14:paraId="2F1DBBC9">
            <w:pPr>
              <w:rPr>
                <w:rFonts w:ascii="宋体" w:hAnsi="宋体" w:cs="宋体"/>
                <w:color w:val="auto"/>
                <w:sz w:val="20"/>
                <w:szCs w:val="20"/>
                <w:highlight w:val="none"/>
              </w:rPr>
            </w:pPr>
            <w:r>
              <w:rPr>
                <w:rFonts w:hint="eastAsia"/>
                <w:color w:val="auto"/>
                <w:sz w:val="20"/>
                <w:szCs w:val="20"/>
                <w:highlight w:val="none"/>
              </w:rPr>
              <w:t>按标准完成</w:t>
            </w:r>
          </w:p>
        </w:tc>
      </w:tr>
      <w:tr w14:paraId="58C431F2">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0DF83A19">
            <w:pPr>
              <w:rPr>
                <w:rFonts w:ascii="宋体" w:hAnsi="宋体" w:cs="宋体"/>
                <w:color w:val="auto"/>
                <w:sz w:val="20"/>
                <w:szCs w:val="20"/>
                <w:highlight w:val="none"/>
              </w:rPr>
            </w:pPr>
          </w:p>
        </w:tc>
        <w:tc>
          <w:tcPr>
            <w:tcW w:w="484" w:type="dxa"/>
            <w:vMerge w:val="continue"/>
            <w:tcBorders>
              <w:top w:val="single" w:color="auto" w:sz="4" w:space="0"/>
              <w:left w:val="single" w:color="auto" w:sz="4" w:space="0"/>
              <w:bottom w:val="single" w:color="auto" w:sz="4" w:space="0"/>
              <w:right w:val="single" w:color="auto" w:sz="4" w:space="0"/>
            </w:tcBorders>
            <w:noWrap w:val="0"/>
            <w:vAlign w:val="center"/>
          </w:tcPr>
          <w:p w14:paraId="66EFC2E6">
            <w:pPr>
              <w:rPr>
                <w:rFonts w:ascii="宋体" w:hAnsi="宋体" w:cs="宋体"/>
                <w:color w:val="auto"/>
                <w:sz w:val="20"/>
                <w:szCs w:val="20"/>
                <w:highlight w:val="none"/>
              </w:rPr>
            </w:pPr>
          </w:p>
        </w:tc>
        <w:tc>
          <w:tcPr>
            <w:tcW w:w="720" w:type="dxa"/>
            <w:gridSpan w:val="2"/>
            <w:tcBorders>
              <w:top w:val="nil"/>
              <w:left w:val="single" w:color="auto" w:sz="4" w:space="0"/>
              <w:bottom w:val="single" w:color="000000" w:sz="4" w:space="0"/>
              <w:right w:val="single" w:color="auto" w:sz="4" w:space="0"/>
            </w:tcBorders>
            <w:noWrap w:val="0"/>
            <w:vAlign w:val="center"/>
          </w:tcPr>
          <w:p w14:paraId="42A27B31">
            <w:pPr>
              <w:jc w:val="center"/>
              <w:rPr>
                <w:color w:val="auto"/>
                <w:sz w:val="20"/>
                <w:szCs w:val="20"/>
                <w:highlight w:val="none"/>
              </w:rPr>
            </w:pPr>
            <w:r>
              <w:rPr>
                <w:rFonts w:hint="eastAsia"/>
                <w:color w:val="auto"/>
                <w:sz w:val="20"/>
                <w:szCs w:val="20"/>
                <w:highlight w:val="none"/>
              </w:rPr>
              <w:t>成本</w:t>
            </w:r>
          </w:p>
          <w:p w14:paraId="2E25319E">
            <w:pPr>
              <w:jc w:val="center"/>
              <w:rPr>
                <w:rFonts w:ascii="宋体" w:hAnsi="宋体" w:cs="宋体"/>
                <w:color w:val="auto"/>
                <w:sz w:val="20"/>
                <w:szCs w:val="20"/>
                <w:highlight w:val="none"/>
              </w:rPr>
            </w:pPr>
            <w:r>
              <w:rPr>
                <w:rFonts w:hint="eastAsia"/>
                <w:color w:val="auto"/>
                <w:sz w:val="20"/>
                <w:szCs w:val="20"/>
                <w:highlight w:val="none"/>
              </w:rPr>
              <w:t>指标</w:t>
            </w:r>
          </w:p>
        </w:tc>
        <w:tc>
          <w:tcPr>
            <w:tcW w:w="1440" w:type="dxa"/>
            <w:gridSpan w:val="2"/>
            <w:tcBorders>
              <w:top w:val="nil"/>
              <w:left w:val="nil"/>
              <w:bottom w:val="single" w:color="auto" w:sz="4" w:space="0"/>
              <w:right w:val="single" w:color="auto" w:sz="4" w:space="0"/>
            </w:tcBorders>
            <w:noWrap w:val="0"/>
            <w:vAlign w:val="center"/>
          </w:tcPr>
          <w:p w14:paraId="45ACE099">
            <w:pPr>
              <w:rPr>
                <w:rFonts w:ascii="宋体" w:hAnsi="宋体" w:cs="宋体"/>
                <w:color w:val="auto"/>
                <w:sz w:val="20"/>
                <w:szCs w:val="20"/>
                <w:highlight w:val="none"/>
              </w:rPr>
            </w:pPr>
            <w:r>
              <w:rPr>
                <w:rFonts w:hint="eastAsia"/>
                <w:color w:val="auto"/>
                <w:sz w:val="20"/>
                <w:szCs w:val="20"/>
                <w:highlight w:val="none"/>
              </w:rPr>
              <w:t xml:space="preserve"> 指标1：中期项目实施经费</w:t>
            </w:r>
          </w:p>
        </w:tc>
        <w:tc>
          <w:tcPr>
            <w:tcW w:w="540" w:type="dxa"/>
            <w:tcBorders>
              <w:top w:val="nil"/>
              <w:left w:val="nil"/>
              <w:bottom w:val="single" w:color="auto" w:sz="4" w:space="0"/>
              <w:right w:val="single" w:color="auto" w:sz="4" w:space="0"/>
            </w:tcBorders>
            <w:noWrap w:val="0"/>
            <w:vAlign w:val="center"/>
          </w:tcPr>
          <w:p w14:paraId="7F78A67C">
            <w:pPr>
              <w:rPr>
                <w:rFonts w:ascii="宋体" w:hAnsi="宋体" w:cs="宋体"/>
                <w:color w:val="auto"/>
                <w:sz w:val="20"/>
                <w:szCs w:val="20"/>
                <w:highlight w:val="none"/>
              </w:rPr>
            </w:pPr>
            <w:r>
              <w:rPr>
                <w:rFonts w:hint="eastAsia"/>
                <w:color w:val="auto"/>
                <w:sz w:val="20"/>
                <w:szCs w:val="20"/>
                <w:highlight w:val="none"/>
              </w:rPr>
              <w:t>7万</w:t>
            </w:r>
          </w:p>
        </w:tc>
        <w:tc>
          <w:tcPr>
            <w:tcW w:w="900" w:type="dxa"/>
            <w:gridSpan w:val="2"/>
            <w:tcBorders>
              <w:top w:val="nil"/>
              <w:left w:val="nil"/>
              <w:bottom w:val="single" w:color="auto" w:sz="4" w:space="0"/>
              <w:right w:val="single" w:color="auto" w:sz="4" w:space="0"/>
            </w:tcBorders>
            <w:noWrap w:val="0"/>
            <w:vAlign w:val="center"/>
          </w:tcPr>
          <w:p w14:paraId="70DF0F44">
            <w:pPr>
              <w:rPr>
                <w:rFonts w:ascii="宋体" w:hAnsi="宋体" w:cs="宋体"/>
                <w:color w:val="auto"/>
                <w:sz w:val="20"/>
                <w:szCs w:val="20"/>
                <w:highlight w:val="none"/>
              </w:rPr>
            </w:pPr>
            <w:r>
              <w:rPr>
                <w:rFonts w:hint="eastAsia"/>
                <w:color w:val="auto"/>
                <w:sz w:val="20"/>
                <w:szCs w:val="20"/>
                <w:highlight w:val="none"/>
              </w:rPr>
              <w:t>　　按标准完成</w:t>
            </w:r>
          </w:p>
        </w:tc>
        <w:tc>
          <w:tcPr>
            <w:tcW w:w="900" w:type="dxa"/>
            <w:tcBorders>
              <w:top w:val="nil"/>
              <w:left w:val="single" w:color="auto" w:sz="4" w:space="0"/>
              <w:bottom w:val="single" w:color="000000" w:sz="4" w:space="0"/>
              <w:right w:val="single" w:color="auto" w:sz="4" w:space="0"/>
            </w:tcBorders>
            <w:noWrap w:val="0"/>
            <w:vAlign w:val="center"/>
          </w:tcPr>
          <w:p w14:paraId="60036CDB">
            <w:pPr>
              <w:jc w:val="center"/>
              <w:rPr>
                <w:color w:val="auto"/>
                <w:sz w:val="20"/>
                <w:szCs w:val="20"/>
                <w:highlight w:val="none"/>
              </w:rPr>
            </w:pPr>
            <w:r>
              <w:rPr>
                <w:rFonts w:hint="eastAsia"/>
                <w:color w:val="auto"/>
                <w:sz w:val="20"/>
                <w:szCs w:val="20"/>
                <w:highlight w:val="none"/>
              </w:rPr>
              <w:t>成本</w:t>
            </w:r>
          </w:p>
          <w:p w14:paraId="3458938E">
            <w:pPr>
              <w:jc w:val="center"/>
              <w:rPr>
                <w:rFonts w:ascii="宋体" w:hAnsi="宋体" w:cs="宋体"/>
                <w:color w:val="auto"/>
                <w:sz w:val="20"/>
                <w:szCs w:val="20"/>
                <w:highlight w:val="none"/>
              </w:rPr>
            </w:pPr>
            <w:r>
              <w:rPr>
                <w:rFonts w:hint="eastAsia"/>
                <w:color w:val="auto"/>
                <w:sz w:val="20"/>
                <w:szCs w:val="20"/>
                <w:highlight w:val="none"/>
              </w:rPr>
              <w:t>指标</w:t>
            </w:r>
          </w:p>
        </w:tc>
        <w:tc>
          <w:tcPr>
            <w:tcW w:w="720" w:type="dxa"/>
            <w:tcBorders>
              <w:top w:val="nil"/>
              <w:left w:val="nil"/>
              <w:bottom w:val="single" w:color="auto" w:sz="4" w:space="0"/>
              <w:right w:val="single" w:color="auto" w:sz="4" w:space="0"/>
            </w:tcBorders>
            <w:noWrap w:val="0"/>
            <w:vAlign w:val="center"/>
          </w:tcPr>
          <w:p w14:paraId="6F082D44">
            <w:pPr>
              <w:rPr>
                <w:rFonts w:ascii="宋体" w:hAnsi="宋体" w:cs="宋体"/>
                <w:color w:val="auto"/>
                <w:sz w:val="20"/>
                <w:szCs w:val="20"/>
                <w:highlight w:val="none"/>
              </w:rPr>
            </w:pPr>
            <w:r>
              <w:rPr>
                <w:rFonts w:hint="eastAsia"/>
                <w:color w:val="auto"/>
                <w:sz w:val="20"/>
                <w:szCs w:val="20"/>
                <w:highlight w:val="none"/>
              </w:rPr>
              <w:t xml:space="preserve"> 指标1：</w:t>
            </w:r>
          </w:p>
        </w:tc>
        <w:tc>
          <w:tcPr>
            <w:tcW w:w="1260" w:type="dxa"/>
            <w:gridSpan w:val="2"/>
            <w:tcBorders>
              <w:top w:val="nil"/>
              <w:left w:val="nil"/>
              <w:bottom w:val="single" w:color="auto" w:sz="4" w:space="0"/>
              <w:right w:val="single" w:color="auto" w:sz="4" w:space="0"/>
            </w:tcBorders>
            <w:noWrap w:val="0"/>
            <w:vAlign w:val="center"/>
          </w:tcPr>
          <w:p w14:paraId="0F065A49">
            <w:pPr>
              <w:rPr>
                <w:rFonts w:ascii="宋体" w:hAnsi="宋体" w:cs="宋体"/>
                <w:color w:val="auto"/>
                <w:sz w:val="20"/>
                <w:szCs w:val="20"/>
                <w:highlight w:val="none"/>
              </w:rPr>
            </w:pPr>
            <w:r>
              <w:rPr>
                <w:rFonts w:hint="eastAsia"/>
                <w:color w:val="auto"/>
                <w:sz w:val="20"/>
                <w:szCs w:val="20"/>
                <w:highlight w:val="none"/>
              </w:rPr>
              <w:t>　15</w:t>
            </w:r>
          </w:p>
        </w:tc>
        <w:tc>
          <w:tcPr>
            <w:tcW w:w="1260" w:type="dxa"/>
            <w:tcBorders>
              <w:top w:val="nil"/>
              <w:left w:val="nil"/>
              <w:bottom w:val="single" w:color="auto" w:sz="4" w:space="0"/>
              <w:right w:val="single" w:color="auto" w:sz="4" w:space="0"/>
            </w:tcBorders>
            <w:noWrap w:val="0"/>
            <w:vAlign w:val="center"/>
          </w:tcPr>
          <w:p w14:paraId="3D07FE1A">
            <w:pPr>
              <w:rPr>
                <w:rFonts w:ascii="宋体" w:hAnsi="宋体" w:cs="宋体"/>
                <w:color w:val="auto"/>
                <w:sz w:val="20"/>
                <w:szCs w:val="20"/>
                <w:highlight w:val="none"/>
              </w:rPr>
            </w:pPr>
            <w:r>
              <w:rPr>
                <w:rFonts w:hint="eastAsia"/>
                <w:color w:val="auto"/>
                <w:sz w:val="20"/>
                <w:szCs w:val="20"/>
                <w:highlight w:val="none"/>
              </w:rPr>
              <w:t>　按标准完成</w:t>
            </w:r>
          </w:p>
        </w:tc>
      </w:tr>
      <w:tr w14:paraId="6DFDA00A">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038B6FF1">
            <w:pPr>
              <w:rPr>
                <w:rFonts w:ascii="宋体" w:hAnsi="宋体" w:cs="宋体"/>
                <w:color w:val="auto"/>
                <w:sz w:val="20"/>
                <w:szCs w:val="20"/>
                <w:highlight w:val="none"/>
              </w:rPr>
            </w:pPr>
          </w:p>
        </w:tc>
        <w:tc>
          <w:tcPr>
            <w:tcW w:w="484" w:type="dxa"/>
            <w:vMerge w:val="restart"/>
            <w:tcBorders>
              <w:top w:val="nil"/>
              <w:left w:val="single" w:color="auto" w:sz="4" w:space="0"/>
              <w:bottom w:val="single" w:color="auto" w:sz="4" w:space="0"/>
              <w:right w:val="single" w:color="auto" w:sz="4" w:space="0"/>
            </w:tcBorders>
            <w:noWrap w:val="0"/>
            <w:vAlign w:val="center"/>
          </w:tcPr>
          <w:p w14:paraId="71A619D9">
            <w:pPr>
              <w:jc w:val="center"/>
              <w:rPr>
                <w:rFonts w:ascii="宋体" w:hAnsi="宋体" w:cs="宋体"/>
                <w:color w:val="auto"/>
                <w:sz w:val="20"/>
                <w:szCs w:val="20"/>
                <w:highlight w:val="none"/>
              </w:rPr>
            </w:pPr>
            <w:r>
              <w:rPr>
                <w:rFonts w:hint="eastAsia"/>
                <w:color w:val="auto"/>
                <w:sz w:val="20"/>
                <w:szCs w:val="20"/>
                <w:highlight w:val="none"/>
              </w:rPr>
              <w:t>效</w:t>
            </w:r>
            <w:r>
              <w:rPr>
                <w:rFonts w:hint="eastAsia"/>
                <w:color w:val="auto"/>
                <w:sz w:val="20"/>
                <w:szCs w:val="20"/>
                <w:highlight w:val="none"/>
              </w:rPr>
              <w:br w:type="textWrapping"/>
            </w:r>
            <w:r>
              <w:rPr>
                <w:rFonts w:hint="eastAsia"/>
                <w:color w:val="auto"/>
                <w:sz w:val="20"/>
                <w:szCs w:val="20"/>
                <w:highlight w:val="none"/>
              </w:rPr>
              <w:t>益</w:t>
            </w:r>
            <w:r>
              <w:rPr>
                <w:rFonts w:hint="eastAsia"/>
                <w:color w:val="auto"/>
                <w:sz w:val="20"/>
                <w:szCs w:val="20"/>
                <w:highlight w:val="none"/>
              </w:rPr>
              <w:br w:type="textWrapping"/>
            </w:r>
            <w:r>
              <w:rPr>
                <w:rFonts w:hint="eastAsia"/>
                <w:color w:val="auto"/>
                <w:sz w:val="20"/>
                <w:szCs w:val="20"/>
                <w:highlight w:val="none"/>
              </w:rPr>
              <w:t>指</w:t>
            </w:r>
            <w:r>
              <w:rPr>
                <w:rFonts w:hint="eastAsia"/>
                <w:color w:val="auto"/>
                <w:sz w:val="20"/>
                <w:szCs w:val="20"/>
                <w:highlight w:val="none"/>
              </w:rPr>
              <w:br w:type="textWrapping"/>
            </w:r>
            <w:r>
              <w:rPr>
                <w:rFonts w:hint="eastAsia"/>
                <w:color w:val="auto"/>
                <w:sz w:val="20"/>
                <w:szCs w:val="20"/>
                <w:highlight w:val="none"/>
              </w:rPr>
              <w:t>标</w:t>
            </w:r>
          </w:p>
        </w:tc>
        <w:tc>
          <w:tcPr>
            <w:tcW w:w="720" w:type="dxa"/>
            <w:gridSpan w:val="2"/>
            <w:tcBorders>
              <w:top w:val="nil"/>
              <w:left w:val="single" w:color="auto" w:sz="4" w:space="0"/>
              <w:bottom w:val="single" w:color="000000" w:sz="4" w:space="0"/>
              <w:right w:val="single" w:color="auto" w:sz="4" w:space="0"/>
            </w:tcBorders>
            <w:noWrap w:val="0"/>
            <w:vAlign w:val="center"/>
          </w:tcPr>
          <w:p w14:paraId="0FCC1B90">
            <w:pPr>
              <w:jc w:val="center"/>
              <w:rPr>
                <w:rFonts w:ascii="宋体" w:hAnsi="宋体" w:cs="宋体"/>
                <w:color w:val="auto"/>
                <w:sz w:val="20"/>
                <w:szCs w:val="20"/>
                <w:highlight w:val="none"/>
              </w:rPr>
            </w:pPr>
            <w:r>
              <w:rPr>
                <w:rFonts w:hint="eastAsia"/>
                <w:color w:val="auto"/>
                <w:sz w:val="20"/>
                <w:szCs w:val="20"/>
                <w:highlight w:val="none"/>
              </w:rPr>
              <w:t>经济效益指标</w:t>
            </w:r>
          </w:p>
        </w:tc>
        <w:tc>
          <w:tcPr>
            <w:tcW w:w="1440" w:type="dxa"/>
            <w:gridSpan w:val="2"/>
            <w:tcBorders>
              <w:top w:val="nil"/>
              <w:left w:val="nil"/>
              <w:bottom w:val="single" w:color="auto" w:sz="4" w:space="0"/>
              <w:right w:val="single" w:color="auto" w:sz="4" w:space="0"/>
            </w:tcBorders>
            <w:noWrap w:val="0"/>
            <w:vAlign w:val="center"/>
          </w:tcPr>
          <w:p w14:paraId="319E74E9">
            <w:pPr>
              <w:rPr>
                <w:rFonts w:ascii="宋体" w:hAnsi="宋体" w:cs="宋体"/>
                <w:color w:val="auto"/>
                <w:sz w:val="20"/>
                <w:szCs w:val="20"/>
                <w:highlight w:val="none"/>
              </w:rPr>
            </w:pPr>
            <w:r>
              <w:rPr>
                <w:rFonts w:hint="eastAsia"/>
                <w:color w:val="auto"/>
                <w:sz w:val="20"/>
                <w:szCs w:val="20"/>
                <w:highlight w:val="none"/>
              </w:rPr>
              <w:t xml:space="preserve"> 指标1：</w:t>
            </w:r>
          </w:p>
        </w:tc>
        <w:tc>
          <w:tcPr>
            <w:tcW w:w="540" w:type="dxa"/>
            <w:tcBorders>
              <w:top w:val="nil"/>
              <w:left w:val="nil"/>
              <w:bottom w:val="single" w:color="auto" w:sz="4" w:space="0"/>
              <w:right w:val="single" w:color="auto" w:sz="4" w:space="0"/>
            </w:tcBorders>
            <w:noWrap w:val="0"/>
            <w:vAlign w:val="center"/>
          </w:tcPr>
          <w:p w14:paraId="6920DA96">
            <w:pPr>
              <w:rPr>
                <w:rFonts w:ascii="宋体" w:hAnsi="宋体" w:cs="宋体"/>
                <w:color w:val="auto"/>
                <w:sz w:val="20"/>
                <w:szCs w:val="20"/>
                <w:highlight w:val="none"/>
              </w:rPr>
            </w:pPr>
            <w:r>
              <w:rPr>
                <w:rFonts w:hint="eastAsia"/>
                <w:color w:val="auto"/>
                <w:sz w:val="20"/>
                <w:szCs w:val="20"/>
                <w:highlight w:val="none"/>
              </w:rPr>
              <w:t>　</w:t>
            </w:r>
          </w:p>
        </w:tc>
        <w:tc>
          <w:tcPr>
            <w:tcW w:w="900" w:type="dxa"/>
            <w:gridSpan w:val="2"/>
            <w:tcBorders>
              <w:top w:val="nil"/>
              <w:left w:val="nil"/>
              <w:bottom w:val="single" w:color="auto" w:sz="4" w:space="0"/>
              <w:right w:val="single" w:color="auto" w:sz="4" w:space="0"/>
            </w:tcBorders>
            <w:noWrap w:val="0"/>
            <w:vAlign w:val="center"/>
          </w:tcPr>
          <w:p w14:paraId="7CED309E">
            <w:pPr>
              <w:rPr>
                <w:rFonts w:ascii="宋体" w:hAnsi="宋体" w:cs="宋体"/>
                <w:color w:val="auto"/>
                <w:sz w:val="20"/>
                <w:szCs w:val="20"/>
                <w:highlight w:val="none"/>
              </w:rPr>
            </w:pPr>
            <w:r>
              <w:rPr>
                <w:rFonts w:hint="eastAsia"/>
                <w:color w:val="auto"/>
                <w:sz w:val="20"/>
                <w:szCs w:val="20"/>
                <w:highlight w:val="none"/>
              </w:rPr>
              <w:t>　</w:t>
            </w:r>
          </w:p>
        </w:tc>
        <w:tc>
          <w:tcPr>
            <w:tcW w:w="900" w:type="dxa"/>
            <w:tcBorders>
              <w:top w:val="nil"/>
              <w:left w:val="single" w:color="auto" w:sz="4" w:space="0"/>
              <w:bottom w:val="single" w:color="000000" w:sz="4" w:space="0"/>
              <w:right w:val="single" w:color="auto" w:sz="4" w:space="0"/>
            </w:tcBorders>
            <w:noWrap w:val="0"/>
            <w:vAlign w:val="center"/>
          </w:tcPr>
          <w:p w14:paraId="1A5FC097">
            <w:pPr>
              <w:jc w:val="center"/>
              <w:rPr>
                <w:color w:val="auto"/>
                <w:sz w:val="20"/>
                <w:szCs w:val="20"/>
                <w:highlight w:val="none"/>
              </w:rPr>
            </w:pPr>
            <w:r>
              <w:rPr>
                <w:rFonts w:hint="eastAsia"/>
                <w:color w:val="auto"/>
                <w:sz w:val="20"/>
                <w:szCs w:val="20"/>
                <w:highlight w:val="none"/>
              </w:rPr>
              <w:t>经济效</w:t>
            </w:r>
          </w:p>
          <w:p w14:paraId="4450FBD3">
            <w:pPr>
              <w:jc w:val="center"/>
              <w:rPr>
                <w:rFonts w:ascii="宋体" w:hAnsi="宋体" w:cs="宋体"/>
                <w:color w:val="auto"/>
                <w:sz w:val="20"/>
                <w:szCs w:val="20"/>
                <w:highlight w:val="none"/>
              </w:rPr>
            </w:pPr>
            <w:r>
              <w:rPr>
                <w:rFonts w:hint="eastAsia"/>
                <w:color w:val="auto"/>
                <w:sz w:val="20"/>
                <w:szCs w:val="20"/>
                <w:highlight w:val="none"/>
              </w:rPr>
              <w:t>益指标</w:t>
            </w:r>
          </w:p>
        </w:tc>
        <w:tc>
          <w:tcPr>
            <w:tcW w:w="720" w:type="dxa"/>
            <w:tcBorders>
              <w:top w:val="nil"/>
              <w:left w:val="nil"/>
              <w:bottom w:val="single" w:color="auto" w:sz="4" w:space="0"/>
              <w:right w:val="single" w:color="auto" w:sz="4" w:space="0"/>
            </w:tcBorders>
            <w:noWrap w:val="0"/>
            <w:vAlign w:val="center"/>
          </w:tcPr>
          <w:p w14:paraId="76C34BA8">
            <w:pPr>
              <w:rPr>
                <w:rFonts w:ascii="宋体" w:hAnsi="宋体" w:cs="宋体"/>
                <w:color w:val="auto"/>
                <w:sz w:val="20"/>
                <w:szCs w:val="20"/>
                <w:highlight w:val="none"/>
              </w:rPr>
            </w:pPr>
            <w:r>
              <w:rPr>
                <w:rFonts w:hint="eastAsia"/>
                <w:color w:val="auto"/>
                <w:sz w:val="20"/>
                <w:szCs w:val="20"/>
                <w:highlight w:val="none"/>
              </w:rPr>
              <w:t xml:space="preserve"> 指标1：</w:t>
            </w:r>
          </w:p>
        </w:tc>
        <w:tc>
          <w:tcPr>
            <w:tcW w:w="1260" w:type="dxa"/>
            <w:gridSpan w:val="2"/>
            <w:tcBorders>
              <w:top w:val="nil"/>
              <w:left w:val="nil"/>
              <w:bottom w:val="single" w:color="auto" w:sz="4" w:space="0"/>
              <w:right w:val="single" w:color="auto" w:sz="4" w:space="0"/>
            </w:tcBorders>
            <w:noWrap w:val="0"/>
            <w:vAlign w:val="center"/>
          </w:tcPr>
          <w:p w14:paraId="4CD4A926">
            <w:pPr>
              <w:rPr>
                <w:rFonts w:ascii="宋体" w:hAnsi="宋体" w:cs="宋体"/>
                <w:color w:val="auto"/>
                <w:sz w:val="20"/>
                <w:szCs w:val="20"/>
                <w:highlight w:val="none"/>
              </w:rPr>
            </w:pPr>
            <w:r>
              <w:rPr>
                <w:rFonts w:hint="eastAsia"/>
                <w:color w:val="auto"/>
                <w:sz w:val="20"/>
                <w:szCs w:val="20"/>
                <w:highlight w:val="none"/>
              </w:rPr>
              <w:t>　</w:t>
            </w:r>
          </w:p>
        </w:tc>
        <w:tc>
          <w:tcPr>
            <w:tcW w:w="1260" w:type="dxa"/>
            <w:tcBorders>
              <w:top w:val="nil"/>
              <w:left w:val="nil"/>
              <w:bottom w:val="single" w:color="auto" w:sz="4" w:space="0"/>
              <w:right w:val="single" w:color="auto" w:sz="4" w:space="0"/>
            </w:tcBorders>
            <w:noWrap w:val="0"/>
            <w:vAlign w:val="center"/>
          </w:tcPr>
          <w:p w14:paraId="594A6B03">
            <w:pPr>
              <w:rPr>
                <w:rFonts w:ascii="宋体" w:hAnsi="宋体" w:cs="宋体"/>
                <w:color w:val="auto"/>
                <w:sz w:val="20"/>
                <w:szCs w:val="20"/>
                <w:highlight w:val="none"/>
              </w:rPr>
            </w:pPr>
            <w:r>
              <w:rPr>
                <w:rFonts w:hint="eastAsia"/>
                <w:color w:val="auto"/>
                <w:sz w:val="20"/>
                <w:szCs w:val="20"/>
                <w:highlight w:val="none"/>
              </w:rPr>
              <w:t>　</w:t>
            </w:r>
          </w:p>
        </w:tc>
      </w:tr>
      <w:tr w14:paraId="36D7AE93">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04B1D884">
            <w:pPr>
              <w:rPr>
                <w:rFonts w:ascii="宋体" w:hAnsi="宋体" w:cs="宋体"/>
                <w:color w:val="auto"/>
                <w:sz w:val="20"/>
                <w:szCs w:val="20"/>
                <w:highlight w:val="none"/>
              </w:rPr>
            </w:pPr>
          </w:p>
        </w:tc>
        <w:tc>
          <w:tcPr>
            <w:tcW w:w="484" w:type="dxa"/>
            <w:vMerge w:val="continue"/>
            <w:tcBorders>
              <w:top w:val="nil"/>
              <w:left w:val="single" w:color="auto" w:sz="4" w:space="0"/>
              <w:bottom w:val="single" w:color="auto" w:sz="4" w:space="0"/>
              <w:right w:val="single" w:color="auto" w:sz="4" w:space="0"/>
            </w:tcBorders>
            <w:noWrap w:val="0"/>
            <w:vAlign w:val="center"/>
          </w:tcPr>
          <w:p w14:paraId="103DA04C">
            <w:pPr>
              <w:rPr>
                <w:rFonts w:ascii="宋体" w:hAnsi="宋体" w:cs="宋体"/>
                <w:color w:val="auto"/>
                <w:sz w:val="20"/>
                <w:szCs w:val="20"/>
                <w:highlight w:val="none"/>
              </w:rPr>
            </w:pPr>
          </w:p>
        </w:tc>
        <w:tc>
          <w:tcPr>
            <w:tcW w:w="720" w:type="dxa"/>
            <w:gridSpan w:val="2"/>
            <w:tcBorders>
              <w:top w:val="nil"/>
              <w:left w:val="single" w:color="auto" w:sz="4" w:space="0"/>
              <w:bottom w:val="single" w:color="000000" w:sz="4" w:space="0"/>
              <w:right w:val="single" w:color="auto" w:sz="4" w:space="0"/>
            </w:tcBorders>
            <w:noWrap w:val="0"/>
            <w:vAlign w:val="center"/>
          </w:tcPr>
          <w:p w14:paraId="3CC5E2FD">
            <w:pPr>
              <w:jc w:val="center"/>
              <w:rPr>
                <w:rFonts w:ascii="宋体" w:hAnsi="宋体" w:cs="宋体"/>
                <w:color w:val="auto"/>
                <w:sz w:val="20"/>
                <w:szCs w:val="20"/>
                <w:highlight w:val="none"/>
              </w:rPr>
            </w:pPr>
            <w:r>
              <w:rPr>
                <w:rFonts w:hint="eastAsia"/>
                <w:color w:val="auto"/>
                <w:sz w:val="20"/>
                <w:szCs w:val="20"/>
                <w:highlight w:val="none"/>
              </w:rPr>
              <w:t>社会效益指标</w:t>
            </w:r>
          </w:p>
        </w:tc>
        <w:tc>
          <w:tcPr>
            <w:tcW w:w="1440" w:type="dxa"/>
            <w:gridSpan w:val="2"/>
            <w:tcBorders>
              <w:top w:val="nil"/>
              <w:left w:val="nil"/>
              <w:bottom w:val="single" w:color="auto" w:sz="4" w:space="0"/>
              <w:right w:val="single" w:color="auto" w:sz="4" w:space="0"/>
            </w:tcBorders>
            <w:noWrap w:val="0"/>
            <w:vAlign w:val="center"/>
          </w:tcPr>
          <w:p w14:paraId="572BD939">
            <w:pPr>
              <w:widowControl/>
              <w:spacing w:line="240" w:lineRule="exact"/>
              <w:jc w:val="left"/>
              <w:rPr>
                <w:rFonts w:ascii="仿宋_GB2312" w:hAnsi="仿宋_GB2312" w:eastAsia="仿宋_GB2312" w:cs="仿宋_GB2312"/>
                <w:color w:val="auto"/>
                <w:kern w:val="0"/>
                <w:sz w:val="18"/>
                <w:szCs w:val="18"/>
                <w:highlight w:val="none"/>
              </w:rPr>
            </w:pPr>
            <w:r>
              <w:rPr>
                <w:rFonts w:hint="eastAsia"/>
                <w:color w:val="auto"/>
                <w:sz w:val="20"/>
                <w:szCs w:val="20"/>
                <w:highlight w:val="none"/>
              </w:rPr>
              <w:t xml:space="preserve"> 指标1：</w:t>
            </w:r>
            <w:r>
              <w:rPr>
                <w:rFonts w:hint="eastAsia" w:ascii="仿宋_GB2312" w:hAnsi="仿宋_GB2312" w:eastAsia="仿宋_GB2312" w:cs="仿宋_GB2312"/>
                <w:color w:val="auto"/>
                <w:kern w:val="0"/>
                <w:sz w:val="18"/>
                <w:szCs w:val="18"/>
                <w:highlight w:val="none"/>
              </w:rPr>
              <w:t>通过项目实施。农饮水水质安全性大大提高</w:t>
            </w:r>
          </w:p>
          <w:p w14:paraId="7E3D18A6">
            <w:pPr>
              <w:rPr>
                <w:rFonts w:ascii="宋体" w:hAnsi="宋体" w:cs="宋体"/>
                <w:color w:val="auto"/>
                <w:sz w:val="20"/>
                <w:szCs w:val="20"/>
                <w:highlight w:val="none"/>
              </w:rPr>
            </w:pPr>
            <w:r>
              <w:rPr>
                <w:rFonts w:hint="eastAsia" w:ascii="仿宋_GB2312" w:hAnsi="仿宋_GB2312" w:eastAsia="仿宋_GB2312" w:cs="仿宋_GB2312"/>
                <w:color w:val="auto"/>
                <w:kern w:val="0"/>
                <w:sz w:val="18"/>
                <w:szCs w:val="18"/>
                <w:highlight w:val="none"/>
              </w:rPr>
              <w:t>群众生活幸福感提高</w:t>
            </w:r>
          </w:p>
        </w:tc>
        <w:tc>
          <w:tcPr>
            <w:tcW w:w="540" w:type="dxa"/>
            <w:tcBorders>
              <w:top w:val="nil"/>
              <w:left w:val="nil"/>
              <w:bottom w:val="single" w:color="auto" w:sz="4" w:space="0"/>
              <w:right w:val="single" w:color="auto" w:sz="4" w:space="0"/>
            </w:tcBorders>
            <w:noWrap w:val="0"/>
            <w:vAlign w:val="center"/>
          </w:tcPr>
          <w:p w14:paraId="573A3673">
            <w:pPr>
              <w:rPr>
                <w:rFonts w:ascii="宋体" w:hAnsi="宋体" w:cs="宋体"/>
                <w:color w:val="auto"/>
                <w:sz w:val="20"/>
                <w:szCs w:val="20"/>
                <w:highlight w:val="none"/>
              </w:rPr>
            </w:pPr>
            <w:r>
              <w:rPr>
                <w:rFonts w:hint="eastAsia"/>
                <w:color w:val="auto"/>
                <w:sz w:val="20"/>
                <w:szCs w:val="20"/>
                <w:highlight w:val="none"/>
              </w:rPr>
              <w:t>　</w:t>
            </w:r>
          </w:p>
        </w:tc>
        <w:tc>
          <w:tcPr>
            <w:tcW w:w="900" w:type="dxa"/>
            <w:gridSpan w:val="2"/>
            <w:tcBorders>
              <w:top w:val="nil"/>
              <w:left w:val="nil"/>
              <w:bottom w:val="single" w:color="auto" w:sz="4" w:space="0"/>
              <w:right w:val="single" w:color="auto" w:sz="4" w:space="0"/>
            </w:tcBorders>
            <w:noWrap w:val="0"/>
            <w:vAlign w:val="center"/>
          </w:tcPr>
          <w:p w14:paraId="5A5CFD5F">
            <w:pPr>
              <w:rPr>
                <w:rFonts w:ascii="宋体" w:hAnsi="宋体" w:cs="宋体"/>
                <w:color w:val="auto"/>
                <w:sz w:val="20"/>
                <w:szCs w:val="20"/>
                <w:highlight w:val="none"/>
              </w:rPr>
            </w:pPr>
            <w:r>
              <w:rPr>
                <w:rFonts w:hint="eastAsia"/>
                <w:color w:val="auto"/>
                <w:sz w:val="20"/>
                <w:szCs w:val="20"/>
                <w:highlight w:val="none"/>
              </w:rPr>
              <w:t>　按标准完成</w:t>
            </w:r>
          </w:p>
        </w:tc>
        <w:tc>
          <w:tcPr>
            <w:tcW w:w="900" w:type="dxa"/>
            <w:tcBorders>
              <w:top w:val="nil"/>
              <w:left w:val="single" w:color="auto" w:sz="4" w:space="0"/>
              <w:bottom w:val="single" w:color="000000" w:sz="4" w:space="0"/>
              <w:right w:val="single" w:color="auto" w:sz="4" w:space="0"/>
            </w:tcBorders>
            <w:noWrap w:val="0"/>
            <w:vAlign w:val="center"/>
          </w:tcPr>
          <w:p w14:paraId="7223569E">
            <w:pPr>
              <w:jc w:val="center"/>
              <w:rPr>
                <w:color w:val="auto"/>
                <w:sz w:val="20"/>
                <w:szCs w:val="20"/>
                <w:highlight w:val="none"/>
              </w:rPr>
            </w:pPr>
            <w:r>
              <w:rPr>
                <w:rFonts w:hint="eastAsia"/>
                <w:color w:val="auto"/>
                <w:sz w:val="20"/>
                <w:szCs w:val="20"/>
                <w:highlight w:val="none"/>
              </w:rPr>
              <w:t>社会效</w:t>
            </w:r>
          </w:p>
          <w:p w14:paraId="7733BDD6">
            <w:pPr>
              <w:jc w:val="center"/>
              <w:rPr>
                <w:rFonts w:ascii="宋体" w:hAnsi="宋体" w:cs="宋体"/>
                <w:color w:val="auto"/>
                <w:sz w:val="20"/>
                <w:szCs w:val="20"/>
                <w:highlight w:val="none"/>
              </w:rPr>
            </w:pPr>
            <w:r>
              <w:rPr>
                <w:rFonts w:hint="eastAsia"/>
                <w:color w:val="auto"/>
                <w:sz w:val="20"/>
                <w:szCs w:val="20"/>
                <w:highlight w:val="none"/>
              </w:rPr>
              <w:t>益指标</w:t>
            </w:r>
          </w:p>
        </w:tc>
        <w:tc>
          <w:tcPr>
            <w:tcW w:w="720" w:type="dxa"/>
            <w:tcBorders>
              <w:top w:val="nil"/>
              <w:left w:val="nil"/>
              <w:bottom w:val="single" w:color="auto" w:sz="4" w:space="0"/>
              <w:right w:val="single" w:color="auto" w:sz="4" w:space="0"/>
            </w:tcBorders>
            <w:noWrap w:val="0"/>
            <w:vAlign w:val="center"/>
          </w:tcPr>
          <w:p w14:paraId="6DBADC6F">
            <w:pPr>
              <w:rPr>
                <w:rFonts w:ascii="宋体" w:hAnsi="宋体" w:cs="宋体"/>
                <w:color w:val="auto"/>
                <w:sz w:val="20"/>
                <w:szCs w:val="20"/>
                <w:highlight w:val="none"/>
              </w:rPr>
            </w:pPr>
            <w:r>
              <w:rPr>
                <w:rFonts w:hint="eastAsia"/>
                <w:color w:val="auto"/>
                <w:sz w:val="20"/>
                <w:szCs w:val="20"/>
                <w:highlight w:val="none"/>
              </w:rPr>
              <w:t xml:space="preserve"> 指标1：</w:t>
            </w:r>
          </w:p>
        </w:tc>
        <w:tc>
          <w:tcPr>
            <w:tcW w:w="1260" w:type="dxa"/>
            <w:gridSpan w:val="2"/>
            <w:tcBorders>
              <w:top w:val="nil"/>
              <w:left w:val="nil"/>
              <w:bottom w:val="single" w:color="auto" w:sz="4" w:space="0"/>
              <w:right w:val="single" w:color="auto" w:sz="4" w:space="0"/>
            </w:tcBorders>
            <w:noWrap w:val="0"/>
            <w:vAlign w:val="center"/>
          </w:tcPr>
          <w:p w14:paraId="404B253C">
            <w:pPr>
              <w:widowControl/>
              <w:spacing w:line="240" w:lineRule="exact"/>
              <w:jc w:val="left"/>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通过项目实施。农饮水水质安全性大大提高</w:t>
            </w:r>
          </w:p>
          <w:p w14:paraId="5FB02A18">
            <w:pPr>
              <w:rPr>
                <w:rFonts w:ascii="宋体" w:hAnsi="宋体" w:cs="宋体"/>
                <w:color w:val="auto"/>
                <w:sz w:val="20"/>
                <w:szCs w:val="20"/>
                <w:highlight w:val="none"/>
              </w:rPr>
            </w:pPr>
            <w:r>
              <w:rPr>
                <w:rFonts w:hint="eastAsia" w:ascii="仿宋_GB2312" w:hAnsi="仿宋_GB2312" w:eastAsia="仿宋_GB2312" w:cs="仿宋_GB2312"/>
                <w:color w:val="auto"/>
                <w:kern w:val="0"/>
                <w:sz w:val="18"/>
                <w:szCs w:val="18"/>
                <w:highlight w:val="none"/>
              </w:rPr>
              <w:t>群众生活幸福感提高</w:t>
            </w:r>
            <w:r>
              <w:rPr>
                <w:rFonts w:hint="eastAsia"/>
                <w:color w:val="auto"/>
                <w:sz w:val="20"/>
                <w:szCs w:val="20"/>
                <w:highlight w:val="none"/>
              </w:rPr>
              <w:t>　</w:t>
            </w:r>
          </w:p>
        </w:tc>
        <w:tc>
          <w:tcPr>
            <w:tcW w:w="1260" w:type="dxa"/>
            <w:tcBorders>
              <w:top w:val="nil"/>
              <w:left w:val="nil"/>
              <w:bottom w:val="single" w:color="auto" w:sz="4" w:space="0"/>
              <w:right w:val="single" w:color="auto" w:sz="4" w:space="0"/>
            </w:tcBorders>
            <w:noWrap w:val="0"/>
            <w:vAlign w:val="center"/>
          </w:tcPr>
          <w:p w14:paraId="4034C1F9">
            <w:pPr>
              <w:rPr>
                <w:rFonts w:ascii="宋体" w:hAnsi="宋体" w:cs="宋体"/>
                <w:color w:val="auto"/>
                <w:sz w:val="20"/>
                <w:szCs w:val="20"/>
                <w:highlight w:val="none"/>
              </w:rPr>
            </w:pPr>
            <w:r>
              <w:rPr>
                <w:rFonts w:hint="eastAsia"/>
                <w:color w:val="auto"/>
                <w:sz w:val="20"/>
                <w:szCs w:val="20"/>
                <w:highlight w:val="none"/>
              </w:rPr>
              <w:t>　按标准完成</w:t>
            </w:r>
          </w:p>
        </w:tc>
      </w:tr>
      <w:tr w14:paraId="28F1998C">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390DA2AD">
            <w:pPr>
              <w:rPr>
                <w:rFonts w:ascii="宋体" w:hAnsi="宋体" w:cs="宋体"/>
                <w:color w:val="auto"/>
                <w:sz w:val="20"/>
                <w:szCs w:val="20"/>
                <w:highlight w:val="none"/>
              </w:rPr>
            </w:pPr>
          </w:p>
        </w:tc>
        <w:tc>
          <w:tcPr>
            <w:tcW w:w="484" w:type="dxa"/>
            <w:vMerge w:val="continue"/>
            <w:tcBorders>
              <w:top w:val="nil"/>
              <w:left w:val="single" w:color="auto" w:sz="4" w:space="0"/>
              <w:bottom w:val="single" w:color="auto" w:sz="4" w:space="0"/>
              <w:right w:val="single" w:color="auto" w:sz="4" w:space="0"/>
            </w:tcBorders>
            <w:noWrap w:val="0"/>
            <w:vAlign w:val="center"/>
          </w:tcPr>
          <w:p w14:paraId="68FD9B26">
            <w:pPr>
              <w:rPr>
                <w:rFonts w:ascii="宋体" w:hAnsi="宋体" w:cs="宋体"/>
                <w:color w:val="auto"/>
                <w:sz w:val="20"/>
                <w:szCs w:val="20"/>
                <w:highlight w:val="none"/>
              </w:rPr>
            </w:pPr>
          </w:p>
        </w:tc>
        <w:tc>
          <w:tcPr>
            <w:tcW w:w="720" w:type="dxa"/>
            <w:gridSpan w:val="2"/>
            <w:tcBorders>
              <w:top w:val="nil"/>
              <w:left w:val="single" w:color="auto" w:sz="4" w:space="0"/>
              <w:bottom w:val="single" w:color="000000" w:sz="4" w:space="0"/>
              <w:right w:val="single" w:color="auto" w:sz="4" w:space="0"/>
            </w:tcBorders>
            <w:noWrap w:val="0"/>
            <w:vAlign w:val="center"/>
          </w:tcPr>
          <w:p w14:paraId="0CB51B48">
            <w:pPr>
              <w:jc w:val="center"/>
              <w:rPr>
                <w:rFonts w:ascii="宋体" w:hAnsi="宋体" w:cs="宋体"/>
                <w:color w:val="auto"/>
                <w:sz w:val="20"/>
                <w:szCs w:val="20"/>
                <w:highlight w:val="none"/>
              </w:rPr>
            </w:pPr>
            <w:r>
              <w:rPr>
                <w:rFonts w:hint="eastAsia"/>
                <w:color w:val="auto"/>
                <w:sz w:val="20"/>
                <w:szCs w:val="20"/>
                <w:highlight w:val="none"/>
              </w:rPr>
              <w:t>生态效益指标</w:t>
            </w:r>
          </w:p>
        </w:tc>
        <w:tc>
          <w:tcPr>
            <w:tcW w:w="1440" w:type="dxa"/>
            <w:gridSpan w:val="2"/>
            <w:tcBorders>
              <w:top w:val="nil"/>
              <w:left w:val="nil"/>
              <w:bottom w:val="single" w:color="auto" w:sz="4" w:space="0"/>
              <w:right w:val="single" w:color="auto" w:sz="4" w:space="0"/>
            </w:tcBorders>
            <w:noWrap w:val="0"/>
            <w:vAlign w:val="center"/>
          </w:tcPr>
          <w:p w14:paraId="54444A54">
            <w:pPr>
              <w:rPr>
                <w:rFonts w:ascii="宋体" w:hAnsi="宋体" w:cs="宋体"/>
                <w:color w:val="auto"/>
                <w:sz w:val="20"/>
                <w:szCs w:val="20"/>
                <w:highlight w:val="none"/>
              </w:rPr>
            </w:pPr>
            <w:r>
              <w:rPr>
                <w:rFonts w:hint="eastAsia"/>
                <w:color w:val="auto"/>
                <w:sz w:val="20"/>
                <w:szCs w:val="20"/>
                <w:highlight w:val="none"/>
              </w:rPr>
              <w:t xml:space="preserve"> 指标1：</w:t>
            </w:r>
            <w:r>
              <w:rPr>
                <w:rFonts w:hint="eastAsia" w:ascii="仿宋_GB2312" w:hAnsi="仿宋_GB2312" w:eastAsia="仿宋_GB2312" w:cs="仿宋_GB2312"/>
                <w:color w:val="auto"/>
                <w:kern w:val="0"/>
                <w:sz w:val="18"/>
                <w:szCs w:val="18"/>
                <w:highlight w:val="none"/>
              </w:rPr>
              <w:t>通过项目实施，农饮水水厂环境得到整治，净化了水厂环境</w:t>
            </w:r>
          </w:p>
          <w:p w14:paraId="4BD536A5">
            <w:pPr>
              <w:rPr>
                <w:rFonts w:ascii="宋体" w:hAnsi="宋体" w:cs="宋体"/>
                <w:color w:val="auto"/>
                <w:sz w:val="20"/>
                <w:szCs w:val="20"/>
                <w:highlight w:val="none"/>
              </w:rPr>
            </w:pPr>
          </w:p>
        </w:tc>
        <w:tc>
          <w:tcPr>
            <w:tcW w:w="540" w:type="dxa"/>
            <w:tcBorders>
              <w:top w:val="nil"/>
              <w:left w:val="nil"/>
              <w:bottom w:val="single" w:color="auto" w:sz="4" w:space="0"/>
              <w:right w:val="single" w:color="auto" w:sz="4" w:space="0"/>
            </w:tcBorders>
            <w:noWrap w:val="0"/>
            <w:vAlign w:val="center"/>
          </w:tcPr>
          <w:p w14:paraId="79BE4563">
            <w:pPr>
              <w:rPr>
                <w:rFonts w:ascii="宋体" w:hAnsi="宋体" w:cs="宋体"/>
                <w:color w:val="auto"/>
                <w:sz w:val="20"/>
                <w:szCs w:val="20"/>
                <w:highlight w:val="none"/>
              </w:rPr>
            </w:pPr>
            <w:r>
              <w:rPr>
                <w:rFonts w:hint="eastAsia"/>
                <w:color w:val="auto"/>
                <w:sz w:val="20"/>
                <w:szCs w:val="20"/>
                <w:highlight w:val="none"/>
              </w:rPr>
              <w:t>　</w:t>
            </w:r>
          </w:p>
        </w:tc>
        <w:tc>
          <w:tcPr>
            <w:tcW w:w="900" w:type="dxa"/>
            <w:gridSpan w:val="2"/>
            <w:tcBorders>
              <w:top w:val="nil"/>
              <w:left w:val="nil"/>
              <w:bottom w:val="single" w:color="auto" w:sz="4" w:space="0"/>
              <w:right w:val="single" w:color="auto" w:sz="4" w:space="0"/>
            </w:tcBorders>
            <w:noWrap w:val="0"/>
            <w:vAlign w:val="center"/>
          </w:tcPr>
          <w:p w14:paraId="406F76D9">
            <w:pPr>
              <w:rPr>
                <w:rFonts w:ascii="宋体" w:hAnsi="宋体" w:cs="宋体"/>
                <w:color w:val="auto"/>
                <w:sz w:val="20"/>
                <w:szCs w:val="20"/>
                <w:highlight w:val="none"/>
              </w:rPr>
            </w:pPr>
            <w:r>
              <w:rPr>
                <w:rFonts w:hint="eastAsia"/>
                <w:color w:val="auto"/>
                <w:sz w:val="20"/>
                <w:szCs w:val="20"/>
                <w:highlight w:val="none"/>
              </w:rPr>
              <w:t>　按标准完成</w:t>
            </w:r>
          </w:p>
        </w:tc>
        <w:tc>
          <w:tcPr>
            <w:tcW w:w="900" w:type="dxa"/>
            <w:tcBorders>
              <w:top w:val="nil"/>
              <w:left w:val="single" w:color="auto" w:sz="4" w:space="0"/>
              <w:bottom w:val="single" w:color="000000" w:sz="4" w:space="0"/>
              <w:right w:val="single" w:color="auto" w:sz="4" w:space="0"/>
            </w:tcBorders>
            <w:noWrap w:val="0"/>
            <w:vAlign w:val="center"/>
          </w:tcPr>
          <w:p w14:paraId="1946F119">
            <w:pPr>
              <w:jc w:val="center"/>
              <w:rPr>
                <w:rFonts w:ascii="宋体" w:hAnsi="宋体" w:cs="宋体"/>
                <w:color w:val="auto"/>
                <w:sz w:val="20"/>
                <w:szCs w:val="20"/>
                <w:highlight w:val="none"/>
              </w:rPr>
            </w:pPr>
            <w:r>
              <w:rPr>
                <w:rFonts w:hint="eastAsia"/>
                <w:color w:val="auto"/>
                <w:sz w:val="20"/>
                <w:szCs w:val="20"/>
                <w:highlight w:val="none"/>
              </w:rPr>
              <w:t>生态效益指标</w:t>
            </w:r>
          </w:p>
        </w:tc>
        <w:tc>
          <w:tcPr>
            <w:tcW w:w="720" w:type="dxa"/>
            <w:tcBorders>
              <w:top w:val="nil"/>
              <w:left w:val="nil"/>
              <w:bottom w:val="single" w:color="auto" w:sz="4" w:space="0"/>
              <w:right w:val="single" w:color="auto" w:sz="4" w:space="0"/>
            </w:tcBorders>
            <w:noWrap w:val="0"/>
            <w:vAlign w:val="center"/>
          </w:tcPr>
          <w:p w14:paraId="3049BEE7">
            <w:pPr>
              <w:rPr>
                <w:rFonts w:ascii="宋体" w:hAnsi="宋体" w:cs="宋体"/>
                <w:color w:val="auto"/>
                <w:sz w:val="20"/>
                <w:szCs w:val="20"/>
                <w:highlight w:val="none"/>
              </w:rPr>
            </w:pPr>
            <w:r>
              <w:rPr>
                <w:rFonts w:hint="eastAsia"/>
                <w:color w:val="auto"/>
                <w:sz w:val="20"/>
                <w:szCs w:val="20"/>
                <w:highlight w:val="none"/>
              </w:rPr>
              <w:t xml:space="preserve"> 指标1：</w:t>
            </w:r>
          </w:p>
        </w:tc>
        <w:tc>
          <w:tcPr>
            <w:tcW w:w="1260" w:type="dxa"/>
            <w:gridSpan w:val="2"/>
            <w:tcBorders>
              <w:top w:val="nil"/>
              <w:left w:val="nil"/>
              <w:bottom w:val="single" w:color="auto" w:sz="4" w:space="0"/>
              <w:right w:val="single" w:color="auto" w:sz="4" w:space="0"/>
            </w:tcBorders>
            <w:noWrap w:val="0"/>
            <w:vAlign w:val="center"/>
          </w:tcPr>
          <w:p w14:paraId="3AA9BCA0">
            <w:pPr>
              <w:rPr>
                <w:rFonts w:ascii="宋体" w:hAnsi="宋体" w:cs="宋体"/>
                <w:color w:val="auto"/>
                <w:sz w:val="20"/>
                <w:szCs w:val="20"/>
                <w:highlight w:val="none"/>
              </w:rPr>
            </w:pPr>
            <w:r>
              <w:rPr>
                <w:rFonts w:hint="eastAsia"/>
                <w:color w:val="auto"/>
                <w:sz w:val="20"/>
                <w:szCs w:val="20"/>
                <w:highlight w:val="none"/>
              </w:rPr>
              <w:t>　</w:t>
            </w:r>
            <w:r>
              <w:rPr>
                <w:rFonts w:hint="eastAsia" w:ascii="仿宋_GB2312" w:hAnsi="仿宋_GB2312" w:eastAsia="仿宋_GB2312" w:cs="仿宋_GB2312"/>
                <w:color w:val="auto"/>
                <w:kern w:val="0"/>
                <w:sz w:val="18"/>
                <w:szCs w:val="18"/>
                <w:highlight w:val="none"/>
              </w:rPr>
              <w:t>通过项目实施，农饮水水厂环境得到整治，净化了水厂环境</w:t>
            </w:r>
          </w:p>
          <w:p w14:paraId="3CDFD2B1">
            <w:pPr>
              <w:rPr>
                <w:rFonts w:ascii="宋体" w:hAnsi="宋体" w:cs="宋体"/>
                <w:color w:val="auto"/>
                <w:sz w:val="20"/>
                <w:szCs w:val="20"/>
                <w:highlight w:val="none"/>
              </w:rPr>
            </w:pPr>
          </w:p>
        </w:tc>
        <w:tc>
          <w:tcPr>
            <w:tcW w:w="1260" w:type="dxa"/>
            <w:tcBorders>
              <w:top w:val="nil"/>
              <w:left w:val="nil"/>
              <w:bottom w:val="single" w:color="auto" w:sz="4" w:space="0"/>
              <w:right w:val="single" w:color="auto" w:sz="4" w:space="0"/>
            </w:tcBorders>
            <w:noWrap w:val="0"/>
            <w:vAlign w:val="center"/>
          </w:tcPr>
          <w:p w14:paraId="4231AD90">
            <w:pPr>
              <w:rPr>
                <w:rFonts w:ascii="宋体" w:hAnsi="宋体" w:cs="宋体"/>
                <w:color w:val="auto"/>
                <w:sz w:val="20"/>
                <w:szCs w:val="20"/>
                <w:highlight w:val="none"/>
              </w:rPr>
            </w:pPr>
            <w:r>
              <w:rPr>
                <w:rFonts w:hint="eastAsia"/>
                <w:color w:val="auto"/>
                <w:sz w:val="20"/>
                <w:szCs w:val="20"/>
                <w:highlight w:val="none"/>
              </w:rPr>
              <w:t>　按标准完成</w:t>
            </w:r>
          </w:p>
        </w:tc>
      </w:tr>
      <w:tr w14:paraId="57D11E89">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5DBBDA7D">
            <w:pPr>
              <w:rPr>
                <w:rFonts w:ascii="宋体" w:hAnsi="宋体" w:cs="宋体"/>
                <w:color w:val="auto"/>
                <w:sz w:val="20"/>
                <w:szCs w:val="20"/>
                <w:highlight w:val="none"/>
              </w:rPr>
            </w:pPr>
          </w:p>
        </w:tc>
        <w:tc>
          <w:tcPr>
            <w:tcW w:w="484" w:type="dxa"/>
            <w:vMerge w:val="restart"/>
            <w:tcBorders>
              <w:top w:val="nil"/>
              <w:left w:val="single" w:color="auto" w:sz="4" w:space="0"/>
              <w:bottom w:val="single" w:color="000000" w:sz="4" w:space="0"/>
              <w:right w:val="single" w:color="auto" w:sz="4" w:space="0"/>
            </w:tcBorders>
            <w:noWrap w:val="0"/>
            <w:vAlign w:val="center"/>
          </w:tcPr>
          <w:p w14:paraId="171AB78A">
            <w:pPr>
              <w:jc w:val="center"/>
              <w:rPr>
                <w:rFonts w:ascii="宋体" w:hAnsi="宋体" w:cs="宋体"/>
                <w:color w:val="auto"/>
                <w:sz w:val="20"/>
                <w:szCs w:val="20"/>
                <w:highlight w:val="none"/>
              </w:rPr>
            </w:pPr>
            <w:r>
              <w:rPr>
                <w:rFonts w:hint="eastAsia"/>
                <w:color w:val="auto"/>
                <w:sz w:val="20"/>
                <w:szCs w:val="20"/>
                <w:highlight w:val="none"/>
              </w:rPr>
              <w:t>满意度指标</w:t>
            </w:r>
          </w:p>
        </w:tc>
        <w:tc>
          <w:tcPr>
            <w:tcW w:w="720" w:type="dxa"/>
            <w:gridSpan w:val="2"/>
            <w:vMerge w:val="restart"/>
            <w:tcBorders>
              <w:top w:val="nil"/>
              <w:left w:val="single" w:color="auto" w:sz="4" w:space="0"/>
              <w:bottom w:val="single" w:color="000000" w:sz="4" w:space="0"/>
              <w:right w:val="single" w:color="auto" w:sz="4" w:space="0"/>
            </w:tcBorders>
            <w:noWrap w:val="0"/>
            <w:vAlign w:val="center"/>
          </w:tcPr>
          <w:p w14:paraId="74C3A805">
            <w:pPr>
              <w:jc w:val="center"/>
              <w:rPr>
                <w:rFonts w:ascii="宋体" w:hAnsi="宋体" w:cs="宋体"/>
                <w:color w:val="auto"/>
                <w:sz w:val="20"/>
                <w:szCs w:val="20"/>
                <w:highlight w:val="none"/>
              </w:rPr>
            </w:pPr>
            <w:r>
              <w:rPr>
                <w:rFonts w:hint="eastAsia"/>
                <w:color w:val="auto"/>
                <w:sz w:val="20"/>
                <w:szCs w:val="20"/>
                <w:highlight w:val="none"/>
              </w:rPr>
              <w:t>服务对象满意度指标</w:t>
            </w:r>
          </w:p>
        </w:tc>
        <w:tc>
          <w:tcPr>
            <w:tcW w:w="1440" w:type="dxa"/>
            <w:gridSpan w:val="2"/>
            <w:tcBorders>
              <w:top w:val="nil"/>
              <w:left w:val="nil"/>
              <w:bottom w:val="single" w:color="auto" w:sz="4" w:space="0"/>
              <w:right w:val="single" w:color="auto" w:sz="4" w:space="0"/>
            </w:tcBorders>
            <w:noWrap w:val="0"/>
            <w:vAlign w:val="center"/>
          </w:tcPr>
          <w:p w14:paraId="219BDBE1">
            <w:pPr>
              <w:rPr>
                <w:rFonts w:ascii="宋体" w:hAnsi="宋体" w:cs="宋体"/>
                <w:color w:val="auto"/>
                <w:sz w:val="20"/>
                <w:szCs w:val="20"/>
                <w:highlight w:val="none"/>
              </w:rPr>
            </w:pPr>
            <w:r>
              <w:rPr>
                <w:rFonts w:hint="eastAsia"/>
                <w:color w:val="auto"/>
                <w:sz w:val="20"/>
                <w:szCs w:val="20"/>
                <w:highlight w:val="none"/>
              </w:rPr>
              <w:t xml:space="preserve"> 指标1：群众对服务态度</w:t>
            </w:r>
          </w:p>
        </w:tc>
        <w:tc>
          <w:tcPr>
            <w:tcW w:w="540" w:type="dxa"/>
            <w:tcBorders>
              <w:top w:val="nil"/>
              <w:left w:val="nil"/>
              <w:bottom w:val="single" w:color="auto" w:sz="4" w:space="0"/>
              <w:right w:val="single" w:color="auto" w:sz="4" w:space="0"/>
            </w:tcBorders>
            <w:noWrap w:val="0"/>
            <w:vAlign w:val="center"/>
          </w:tcPr>
          <w:p w14:paraId="4C891E50">
            <w:pPr>
              <w:jc w:val="center"/>
              <w:rPr>
                <w:rFonts w:ascii="宋体" w:hAnsi="宋体" w:cs="宋体"/>
                <w:color w:val="auto"/>
                <w:sz w:val="20"/>
                <w:szCs w:val="20"/>
                <w:highlight w:val="none"/>
              </w:rPr>
            </w:pPr>
            <w:r>
              <w:rPr>
                <w:rFonts w:hint="eastAsia"/>
                <w:color w:val="auto"/>
                <w:sz w:val="20"/>
                <w:szCs w:val="20"/>
                <w:highlight w:val="none"/>
              </w:rPr>
              <w:t>　</w:t>
            </w:r>
          </w:p>
        </w:tc>
        <w:tc>
          <w:tcPr>
            <w:tcW w:w="900" w:type="dxa"/>
            <w:gridSpan w:val="2"/>
            <w:tcBorders>
              <w:top w:val="nil"/>
              <w:left w:val="nil"/>
              <w:bottom w:val="single" w:color="auto" w:sz="4" w:space="0"/>
              <w:right w:val="single" w:color="auto" w:sz="4" w:space="0"/>
            </w:tcBorders>
            <w:noWrap w:val="0"/>
            <w:vAlign w:val="center"/>
          </w:tcPr>
          <w:p w14:paraId="412A3198">
            <w:pPr>
              <w:jc w:val="center"/>
              <w:rPr>
                <w:rFonts w:ascii="宋体" w:hAnsi="宋体" w:cs="宋体"/>
                <w:color w:val="auto"/>
                <w:sz w:val="20"/>
                <w:szCs w:val="20"/>
                <w:highlight w:val="none"/>
              </w:rPr>
            </w:pPr>
            <w:r>
              <w:rPr>
                <w:rFonts w:hint="eastAsia"/>
                <w:color w:val="auto"/>
                <w:sz w:val="20"/>
                <w:szCs w:val="20"/>
                <w:highlight w:val="none"/>
              </w:rPr>
              <w:t>满意　</w:t>
            </w:r>
          </w:p>
        </w:tc>
        <w:tc>
          <w:tcPr>
            <w:tcW w:w="900" w:type="dxa"/>
            <w:vMerge w:val="restart"/>
            <w:tcBorders>
              <w:top w:val="nil"/>
              <w:left w:val="single" w:color="auto" w:sz="4" w:space="0"/>
              <w:bottom w:val="single" w:color="000000" w:sz="4" w:space="0"/>
              <w:right w:val="single" w:color="auto" w:sz="4" w:space="0"/>
            </w:tcBorders>
            <w:noWrap w:val="0"/>
            <w:vAlign w:val="center"/>
          </w:tcPr>
          <w:p w14:paraId="73FB4978">
            <w:pPr>
              <w:jc w:val="center"/>
              <w:rPr>
                <w:color w:val="auto"/>
                <w:sz w:val="20"/>
                <w:szCs w:val="20"/>
                <w:highlight w:val="none"/>
              </w:rPr>
            </w:pPr>
            <w:r>
              <w:rPr>
                <w:rFonts w:hint="eastAsia"/>
                <w:color w:val="auto"/>
                <w:sz w:val="20"/>
                <w:szCs w:val="20"/>
                <w:highlight w:val="none"/>
              </w:rPr>
              <w:t>服务对</w:t>
            </w:r>
          </w:p>
          <w:p w14:paraId="1F9B03DE">
            <w:pPr>
              <w:jc w:val="center"/>
              <w:rPr>
                <w:color w:val="auto"/>
                <w:sz w:val="20"/>
                <w:szCs w:val="20"/>
                <w:highlight w:val="none"/>
              </w:rPr>
            </w:pPr>
            <w:r>
              <w:rPr>
                <w:rFonts w:hint="eastAsia"/>
                <w:color w:val="auto"/>
                <w:sz w:val="20"/>
                <w:szCs w:val="20"/>
                <w:highlight w:val="none"/>
              </w:rPr>
              <w:t>象满意</w:t>
            </w:r>
          </w:p>
          <w:p w14:paraId="2A24D28D">
            <w:pPr>
              <w:jc w:val="center"/>
              <w:rPr>
                <w:rFonts w:ascii="宋体" w:hAnsi="宋体" w:cs="宋体"/>
                <w:color w:val="auto"/>
                <w:sz w:val="20"/>
                <w:szCs w:val="20"/>
                <w:highlight w:val="none"/>
              </w:rPr>
            </w:pPr>
            <w:r>
              <w:rPr>
                <w:rFonts w:hint="eastAsia"/>
                <w:color w:val="auto"/>
                <w:sz w:val="20"/>
                <w:szCs w:val="20"/>
                <w:highlight w:val="none"/>
              </w:rPr>
              <w:t>度指标</w:t>
            </w:r>
          </w:p>
        </w:tc>
        <w:tc>
          <w:tcPr>
            <w:tcW w:w="720" w:type="dxa"/>
            <w:tcBorders>
              <w:top w:val="nil"/>
              <w:left w:val="nil"/>
              <w:bottom w:val="single" w:color="auto" w:sz="4" w:space="0"/>
              <w:right w:val="single" w:color="auto" w:sz="4" w:space="0"/>
            </w:tcBorders>
            <w:noWrap w:val="0"/>
            <w:vAlign w:val="center"/>
          </w:tcPr>
          <w:p w14:paraId="188EE8E9">
            <w:pPr>
              <w:rPr>
                <w:rFonts w:ascii="宋体" w:hAnsi="宋体" w:cs="宋体"/>
                <w:color w:val="auto"/>
                <w:sz w:val="20"/>
                <w:szCs w:val="20"/>
                <w:highlight w:val="none"/>
              </w:rPr>
            </w:pPr>
            <w:r>
              <w:rPr>
                <w:rFonts w:hint="eastAsia"/>
                <w:color w:val="auto"/>
                <w:sz w:val="20"/>
                <w:szCs w:val="20"/>
                <w:highlight w:val="none"/>
              </w:rPr>
              <w:t xml:space="preserve"> 指标1：</w:t>
            </w:r>
          </w:p>
        </w:tc>
        <w:tc>
          <w:tcPr>
            <w:tcW w:w="1260" w:type="dxa"/>
            <w:gridSpan w:val="2"/>
            <w:tcBorders>
              <w:top w:val="nil"/>
              <w:left w:val="nil"/>
              <w:bottom w:val="single" w:color="auto" w:sz="4" w:space="0"/>
              <w:right w:val="single" w:color="auto" w:sz="4" w:space="0"/>
            </w:tcBorders>
            <w:noWrap w:val="0"/>
            <w:vAlign w:val="center"/>
          </w:tcPr>
          <w:p w14:paraId="6CD286C2">
            <w:pPr>
              <w:rPr>
                <w:rFonts w:ascii="宋体" w:hAnsi="宋体" w:cs="宋体"/>
                <w:color w:val="auto"/>
                <w:sz w:val="20"/>
                <w:szCs w:val="20"/>
                <w:highlight w:val="none"/>
              </w:rPr>
            </w:pPr>
            <w:r>
              <w:rPr>
                <w:rFonts w:hint="eastAsia"/>
                <w:color w:val="auto"/>
                <w:sz w:val="20"/>
                <w:szCs w:val="20"/>
                <w:highlight w:val="none"/>
              </w:rPr>
              <w:t>　群众对服务态度</w:t>
            </w:r>
          </w:p>
        </w:tc>
        <w:tc>
          <w:tcPr>
            <w:tcW w:w="1260" w:type="dxa"/>
            <w:tcBorders>
              <w:top w:val="nil"/>
              <w:left w:val="nil"/>
              <w:bottom w:val="single" w:color="auto" w:sz="4" w:space="0"/>
              <w:right w:val="single" w:color="auto" w:sz="4" w:space="0"/>
            </w:tcBorders>
            <w:noWrap w:val="0"/>
            <w:vAlign w:val="center"/>
          </w:tcPr>
          <w:p w14:paraId="11A9A1F2">
            <w:pPr>
              <w:rPr>
                <w:rFonts w:ascii="宋体" w:hAnsi="宋体" w:cs="宋体"/>
                <w:color w:val="auto"/>
                <w:sz w:val="20"/>
                <w:szCs w:val="20"/>
                <w:highlight w:val="none"/>
              </w:rPr>
            </w:pPr>
            <w:r>
              <w:rPr>
                <w:rFonts w:hint="eastAsia"/>
                <w:color w:val="auto"/>
                <w:sz w:val="20"/>
                <w:szCs w:val="20"/>
                <w:highlight w:val="none"/>
              </w:rPr>
              <w:t>　满意</w:t>
            </w:r>
          </w:p>
        </w:tc>
      </w:tr>
      <w:tr w14:paraId="09DB3DF5">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37D811D2">
            <w:pPr>
              <w:rPr>
                <w:rFonts w:ascii="宋体" w:hAnsi="宋体" w:cs="宋体"/>
                <w:color w:val="auto"/>
                <w:sz w:val="20"/>
                <w:szCs w:val="20"/>
                <w:highlight w:val="none"/>
              </w:rPr>
            </w:pPr>
          </w:p>
        </w:tc>
        <w:tc>
          <w:tcPr>
            <w:tcW w:w="484" w:type="dxa"/>
            <w:vMerge w:val="continue"/>
            <w:tcBorders>
              <w:top w:val="nil"/>
              <w:left w:val="single" w:color="auto" w:sz="4" w:space="0"/>
              <w:bottom w:val="single" w:color="000000" w:sz="4" w:space="0"/>
              <w:right w:val="single" w:color="auto" w:sz="4" w:space="0"/>
            </w:tcBorders>
            <w:noWrap w:val="0"/>
            <w:vAlign w:val="center"/>
          </w:tcPr>
          <w:p w14:paraId="1F1B9E78">
            <w:pPr>
              <w:rPr>
                <w:rFonts w:ascii="宋体" w:hAnsi="宋体" w:cs="宋体"/>
                <w:color w:val="auto"/>
                <w:sz w:val="20"/>
                <w:szCs w:val="20"/>
                <w:highlight w:val="none"/>
              </w:rPr>
            </w:pPr>
          </w:p>
        </w:tc>
        <w:tc>
          <w:tcPr>
            <w:tcW w:w="720" w:type="dxa"/>
            <w:gridSpan w:val="2"/>
            <w:vMerge w:val="continue"/>
            <w:tcBorders>
              <w:top w:val="nil"/>
              <w:left w:val="single" w:color="auto" w:sz="4" w:space="0"/>
              <w:bottom w:val="single" w:color="000000" w:sz="4" w:space="0"/>
              <w:right w:val="single" w:color="auto" w:sz="4" w:space="0"/>
            </w:tcBorders>
            <w:noWrap w:val="0"/>
            <w:vAlign w:val="center"/>
          </w:tcPr>
          <w:p w14:paraId="08AAABE5">
            <w:pPr>
              <w:rPr>
                <w:rFonts w:ascii="宋体" w:hAnsi="宋体" w:cs="宋体"/>
                <w:color w:val="auto"/>
                <w:sz w:val="20"/>
                <w:szCs w:val="20"/>
                <w:highlight w:val="none"/>
              </w:rPr>
            </w:pPr>
          </w:p>
        </w:tc>
        <w:tc>
          <w:tcPr>
            <w:tcW w:w="1440" w:type="dxa"/>
            <w:gridSpan w:val="2"/>
            <w:tcBorders>
              <w:top w:val="nil"/>
              <w:left w:val="nil"/>
              <w:bottom w:val="single" w:color="auto" w:sz="4" w:space="0"/>
              <w:right w:val="single" w:color="auto" w:sz="4" w:space="0"/>
            </w:tcBorders>
            <w:noWrap w:val="0"/>
            <w:vAlign w:val="center"/>
          </w:tcPr>
          <w:p w14:paraId="4115014A">
            <w:pPr>
              <w:rPr>
                <w:rFonts w:ascii="宋体" w:hAnsi="宋体" w:cs="宋体"/>
                <w:color w:val="auto"/>
                <w:sz w:val="20"/>
                <w:szCs w:val="20"/>
                <w:highlight w:val="none"/>
              </w:rPr>
            </w:pPr>
            <w:r>
              <w:rPr>
                <w:rFonts w:hint="eastAsia"/>
                <w:color w:val="auto"/>
                <w:sz w:val="20"/>
                <w:szCs w:val="20"/>
                <w:highlight w:val="none"/>
              </w:rPr>
              <w:t>指标2群众对工作效率</w:t>
            </w:r>
          </w:p>
        </w:tc>
        <w:tc>
          <w:tcPr>
            <w:tcW w:w="540" w:type="dxa"/>
            <w:tcBorders>
              <w:top w:val="nil"/>
              <w:left w:val="nil"/>
              <w:bottom w:val="single" w:color="auto" w:sz="4" w:space="0"/>
              <w:right w:val="single" w:color="auto" w:sz="4" w:space="0"/>
            </w:tcBorders>
            <w:noWrap w:val="0"/>
            <w:vAlign w:val="center"/>
          </w:tcPr>
          <w:p w14:paraId="6F4AC182">
            <w:pPr>
              <w:jc w:val="center"/>
              <w:rPr>
                <w:rFonts w:ascii="宋体" w:hAnsi="宋体" w:cs="宋体"/>
                <w:color w:val="auto"/>
                <w:sz w:val="20"/>
                <w:szCs w:val="20"/>
                <w:highlight w:val="none"/>
              </w:rPr>
            </w:pPr>
            <w:r>
              <w:rPr>
                <w:rFonts w:hint="eastAsia"/>
                <w:color w:val="auto"/>
                <w:sz w:val="20"/>
                <w:szCs w:val="20"/>
                <w:highlight w:val="none"/>
              </w:rPr>
              <w:t>　</w:t>
            </w:r>
          </w:p>
        </w:tc>
        <w:tc>
          <w:tcPr>
            <w:tcW w:w="900" w:type="dxa"/>
            <w:gridSpan w:val="2"/>
            <w:tcBorders>
              <w:top w:val="nil"/>
              <w:left w:val="nil"/>
              <w:bottom w:val="single" w:color="auto" w:sz="4" w:space="0"/>
              <w:right w:val="single" w:color="auto" w:sz="4" w:space="0"/>
            </w:tcBorders>
            <w:noWrap w:val="0"/>
            <w:vAlign w:val="center"/>
          </w:tcPr>
          <w:p w14:paraId="7200F01C">
            <w:pPr>
              <w:jc w:val="center"/>
              <w:rPr>
                <w:rFonts w:ascii="宋体" w:hAnsi="宋体" w:cs="宋体"/>
                <w:color w:val="auto"/>
                <w:sz w:val="20"/>
                <w:szCs w:val="20"/>
                <w:highlight w:val="none"/>
              </w:rPr>
            </w:pPr>
            <w:r>
              <w:rPr>
                <w:rFonts w:hint="eastAsia"/>
                <w:color w:val="auto"/>
                <w:sz w:val="20"/>
                <w:szCs w:val="20"/>
                <w:highlight w:val="none"/>
              </w:rPr>
              <w:t>满意　</w:t>
            </w:r>
          </w:p>
        </w:tc>
        <w:tc>
          <w:tcPr>
            <w:tcW w:w="900" w:type="dxa"/>
            <w:vMerge w:val="continue"/>
            <w:tcBorders>
              <w:top w:val="nil"/>
              <w:left w:val="single" w:color="auto" w:sz="4" w:space="0"/>
              <w:bottom w:val="single" w:color="000000" w:sz="4" w:space="0"/>
              <w:right w:val="single" w:color="auto" w:sz="4" w:space="0"/>
            </w:tcBorders>
            <w:noWrap w:val="0"/>
            <w:vAlign w:val="center"/>
          </w:tcPr>
          <w:p w14:paraId="66BEAAD6">
            <w:pPr>
              <w:rPr>
                <w:rFonts w:ascii="宋体" w:hAnsi="宋体" w:cs="宋体"/>
                <w:color w:val="auto"/>
                <w:sz w:val="20"/>
                <w:szCs w:val="20"/>
                <w:highlight w:val="none"/>
              </w:rPr>
            </w:pPr>
          </w:p>
        </w:tc>
        <w:tc>
          <w:tcPr>
            <w:tcW w:w="720" w:type="dxa"/>
            <w:tcBorders>
              <w:top w:val="nil"/>
              <w:left w:val="nil"/>
              <w:bottom w:val="single" w:color="auto" w:sz="4" w:space="0"/>
              <w:right w:val="single" w:color="auto" w:sz="4" w:space="0"/>
            </w:tcBorders>
            <w:noWrap w:val="0"/>
            <w:vAlign w:val="center"/>
          </w:tcPr>
          <w:p w14:paraId="43902983">
            <w:pPr>
              <w:rPr>
                <w:rFonts w:ascii="宋体" w:hAnsi="宋体" w:cs="宋体"/>
                <w:color w:val="auto"/>
                <w:sz w:val="20"/>
                <w:szCs w:val="20"/>
                <w:highlight w:val="none"/>
              </w:rPr>
            </w:pPr>
            <w:r>
              <w:rPr>
                <w:rFonts w:hint="eastAsia"/>
                <w:color w:val="auto"/>
                <w:sz w:val="20"/>
                <w:szCs w:val="20"/>
                <w:highlight w:val="none"/>
              </w:rPr>
              <w:t>指标2</w:t>
            </w:r>
          </w:p>
        </w:tc>
        <w:tc>
          <w:tcPr>
            <w:tcW w:w="1260" w:type="dxa"/>
            <w:gridSpan w:val="2"/>
            <w:tcBorders>
              <w:top w:val="nil"/>
              <w:left w:val="nil"/>
              <w:bottom w:val="single" w:color="auto" w:sz="4" w:space="0"/>
              <w:right w:val="single" w:color="auto" w:sz="4" w:space="0"/>
            </w:tcBorders>
            <w:noWrap w:val="0"/>
            <w:vAlign w:val="center"/>
          </w:tcPr>
          <w:p w14:paraId="0FC74AE2">
            <w:pPr>
              <w:rPr>
                <w:rFonts w:ascii="宋体" w:hAnsi="宋体" w:cs="宋体"/>
                <w:color w:val="auto"/>
                <w:sz w:val="20"/>
                <w:szCs w:val="20"/>
                <w:highlight w:val="none"/>
              </w:rPr>
            </w:pPr>
            <w:r>
              <w:rPr>
                <w:rFonts w:hint="eastAsia"/>
                <w:color w:val="auto"/>
                <w:sz w:val="20"/>
                <w:szCs w:val="20"/>
                <w:highlight w:val="none"/>
              </w:rPr>
              <w:t>　群众对工作效率</w:t>
            </w:r>
          </w:p>
        </w:tc>
        <w:tc>
          <w:tcPr>
            <w:tcW w:w="1260" w:type="dxa"/>
            <w:tcBorders>
              <w:top w:val="nil"/>
              <w:left w:val="nil"/>
              <w:bottom w:val="single" w:color="auto" w:sz="4" w:space="0"/>
              <w:right w:val="single" w:color="auto" w:sz="4" w:space="0"/>
            </w:tcBorders>
            <w:noWrap w:val="0"/>
            <w:vAlign w:val="center"/>
          </w:tcPr>
          <w:p w14:paraId="50B25101">
            <w:pPr>
              <w:rPr>
                <w:rFonts w:ascii="宋体" w:hAnsi="宋体" w:cs="宋体"/>
                <w:color w:val="auto"/>
                <w:sz w:val="20"/>
                <w:szCs w:val="20"/>
                <w:highlight w:val="none"/>
              </w:rPr>
            </w:pPr>
            <w:r>
              <w:rPr>
                <w:rFonts w:hint="eastAsia"/>
                <w:color w:val="auto"/>
                <w:sz w:val="20"/>
                <w:szCs w:val="20"/>
                <w:highlight w:val="none"/>
              </w:rPr>
              <w:t>　满意</w:t>
            </w:r>
          </w:p>
        </w:tc>
      </w:tr>
    </w:tbl>
    <w:p w14:paraId="3F902A4E">
      <w:pPr>
        <w:adjustRightInd w:val="0"/>
        <w:snapToGrid w:val="0"/>
        <w:spacing w:line="600" w:lineRule="exact"/>
        <w:rPr>
          <w:rFonts w:ascii="仿宋_GB2312" w:hAnsi="楷体" w:eastAsia="仿宋_GB2312"/>
          <w:b/>
          <w:color w:val="auto"/>
          <w:sz w:val="32"/>
          <w:szCs w:val="32"/>
          <w:highlight w:val="none"/>
        </w:rPr>
      </w:pPr>
    </w:p>
    <w:p w14:paraId="6505979B">
      <w:pPr>
        <w:adjustRightInd w:val="0"/>
        <w:snapToGrid w:val="0"/>
        <w:spacing w:line="600" w:lineRule="exact"/>
        <w:ind w:firstLine="643" w:firstLineChars="200"/>
        <w:rPr>
          <w:rFonts w:ascii="仿宋_GB2312" w:hAnsi="楷体" w:eastAsia="仿宋_GB2312" w:cs="Times New Roman"/>
          <w:b/>
          <w:color w:val="auto"/>
          <w:sz w:val="32"/>
          <w:szCs w:val="32"/>
          <w:highlight w:val="none"/>
        </w:rPr>
      </w:pPr>
      <w:r>
        <w:rPr>
          <w:rFonts w:hint="eastAsia" w:ascii="仿宋_GB2312" w:hAnsi="楷体" w:eastAsia="仿宋_GB2312" w:cs="Times New Roman"/>
          <w:b/>
          <w:color w:val="auto"/>
          <w:sz w:val="32"/>
          <w:szCs w:val="32"/>
          <w:highlight w:val="none"/>
        </w:rPr>
        <w:t>（二）机关运行经费。</w:t>
      </w:r>
    </w:p>
    <w:p w14:paraId="46BF96D3">
      <w:pPr>
        <w:adjustRightInd w:val="0"/>
        <w:snapToGrid w:val="0"/>
        <w:spacing w:line="600" w:lineRule="exact"/>
        <w:ind w:firstLine="640" w:firstLineChars="200"/>
        <w:rPr>
          <w:rFonts w:ascii="仿宋_GB2312" w:hAnsi="仿宋" w:eastAsia="仿宋_GB2312" w:cs="Times New Roman"/>
          <w:color w:val="auto"/>
          <w:sz w:val="32"/>
          <w:szCs w:val="32"/>
          <w:highlight w:val="none"/>
        </w:rPr>
      </w:pPr>
      <w:r>
        <w:rPr>
          <w:rFonts w:hint="eastAsia" w:ascii="仿宋_GB2312" w:hAnsi="仿宋" w:eastAsia="仿宋_GB2312" w:cs="宋体"/>
          <w:color w:val="auto"/>
          <w:kern w:val="0"/>
          <w:sz w:val="32"/>
          <w:szCs w:val="32"/>
          <w:highlight w:val="none"/>
        </w:rPr>
        <w:t>濉溪县卫健委</w:t>
      </w:r>
      <w:r>
        <w:rPr>
          <w:rFonts w:hint="eastAsia" w:ascii="仿宋_GB2312" w:hAnsi="仿宋" w:eastAsia="仿宋_GB2312" w:cs="Times New Roman"/>
          <w:color w:val="auto"/>
          <w:sz w:val="32"/>
          <w:szCs w:val="32"/>
          <w:highlight w:val="none"/>
          <w:lang w:eastAsia="zh-CN"/>
        </w:rPr>
        <w:t>2023年</w:t>
      </w:r>
      <w:r>
        <w:rPr>
          <w:rFonts w:hint="eastAsia" w:ascii="仿宋_GB2312" w:hAnsi="仿宋" w:eastAsia="仿宋_GB2312" w:cs="Times New Roman"/>
          <w:color w:val="auto"/>
          <w:sz w:val="32"/>
          <w:szCs w:val="32"/>
          <w:highlight w:val="none"/>
        </w:rPr>
        <w:t>机关运行经费财政拨款预算</w:t>
      </w:r>
      <w:r>
        <w:rPr>
          <w:rFonts w:hint="eastAsia" w:ascii="仿宋_GB2312" w:hAnsi="仿宋" w:eastAsia="仿宋_GB2312" w:cs="Times New Roman"/>
          <w:color w:val="auto"/>
          <w:sz w:val="32"/>
          <w:szCs w:val="32"/>
          <w:highlight w:val="none"/>
          <w:lang w:val="en-US" w:eastAsia="zh-CN"/>
        </w:rPr>
        <w:t>1107.83</w:t>
      </w:r>
      <w:r>
        <w:rPr>
          <w:rFonts w:hint="eastAsia" w:ascii="仿宋_GB2312" w:hAnsi="仿宋" w:eastAsia="仿宋_GB2312" w:cs="Times New Roman"/>
          <w:color w:val="auto"/>
          <w:sz w:val="32"/>
          <w:szCs w:val="32"/>
          <w:highlight w:val="none"/>
        </w:rPr>
        <w:t>万元，比202</w:t>
      </w:r>
      <w:r>
        <w:rPr>
          <w:rFonts w:hint="eastAsia" w:ascii="仿宋_GB2312" w:hAnsi="仿宋" w:eastAsia="仿宋_GB2312" w:cs="Times New Roman"/>
          <w:color w:val="auto"/>
          <w:sz w:val="32"/>
          <w:szCs w:val="32"/>
          <w:highlight w:val="none"/>
          <w:lang w:val="en-US" w:eastAsia="zh-CN"/>
        </w:rPr>
        <w:t>2</w:t>
      </w:r>
      <w:r>
        <w:rPr>
          <w:rFonts w:hint="eastAsia" w:ascii="仿宋_GB2312" w:hAnsi="仿宋" w:eastAsia="仿宋_GB2312" w:cs="Times New Roman"/>
          <w:color w:val="auto"/>
          <w:sz w:val="32"/>
          <w:szCs w:val="32"/>
          <w:highlight w:val="none"/>
        </w:rPr>
        <w:t>年预算</w:t>
      </w:r>
      <w:r>
        <w:rPr>
          <w:rFonts w:hint="eastAsia" w:ascii="仿宋_GB2312" w:hAnsi="仿宋" w:eastAsia="仿宋_GB2312" w:cs="Times New Roman"/>
          <w:color w:val="auto"/>
          <w:sz w:val="32"/>
          <w:szCs w:val="32"/>
          <w:highlight w:val="none"/>
          <w:lang w:eastAsia="zh-CN"/>
        </w:rPr>
        <w:t>减少</w:t>
      </w:r>
      <w:r>
        <w:rPr>
          <w:rFonts w:hint="eastAsia" w:ascii="仿宋_GB2312" w:hAnsi="仿宋" w:eastAsia="仿宋_GB2312" w:cs="Times New Roman"/>
          <w:color w:val="auto"/>
          <w:sz w:val="32"/>
          <w:szCs w:val="32"/>
          <w:highlight w:val="none"/>
          <w:lang w:val="en-US" w:eastAsia="zh-CN"/>
        </w:rPr>
        <w:t>3806.56</w:t>
      </w:r>
      <w:r>
        <w:rPr>
          <w:rFonts w:hint="eastAsia" w:ascii="仿宋_GB2312" w:hAnsi="仿宋" w:eastAsia="仿宋_GB2312" w:cs="Times New Roman"/>
          <w:color w:val="auto"/>
          <w:sz w:val="32"/>
          <w:szCs w:val="32"/>
          <w:highlight w:val="none"/>
        </w:rPr>
        <w:t>万元，</w:t>
      </w:r>
      <w:r>
        <w:rPr>
          <w:rFonts w:hint="eastAsia" w:ascii="仿宋_GB2312" w:hAnsi="仿宋" w:eastAsia="仿宋_GB2312" w:cs="Times New Roman"/>
          <w:color w:val="auto"/>
          <w:sz w:val="32"/>
          <w:szCs w:val="32"/>
          <w:highlight w:val="none"/>
          <w:lang w:eastAsia="zh-CN"/>
        </w:rPr>
        <w:t>减少</w:t>
      </w:r>
      <w:r>
        <w:rPr>
          <w:rFonts w:hint="eastAsia" w:ascii="仿宋_GB2312" w:hAnsi="仿宋" w:eastAsia="仿宋_GB2312" w:cs="Times New Roman"/>
          <w:color w:val="auto"/>
          <w:sz w:val="32"/>
          <w:szCs w:val="32"/>
          <w:highlight w:val="none"/>
          <w:lang w:val="en-US" w:eastAsia="zh-CN"/>
        </w:rPr>
        <w:t>77.45</w:t>
      </w:r>
      <w:r>
        <w:rPr>
          <w:rFonts w:hint="eastAsia" w:ascii="仿宋_GB2312" w:hAnsi="仿宋" w:eastAsia="仿宋_GB2312" w:cs="Times New Roman"/>
          <w:color w:val="auto"/>
          <w:sz w:val="32"/>
          <w:szCs w:val="32"/>
          <w:highlight w:val="none"/>
        </w:rPr>
        <w:t>%，主要原因是</w:t>
      </w:r>
      <w:r>
        <w:rPr>
          <w:rFonts w:hint="eastAsia" w:ascii="仿宋_GB2312" w:hAnsi="仿宋" w:eastAsia="仿宋_GB2312" w:cs="Times New Roman"/>
          <w:color w:val="auto"/>
          <w:kern w:val="0"/>
          <w:sz w:val="32"/>
          <w:szCs w:val="32"/>
          <w:highlight w:val="none"/>
          <w:lang w:eastAsia="zh-CN"/>
        </w:rPr>
        <w:t>压减各项办公支出</w:t>
      </w:r>
      <w:r>
        <w:rPr>
          <w:rFonts w:hint="eastAsia" w:ascii="仿宋_GB2312" w:hAnsi="仿宋" w:eastAsia="仿宋_GB2312" w:cs="Times New Roman"/>
          <w:color w:val="auto"/>
          <w:kern w:val="0"/>
          <w:sz w:val="32"/>
          <w:szCs w:val="32"/>
          <w:highlight w:val="none"/>
        </w:rPr>
        <w:t>。</w:t>
      </w:r>
    </w:p>
    <w:p w14:paraId="298FEFEA">
      <w:pPr>
        <w:adjustRightInd w:val="0"/>
        <w:snapToGrid w:val="0"/>
        <w:spacing w:line="600" w:lineRule="exact"/>
        <w:ind w:firstLine="643" w:firstLineChars="200"/>
        <w:rPr>
          <w:rFonts w:ascii="仿宋_GB2312" w:hAnsi="楷体" w:eastAsia="仿宋_GB2312" w:cs="Times New Roman"/>
          <w:b/>
          <w:color w:val="auto"/>
          <w:sz w:val="32"/>
          <w:szCs w:val="32"/>
          <w:highlight w:val="none"/>
        </w:rPr>
      </w:pPr>
      <w:r>
        <w:rPr>
          <w:rFonts w:hint="eastAsia" w:ascii="仿宋_GB2312" w:hAnsi="楷体" w:eastAsia="仿宋_GB2312" w:cs="Times New Roman"/>
          <w:b/>
          <w:color w:val="auto"/>
          <w:sz w:val="32"/>
          <w:szCs w:val="32"/>
          <w:highlight w:val="none"/>
        </w:rPr>
        <w:t>（三）政府采购情况。</w:t>
      </w:r>
    </w:p>
    <w:p w14:paraId="7F123495">
      <w:pPr>
        <w:adjustRightInd w:val="0"/>
        <w:snapToGrid w:val="0"/>
        <w:spacing w:line="600" w:lineRule="exact"/>
        <w:ind w:firstLine="640" w:firstLineChars="200"/>
        <w:rPr>
          <w:rFonts w:ascii="仿宋_GB2312" w:hAnsi="楷体" w:eastAsia="仿宋_GB2312" w:cs="Times New Roman"/>
          <w:color w:val="auto"/>
          <w:sz w:val="32"/>
          <w:szCs w:val="32"/>
          <w:highlight w:val="none"/>
        </w:rPr>
      </w:pPr>
      <w:r>
        <w:rPr>
          <w:rFonts w:hint="eastAsia" w:ascii="仿宋_GB2312" w:hAnsi="仿宋" w:eastAsia="仿宋_GB2312" w:cs="宋体"/>
          <w:color w:val="auto"/>
          <w:kern w:val="0"/>
          <w:sz w:val="32"/>
          <w:szCs w:val="32"/>
          <w:highlight w:val="none"/>
        </w:rPr>
        <w:t>濉溪县卫健委</w:t>
      </w:r>
      <w:r>
        <w:rPr>
          <w:rFonts w:hint="eastAsia" w:ascii="仿宋_GB2312" w:hAnsi="楷体" w:eastAsia="仿宋_GB2312" w:cs="Times New Roman"/>
          <w:color w:val="auto"/>
          <w:sz w:val="32"/>
          <w:szCs w:val="32"/>
          <w:highlight w:val="none"/>
          <w:lang w:eastAsia="zh-CN"/>
        </w:rPr>
        <w:t>2023年</w:t>
      </w:r>
      <w:r>
        <w:rPr>
          <w:rFonts w:hint="eastAsia" w:ascii="仿宋_GB2312" w:hAnsi="楷体" w:eastAsia="仿宋_GB2312" w:cs="Times New Roman"/>
          <w:color w:val="auto"/>
          <w:sz w:val="32"/>
          <w:szCs w:val="32"/>
          <w:highlight w:val="none"/>
        </w:rPr>
        <w:t>政府采购预算</w:t>
      </w:r>
      <w:r>
        <w:rPr>
          <w:rFonts w:hint="eastAsia" w:ascii="仿宋_GB2312" w:hAnsi="楷体" w:eastAsia="仿宋_GB2312"/>
          <w:color w:val="auto"/>
          <w:sz w:val="32"/>
          <w:szCs w:val="32"/>
          <w:highlight w:val="none"/>
          <w:lang w:val="en-US" w:eastAsia="zh-CN"/>
        </w:rPr>
        <w:t>7949.24</w:t>
      </w:r>
      <w:r>
        <w:rPr>
          <w:rFonts w:hint="eastAsia" w:ascii="仿宋_GB2312" w:hAnsi="楷体" w:eastAsia="仿宋_GB2312" w:cs="Times New Roman"/>
          <w:color w:val="auto"/>
          <w:sz w:val="32"/>
          <w:szCs w:val="32"/>
          <w:highlight w:val="none"/>
        </w:rPr>
        <w:t>万元。其中：政府采购货物预算</w:t>
      </w:r>
      <w:r>
        <w:rPr>
          <w:rFonts w:hint="eastAsia" w:ascii="仿宋_GB2312" w:hAnsi="楷体" w:eastAsia="仿宋_GB2312"/>
          <w:color w:val="auto"/>
          <w:sz w:val="32"/>
          <w:szCs w:val="32"/>
          <w:highlight w:val="none"/>
          <w:lang w:val="en-US" w:eastAsia="zh-CN"/>
        </w:rPr>
        <w:t>7949.24</w:t>
      </w:r>
      <w:r>
        <w:rPr>
          <w:rFonts w:hint="eastAsia" w:ascii="仿宋_GB2312" w:hAnsi="楷体" w:eastAsia="仿宋_GB2312" w:cs="Times New Roman"/>
          <w:color w:val="auto"/>
          <w:sz w:val="32"/>
          <w:szCs w:val="32"/>
          <w:highlight w:val="none"/>
        </w:rPr>
        <w:t>万元</w:t>
      </w:r>
      <w:r>
        <w:rPr>
          <w:rFonts w:hint="eastAsia" w:ascii="仿宋_GB2312" w:hAnsi="楷体" w:eastAsia="仿宋_GB2312" w:cs="Times New Roman"/>
          <w:color w:val="auto"/>
          <w:sz w:val="32"/>
          <w:szCs w:val="32"/>
          <w:highlight w:val="none"/>
          <w:lang w:eastAsia="zh-CN"/>
        </w:rPr>
        <w:t>（其中：</w:t>
      </w:r>
      <w:r>
        <w:rPr>
          <w:rFonts w:hint="eastAsia" w:ascii="仿宋_GB2312" w:hAnsi="仿宋" w:eastAsia="仿宋_GB2312" w:cs="Times New Roman"/>
          <w:color w:val="auto"/>
          <w:kern w:val="0"/>
          <w:sz w:val="32"/>
          <w:szCs w:val="32"/>
          <w:highlight w:val="none"/>
        </w:rPr>
        <w:t>预算安排县妇幼中心购置</w:t>
      </w:r>
      <w:r>
        <w:rPr>
          <w:rFonts w:hint="eastAsia" w:ascii="仿宋_GB2312" w:hAnsi="仿宋" w:eastAsia="仿宋_GB2312" w:cs="Times New Roman"/>
          <w:color w:val="auto"/>
          <w:kern w:val="0"/>
          <w:sz w:val="32"/>
          <w:szCs w:val="32"/>
          <w:highlight w:val="none"/>
          <w:lang w:eastAsia="zh-CN"/>
        </w:rPr>
        <w:t>办公设备</w:t>
      </w:r>
      <w:r>
        <w:rPr>
          <w:rFonts w:hint="eastAsia" w:ascii="仿宋_GB2312" w:hAnsi="仿宋" w:eastAsia="仿宋_GB2312" w:cs="Times New Roman"/>
          <w:color w:val="auto"/>
          <w:kern w:val="0"/>
          <w:sz w:val="32"/>
          <w:szCs w:val="32"/>
          <w:highlight w:val="none"/>
          <w:lang w:val="en-US" w:eastAsia="zh-CN"/>
        </w:rPr>
        <w:t>7807.30</w:t>
      </w:r>
      <w:r>
        <w:rPr>
          <w:rFonts w:hint="eastAsia" w:ascii="仿宋_GB2312" w:hAnsi="仿宋" w:eastAsia="仿宋_GB2312" w:cs="Times New Roman"/>
          <w:color w:val="auto"/>
          <w:kern w:val="0"/>
          <w:sz w:val="32"/>
          <w:szCs w:val="32"/>
          <w:highlight w:val="none"/>
        </w:rPr>
        <w:t>万元</w:t>
      </w:r>
      <w:r>
        <w:rPr>
          <w:rFonts w:hint="eastAsia" w:ascii="仿宋_GB2312" w:hAnsi="楷体" w:eastAsia="仿宋_GB2312" w:cs="Times New Roman"/>
          <w:color w:val="auto"/>
          <w:sz w:val="32"/>
          <w:szCs w:val="32"/>
          <w:highlight w:val="none"/>
          <w:lang w:eastAsia="zh-CN"/>
        </w:rPr>
        <w:t>）</w:t>
      </w:r>
      <w:r>
        <w:rPr>
          <w:rFonts w:hint="eastAsia" w:ascii="仿宋_GB2312" w:hAnsi="楷体" w:eastAsia="仿宋_GB2312" w:cs="Times New Roman"/>
          <w:color w:val="auto"/>
          <w:sz w:val="32"/>
          <w:szCs w:val="32"/>
          <w:highlight w:val="none"/>
        </w:rPr>
        <w:t>，政府采购工程预算</w:t>
      </w:r>
      <w:r>
        <w:rPr>
          <w:rFonts w:hint="eastAsia" w:ascii="仿宋_GB2312" w:hAnsi="楷体" w:eastAsia="仿宋_GB2312"/>
          <w:color w:val="auto"/>
          <w:sz w:val="32"/>
          <w:szCs w:val="32"/>
          <w:highlight w:val="none"/>
        </w:rPr>
        <w:t>0</w:t>
      </w:r>
      <w:r>
        <w:rPr>
          <w:rFonts w:hint="eastAsia" w:ascii="仿宋_GB2312" w:hAnsi="楷体" w:eastAsia="仿宋_GB2312" w:cs="Times New Roman"/>
          <w:color w:val="auto"/>
          <w:sz w:val="32"/>
          <w:szCs w:val="32"/>
          <w:highlight w:val="none"/>
        </w:rPr>
        <w:t>万元，政府采购服务预算</w:t>
      </w:r>
      <w:r>
        <w:rPr>
          <w:rFonts w:hint="eastAsia" w:ascii="仿宋_GB2312" w:hAnsi="楷体" w:eastAsia="仿宋_GB2312"/>
          <w:color w:val="auto"/>
          <w:sz w:val="32"/>
          <w:szCs w:val="32"/>
          <w:highlight w:val="none"/>
        </w:rPr>
        <w:t>0</w:t>
      </w:r>
      <w:r>
        <w:rPr>
          <w:rFonts w:hint="eastAsia" w:ascii="仿宋_GB2312" w:hAnsi="楷体" w:eastAsia="仿宋_GB2312" w:cs="Times New Roman"/>
          <w:color w:val="auto"/>
          <w:sz w:val="32"/>
          <w:szCs w:val="32"/>
          <w:highlight w:val="none"/>
        </w:rPr>
        <w:t>万元。</w:t>
      </w:r>
    </w:p>
    <w:p w14:paraId="372B8F8C">
      <w:pPr>
        <w:adjustRightInd w:val="0"/>
        <w:snapToGrid w:val="0"/>
        <w:spacing w:line="600" w:lineRule="exact"/>
        <w:ind w:firstLine="643" w:firstLineChars="200"/>
        <w:rPr>
          <w:rFonts w:ascii="仿宋_GB2312" w:hAnsi="楷体" w:eastAsia="仿宋_GB2312" w:cs="Times New Roman"/>
          <w:b/>
          <w:color w:val="auto"/>
          <w:sz w:val="32"/>
          <w:szCs w:val="32"/>
          <w:highlight w:val="none"/>
        </w:rPr>
      </w:pPr>
      <w:r>
        <w:rPr>
          <w:rFonts w:hint="eastAsia" w:ascii="仿宋_GB2312" w:hAnsi="楷体" w:eastAsia="仿宋_GB2312" w:cs="Times New Roman"/>
          <w:b/>
          <w:color w:val="auto"/>
          <w:sz w:val="32"/>
          <w:szCs w:val="32"/>
          <w:highlight w:val="none"/>
        </w:rPr>
        <w:t>（四）国有资</w:t>
      </w:r>
      <w:r>
        <w:rPr>
          <w:rFonts w:hint="eastAsia" w:ascii="仿宋_GB2312" w:hAnsi="楷体" w:eastAsia="仿宋_GB2312" w:cs="Times New Roman"/>
          <w:b/>
          <w:color w:val="auto"/>
          <w:sz w:val="32"/>
          <w:szCs w:val="32"/>
          <w:highlight w:val="none"/>
        </w:rPr>
        <w:t>产占有使用情况。</w:t>
      </w:r>
    </w:p>
    <w:p w14:paraId="4DE77AB5">
      <w:pPr>
        <w:widowControl/>
        <w:shd w:val="clear" w:color="auto" w:fill="FFFFFF"/>
        <w:spacing w:line="600" w:lineRule="atLeast"/>
        <w:ind w:firstLine="640"/>
        <w:rPr>
          <w:rFonts w:hint="eastAsia" w:ascii="仿宋_GB2312" w:hAnsi="仿宋" w:eastAsia="仿宋_GB2312" w:cs="Times New Roman"/>
          <w:color w:val="auto"/>
          <w:kern w:val="0"/>
          <w:sz w:val="32"/>
          <w:szCs w:val="32"/>
          <w:highlight w:val="none"/>
        </w:rPr>
      </w:pPr>
      <w:r>
        <w:rPr>
          <w:rFonts w:hint="eastAsia" w:ascii="仿宋_GB2312" w:hAnsi="仿宋" w:eastAsia="仿宋_GB2312" w:cs="Times New Roman"/>
          <w:color w:val="auto"/>
          <w:kern w:val="0"/>
          <w:sz w:val="32"/>
          <w:szCs w:val="32"/>
          <w:highlight w:val="none"/>
        </w:rPr>
        <w:t>截至</w:t>
      </w:r>
      <w:r>
        <w:rPr>
          <w:rFonts w:hint="eastAsia" w:ascii="仿宋" w:hAnsi="仿宋" w:eastAsia="仿宋" w:cs="Times New Roman"/>
          <w:color w:val="auto"/>
          <w:kern w:val="0"/>
          <w:sz w:val="32"/>
          <w:szCs w:val="32"/>
          <w:highlight w:val="none"/>
          <w:lang w:eastAsia="zh-CN"/>
        </w:rPr>
        <w:t>202</w:t>
      </w:r>
      <w:r>
        <w:rPr>
          <w:rFonts w:hint="eastAsia" w:ascii="仿宋" w:hAnsi="仿宋" w:eastAsia="仿宋" w:cs="Times New Roman"/>
          <w:color w:val="auto"/>
          <w:kern w:val="0"/>
          <w:sz w:val="32"/>
          <w:szCs w:val="32"/>
          <w:highlight w:val="none"/>
          <w:lang w:val="en-US" w:eastAsia="zh-CN"/>
        </w:rPr>
        <w:t>2</w:t>
      </w:r>
      <w:r>
        <w:rPr>
          <w:rFonts w:hint="eastAsia" w:ascii="仿宋" w:hAnsi="仿宋" w:eastAsia="仿宋" w:cs="Times New Roman"/>
          <w:color w:val="auto"/>
          <w:kern w:val="0"/>
          <w:sz w:val="32"/>
          <w:szCs w:val="32"/>
          <w:highlight w:val="none"/>
          <w:lang w:eastAsia="zh-CN"/>
        </w:rPr>
        <w:t>年</w:t>
      </w:r>
      <w:r>
        <w:rPr>
          <w:rFonts w:hint="eastAsia" w:ascii="仿宋_GB2312" w:hAnsi="仿宋" w:eastAsia="仿宋_GB2312" w:cs="Times New Roman"/>
          <w:color w:val="auto"/>
          <w:kern w:val="0"/>
          <w:sz w:val="32"/>
          <w:szCs w:val="32"/>
          <w:highlight w:val="none"/>
        </w:rPr>
        <w:t>底，濉溪县卫健系统共有车辆</w:t>
      </w:r>
      <w:r>
        <w:rPr>
          <w:rFonts w:hint="eastAsia" w:ascii="仿宋" w:hAnsi="仿宋" w:eastAsia="仿宋" w:cs="Times New Roman"/>
          <w:color w:val="auto"/>
          <w:kern w:val="0"/>
          <w:sz w:val="32"/>
          <w:szCs w:val="32"/>
          <w:highlight w:val="none"/>
        </w:rPr>
        <w:t>98</w:t>
      </w:r>
      <w:r>
        <w:rPr>
          <w:rFonts w:hint="eastAsia" w:ascii="仿宋_GB2312" w:hAnsi="仿宋" w:eastAsia="仿宋_GB2312" w:cs="Times New Roman"/>
          <w:color w:val="auto"/>
          <w:kern w:val="0"/>
          <w:sz w:val="32"/>
          <w:szCs w:val="32"/>
          <w:highlight w:val="none"/>
        </w:rPr>
        <w:t>辆，其中：</w:t>
      </w:r>
      <w:r>
        <w:rPr>
          <w:rFonts w:hint="eastAsia" w:ascii="仿宋_GB2312" w:hAnsi="仿宋" w:eastAsia="仿宋_GB2312" w:cs="Times New Roman"/>
          <w:color w:val="auto"/>
          <w:kern w:val="0"/>
          <w:sz w:val="32"/>
          <w:szCs w:val="32"/>
          <w:highlight w:val="none"/>
        </w:rPr>
        <w:t>主要领</w:t>
      </w:r>
      <w:r>
        <w:rPr>
          <w:rFonts w:hint="eastAsia" w:ascii="仿宋_GB2312" w:hAnsi="仿宋" w:eastAsia="仿宋_GB2312" w:cs="Times New Roman"/>
          <w:color w:val="auto"/>
          <w:kern w:val="0"/>
          <w:sz w:val="32"/>
          <w:szCs w:val="32"/>
          <w:highlight w:val="none"/>
        </w:rPr>
        <w:t>应急保障用车</w:t>
      </w:r>
      <w:r>
        <w:rPr>
          <w:rFonts w:hint="eastAsia" w:ascii="仿宋" w:hAnsi="仿宋" w:eastAsia="仿宋" w:cs="Times New Roman"/>
          <w:color w:val="auto"/>
          <w:kern w:val="0"/>
          <w:sz w:val="32"/>
          <w:szCs w:val="32"/>
          <w:highlight w:val="none"/>
        </w:rPr>
        <w:t>62</w:t>
      </w:r>
      <w:r>
        <w:rPr>
          <w:rFonts w:hint="eastAsia" w:ascii="仿宋_GB2312" w:hAnsi="仿宋" w:eastAsia="仿宋_GB2312" w:cs="Times New Roman"/>
          <w:color w:val="auto"/>
          <w:kern w:val="0"/>
          <w:sz w:val="32"/>
          <w:szCs w:val="32"/>
          <w:highlight w:val="none"/>
        </w:rPr>
        <w:t>辆、其他用车</w:t>
      </w:r>
      <w:r>
        <w:rPr>
          <w:rFonts w:hint="eastAsia" w:ascii="仿宋" w:hAnsi="仿宋" w:eastAsia="仿宋" w:cs="Times New Roman"/>
          <w:color w:val="auto"/>
          <w:kern w:val="0"/>
          <w:sz w:val="32"/>
          <w:szCs w:val="32"/>
          <w:highlight w:val="none"/>
        </w:rPr>
        <w:t>36</w:t>
      </w:r>
      <w:r>
        <w:rPr>
          <w:rFonts w:hint="eastAsia" w:ascii="宋体" w:hAnsi="宋体" w:eastAsia="宋体" w:cs="宋体"/>
          <w:color w:val="auto"/>
          <w:kern w:val="0"/>
          <w:sz w:val="32"/>
          <w:szCs w:val="32"/>
          <w:highlight w:val="none"/>
        </w:rPr>
        <w:t> </w:t>
      </w:r>
      <w:r>
        <w:rPr>
          <w:rFonts w:hint="eastAsia" w:ascii="仿宋_GB2312" w:hAnsi="仿宋" w:eastAsia="仿宋_GB2312" w:cs="Times New Roman"/>
          <w:color w:val="auto"/>
          <w:kern w:val="0"/>
          <w:sz w:val="32"/>
          <w:szCs w:val="32"/>
          <w:highlight w:val="none"/>
        </w:rPr>
        <w:t>辆。单位价值</w:t>
      </w:r>
      <w:r>
        <w:rPr>
          <w:rFonts w:hint="eastAsia" w:ascii="仿宋" w:hAnsi="仿宋" w:eastAsia="仿宋" w:cs="Times New Roman"/>
          <w:color w:val="auto"/>
          <w:kern w:val="0"/>
          <w:sz w:val="32"/>
          <w:szCs w:val="32"/>
          <w:highlight w:val="none"/>
        </w:rPr>
        <w:t>50万元以上的通用设备</w:t>
      </w:r>
      <w:r>
        <w:rPr>
          <w:rFonts w:hint="eastAsia" w:ascii="宋体" w:hAnsi="宋体" w:eastAsia="宋体" w:cs="宋体"/>
          <w:color w:val="auto"/>
          <w:kern w:val="0"/>
          <w:sz w:val="32"/>
          <w:szCs w:val="32"/>
          <w:highlight w:val="none"/>
        </w:rPr>
        <w:t> </w:t>
      </w:r>
      <w:r>
        <w:rPr>
          <w:rFonts w:hint="eastAsia" w:ascii="仿宋" w:hAnsi="仿宋" w:eastAsia="仿宋" w:cs="仿宋"/>
          <w:color w:val="auto"/>
          <w:kern w:val="0"/>
          <w:sz w:val="32"/>
          <w:szCs w:val="32"/>
          <w:highlight w:val="none"/>
        </w:rPr>
        <w:t>22</w:t>
      </w:r>
      <w:r>
        <w:rPr>
          <w:rFonts w:hint="eastAsia" w:ascii="仿宋_GB2312" w:hAnsi="仿宋" w:eastAsia="仿宋_GB2312" w:cs="Times New Roman"/>
          <w:color w:val="auto"/>
          <w:kern w:val="0"/>
          <w:sz w:val="32"/>
          <w:szCs w:val="32"/>
          <w:highlight w:val="none"/>
        </w:rPr>
        <w:t>台（套），单位价值</w:t>
      </w:r>
      <w:r>
        <w:rPr>
          <w:rFonts w:hint="eastAsia" w:ascii="仿宋" w:hAnsi="仿宋" w:eastAsia="仿宋" w:cs="Times New Roman"/>
          <w:color w:val="auto"/>
          <w:kern w:val="0"/>
          <w:sz w:val="32"/>
          <w:szCs w:val="32"/>
          <w:highlight w:val="none"/>
        </w:rPr>
        <w:t>100万元以上的专用设备</w:t>
      </w:r>
      <w:r>
        <w:rPr>
          <w:rFonts w:hint="eastAsia" w:ascii="宋体" w:hAnsi="宋体" w:eastAsia="宋体" w:cs="宋体"/>
          <w:color w:val="auto"/>
          <w:kern w:val="0"/>
          <w:sz w:val="32"/>
          <w:szCs w:val="32"/>
          <w:highlight w:val="none"/>
        </w:rPr>
        <w:t> </w:t>
      </w:r>
      <w:r>
        <w:rPr>
          <w:rFonts w:hint="eastAsia" w:ascii="仿宋" w:hAnsi="仿宋" w:eastAsia="仿宋" w:cs="仿宋"/>
          <w:color w:val="auto"/>
          <w:kern w:val="0"/>
          <w:sz w:val="32"/>
          <w:szCs w:val="32"/>
          <w:highlight w:val="none"/>
        </w:rPr>
        <w:t>14</w:t>
      </w:r>
      <w:r>
        <w:rPr>
          <w:rFonts w:hint="eastAsia" w:ascii="仿宋_GB2312" w:hAnsi="仿宋" w:eastAsia="仿宋_GB2312" w:cs="Times New Roman"/>
          <w:color w:val="auto"/>
          <w:kern w:val="0"/>
          <w:sz w:val="32"/>
          <w:szCs w:val="32"/>
          <w:highlight w:val="none"/>
        </w:rPr>
        <w:t>台（套）。</w:t>
      </w:r>
      <w:r>
        <w:rPr>
          <w:rFonts w:hint="eastAsia" w:ascii="仿宋" w:hAnsi="仿宋" w:eastAsia="仿宋" w:cs="Times New Roman"/>
          <w:color w:val="auto"/>
          <w:kern w:val="0"/>
          <w:sz w:val="32"/>
          <w:szCs w:val="32"/>
          <w:highlight w:val="none"/>
          <w:lang w:eastAsia="zh-CN"/>
        </w:rPr>
        <w:t>2023年</w:t>
      </w:r>
      <w:r>
        <w:rPr>
          <w:rFonts w:hint="eastAsia" w:ascii="仿宋_GB2312" w:hAnsi="仿宋" w:eastAsia="仿宋_GB2312" w:cs="Times New Roman"/>
          <w:color w:val="auto"/>
          <w:kern w:val="0"/>
          <w:sz w:val="32"/>
          <w:szCs w:val="32"/>
          <w:highlight w:val="none"/>
        </w:rPr>
        <w:t>部门预算安排县妇幼中心购置</w:t>
      </w:r>
      <w:r>
        <w:rPr>
          <w:rFonts w:hint="eastAsia" w:ascii="仿宋_GB2312" w:hAnsi="仿宋" w:eastAsia="仿宋_GB2312" w:cs="Times New Roman"/>
          <w:color w:val="auto"/>
          <w:kern w:val="0"/>
          <w:sz w:val="32"/>
          <w:szCs w:val="32"/>
          <w:highlight w:val="none"/>
          <w:lang w:eastAsia="zh-CN"/>
        </w:rPr>
        <w:t>办公设备</w:t>
      </w:r>
      <w:r>
        <w:rPr>
          <w:rFonts w:hint="eastAsia" w:ascii="仿宋_GB2312" w:hAnsi="仿宋" w:eastAsia="仿宋_GB2312" w:cs="Times New Roman"/>
          <w:color w:val="auto"/>
          <w:kern w:val="0"/>
          <w:sz w:val="32"/>
          <w:szCs w:val="32"/>
          <w:highlight w:val="none"/>
          <w:lang w:val="en-US" w:eastAsia="zh-CN"/>
        </w:rPr>
        <w:t>7807.30</w:t>
      </w:r>
      <w:r>
        <w:rPr>
          <w:rFonts w:hint="eastAsia" w:ascii="仿宋_GB2312" w:hAnsi="仿宋" w:eastAsia="仿宋_GB2312" w:cs="Times New Roman"/>
          <w:color w:val="auto"/>
          <w:kern w:val="0"/>
          <w:sz w:val="32"/>
          <w:szCs w:val="32"/>
          <w:highlight w:val="none"/>
        </w:rPr>
        <w:t>万元。</w:t>
      </w:r>
    </w:p>
    <w:p w14:paraId="37242C69">
      <w:pPr>
        <w:adjustRightInd w:val="0"/>
        <w:snapToGrid w:val="0"/>
        <w:spacing w:line="600" w:lineRule="exact"/>
        <w:ind w:firstLine="643" w:firstLineChars="200"/>
        <w:rPr>
          <w:rFonts w:ascii="仿宋_GB2312" w:hAnsi="楷体" w:eastAsia="仿宋_GB2312"/>
          <w:b/>
          <w:color w:val="auto"/>
          <w:sz w:val="32"/>
          <w:szCs w:val="32"/>
          <w:highlight w:val="none"/>
        </w:rPr>
      </w:pPr>
      <w:r>
        <w:rPr>
          <w:rFonts w:hint="eastAsia" w:ascii="仿宋_GB2312" w:hAnsi="楷体" w:eastAsia="仿宋_GB2312"/>
          <w:b/>
          <w:color w:val="auto"/>
          <w:sz w:val="32"/>
          <w:szCs w:val="32"/>
          <w:highlight w:val="none"/>
        </w:rPr>
        <w:t>（五）绩效目标设置情况。</w:t>
      </w:r>
    </w:p>
    <w:p w14:paraId="1522C8D2">
      <w:pPr>
        <w:adjustRightInd w:val="0"/>
        <w:snapToGrid w:val="0"/>
        <w:spacing w:line="600" w:lineRule="exact"/>
        <w:ind w:firstLine="640" w:firstLineChars="200"/>
        <w:outlineLvl w:val="0"/>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202</w:t>
      </w:r>
      <w:r>
        <w:rPr>
          <w:rFonts w:hint="eastAsia" w:ascii="仿宋_GB2312" w:hAnsi="仿宋" w:eastAsia="仿宋_GB2312"/>
          <w:color w:val="auto"/>
          <w:sz w:val="32"/>
          <w:szCs w:val="32"/>
          <w:highlight w:val="none"/>
          <w:lang w:val="en-US" w:eastAsia="zh-CN"/>
        </w:rPr>
        <w:t>3</w:t>
      </w:r>
      <w:r>
        <w:rPr>
          <w:rFonts w:hint="eastAsia" w:ascii="仿宋_GB2312" w:hAnsi="仿宋" w:eastAsia="仿宋_GB2312"/>
          <w:color w:val="auto"/>
          <w:sz w:val="32"/>
          <w:szCs w:val="32"/>
          <w:highlight w:val="none"/>
        </w:rPr>
        <w:t>年，</w:t>
      </w:r>
      <w:r>
        <w:rPr>
          <w:rFonts w:hint="eastAsia" w:ascii="仿宋_GB2312" w:hAnsi="仿宋" w:eastAsia="仿宋_GB2312" w:cs="宋体"/>
          <w:color w:val="auto"/>
          <w:kern w:val="0"/>
          <w:sz w:val="32"/>
          <w:szCs w:val="32"/>
          <w:highlight w:val="none"/>
          <w:lang w:eastAsia="zh-CN"/>
        </w:rPr>
        <w:t>濉溪县卫健</w:t>
      </w:r>
      <w:r>
        <w:rPr>
          <w:rFonts w:hint="eastAsia" w:ascii="仿宋_GB2312" w:hAnsi="仿宋" w:eastAsia="仿宋_GB2312" w:cs="宋体"/>
          <w:color w:val="auto"/>
          <w:kern w:val="0"/>
          <w:sz w:val="32"/>
          <w:szCs w:val="32"/>
          <w:highlight w:val="none"/>
        </w:rPr>
        <w:t>委</w:t>
      </w:r>
      <w:r>
        <w:rPr>
          <w:rFonts w:hint="eastAsia" w:ascii="仿宋_GB2312" w:hAnsi="仿宋" w:eastAsia="仿宋_GB2312"/>
          <w:color w:val="auto"/>
          <w:sz w:val="32"/>
          <w:szCs w:val="32"/>
          <w:highlight w:val="none"/>
        </w:rPr>
        <w:t>*个项目实行了绩效目标管理，涉及一般公共预算当年财政拨款*.*万元、政府性基金预算当年财政拨款</w:t>
      </w:r>
      <w:r>
        <w:rPr>
          <w:rFonts w:hint="eastAsia" w:ascii="仿宋_GB2312" w:hAnsi="仿宋" w:eastAsia="仿宋_GB2312"/>
          <w:color w:val="auto"/>
          <w:sz w:val="32"/>
          <w:szCs w:val="32"/>
          <w:highlight w:val="none"/>
          <w:lang w:val="en-US" w:eastAsia="zh-CN"/>
        </w:rPr>
        <w:t>100</w:t>
      </w:r>
      <w:r>
        <w:rPr>
          <w:rFonts w:hint="eastAsia" w:ascii="仿宋_GB2312" w:hAnsi="仿宋" w:eastAsia="仿宋_GB2312"/>
          <w:color w:val="auto"/>
          <w:sz w:val="32"/>
          <w:szCs w:val="32"/>
          <w:highlight w:val="none"/>
        </w:rPr>
        <w:t>万元、</w:t>
      </w:r>
      <w:r>
        <w:rPr>
          <w:rFonts w:hint="eastAsia" w:ascii="仿宋_GB2312" w:hAnsi="仿宋" w:eastAsia="仿宋_GB2312"/>
          <w:color w:val="auto"/>
          <w:sz w:val="32"/>
          <w:szCs w:val="32"/>
          <w:highlight w:val="none"/>
          <w:lang w:eastAsia="zh-CN"/>
        </w:rPr>
        <w:t>无</w:t>
      </w:r>
      <w:r>
        <w:rPr>
          <w:rFonts w:hint="eastAsia" w:ascii="仿宋_GB2312" w:hAnsi="仿宋" w:eastAsia="仿宋_GB2312"/>
          <w:color w:val="auto"/>
          <w:sz w:val="32"/>
          <w:szCs w:val="32"/>
          <w:highlight w:val="none"/>
        </w:rPr>
        <w:t>财政专户管理资金。</w:t>
      </w:r>
    </w:p>
    <w:p w14:paraId="160B7C62">
      <w:pPr>
        <w:widowControl/>
        <w:shd w:val="clear" w:color="auto" w:fill="FFFFFF"/>
        <w:spacing w:line="600" w:lineRule="atLeast"/>
        <w:ind w:firstLine="640"/>
        <w:rPr>
          <w:rFonts w:hint="eastAsia" w:ascii="仿宋_GB2312" w:hAnsi="仿宋" w:eastAsia="仿宋_GB2312" w:cs="Times New Roman"/>
          <w:color w:val="auto"/>
          <w:kern w:val="0"/>
          <w:sz w:val="32"/>
          <w:szCs w:val="32"/>
          <w:highlight w:val="none"/>
        </w:rPr>
      </w:pPr>
    </w:p>
    <w:p w14:paraId="097F1C73">
      <w:pPr>
        <w:rPr>
          <w:rFonts w:hint="eastAsia" w:ascii="仿宋_GB2312" w:hAnsi="仿宋" w:eastAsia="仿宋_GB2312" w:cs="Times New Roman"/>
          <w:color w:val="auto"/>
          <w:kern w:val="0"/>
          <w:sz w:val="32"/>
          <w:szCs w:val="32"/>
          <w:highlight w:val="none"/>
        </w:rPr>
      </w:pPr>
      <w:r>
        <w:rPr>
          <w:rFonts w:hint="eastAsia" w:ascii="仿宋_GB2312" w:hAnsi="仿宋" w:eastAsia="仿宋_GB2312" w:cs="Times New Roman"/>
          <w:color w:val="auto"/>
          <w:kern w:val="0"/>
          <w:sz w:val="32"/>
          <w:szCs w:val="32"/>
          <w:highlight w:val="none"/>
        </w:rPr>
        <w:br w:type="page"/>
      </w:r>
    </w:p>
    <w:p w14:paraId="54E58509">
      <w:pPr>
        <w:adjustRightInd w:val="0"/>
        <w:snapToGrid w:val="0"/>
        <w:spacing w:line="600" w:lineRule="exact"/>
        <w:jc w:val="center"/>
        <w:rPr>
          <w:rFonts w:hint="eastAsia" w:ascii="仿宋_GB2312" w:hAnsi="仿宋" w:eastAsia="仿宋_GB2312" w:cs="Times New Roman"/>
          <w:color w:val="auto"/>
          <w:kern w:val="0"/>
          <w:sz w:val="32"/>
          <w:szCs w:val="32"/>
          <w:highlight w:val="none"/>
        </w:rPr>
      </w:pPr>
    </w:p>
    <w:p w14:paraId="4DDAF7E1">
      <w:pPr>
        <w:adjustRightInd w:val="0"/>
        <w:snapToGrid w:val="0"/>
        <w:spacing w:line="600" w:lineRule="exact"/>
        <w:jc w:val="center"/>
        <w:rPr>
          <w:rFonts w:ascii="黑体" w:hAnsi="等线" w:eastAsia="黑体" w:cs="宋体"/>
          <w:color w:val="auto"/>
          <w:sz w:val="36"/>
          <w:szCs w:val="36"/>
          <w:highlight w:val="none"/>
        </w:rPr>
      </w:pPr>
      <w:r>
        <w:rPr>
          <w:rFonts w:hint="eastAsia" w:ascii="黑体" w:hAnsi="等线" w:eastAsia="黑体" w:cs="宋体"/>
          <w:color w:val="auto"/>
          <w:sz w:val="36"/>
          <w:szCs w:val="36"/>
          <w:highlight w:val="none"/>
        </w:rPr>
        <w:t>第四部分 名词解释</w:t>
      </w:r>
    </w:p>
    <w:p w14:paraId="362E8289">
      <w:pPr>
        <w:adjustRightInd w:val="0"/>
        <w:snapToGrid w:val="0"/>
        <w:spacing w:line="600" w:lineRule="exact"/>
        <w:jc w:val="center"/>
        <w:rPr>
          <w:rFonts w:ascii="黑体" w:hAnsi="黑体" w:eastAsia="黑体" w:cs="Times New Roman"/>
          <w:color w:val="auto"/>
          <w:sz w:val="32"/>
          <w:szCs w:val="32"/>
          <w:highlight w:val="none"/>
        </w:rPr>
      </w:pPr>
    </w:p>
    <w:p w14:paraId="4F0B39C2">
      <w:pPr>
        <w:pStyle w:val="2"/>
        <w:spacing w:before="0" w:beforeAutospacing="0" w:after="0" w:afterAutospacing="0" w:line="600" w:lineRule="exact"/>
        <w:ind w:firstLine="627" w:firstLineChars="196"/>
        <w:jc w:val="both"/>
        <w:rPr>
          <w:rFonts w:ascii="仿宋_GB2312" w:hAnsi="黑体" w:eastAsia="仿宋_GB2312"/>
          <w:color w:val="auto"/>
          <w:sz w:val="32"/>
          <w:szCs w:val="32"/>
          <w:highlight w:val="none"/>
        </w:rPr>
      </w:pPr>
      <w:r>
        <w:rPr>
          <w:rFonts w:hint="eastAsia" w:ascii="黑体" w:hAnsi="仿宋" w:eastAsia="黑体"/>
          <w:color w:val="auto"/>
          <w:sz w:val="32"/>
          <w:szCs w:val="32"/>
          <w:highlight w:val="none"/>
        </w:rPr>
        <w:t>一、财政拨款收入</w:t>
      </w:r>
      <w:r>
        <w:rPr>
          <w:rFonts w:hint="eastAsia" w:ascii="仿宋_GB2312" w:hAnsi="仿宋" w:eastAsia="仿宋_GB2312"/>
          <w:b/>
          <w:color w:val="auto"/>
          <w:sz w:val="32"/>
          <w:szCs w:val="32"/>
          <w:highlight w:val="none"/>
        </w:rPr>
        <w:t>：</w:t>
      </w:r>
      <w:r>
        <w:rPr>
          <w:rFonts w:hint="eastAsia" w:ascii="仿宋_GB2312" w:hAnsi="黑体" w:eastAsia="仿宋_GB2312"/>
          <w:color w:val="auto"/>
          <w:sz w:val="32"/>
          <w:szCs w:val="32"/>
          <w:highlight w:val="none"/>
        </w:rPr>
        <w:t>指部门或单位从同级财政部门取得的财政预算资金。</w:t>
      </w:r>
    </w:p>
    <w:p w14:paraId="3CBCB147">
      <w:pPr>
        <w:pStyle w:val="2"/>
        <w:spacing w:before="0" w:beforeAutospacing="0" w:after="0" w:afterAutospacing="0" w:line="600" w:lineRule="exact"/>
        <w:ind w:firstLine="627" w:firstLineChars="196"/>
        <w:jc w:val="both"/>
        <w:rPr>
          <w:rFonts w:ascii="黑体" w:hAnsi="黑体" w:eastAsia="黑体"/>
          <w:color w:val="auto"/>
          <w:sz w:val="32"/>
          <w:szCs w:val="32"/>
          <w:highlight w:val="none"/>
        </w:rPr>
      </w:pPr>
      <w:r>
        <w:rPr>
          <w:rFonts w:hint="eastAsia" w:ascii="黑体" w:hAnsi="仿宋" w:eastAsia="黑体"/>
          <w:color w:val="auto"/>
          <w:sz w:val="32"/>
          <w:szCs w:val="32"/>
          <w:highlight w:val="none"/>
        </w:rPr>
        <w:t>二、事业收入：</w:t>
      </w:r>
      <w:r>
        <w:rPr>
          <w:rFonts w:hint="eastAsia" w:ascii="仿宋_GB2312" w:hAnsi="黑体" w:eastAsia="仿宋_GB2312"/>
          <w:color w:val="auto"/>
          <w:sz w:val="32"/>
          <w:szCs w:val="32"/>
          <w:highlight w:val="none"/>
        </w:rPr>
        <w:t>指事业单</w:t>
      </w:r>
      <w:r>
        <w:rPr>
          <w:rFonts w:hint="eastAsia" w:ascii="仿宋_GB2312" w:hAnsi="仿宋" w:eastAsia="仿宋_GB2312" w:cs="Times New Roman"/>
          <w:color w:val="auto"/>
          <w:kern w:val="2"/>
          <w:sz w:val="32"/>
          <w:szCs w:val="32"/>
          <w:highlight w:val="none"/>
        </w:rPr>
        <w:t>位开展专业业务活动及辅助活动所取得的收入。</w:t>
      </w:r>
    </w:p>
    <w:p w14:paraId="5018FDB8">
      <w:pPr>
        <w:pStyle w:val="2"/>
        <w:adjustRightInd w:val="0"/>
        <w:snapToGrid w:val="0"/>
        <w:spacing w:before="0" w:beforeAutospacing="0" w:after="0" w:afterAutospacing="0" w:line="600" w:lineRule="exact"/>
        <w:ind w:firstLine="627" w:firstLineChars="196"/>
        <w:rPr>
          <w:rFonts w:ascii="仿宋_GB2312" w:hAnsi="仿宋" w:eastAsia="仿宋_GB2312" w:cs="Times New Roman"/>
          <w:color w:val="auto"/>
          <w:kern w:val="2"/>
          <w:sz w:val="32"/>
          <w:szCs w:val="32"/>
          <w:highlight w:val="none"/>
        </w:rPr>
      </w:pPr>
      <w:r>
        <w:rPr>
          <w:rFonts w:hint="eastAsia" w:ascii="黑体" w:hAnsi="黑体" w:eastAsia="黑体"/>
          <w:color w:val="auto"/>
          <w:sz w:val="32"/>
          <w:szCs w:val="32"/>
          <w:highlight w:val="none"/>
        </w:rPr>
        <w:t>三、财政专户管理资金：</w:t>
      </w:r>
      <w:r>
        <w:rPr>
          <w:rFonts w:hint="eastAsia" w:ascii="仿宋_GB2312" w:hAnsi="仿宋" w:eastAsia="仿宋_GB2312" w:cs="Times New Roman"/>
          <w:color w:val="auto"/>
          <w:kern w:val="2"/>
          <w:sz w:val="32"/>
          <w:szCs w:val="32"/>
          <w:highlight w:val="none"/>
        </w:rPr>
        <w:t>指按照非税收入管理相关规定，纳入财政专户管理的教育收费等。</w:t>
      </w:r>
    </w:p>
    <w:p w14:paraId="20EB593C">
      <w:pPr>
        <w:pStyle w:val="2"/>
        <w:adjustRightInd w:val="0"/>
        <w:snapToGrid w:val="0"/>
        <w:spacing w:line="600" w:lineRule="exact"/>
        <w:ind w:firstLine="627" w:firstLineChars="196"/>
        <w:rPr>
          <w:rFonts w:ascii="仿宋_GB2312" w:hAnsi="仿宋" w:eastAsia="仿宋_GB2312" w:cs="Times New Roman"/>
          <w:color w:val="auto"/>
          <w:kern w:val="2"/>
          <w:sz w:val="32"/>
          <w:szCs w:val="32"/>
          <w:highlight w:val="none"/>
        </w:rPr>
      </w:pPr>
      <w:r>
        <w:rPr>
          <w:rFonts w:hint="eastAsia" w:ascii="黑体" w:hAnsi="黑体" w:eastAsia="黑体"/>
          <w:color w:val="auto"/>
          <w:sz w:val="32"/>
          <w:szCs w:val="32"/>
          <w:highlight w:val="none"/>
        </w:rPr>
        <w:t>四、事业单位经营收入：</w:t>
      </w:r>
      <w:r>
        <w:rPr>
          <w:rFonts w:hint="eastAsia" w:ascii="仿宋_GB2312" w:hAnsi="仿宋" w:eastAsia="仿宋_GB2312" w:cs="Times New Roman"/>
          <w:color w:val="auto"/>
          <w:kern w:val="2"/>
          <w:sz w:val="32"/>
          <w:szCs w:val="32"/>
          <w:highlight w:val="none"/>
        </w:rPr>
        <w:t>指事业单位在专业业务活动及其辅助活动之外开展非独立核算经营活动取得的收入。</w:t>
      </w:r>
    </w:p>
    <w:p w14:paraId="3C0E4304">
      <w:pPr>
        <w:pStyle w:val="2"/>
        <w:adjustRightInd w:val="0"/>
        <w:snapToGrid w:val="0"/>
        <w:spacing w:line="600" w:lineRule="exact"/>
        <w:ind w:firstLine="627" w:firstLineChars="196"/>
        <w:rPr>
          <w:rFonts w:ascii="仿宋_GB2312" w:hAnsi="仿宋" w:eastAsia="仿宋_GB2312" w:cs="Times New Roman"/>
          <w:color w:val="auto"/>
          <w:kern w:val="2"/>
          <w:sz w:val="32"/>
          <w:szCs w:val="32"/>
          <w:highlight w:val="none"/>
        </w:rPr>
      </w:pPr>
      <w:r>
        <w:rPr>
          <w:rFonts w:hint="eastAsia" w:ascii="黑体" w:hAnsi="黑体" w:eastAsia="黑体"/>
          <w:color w:val="auto"/>
          <w:sz w:val="32"/>
          <w:szCs w:val="32"/>
          <w:highlight w:val="none"/>
        </w:rPr>
        <w:t>五、附属单位上缴收入：</w:t>
      </w:r>
      <w:r>
        <w:rPr>
          <w:rFonts w:hint="eastAsia" w:ascii="仿宋_GB2312" w:hAnsi="仿宋" w:eastAsia="仿宋_GB2312" w:cs="Times New Roman"/>
          <w:color w:val="auto"/>
          <w:kern w:val="2"/>
          <w:sz w:val="32"/>
          <w:szCs w:val="32"/>
          <w:highlight w:val="none"/>
        </w:rPr>
        <w:t>本单位所属下级单位上缴给本单位的全部收入。</w:t>
      </w:r>
    </w:p>
    <w:p w14:paraId="1253C045">
      <w:pPr>
        <w:pStyle w:val="2"/>
        <w:adjustRightInd w:val="0"/>
        <w:snapToGrid w:val="0"/>
        <w:spacing w:before="0" w:beforeAutospacing="0" w:after="0" w:afterAutospacing="0" w:line="600" w:lineRule="exact"/>
        <w:ind w:firstLine="627" w:firstLineChars="196"/>
        <w:rPr>
          <w:rFonts w:ascii="仿宋_GB2312" w:hAnsi="仿宋" w:eastAsia="仿宋_GB2312" w:cs="Times New Roman"/>
          <w:color w:val="auto"/>
          <w:kern w:val="2"/>
          <w:sz w:val="32"/>
          <w:szCs w:val="32"/>
          <w:highlight w:val="none"/>
        </w:rPr>
      </w:pPr>
      <w:r>
        <w:rPr>
          <w:rFonts w:hint="eastAsia" w:ascii="黑体" w:hAnsi="黑体" w:eastAsia="黑体"/>
          <w:color w:val="auto"/>
          <w:sz w:val="32"/>
          <w:szCs w:val="32"/>
          <w:highlight w:val="none"/>
        </w:rPr>
        <w:t>六、上年结转：</w:t>
      </w:r>
      <w:r>
        <w:rPr>
          <w:rFonts w:hint="eastAsia" w:ascii="仿宋_GB2312" w:hAnsi="仿宋" w:eastAsia="仿宋_GB2312" w:cs="Times New Roman"/>
          <w:color w:val="auto"/>
          <w:kern w:val="2"/>
          <w:sz w:val="32"/>
          <w:szCs w:val="32"/>
          <w:highlight w:val="none"/>
        </w:rPr>
        <w:t>指以前年度安排、结转到本年仍按原用途继续使用的资金。</w:t>
      </w:r>
    </w:p>
    <w:p w14:paraId="71C960F0">
      <w:pPr>
        <w:pStyle w:val="2"/>
        <w:adjustRightInd w:val="0"/>
        <w:snapToGrid w:val="0"/>
        <w:spacing w:before="0" w:beforeAutospacing="0" w:after="0" w:afterAutospacing="0" w:line="600" w:lineRule="exact"/>
        <w:ind w:firstLine="627" w:firstLineChars="196"/>
        <w:rPr>
          <w:rFonts w:ascii="仿宋_GB2312" w:hAnsi="仿宋" w:eastAsia="仿宋_GB2312" w:cs="Times New Roman"/>
          <w:color w:val="auto"/>
          <w:kern w:val="2"/>
          <w:sz w:val="32"/>
          <w:szCs w:val="32"/>
          <w:highlight w:val="none"/>
        </w:rPr>
      </w:pPr>
      <w:r>
        <w:rPr>
          <w:rFonts w:hint="eastAsia" w:ascii="黑体" w:hAnsi="黑体" w:eastAsia="黑体"/>
          <w:color w:val="auto"/>
          <w:sz w:val="32"/>
          <w:szCs w:val="32"/>
          <w:highlight w:val="none"/>
        </w:rPr>
        <w:t>七、结转下年：</w:t>
      </w:r>
      <w:r>
        <w:rPr>
          <w:rFonts w:hint="eastAsia" w:ascii="仿宋_GB2312" w:hAnsi="仿宋" w:eastAsia="仿宋_GB2312" w:cs="Times New Roman"/>
          <w:color w:val="auto"/>
          <w:kern w:val="2"/>
          <w:sz w:val="32"/>
          <w:szCs w:val="32"/>
          <w:highlight w:val="none"/>
        </w:rPr>
        <w:t>指以前年度预算安排、因客观条件发生变化无法按原计划实施，需以后年度按原用途继续使用的资金。</w:t>
      </w:r>
    </w:p>
    <w:p w14:paraId="5CB2879A">
      <w:pPr>
        <w:pStyle w:val="2"/>
        <w:adjustRightInd w:val="0"/>
        <w:snapToGrid w:val="0"/>
        <w:spacing w:before="0" w:beforeAutospacing="0" w:after="0" w:afterAutospacing="0" w:line="600" w:lineRule="exact"/>
        <w:ind w:firstLine="627" w:firstLineChars="196"/>
        <w:rPr>
          <w:rFonts w:ascii="仿宋_GB2312" w:hAnsi="黑体" w:eastAsia="仿宋_GB2312"/>
          <w:color w:val="auto"/>
          <w:sz w:val="32"/>
          <w:szCs w:val="32"/>
          <w:highlight w:val="none"/>
        </w:rPr>
      </w:pPr>
      <w:r>
        <w:rPr>
          <w:rFonts w:hint="eastAsia" w:ascii="黑体" w:hAnsi="黑体" w:eastAsia="黑体"/>
          <w:color w:val="auto"/>
          <w:sz w:val="32"/>
          <w:szCs w:val="32"/>
          <w:highlight w:val="none"/>
        </w:rPr>
        <w:t>八、基本支出</w:t>
      </w:r>
      <w:r>
        <w:rPr>
          <w:rFonts w:hint="eastAsia" w:ascii="仿宋_GB2312" w:hAnsi="黑体" w:eastAsia="仿宋_GB2312"/>
          <w:b/>
          <w:color w:val="auto"/>
          <w:sz w:val="32"/>
          <w:szCs w:val="32"/>
          <w:highlight w:val="none"/>
        </w:rPr>
        <w:t>：</w:t>
      </w:r>
      <w:r>
        <w:rPr>
          <w:rFonts w:hint="eastAsia" w:ascii="仿宋_GB2312" w:hAnsi="黑体" w:eastAsia="仿宋_GB2312"/>
          <w:color w:val="auto"/>
          <w:sz w:val="32"/>
          <w:szCs w:val="32"/>
          <w:highlight w:val="none"/>
        </w:rPr>
        <w:t>指为保障机构正常运转、完成日常工作任务而发生的人员支出和公用支出。</w:t>
      </w:r>
    </w:p>
    <w:p w14:paraId="64A35A6B">
      <w:pPr>
        <w:pStyle w:val="2"/>
        <w:spacing w:before="0" w:beforeAutospacing="0" w:after="0" w:afterAutospacing="0" w:line="600" w:lineRule="exact"/>
        <w:ind w:firstLine="627" w:firstLineChars="196"/>
        <w:jc w:val="both"/>
        <w:rPr>
          <w:rFonts w:hint="eastAsia" w:ascii="仿宋_GB2312" w:hAnsi="黑体" w:eastAsia="仿宋_GB2312"/>
          <w:color w:val="auto"/>
          <w:sz w:val="32"/>
          <w:szCs w:val="32"/>
          <w:highlight w:val="none"/>
          <w:lang w:eastAsia="zh-CN"/>
        </w:rPr>
      </w:pPr>
      <w:r>
        <w:rPr>
          <w:rFonts w:hint="eastAsia" w:ascii="黑体" w:hAnsi="黑体" w:eastAsia="黑体"/>
          <w:color w:val="auto"/>
          <w:sz w:val="32"/>
          <w:szCs w:val="32"/>
          <w:highlight w:val="none"/>
        </w:rPr>
        <w:t>九、项目支出</w:t>
      </w:r>
      <w:r>
        <w:rPr>
          <w:rFonts w:hint="eastAsia" w:ascii="仿宋_GB2312" w:hAnsi="黑体" w:eastAsia="仿宋_GB2312"/>
          <w:b/>
          <w:color w:val="auto"/>
          <w:sz w:val="32"/>
          <w:szCs w:val="32"/>
          <w:highlight w:val="none"/>
        </w:rPr>
        <w:t>：</w:t>
      </w:r>
      <w:r>
        <w:rPr>
          <w:rFonts w:hint="eastAsia" w:ascii="仿宋_GB2312" w:hAnsi="黑体" w:eastAsia="仿宋_GB2312"/>
          <w:color w:val="auto"/>
          <w:sz w:val="32"/>
          <w:szCs w:val="32"/>
          <w:highlight w:val="none"/>
        </w:rPr>
        <w:t>指在除基本支出之外的支出，主要用于完成特定的工作任务和事业发展目标。</w:t>
      </w:r>
    </w:p>
    <w:p w14:paraId="732354EA">
      <w:pPr>
        <w:pStyle w:val="2"/>
        <w:spacing w:before="0" w:beforeAutospacing="0" w:after="0" w:afterAutospacing="0" w:line="600" w:lineRule="exact"/>
        <w:ind w:firstLine="627" w:firstLineChars="196"/>
        <w:jc w:val="both"/>
        <w:rPr>
          <w:rFonts w:ascii="仿宋_GB2312" w:hAnsi="黑体" w:eastAsia="仿宋_GB2312"/>
          <w:color w:val="auto"/>
          <w:sz w:val="32"/>
          <w:szCs w:val="32"/>
          <w:highlight w:val="none"/>
        </w:rPr>
      </w:pPr>
      <w:r>
        <w:rPr>
          <w:rFonts w:hint="eastAsia" w:ascii="黑体" w:hAnsi="黑体" w:eastAsia="黑体"/>
          <w:color w:val="auto"/>
          <w:sz w:val="32"/>
          <w:szCs w:val="32"/>
          <w:highlight w:val="none"/>
        </w:rPr>
        <w:t>十、机关运行经费:</w:t>
      </w:r>
      <w:r>
        <w:rPr>
          <w:rFonts w:hint="eastAsia" w:ascii="仿宋_GB2312" w:hAnsi="黑体" w:eastAsia="仿宋_GB2312"/>
          <w:color w:val="auto"/>
          <w:sz w:val="32"/>
          <w:szCs w:val="32"/>
          <w:highlight w:val="none"/>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roma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roma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99ABE5"/>
    <w:multiLevelType w:val="singleLevel"/>
    <w:tmpl w:val="DB99ABE5"/>
    <w:lvl w:ilvl="0" w:tentative="0">
      <w:start w:val="2"/>
      <w:numFmt w:val="decimal"/>
      <w:lvlText w:val="%1."/>
      <w:lvlJc w:val="left"/>
      <w:pPr>
        <w:tabs>
          <w:tab w:val="left" w:pos="312"/>
        </w:tabs>
      </w:pPr>
    </w:lvl>
  </w:abstractNum>
  <w:abstractNum w:abstractNumId="1">
    <w:nsid w:val="208A12B7"/>
    <w:multiLevelType w:val="multilevel"/>
    <w:tmpl w:val="208A12B7"/>
    <w:lvl w:ilvl="0" w:tentative="0">
      <w:start w:val="1"/>
      <w:numFmt w:val="decimal"/>
      <w:lvlText w:val="%1、"/>
      <w:lvlJc w:val="left"/>
      <w:pPr>
        <w:ind w:left="1105" w:hanging="465"/>
      </w:pPr>
      <w:rPr>
        <w:rFonts w:ascii="仿宋_GB2312" w:hAnsi="仿宋" w:eastAsia="仿宋_GB2312" w:cs="Times New Roman"/>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zMTMxNDg2N2IwOGNjMDNhOGVlMWY1M2U5ZGFkNzYifQ=="/>
  </w:docVars>
  <w:rsids>
    <w:rsidRoot w:val="00630EB3"/>
    <w:rsid w:val="00005D2C"/>
    <w:rsid w:val="000559B9"/>
    <w:rsid w:val="000C380A"/>
    <w:rsid w:val="000D5D55"/>
    <w:rsid w:val="001D7E11"/>
    <w:rsid w:val="001E7B91"/>
    <w:rsid w:val="00235C5B"/>
    <w:rsid w:val="002A3483"/>
    <w:rsid w:val="00325A8E"/>
    <w:rsid w:val="003D38A3"/>
    <w:rsid w:val="00453649"/>
    <w:rsid w:val="0045755D"/>
    <w:rsid w:val="00525C06"/>
    <w:rsid w:val="00544C51"/>
    <w:rsid w:val="005C0EBE"/>
    <w:rsid w:val="00630EB3"/>
    <w:rsid w:val="00657545"/>
    <w:rsid w:val="007025BC"/>
    <w:rsid w:val="00717C9C"/>
    <w:rsid w:val="00725B50"/>
    <w:rsid w:val="00843367"/>
    <w:rsid w:val="00951050"/>
    <w:rsid w:val="0095316E"/>
    <w:rsid w:val="00A372C8"/>
    <w:rsid w:val="00A85644"/>
    <w:rsid w:val="00B36BC1"/>
    <w:rsid w:val="00C14581"/>
    <w:rsid w:val="00EB65D3"/>
    <w:rsid w:val="00F54CC2"/>
    <w:rsid w:val="00F67CD9"/>
    <w:rsid w:val="00FF5813"/>
    <w:rsid w:val="01A456C0"/>
    <w:rsid w:val="04762137"/>
    <w:rsid w:val="06E45372"/>
    <w:rsid w:val="090C438D"/>
    <w:rsid w:val="0A9D666F"/>
    <w:rsid w:val="0CC907F2"/>
    <w:rsid w:val="0CD61A81"/>
    <w:rsid w:val="0D6945E7"/>
    <w:rsid w:val="0E5449AA"/>
    <w:rsid w:val="0EC3241C"/>
    <w:rsid w:val="11BA6DEE"/>
    <w:rsid w:val="122F6BBD"/>
    <w:rsid w:val="12AA18C6"/>
    <w:rsid w:val="12F157AA"/>
    <w:rsid w:val="12FE1AE0"/>
    <w:rsid w:val="18261119"/>
    <w:rsid w:val="1A850BA8"/>
    <w:rsid w:val="1F571F20"/>
    <w:rsid w:val="22363A48"/>
    <w:rsid w:val="22750D7E"/>
    <w:rsid w:val="22C32593"/>
    <w:rsid w:val="27F23795"/>
    <w:rsid w:val="285475F3"/>
    <w:rsid w:val="28A75282"/>
    <w:rsid w:val="29D2209F"/>
    <w:rsid w:val="29F3375E"/>
    <w:rsid w:val="2A4E55C8"/>
    <w:rsid w:val="2A541875"/>
    <w:rsid w:val="2D033ABB"/>
    <w:rsid w:val="329B3CB9"/>
    <w:rsid w:val="35B80496"/>
    <w:rsid w:val="38F15596"/>
    <w:rsid w:val="3BDE20B4"/>
    <w:rsid w:val="3CBE3A78"/>
    <w:rsid w:val="3D5076F9"/>
    <w:rsid w:val="3E4405D4"/>
    <w:rsid w:val="3F8F49FD"/>
    <w:rsid w:val="3FB601EC"/>
    <w:rsid w:val="40D23F92"/>
    <w:rsid w:val="447339C1"/>
    <w:rsid w:val="44ED0122"/>
    <w:rsid w:val="45EB75F7"/>
    <w:rsid w:val="47DB7956"/>
    <w:rsid w:val="48204DC6"/>
    <w:rsid w:val="4AA27D8E"/>
    <w:rsid w:val="4AD52F6E"/>
    <w:rsid w:val="4C276D84"/>
    <w:rsid w:val="4CD314A1"/>
    <w:rsid w:val="4CFD651E"/>
    <w:rsid w:val="4D0E4287"/>
    <w:rsid w:val="4F1331F6"/>
    <w:rsid w:val="4F1A5F71"/>
    <w:rsid w:val="50203DD9"/>
    <w:rsid w:val="520E14FC"/>
    <w:rsid w:val="54B83541"/>
    <w:rsid w:val="58A41F44"/>
    <w:rsid w:val="599E16D5"/>
    <w:rsid w:val="59E3084A"/>
    <w:rsid w:val="5A7F449C"/>
    <w:rsid w:val="5B687259"/>
    <w:rsid w:val="5BE36ECF"/>
    <w:rsid w:val="603B13E0"/>
    <w:rsid w:val="606E6EEF"/>
    <w:rsid w:val="60CC2A33"/>
    <w:rsid w:val="61050FC1"/>
    <w:rsid w:val="6145355E"/>
    <w:rsid w:val="63543F73"/>
    <w:rsid w:val="649A6D3D"/>
    <w:rsid w:val="64B27796"/>
    <w:rsid w:val="67852F9E"/>
    <w:rsid w:val="69315862"/>
    <w:rsid w:val="695A49F8"/>
    <w:rsid w:val="6A2B6021"/>
    <w:rsid w:val="6BDE1A06"/>
    <w:rsid w:val="6BE863A4"/>
    <w:rsid w:val="6C20050F"/>
    <w:rsid w:val="6CF1301A"/>
    <w:rsid w:val="6E2274FA"/>
    <w:rsid w:val="6E8F7112"/>
    <w:rsid w:val="703E1080"/>
    <w:rsid w:val="70711EF0"/>
    <w:rsid w:val="728E5B8A"/>
    <w:rsid w:val="74626AE3"/>
    <w:rsid w:val="768C7424"/>
    <w:rsid w:val="778E7BEF"/>
    <w:rsid w:val="788D4AB6"/>
    <w:rsid w:val="79B76EBE"/>
    <w:rsid w:val="7B4125C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4">
    <w:name w:val="Table Grid"/>
    <w:basedOn w:val="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rPr>
      <w:b/>
    </w:rPr>
  </w:style>
  <w:style w:type="paragraph" w:styleId="7">
    <w:name w:val="List Paragraph"/>
    <w:basedOn w:val="1"/>
    <w:qFormat/>
    <w:uiPriority w:val="34"/>
    <w:pPr>
      <w:ind w:firstLine="420" w:firstLineChars="200"/>
    </w:pPr>
  </w:style>
  <w:style w:type="paragraph" w:customStyle="1" w:styleId="8">
    <w:name w:val="Body text|3"/>
    <w:basedOn w:val="1"/>
    <w:qFormat/>
    <w:uiPriority w:val="0"/>
    <w:pPr>
      <w:spacing w:after="120"/>
    </w:pPr>
    <w:rPr>
      <w:rFonts w:ascii="宋体" w:hAnsi="宋体" w:cs="宋体"/>
      <w:szCs w:val="24"/>
      <w:lang w:val="zh-TW" w:eastAsia="zh-TW" w:bidi="zh-TW"/>
    </w:rPr>
  </w:style>
  <w:style w:type="paragraph" w:customStyle="1" w:styleId="9">
    <w:name w:val="Body text|2"/>
    <w:basedOn w:val="1"/>
    <w:qFormat/>
    <w:uiPriority w:val="0"/>
    <w:pPr>
      <w:spacing w:after="120"/>
      <w:jc w:val="center"/>
    </w:pPr>
    <w:rPr>
      <w:rFonts w:ascii="宋体" w:hAnsi="宋体" w:cs="宋体"/>
      <w:sz w:val="20"/>
      <w:szCs w:val="20"/>
      <w:lang w:val="zh-TW" w:eastAsia="zh-TW" w:bidi="zh-TW"/>
    </w:rPr>
  </w:style>
  <w:style w:type="paragraph" w:customStyle="1" w:styleId="10">
    <w:name w:val="Other|1"/>
    <w:basedOn w:val="1"/>
    <w:qFormat/>
    <w:uiPriority w:val="0"/>
    <w:pPr>
      <w:spacing w:line="437" w:lineRule="auto"/>
      <w:ind w:firstLine="400"/>
    </w:pPr>
    <w:rPr>
      <w:rFonts w:ascii="宋体" w:hAnsi="宋体" w:cs="宋体"/>
      <w:sz w:val="30"/>
      <w:szCs w:val="30"/>
      <w:lang w:val="zh-TW" w:eastAsia="zh-TW" w:bidi="zh-TW"/>
    </w:rPr>
  </w:style>
  <w:style w:type="paragraph" w:customStyle="1" w:styleId="11">
    <w:name w:val="Other|2"/>
    <w:basedOn w:val="1"/>
    <w:qFormat/>
    <w:uiPriority w:val="0"/>
    <w:pPr>
      <w:jc w:val="center"/>
    </w:pPr>
    <w:rPr>
      <w:rFonts w:ascii="宋体" w:hAnsi="宋体" w:cs="宋体"/>
      <w:sz w:val="20"/>
      <w:szCs w:val="20"/>
      <w:lang w:val="zh-TW" w:eastAsia="zh-TW" w:bidi="zh-T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37</Pages>
  <Words>11988</Words>
  <Characters>13656</Characters>
  <Lines>48</Lines>
  <Paragraphs>13</Paragraphs>
  <TotalTime>11</TotalTime>
  <ScaleCrop>false</ScaleCrop>
  <LinksUpToDate>false</LinksUpToDate>
  <CharactersWithSpaces>14062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2022-03-09T07:19:00Z</dcterms:created>
  <dc:creator>Lenovo</dc:creator>
  <cp:lastModifiedBy>飘</cp:lastModifiedBy>
  <cp:lastPrinted>2024-09-27T02:47:00Z</cp:lastPrinted>
  <dcterms:modified xsi:type="dcterms:W3CDTF">2024-10-10T06:44:43Z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CF8E5D3B73A24D7AA3EDDFF103B95F53_13</vt:lpwstr>
  </property>
</Properties>
</file>