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6479B">
      <w:pPr>
        <w:jc w:val="center"/>
        <w:rPr>
          <w:rFonts w:ascii="宋体" w:hAnsi="宋体"/>
          <w:b/>
          <w:sz w:val="36"/>
          <w:szCs w:val="36"/>
        </w:rPr>
      </w:pPr>
      <w:r>
        <w:rPr>
          <w:rFonts w:hint="eastAsia" w:ascii="宋体" w:hAnsi="宋体"/>
          <w:b/>
          <w:sz w:val="36"/>
          <w:szCs w:val="36"/>
        </w:rPr>
        <w:t>濉溪县离休干部和残疾军人医疗保健服务中心</w:t>
      </w:r>
      <w:r>
        <w:rPr>
          <w:rFonts w:ascii="宋体" w:hAnsi="宋体"/>
          <w:b/>
          <w:sz w:val="36"/>
          <w:szCs w:val="36"/>
        </w:rPr>
        <w:t>20</w:t>
      </w:r>
      <w:r>
        <w:rPr>
          <w:rFonts w:hint="eastAsia" w:ascii="宋体" w:hAnsi="宋体"/>
          <w:b/>
          <w:sz w:val="36"/>
          <w:szCs w:val="36"/>
        </w:rPr>
        <w:t>2</w:t>
      </w:r>
      <w:r>
        <w:rPr>
          <w:rFonts w:hint="eastAsia" w:ascii="宋体" w:hAnsi="宋体"/>
          <w:b/>
          <w:sz w:val="36"/>
          <w:szCs w:val="36"/>
          <w:lang w:val="en-US" w:eastAsia="zh-CN"/>
        </w:rPr>
        <w:t>3</w:t>
      </w:r>
      <w:r>
        <w:rPr>
          <w:rFonts w:ascii="宋体" w:hAnsi="宋体"/>
          <w:b/>
          <w:sz w:val="36"/>
          <w:szCs w:val="36"/>
        </w:rPr>
        <w:t>年</w:t>
      </w:r>
      <w:r>
        <w:rPr>
          <w:rFonts w:hint="eastAsia" w:ascii="宋体" w:hAnsi="宋体"/>
          <w:b/>
          <w:sz w:val="36"/>
          <w:szCs w:val="36"/>
        </w:rPr>
        <w:t>度一般公共预算财政拨款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      决算情况说明</w:t>
      </w:r>
    </w:p>
    <w:p w14:paraId="67996B8E">
      <w:pPr>
        <w:jc w:val="center"/>
        <w:rPr>
          <w:rFonts w:ascii="楷体_GB2312" w:eastAsia="楷体_GB2312"/>
          <w:szCs w:val="32"/>
        </w:rPr>
      </w:pPr>
    </w:p>
    <w:p w14:paraId="659C4B99">
      <w:pPr>
        <w:adjustRightInd w:val="0"/>
        <w:snapToGrid w:val="0"/>
        <w:spacing w:line="360" w:lineRule="auto"/>
        <w:jc w:val="center"/>
        <w:rPr>
          <w:rFonts w:ascii="宋体" w:hAnsi="宋体"/>
          <w:sz w:val="6"/>
          <w:szCs w:val="32"/>
        </w:rPr>
      </w:pPr>
    </w:p>
    <w:p w14:paraId="3636DC9F">
      <w:pPr>
        <w:rPr>
          <w:rFonts w:ascii="黑体" w:hAnsi="黑体" w:eastAsia="黑体"/>
          <w:szCs w:val="32"/>
        </w:rPr>
      </w:pPr>
      <w:r>
        <w:rPr>
          <w:rFonts w:ascii="黑体" w:hAnsi="黑体" w:eastAsia="黑体"/>
          <w:szCs w:val="32"/>
        </w:rPr>
        <w:t xml:space="preserve">    </w:t>
      </w:r>
      <w:r>
        <w:rPr>
          <w:rFonts w:hint="eastAsia" w:ascii="黑体" w:hAnsi="黑体" w:eastAsia="黑体"/>
          <w:szCs w:val="32"/>
        </w:rPr>
        <w:t>一、202</w:t>
      </w:r>
      <w:r>
        <w:rPr>
          <w:rFonts w:hint="eastAsia" w:ascii="黑体" w:hAnsi="黑体" w:eastAsia="黑体"/>
          <w:szCs w:val="32"/>
          <w:lang w:val="en-US" w:eastAsia="zh-CN"/>
        </w:rPr>
        <w:t>3</w:t>
      </w:r>
      <w:r>
        <w:rPr>
          <w:rFonts w:hint="eastAsia" w:ascii="黑体" w:hAnsi="黑体" w:eastAsia="黑体"/>
          <w:szCs w:val="32"/>
        </w:rPr>
        <w:t>年度一般公共预算财政拨款“三公”经费支出决算表</w:t>
      </w:r>
    </w:p>
    <w:p w14:paraId="2BB2658B">
      <w:pPr>
        <w:ind w:firstLine="6720" w:firstLineChars="2100"/>
        <w:rPr>
          <w:rFonts w:ascii="黑体" w:hAnsi="黑体" w:eastAsia="黑体"/>
          <w:szCs w:val="32"/>
        </w:rPr>
      </w:pPr>
      <w:bookmarkStart w:id="0" w:name="_GoBack"/>
      <w:bookmarkEnd w:id="0"/>
      <w:r>
        <w:rPr>
          <w:rFonts w:hint="eastAsia" w:ascii="仿宋_GB2312" w:hAnsi="仿宋_GB2312" w:cs="仿宋_GB2312"/>
          <w:szCs w:val="32"/>
        </w:rPr>
        <w:t>单位：万元</w:t>
      </w:r>
    </w:p>
    <w:tbl>
      <w:tblPr>
        <w:tblStyle w:val="4"/>
        <w:tblpPr w:leftFromText="180" w:rightFromText="180" w:vertAnchor="text" w:horzAnchor="margin" w:tblpY="454"/>
        <w:tblOverlap w:val="never"/>
        <w:tblW w:w="8756" w:type="dxa"/>
        <w:tblInd w:w="0" w:type="dxa"/>
        <w:tblLayout w:type="fixed"/>
        <w:tblCellMar>
          <w:top w:w="0" w:type="dxa"/>
          <w:left w:w="108" w:type="dxa"/>
          <w:bottom w:w="0" w:type="dxa"/>
          <w:right w:w="108" w:type="dxa"/>
        </w:tblCellMar>
      </w:tblPr>
      <w:tblGrid>
        <w:gridCol w:w="4379"/>
        <w:gridCol w:w="2157"/>
        <w:gridCol w:w="2220"/>
      </w:tblGrid>
      <w:tr w14:paraId="50D7961E">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vAlign w:val="center"/>
          </w:tcPr>
          <w:p w14:paraId="71C89EEF">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vAlign w:val="center"/>
          </w:tcPr>
          <w:p w14:paraId="054362F9">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vAlign w:val="center"/>
          </w:tcPr>
          <w:p w14:paraId="40E61962">
            <w:pPr>
              <w:widowControl/>
              <w:jc w:val="center"/>
              <w:rPr>
                <w:rFonts w:ascii="宋体" w:hAnsi="宋体" w:cs="宋体"/>
                <w:b/>
                <w:bCs/>
                <w:kern w:val="0"/>
                <w:szCs w:val="21"/>
              </w:rPr>
            </w:pPr>
            <w:r>
              <w:rPr>
                <w:rFonts w:hint="eastAsia" w:ascii="宋体" w:hAnsi="宋体" w:cs="宋体"/>
                <w:b/>
                <w:bCs/>
                <w:kern w:val="0"/>
                <w:szCs w:val="21"/>
              </w:rPr>
              <w:t>决 算 数</w:t>
            </w:r>
          </w:p>
        </w:tc>
      </w:tr>
      <w:tr w14:paraId="1A7A53C3">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1375EE0B">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vAlign w:val="center"/>
          </w:tcPr>
          <w:p w14:paraId="006D27F7">
            <w:pPr>
              <w:widowControl/>
              <w:jc w:val="center"/>
              <w:rPr>
                <w:rFonts w:hint="eastAsia" w:ascii="宋体" w:hAnsi="宋体" w:eastAsia="仿宋_GB2312" w:cs="宋体"/>
                <w:b/>
                <w:bCs/>
                <w:kern w:val="0"/>
                <w:szCs w:val="21"/>
                <w:lang w:val="en-US" w:eastAsia="zh-CN"/>
              </w:rPr>
            </w:pPr>
            <w:r>
              <w:rPr>
                <w:rFonts w:hint="eastAsia" w:ascii="宋体" w:hAnsi="宋体" w:cs="宋体"/>
                <w:b/>
                <w:bCs/>
                <w:kern w:val="0"/>
                <w:szCs w:val="21"/>
                <w:lang w:val="en-US" w:eastAsia="zh-CN"/>
              </w:rPr>
              <w:t>0</w:t>
            </w:r>
          </w:p>
        </w:tc>
        <w:tc>
          <w:tcPr>
            <w:tcW w:w="2220" w:type="dxa"/>
            <w:tcBorders>
              <w:top w:val="nil"/>
              <w:left w:val="nil"/>
              <w:bottom w:val="single" w:color="auto" w:sz="4" w:space="0"/>
              <w:right w:val="single" w:color="auto" w:sz="4" w:space="0"/>
            </w:tcBorders>
            <w:vAlign w:val="center"/>
          </w:tcPr>
          <w:p w14:paraId="585811F5">
            <w:pPr>
              <w:widowControl/>
              <w:jc w:val="center"/>
              <w:rPr>
                <w:rFonts w:ascii="宋体" w:hAnsi="宋体" w:cs="宋体"/>
                <w:b/>
                <w:bCs/>
                <w:kern w:val="0"/>
                <w:szCs w:val="21"/>
              </w:rPr>
            </w:pPr>
            <w:r>
              <w:rPr>
                <w:rFonts w:hint="eastAsia" w:ascii="宋体" w:hAnsi="宋体" w:cs="宋体"/>
                <w:b/>
                <w:bCs/>
                <w:kern w:val="0"/>
                <w:szCs w:val="21"/>
                <w:lang w:val="en-US" w:eastAsia="zh-CN"/>
              </w:rPr>
              <w:t>0</w:t>
            </w:r>
          </w:p>
        </w:tc>
      </w:tr>
      <w:tr w14:paraId="71E53207">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2A77E878">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vAlign w:val="bottom"/>
          </w:tcPr>
          <w:p w14:paraId="0C4DFF30">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vAlign w:val="bottom"/>
          </w:tcPr>
          <w:p w14:paraId="2C6AD81B">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r>
      <w:tr w14:paraId="78D8C9C8">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0F15DAD9">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vAlign w:val="bottom"/>
          </w:tcPr>
          <w:p w14:paraId="31A7A97E">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vAlign w:val="bottom"/>
          </w:tcPr>
          <w:p w14:paraId="433AC7A8">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r>
      <w:tr w14:paraId="64FE730E">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599BE9CB">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vAlign w:val="bottom"/>
          </w:tcPr>
          <w:p w14:paraId="5900A4AC">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vAlign w:val="bottom"/>
          </w:tcPr>
          <w:p w14:paraId="77AE527A">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r>
      <w:tr w14:paraId="0EE68938">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4B25FA50">
            <w:pPr>
              <w:widowControl/>
              <w:jc w:val="left"/>
              <w:rPr>
                <w:rFonts w:ascii="宋体" w:hAnsi="宋体" w:cs="宋体"/>
                <w:kern w:val="0"/>
                <w:szCs w:val="21"/>
              </w:rPr>
            </w:pPr>
            <w:r>
              <w:rPr>
                <w:rFonts w:hint="eastAsia" w:ascii="宋体" w:hAnsi="宋体" w:cs="宋体"/>
                <w:kern w:val="0"/>
                <w:szCs w:val="21"/>
              </w:rPr>
              <w:t xml:space="preserve">  其中：公务用车购置费</w:t>
            </w:r>
          </w:p>
        </w:tc>
        <w:tc>
          <w:tcPr>
            <w:tcW w:w="2157" w:type="dxa"/>
            <w:tcBorders>
              <w:top w:val="nil"/>
              <w:left w:val="nil"/>
              <w:bottom w:val="single" w:color="auto" w:sz="4" w:space="0"/>
              <w:right w:val="single" w:color="auto" w:sz="4" w:space="0"/>
            </w:tcBorders>
            <w:vAlign w:val="bottom"/>
          </w:tcPr>
          <w:p w14:paraId="11ACFDAF">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vAlign w:val="bottom"/>
          </w:tcPr>
          <w:p w14:paraId="048334FB">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r>
      <w:tr w14:paraId="57FE150D">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2195C539">
            <w:pPr>
              <w:widowControl/>
              <w:jc w:val="left"/>
              <w:rPr>
                <w:rFonts w:ascii="宋体" w:hAnsi="宋体" w:cs="宋体"/>
                <w:kern w:val="0"/>
                <w:szCs w:val="21"/>
              </w:rPr>
            </w:pPr>
            <w:r>
              <w:rPr>
                <w:rFonts w:hint="eastAsia" w:ascii="宋体" w:hAnsi="宋体" w:cs="宋体"/>
                <w:kern w:val="0"/>
                <w:szCs w:val="21"/>
              </w:rPr>
              <w:t xml:space="preserve">        公务用车运行维护费</w:t>
            </w:r>
          </w:p>
        </w:tc>
        <w:tc>
          <w:tcPr>
            <w:tcW w:w="2157" w:type="dxa"/>
            <w:tcBorders>
              <w:top w:val="nil"/>
              <w:left w:val="nil"/>
              <w:bottom w:val="single" w:color="auto" w:sz="4" w:space="0"/>
              <w:right w:val="single" w:color="auto" w:sz="4" w:space="0"/>
            </w:tcBorders>
            <w:vAlign w:val="bottom"/>
          </w:tcPr>
          <w:p w14:paraId="7D0C0C8F">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vAlign w:val="bottom"/>
          </w:tcPr>
          <w:p w14:paraId="2096171A">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r>
    </w:tbl>
    <w:p w14:paraId="49C98A65">
      <w:pPr>
        <w:ind w:firstLine="640" w:firstLineChars="200"/>
        <w:rPr>
          <w:rFonts w:ascii="黑体" w:hAnsi="黑体" w:eastAsia="黑体"/>
          <w:szCs w:val="32"/>
        </w:rPr>
      </w:pPr>
      <w:r>
        <w:rPr>
          <w:rFonts w:hint="eastAsia" w:ascii="黑体" w:hAnsi="黑体" w:eastAsia="黑体"/>
          <w:szCs w:val="32"/>
        </w:rPr>
        <w:t xml:space="preserve">                                      </w:t>
      </w:r>
    </w:p>
    <w:p w14:paraId="7D59C305">
      <w:pPr>
        <w:rPr>
          <w:rFonts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rPr>
        <w:t>202</w:t>
      </w:r>
      <w:r>
        <w:rPr>
          <w:rFonts w:hint="eastAsia" w:ascii="黑体" w:hAnsi="黑体" w:eastAsia="黑体"/>
          <w:szCs w:val="32"/>
          <w:lang w:val="en-US" w:eastAsia="zh-CN"/>
        </w:rPr>
        <w:t>3</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14:paraId="2952A79C">
      <w:pPr>
        <w:ind w:firstLine="643" w:firstLineChars="200"/>
        <w:rPr>
          <w:rFonts w:ascii="仿宋_GB2312" w:hAnsi="仿宋"/>
          <w:b/>
          <w:szCs w:val="32"/>
        </w:rPr>
      </w:pPr>
      <w:r>
        <w:rPr>
          <w:rFonts w:hint="eastAsia" w:ascii="仿宋_GB2312" w:hAnsi="仿宋"/>
          <w:b/>
          <w:szCs w:val="32"/>
        </w:rPr>
        <w:t>（一）一般公共预算财政拨款“三公”经费支出决算总体情况说明。</w:t>
      </w:r>
    </w:p>
    <w:p w14:paraId="5AC42FF4">
      <w:pPr>
        <w:ind w:firstLine="640" w:firstLineChars="200"/>
        <w:rPr>
          <w:rFonts w:ascii="仿宋_GB2312" w:hAnsi="仿宋"/>
          <w:szCs w:val="32"/>
        </w:rPr>
      </w:pPr>
      <w:r>
        <w:rPr>
          <w:rFonts w:hint="eastAsia" w:ascii="仿宋_GB2312" w:hAnsi="仿宋"/>
          <w:szCs w:val="32"/>
        </w:rPr>
        <w:t>濉溪县离休干部和残疾军人医疗保健服务中心202</w:t>
      </w:r>
      <w:r>
        <w:rPr>
          <w:rFonts w:hint="eastAsia" w:ascii="仿宋_GB2312" w:hAnsi="仿宋"/>
          <w:szCs w:val="32"/>
          <w:lang w:val="en-US" w:eastAsia="zh-CN"/>
        </w:rPr>
        <w:t>3</w:t>
      </w:r>
      <w:r>
        <w:rPr>
          <w:rFonts w:hint="eastAsia" w:ascii="仿宋_GB2312" w:hAnsi="仿宋"/>
          <w:szCs w:val="32"/>
        </w:rPr>
        <w:t>年度一般公共预算财政拨款“三公”经费支出预算为0万元，支出决算为0万元，与上年决算对比无变化。</w:t>
      </w:r>
    </w:p>
    <w:p w14:paraId="5284A635">
      <w:pPr>
        <w:ind w:firstLine="643" w:firstLineChars="200"/>
        <w:rPr>
          <w:rFonts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14:paraId="055F2DCC">
      <w:pPr>
        <w:ind w:firstLine="640" w:firstLineChars="200"/>
        <w:rPr>
          <w:rFonts w:ascii="仿宋_GB2312" w:hAnsi="仿宋"/>
          <w:szCs w:val="32"/>
        </w:rPr>
      </w:pPr>
      <w:r>
        <w:rPr>
          <w:rFonts w:hint="eastAsia" w:ascii="仿宋_GB2312" w:hAnsi="仿宋"/>
          <w:szCs w:val="32"/>
        </w:rPr>
        <w:t>濉溪县离休干部和残疾军人医疗保健服务中心202</w:t>
      </w:r>
      <w:r>
        <w:rPr>
          <w:rFonts w:hint="eastAsia" w:ascii="仿宋_GB2312" w:hAnsi="仿宋"/>
          <w:szCs w:val="32"/>
          <w:lang w:val="en-US" w:eastAsia="zh-CN"/>
        </w:rPr>
        <w:t>3</w:t>
      </w:r>
      <w:r>
        <w:rPr>
          <w:rFonts w:hint="eastAsia" w:ascii="仿宋_GB2312" w:hAnsi="仿宋"/>
          <w:szCs w:val="32"/>
        </w:rPr>
        <w:t>年度一般公共预算财政拨款“三公”经费支出决算中，因公出国（境）费支出决算0万元;公务接待费支出决算0万元；公务用车购置及运行维护费支出决算0元，。</w:t>
      </w:r>
    </w:p>
    <w:p w14:paraId="31D676AC">
      <w:pPr>
        <w:ind w:firstLine="640" w:firstLineChars="200"/>
        <w:rPr>
          <w:rFonts w:ascii="仿宋_GB2312" w:hAnsi="仿宋"/>
          <w:szCs w:val="32"/>
        </w:rPr>
      </w:pPr>
      <w:r>
        <w:rPr>
          <w:rFonts w:hint="eastAsia" w:ascii="仿宋_GB2312" w:hAnsi="仿宋"/>
          <w:szCs w:val="32"/>
        </w:rPr>
        <w:t>具体情况如下：</w:t>
      </w:r>
    </w:p>
    <w:p w14:paraId="4F4EC06B">
      <w:pPr>
        <w:ind w:firstLine="628"/>
        <w:rPr>
          <w:rFonts w:ascii="仿宋_GB2312" w:hAnsi="仿宋"/>
          <w:szCs w:val="32"/>
        </w:rPr>
      </w:pPr>
      <w:r>
        <w:rPr>
          <w:rFonts w:hint="eastAsia" w:ascii="仿宋_GB2312" w:hAnsi="仿宋"/>
          <w:b/>
          <w:bCs/>
          <w:szCs w:val="32"/>
        </w:rPr>
        <w:t>1.因公出国（境）费支出预算</w:t>
      </w:r>
      <w:r>
        <w:rPr>
          <w:rFonts w:hint="eastAsia" w:ascii="仿宋_GB2312" w:hAnsi="仿宋"/>
          <w:b/>
          <w:szCs w:val="32"/>
        </w:rPr>
        <w:t>0万元</w:t>
      </w:r>
      <w:r>
        <w:rPr>
          <w:rFonts w:hint="eastAsia" w:ascii="仿宋_GB2312" w:hAnsi="仿宋"/>
          <w:szCs w:val="32"/>
        </w:rPr>
        <w:t>，支出决算为0万元，完成预算的100%，决算数与预算数相同，与上年决算对比无变化。</w:t>
      </w:r>
    </w:p>
    <w:p w14:paraId="3797E761">
      <w:pPr>
        <w:ind w:firstLine="628"/>
        <w:rPr>
          <w:rFonts w:ascii="仿宋_GB2312" w:hAnsi="仿宋"/>
          <w:szCs w:val="32"/>
        </w:rPr>
      </w:pPr>
      <w:r>
        <w:rPr>
          <w:rFonts w:hint="eastAsia" w:ascii="仿宋_GB2312" w:hAnsi="仿宋"/>
          <w:b/>
          <w:bCs/>
          <w:szCs w:val="32"/>
        </w:rPr>
        <w:t>2.公务接待费支出0万元</w:t>
      </w:r>
      <w:r>
        <w:rPr>
          <w:rFonts w:hint="eastAsia" w:ascii="仿宋_GB2312" w:hAnsi="仿宋"/>
          <w:szCs w:val="32"/>
        </w:rPr>
        <w:t>, 与202</w:t>
      </w:r>
      <w:r>
        <w:rPr>
          <w:rFonts w:hint="eastAsia" w:ascii="仿宋_GB2312" w:hAnsi="仿宋"/>
          <w:szCs w:val="32"/>
          <w:lang w:val="en-US" w:eastAsia="zh-CN"/>
        </w:rPr>
        <w:t>3</w:t>
      </w:r>
      <w:r>
        <w:rPr>
          <w:rFonts w:hint="eastAsia" w:ascii="仿宋_GB2312" w:hAnsi="仿宋"/>
          <w:szCs w:val="32"/>
        </w:rPr>
        <w:t>年度预算相比无变化，与上年决算对比无变化。</w:t>
      </w:r>
    </w:p>
    <w:p w14:paraId="7177C5CF">
      <w:pPr>
        <w:ind w:firstLine="643" w:firstLineChars="200"/>
        <w:rPr>
          <w:rFonts w:ascii="仿宋_GB2312" w:hAnsi="仿宋"/>
          <w:szCs w:val="32"/>
        </w:rPr>
      </w:pPr>
      <w:r>
        <w:rPr>
          <w:rFonts w:hint="eastAsia" w:ascii="仿宋_GB2312" w:hAnsi="仿宋"/>
          <w:b/>
          <w:bCs/>
          <w:szCs w:val="32"/>
        </w:rPr>
        <w:t>3.公务用车购置及运行维护费支出</w:t>
      </w:r>
      <w:r>
        <w:rPr>
          <w:rFonts w:hint="eastAsia" w:ascii="仿宋_GB2312" w:hAnsi="仿宋"/>
          <w:b/>
          <w:szCs w:val="32"/>
        </w:rPr>
        <w:t>0万元</w:t>
      </w:r>
      <w:r>
        <w:rPr>
          <w:rFonts w:hint="eastAsia" w:ascii="仿宋_GB2312" w:hAnsi="仿宋"/>
          <w:szCs w:val="32"/>
        </w:rPr>
        <w:t>，与202</w:t>
      </w:r>
      <w:r>
        <w:rPr>
          <w:rFonts w:hint="eastAsia" w:ascii="仿宋_GB2312" w:hAnsi="仿宋"/>
          <w:szCs w:val="32"/>
          <w:lang w:val="en-US" w:eastAsia="zh-CN"/>
        </w:rPr>
        <w:t>3</w:t>
      </w:r>
      <w:r>
        <w:rPr>
          <w:rFonts w:hint="eastAsia" w:ascii="仿宋_GB2312" w:hAnsi="仿宋"/>
          <w:szCs w:val="32"/>
        </w:rPr>
        <w:t>年度预算相比无变化，与上年决算对比无变化。其中，公务用车购置费0万元，与202</w:t>
      </w:r>
      <w:r>
        <w:rPr>
          <w:rFonts w:hint="eastAsia" w:ascii="仿宋_GB2312" w:hAnsi="仿宋"/>
          <w:szCs w:val="32"/>
          <w:lang w:val="en-US" w:eastAsia="zh-CN"/>
        </w:rPr>
        <w:t>3</w:t>
      </w:r>
      <w:r>
        <w:rPr>
          <w:rFonts w:hint="eastAsia" w:ascii="仿宋_GB2312" w:hAnsi="仿宋"/>
          <w:szCs w:val="32"/>
        </w:rPr>
        <w:t>年度预算相比无变化，202</w:t>
      </w:r>
      <w:r>
        <w:rPr>
          <w:rFonts w:hint="eastAsia" w:ascii="仿宋_GB2312" w:hAnsi="仿宋"/>
          <w:szCs w:val="32"/>
          <w:lang w:val="en-US" w:eastAsia="zh-CN"/>
        </w:rPr>
        <w:t>3</w:t>
      </w:r>
      <w:r>
        <w:rPr>
          <w:rFonts w:hint="eastAsia" w:ascii="仿宋_GB2312" w:hAnsi="仿宋"/>
          <w:szCs w:val="32"/>
        </w:rPr>
        <w:t>年没有安排公务用车购置费；公务用车运行维护费0万元，与202</w:t>
      </w:r>
      <w:r>
        <w:rPr>
          <w:rFonts w:hint="eastAsia" w:ascii="仿宋_GB2312" w:hAnsi="仿宋"/>
          <w:szCs w:val="32"/>
          <w:lang w:val="en-US" w:eastAsia="zh-CN"/>
        </w:rPr>
        <w:t>3</w:t>
      </w:r>
      <w:r>
        <w:rPr>
          <w:rFonts w:hint="eastAsia" w:ascii="仿宋_GB2312" w:hAnsi="仿宋"/>
          <w:szCs w:val="32"/>
        </w:rPr>
        <w:t>年度预算相比无变化。截至202</w:t>
      </w:r>
      <w:r>
        <w:rPr>
          <w:rFonts w:hint="eastAsia" w:ascii="仿宋_GB2312" w:hAnsi="仿宋"/>
          <w:szCs w:val="32"/>
          <w:lang w:val="en-US" w:eastAsia="zh-CN"/>
        </w:rPr>
        <w:t>3</w:t>
      </w:r>
      <w:r>
        <w:rPr>
          <w:rFonts w:hint="eastAsia" w:ascii="仿宋_GB2312" w:hAnsi="仿宋"/>
          <w:szCs w:val="32"/>
        </w:rPr>
        <w:t>年12月31日，濉溪县离休干部和残疾军人医疗保健服务中心开支财政拨款的公务用车保有量为0辆。</w:t>
      </w:r>
    </w:p>
    <w:p w14:paraId="306EB872">
      <w:pPr>
        <w:ind w:firstLine="628"/>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MTMxNDg2N2IwOGNjMDNhOGVlMWY1M2U5ZGFkNzYifQ=="/>
  </w:docVars>
  <w:rsids>
    <w:rsidRoot w:val="00D303BC"/>
    <w:rsid w:val="00095157"/>
    <w:rsid w:val="002F6DE8"/>
    <w:rsid w:val="00326726"/>
    <w:rsid w:val="003547B8"/>
    <w:rsid w:val="003671B4"/>
    <w:rsid w:val="003B6E2C"/>
    <w:rsid w:val="00497C22"/>
    <w:rsid w:val="004D6484"/>
    <w:rsid w:val="00613D73"/>
    <w:rsid w:val="00656EC6"/>
    <w:rsid w:val="006B3BF0"/>
    <w:rsid w:val="007719A9"/>
    <w:rsid w:val="008A1AC9"/>
    <w:rsid w:val="008A3C6F"/>
    <w:rsid w:val="009770F9"/>
    <w:rsid w:val="009D2B9A"/>
    <w:rsid w:val="00A00C09"/>
    <w:rsid w:val="00A92496"/>
    <w:rsid w:val="00AB0278"/>
    <w:rsid w:val="00B14CD1"/>
    <w:rsid w:val="00B2159B"/>
    <w:rsid w:val="00B72524"/>
    <w:rsid w:val="00B7252F"/>
    <w:rsid w:val="00CE1F51"/>
    <w:rsid w:val="00CE25D9"/>
    <w:rsid w:val="00D2629D"/>
    <w:rsid w:val="00D303BC"/>
    <w:rsid w:val="00D9784E"/>
    <w:rsid w:val="00DB321D"/>
    <w:rsid w:val="00DD6723"/>
    <w:rsid w:val="00E02B6D"/>
    <w:rsid w:val="00F111D1"/>
    <w:rsid w:val="00FC29F2"/>
    <w:rsid w:val="00FD1E19"/>
    <w:rsid w:val="00FD1E66"/>
    <w:rsid w:val="0961191A"/>
    <w:rsid w:val="18242EF9"/>
    <w:rsid w:val="1ABA332C"/>
    <w:rsid w:val="2F601791"/>
    <w:rsid w:val="40E60BE1"/>
    <w:rsid w:val="73AB6E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643</Words>
  <Characters>684</Characters>
  <Lines>5</Lines>
  <Paragraphs>1</Paragraphs>
  <TotalTime>0</TotalTime>
  <ScaleCrop>false</ScaleCrop>
  <LinksUpToDate>false</LinksUpToDate>
  <CharactersWithSpaces>755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2021-07-16T00:55:00Z</dcterms:created>
  <dc:creator>丁配泉</dc:creator>
  <cp:lastModifiedBy>飘</cp:lastModifiedBy>
  <cp:lastPrinted>2020-09-14T08:17:00Z</cp:lastPrinted>
  <dcterms:modified xsi:type="dcterms:W3CDTF">2024-10-16T09:22:48Z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1D9957AF9C224D61A28AEDD340FA59F5_13</vt:lpwstr>
  </property>
</Properties>
</file>