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2021年药品流通环节风险防控重点检查内容清单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15"/>
          <w:szCs w:val="15"/>
          <w:lang w:val="en-US" w:eastAsia="zh-CN"/>
        </w:rPr>
      </w:pPr>
    </w:p>
    <w:tbl>
      <w:tblPr>
        <w:tblStyle w:val="11"/>
        <w:tblW w:w="136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886"/>
        <w:gridCol w:w="1209"/>
        <w:gridCol w:w="8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风险防控重点检查内容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风险级别</w:t>
            </w:r>
          </w:p>
        </w:tc>
        <w:tc>
          <w:tcPr>
            <w:tcW w:w="8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风险化解监管措施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药品零售企业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执业药师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挂证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高风险</w:t>
            </w:r>
          </w:p>
        </w:tc>
        <w:tc>
          <w:tcPr>
            <w:tcW w:w="83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1、组织开展监督检查，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重点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检查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不按照规定索取和开具发票、票帐货款不一致，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执业药师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挂证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，计算机系统、温湿度监测系统、经营数据和记录造假，违法违规经营中药饮片，违规经营含特殊药品复方制剂等专管药品，冷链药品储存不符合要求等问题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2、建立药品流通倒查追溯和协查机制。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3、对监督检查中发现违法违规问题，依法查处，涉嫌犯罪的及时移交公安机关，按要求发布监管信息。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从非法渠道购进（回收）药品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高风险</w:t>
            </w:r>
          </w:p>
        </w:tc>
        <w:tc>
          <w:tcPr>
            <w:tcW w:w="8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未凭处方销售处方药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高风险</w:t>
            </w:r>
          </w:p>
        </w:tc>
        <w:tc>
          <w:tcPr>
            <w:tcW w:w="8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未按规定对药品储存进行温湿度监测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、记录及有效处理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高风险</w:t>
            </w:r>
          </w:p>
        </w:tc>
        <w:tc>
          <w:tcPr>
            <w:tcW w:w="8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5、未按规定销售含特殊药品复方制剂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高风险</w:t>
            </w:r>
          </w:p>
        </w:tc>
        <w:tc>
          <w:tcPr>
            <w:tcW w:w="8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1、组织开展含特殊药品复方制剂专项检查，造成流弊的，依法查处。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2、加强对含特殊药品复方制剂经营企业资金、票据的监督检查，企业含特殊药品复方制剂购销数量异常变化的，予以重点检查核实。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互联网药品信息（交易）服务网站（企业）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超范围、超方式销售药品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高风险</w:t>
            </w:r>
          </w:p>
        </w:tc>
        <w:tc>
          <w:tcPr>
            <w:tcW w:w="8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1、加强网络药品经营监督管理，规范网络药品经营行为。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2、采取网上监测和现场检查相结合的方式，引导企业规范发展，保障公众用药安全。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3、对监督检查中发现违法违规问题，依法查处，涉嫌犯罪的及时移交公安机关，按要求发布监管信息。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企业主体责任未落实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高风险</w:t>
            </w:r>
          </w:p>
        </w:tc>
        <w:tc>
          <w:tcPr>
            <w:tcW w:w="8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1、集体约谈互联网药品信息（交易）服务企业相关责任人，督查企业合法合规经营。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2、充分运用监督检查、网络监测、举报核查等手段，加强事后监管。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药品使用单位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从非法渠道购进药品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高风险</w:t>
            </w:r>
          </w:p>
        </w:tc>
        <w:tc>
          <w:tcPr>
            <w:tcW w:w="83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1、组织开展监督检查，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重点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检查从非法渠道购进药品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、使用超过有效期药品、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未按规定对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药品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储存进行温湿度监测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、记录及有效处理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等问题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2、对监督检查中发现违法违规问题，依法查处，并进行信息发布，并及时通报同级卫健部门。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2、使用超过有效期药品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高风险</w:t>
            </w:r>
          </w:p>
        </w:tc>
        <w:tc>
          <w:tcPr>
            <w:tcW w:w="8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未按规定对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药品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储存进行温湿度监测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、记录及有效处理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高风险</w:t>
            </w:r>
          </w:p>
        </w:tc>
        <w:tc>
          <w:tcPr>
            <w:tcW w:w="8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spacing w:line="451" w:lineRule="auto"/>
        <w:jc w:val="left"/>
        <w:rPr>
          <w:rFonts w:hint="eastAsia" w:ascii="仿宋" w:hAnsi="仿宋" w:eastAsia="仿宋" w:cs="宋体"/>
          <w:color w:val="454545"/>
          <w:kern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color w:val="454545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2021年医疗器械流通环节风险防控重点检查内容清单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1"/>
        <w:tblW w:w="141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333"/>
        <w:gridCol w:w="1209"/>
        <w:gridCol w:w="8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风险防控重点检查内容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风险级别</w:t>
            </w:r>
          </w:p>
        </w:tc>
        <w:tc>
          <w:tcPr>
            <w:tcW w:w="8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风险化解监管措施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互联网医疗器械信息（交易）服务网站（企业）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超范围、超方式销售医疗器械产品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高风险</w:t>
            </w:r>
          </w:p>
        </w:tc>
        <w:tc>
          <w:tcPr>
            <w:tcW w:w="8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1、加强网络医疗器械经营监督管理，规范网络医疗器械经营行为。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2、采取网上监测和现场检查相结合的方式，引导企业规范发展，保障公众用药安全。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3、对监督检查中发现违法违规问题，依法查处，涉嫌犯罪的及时移交公安机关，按要求发布监管信息。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企业主体责任未落实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高风险</w:t>
            </w:r>
          </w:p>
        </w:tc>
        <w:tc>
          <w:tcPr>
            <w:tcW w:w="8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1、集体约谈互联网医疗器械信息（交易）服务企业相关责任人，督查企业合法合规经营。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2、充分运用监督检查、网络监测、举报核查等手段，加强事后监管。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医疗器械使用单位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从非法渠道购进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医疗器械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高风险</w:t>
            </w:r>
          </w:p>
        </w:tc>
        <w:tc>
          <w:tcPr>
            <w:tcW w:w="83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1、组织开展监督检查，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重点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检查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医疗器械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从非法渠道购进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、使用超过有效期、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未按规定对储存进行温湿度监测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、记录及有效处理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等问题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2、对监督检查中发现违法违规问题，依法查处，并进行信息发布，并及时通报同级卫健部门。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2、使用超过有效期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医疗器械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高风险</w:t>
            </w:r>
          </w:p>
        </w:tc>
        <w:tc>
          <w:tcPr>
            <w:tcW w:w="8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未按规定对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医疗器械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储存进行温湿度监测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、记录及有效处理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高风险</w:t>
            </w:r>
          </w:p>
        </w:tc>
        <w:tc>
          <w:tcPr>
            <w:tcW w:w="8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医疗器械经营企业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从非法渠道购进医疗器械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高风险</w:t>
            </w:r>
          </w:p>
        </w:tc>
        <w:tc>
          <w:tcPr>
            <w:tcW w:w="83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组织开展监督检查，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重点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检查从非法渠道购进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医疗器械。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开展新冠疫情防控涉及的口罩、防护服、诊断试剂、红外体温计、呼吸机等专项检查，重点检查购销渠道合法性；是否经营无产品注册证书、无合格证明文件、过期、失效或者淘汰的医疗器械；诊断试剂冷链运输、储存是否符合要求等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对监督检查中发现违法违规问题，依法查处，涉嫌犯罪的及时移交公安机关，按要求发布监管信息。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2、经营超过有效期医疗器械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高风险</w:t>
            </w:r>
          </w:p>
        </w:tc>
        <w:tc>
          <w:tcPr>
            <w:tcW w:w="8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3、未按规定运输、储存冷链诊断试剂及有效处理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高风险</w:t>
            </w:r>
          </w:p>
        </w:tc>
        <w:tc>
          <w:tcPr>
            <w:tcW w:w="8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医疗器械经营企业、使用单位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无菌和植入性等高风险医疗器械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1、组织开展监督检查，重点抽查无菌和植入性等高风险医疗器械、冠状动脉支架等国家集采品种。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spacing w:line="451" w:lineRule="auto"/>
        <w:jc w:val="left"/>
        <w:rPr>
          <w:rFonts w:hint="eastAsia" w:ascii="仿宋" w:hAnsi="仿宋" w:eastAsia="仿宋" w:cs="宋体"/>
          <w:color w:val="454545"/>
          <w:kern w:val="0"/>
          <w:sz w:val="30"/>
          <w:szCs w:val="30"/>
          <w:lang w:val="en-US" w:eastAsia="zh-CN"/>
        </w:rPr>
      </w:pPr>
    </w:p>
    <w:p>
      <w:pPr>
        <w:widowControl/>
        <w:shd w:val="clear" w:color="auto" w:fill="FFFFFF"/>
        <w:spacing w:line="451" w:lineRule="auto"/>
        <w:jc w:val="left"/>
        <w:rPr>
          <w:rFonts w:hint="eastAsia" w:ascii="仿宋" w:hAnsi="仿宋" w:eastAsia="仿宋" w:cs="宋体"/>
          <w:color w:val="454545"/>
          <w:kern w:val="0"/>
          <w:sz w:val="30"/>
          <w:szCs w:val="30"/>
          <w:lang w:val="en-US" w:eastAsia="zh-CN"/>
        </w:rPr>
      </w:pPr>
    </w:p>
    <w:p>
      <w:pPr>
        <w:widowControl/>
        <w:shd w:val="clear" w:color="auto" w:fill="FFFFFF"/>
        <w:spacing w:line="451" w:lineRule="auto"/>
        <w:jc w:val="left"/>
        <w:rPr>
          <w:rFonts w:hint="eastAsia" w:ascii="仿宋" w:hAnsi="仿宋" w:eastAsia="仿宋" w:cs="宋体"/>
          <w:color w:val="454545"/>
          <w:kern w:val="0"/>
          <w:sz w:val="30"/>
          <w:szCs w:val="30"/>
          <w:lang w:val="en-US" w:eastAsia="zh-CN"/>
        </w:rPr>
      </w:pPr>
    </w:p>
    <w:p>
      <w:pPr>
        <w:widowControl/>
        <w:shd w:val="clear" w:color="auto" w:fill="FFFFFF"/>
        <w:spacing w:line="451" w:lineRule="auto"/>
        <w:jc w:val="left"/>
        <w:rPr>
          <w:rFonts w:ascii="仿宋" w:hAnsi="仿宋" w:eastAsia="仿宋" w:cs="宋体"/>
          <w:color w:val="454545"/>
          <w:kern w:val="0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【何尼玛】翅膀硬了">
    <w:panose1 w:val="020B0502000000000001"/>
    <w:charset w:val="86"/>
    <w:family w:val="auto"/>
    <w:pitch w:val="default"/>
    <w:sig w:usb0="A00000AF" w:usb1="4000204A" w:usb2="00000000" w:usb3="00000000" w:csb0="00040000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Aetherfox">
    <w:panose1 w:val="00000800000000000000"/>
    <w:charset w:val="00"/>
    <w:family w:val="auto"/>
    <w:pitch w:val="default"/>
    <w:sig w:usb0="00000000" w:usb1="00000000" w:usb2="00000000" w:usb3="00000000" w:csb0="00000000" w:csb1="00000000"/>
  </w:font>
  <w:font w:name="不给糖就捣蛋的万圣节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义启中秋体">
    <w:panose1 w:val="02010601030101010101"/>
    <w:charset w:val="80"/>
    <w:family w:val="auto"/>
    <w:pitch w:val="default"/>
    <w:sig w:usb0="800002BF" w:usb1="184F6CF8" w:usb2="00000012" w:usb3="00000000" w:csb0="00020001" w:csb1="00000000"/>
  </w:font>
  <w:font w:name="义启喜气洋洋体">
    <w:panose1 w:val="02010601030101010101"/>
    <w:charset w:val="80"/>
    <w:family w:val="auto"/>
    <w:pitch w:val="default"/>
    <w:sig w:usb0="800002BF" w:usb1="184F6CF8" w:usb2="00000012" w:usb3="00000000" w:csb0="00020001" w:csb1="00000000"/>
  </w:font>
  <w:font w:name="义启嘟嘟体">
    <w:panose1 w:val="02010601030101010101"/>
    <w:charset w:val="80"/>
    <w:family w:val="auto"/>
    <w:pitch w:val="default"/>
    <w:sig w:usb0="800002BF" w:usb1="184F6CF8" w:usb2="00000012" w:usb3="00000000" w:csb0="00020001" w:csb1="00000000"/>
  </w:font>
  <w:font w:name="义启圣诞体">
    <w:panose1 w:val="02010601030101010101"/>
    <w:charset w:val="80"/>
    <w:family w:val="auto"/>
    <w:pitch w:val="default"/>
    <w:sig w:usb0="800002BF" w:usb1="184F6CFA" w:usb2="00000012" w:usb3="00000000" w:csb0="00020001" w:csb1="00000000"/>
  </w:font>
  <w:font w:name="义启字心体">
    <w:panose1 w:val="02010601030101010101"/>
    <w:charset w:val="80"/>
    <w:family w:val="auto"/>
    <w:pitch w:val="default"/>
    <w:sig w:usb0="800002BF" w:usb1="184F6CFA" w:usb2="00000012" w:usb3="00000000" w:csb0="00020001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D8B2"/>
    <w:multiLevelType w:val="singleLevel"/>
    <w:tmpl w:val="671DD8B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949"/>
    <w:rsid w:val="00082888"/>
    <w:rsid w:val="0009621F"/>
    <w:rsid w:val="000B6313"/>
    <w:rsid w:val="001051A5"/>
    <w:rsid w:val="002325C8"/>
    <w:rsid w:val="0027477A"/>
    <w:rsid w:val="00364040"/>
    <w:rsid w:val="00431283"/>
    <w:rsid w:val="00466A0F"/>
    <w:rsid w:val="005451BD"/>
    <w:rsid w:val="005A6E13"/>
    <w:rsid w:val="005B4454"/>
    <w:rsid w:val="00642E3E"/>
    <w:rsid w:val="00646EFA"/>
    <w:rsid w:val="006C16EA"/>
    <w:rsid w:val="006D3463"/>
    <w:rsid w:val="006E6237"/>
    <w:rsid w:val="00715BA9"/>
    <w:rsid w:val="00724B52"/>
    <w:rsid w:val="007271A5"/>
    <w:rsid w:val="00752C3C"/>
    <w:rsid w:val="007673AC"/>
    <w:rsid w:val="007A32FB"/>
    <w:rsid w:val="00835269"/>
    <w:rsid w:val="008C1CF1"/>
    <w:rsid w:val="008F7AD9"/>
    <w:rsid w:val="00920F5E"/>
    <w:rsid w:val="009A795C"/>
    <w:rsid w:val="00A95923"/>
    <w:rsid w:val="00AF1E06"/>
    <w:rsid w:val="00AF4973"/>
    <w:rsid w:val="00B346FC"/>
    <w:rsid w:val="00BD0B94"/>
    <w:rsid w:val="00C91F24"/>
    <w:rsid w:val="00CB7C25"/>
    <w:rsid w:val="00CE3724"/>
    <w:rsid w:val="00D45F75"/>
    <w:rsid w:val="00D8011B"/>
    <w:rsid w:val="00DB48FB"/>
    <w:rsid w:val="00E52233"/>
    <w:rsid w:val="00E53FAF"/>
    <w:rsid w:val="00EE3BF5"/>
    <w:rsid w:val="00F5350C"/>
    <w:rsid w:val="00FF4949"/>
    <w:rsid w:val="4C5616E1"/>
    <w:rsid w:val="62DC7E64"/>
    <w:rsid w:val="6DA25608"/>
    <w:rsid w:val="6DE05FE6"/>
    <w:rsid w:val="70A1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widowControl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 Char + 首行缩进:  2 字符"/>
    <w:basedOn w:val="1"/>
    <w:qFormat/>
    <w:uiPriority w:val="0"/>
    <w:pPr>
      <w:spacing w:line="360" w:lineRule="auto"/>
      <w:ind w:firstLine="420"/>
    </w:pPr>
    <w:rPr>
      <w:rFonts w:ascii="宋体" w:hAnsi="宋体" w:eastAsia="等线" w:cs="宋体"/>
      <w:b/>
      <w:bCs/>
      <w:sz w:val="24"/>
      <w:szCs w:val="24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454545"/>
      <w:u w:val="none"/>
    </w:rPr>
  </w:style>
  <w:style w:type="table" w:styleId="11">
    <w:name w:val="Table Grid"/>
    <w:basedOn w:val="10"/>
    <w:qFormat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7"/>
    <w:link w:val="3"/>
    <w:qFormat/>
    <w:uiPriority w:val="9"/>
    <w:rPr>
      <w:rFonts w:ascii="宋体" w:hAnsi="宋体" w:eastAsia="宋体" w:cs="宋体"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384</Words>
  <Characters>2191</Characters>
  <Lines>18</Lines>
  <Paragraphs>5</Paragraphs>
  <ScaleCrop>false</ScaleCrop>
  <LinksUpToDate>false</LinksUpToDate>
  <CharactersWithSpaces>2570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2021-02-07T02:44:00Z</dcterms:created>
  <dc:creator>User</dc:creator>
  <cp:lastModifiedBy>Administrator</cp:lastModifiedBy>
  <cp:lastPrinted>2021-04-01T02:18:00Z</cp:lastPrinted>
  <dcterms:modified xsi:type="dcterms:W3CDTF">2021-04-02T02:15:59Z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