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淮北市濉溪县生态环境分局开展妨碍民营经济公平参与市场竞争专项排查整治工作实施方案</w:t>
      </w:r>
    </w:p>
    <w:bookmarkEnd w:id="0"/>
    <w:p>
      <w:pPr>
        <w:ind w:firstLine="600" w:firstLineChars="200"/>
        <w:rPr>
          <w:rFonts w:hint="eastAsia" w:ascii="仿宋" w:hAnsi="仿宋" w:eastAsia="仿宋" w:cs="仿宋"/>
          <w:sz w:val="30"/>
          <w:szCs w:val="30"/>
          <w:lang w:eastAsia="zh-CN"/>
        </w:rPr>
      </w:pP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为清理废除妨碍统一市场和公平竞争的各种规定和做法，进一步创优我县营商环境，支持民营经济发展，根据县市场局、发改委、经信局、司法局、财政局、商务局《关于印发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妨碍民营经济公平参与市场竞争专项排查整治工作方案</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eastAsia="zh-CN"/>
        </w:rPr>
        <w:t>》要求，结合我局工作实际，制定如下实施方案。</w:t>
      </w:r>
    </w:p>
    <w:p>
      <w:pPr>
        <w:keepNext w:val="0"/>
        <w:keepLines w:val="0"/>
        <w:widowControl/>
        <w:numPr>
          <w:ilvl w:val="0"/>
          <w:numId w:val="1"/>
        </w:numPr>
        <w:suppressLineNumbers w:val="0"/>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指导思想和工作目标</w:t>
      </w:r>
    </w:p>
    <w:p>
      <w:pPr>
        <w:keepNext w:val="0"/>
        <w:keepLines w:val="0"/>
        <w:widowControl/>
        <w:numPr>
          <w:ilvl w:val="0"/>
          <w:numId w:val="0"/>
        </w:numPr>
        <w:suppressLineNumbers w:val="0"/>
        <w:spacing w:line="360" w:lineRule="auto"/>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坚持以习近平新时代中国特色社会主义思想为指导，全面贯彻十九大及十九届历次全会精神，按照省、市、县改进工作作风为民办实事为企优环境会议要求，</w:t>
      </w:r>
      <w:r>
        <w:rPr>
          <w:rFonts w:hint="eastAsia" w:ascii="仿宋_GB2312" w:hAnsi="仿宋_GB2312" w:eastAsia="仿宋_GB2312" w:cs="仿宋_GB2312"/>
          <w:color w:val="000000"/>
          <w:kern w:val="0"/>
          <w:sz w:val="32"/>
          <w:szCs w:val="32"/>
          <w:lang w:val="en-US" w:eastAsia="zh-CN" w:bidi="ar"/>
        </w:rPr>
        <w:t>通过开展妨碍民营经济公平参与市场竞争专项排查整治，破除针对民营企业设置的各类不合理市场准入、退出限制，打通区域间妨碍民营企业商品和服务自由流通的壁垒，清理针对民营企业实行的区别性、歧视性优惠政策，纠正不当干预民营企业生产经营的行为，切实有效解决民营企业反映强烈的突出问题，保障民营企业依法平等使用资源要素、公开公平公正参与市场竞争、平等享受政策支持、同等受到法律保护，为民营企业发展创造有利条件。</w:t>
      </w:r>
    </w:p>
    <w:p>
      <w:pPr>
        <w:keepNext w:val="0"/>
        <w:keepLines w:val="0"/>
        <w:widowControl/>
        <w:numPr>
          <w:ilvl w:val="0"/>
          <w:numId w:val="1"/>
        </w:numPr>
        <w:suppressLineNumbers w:val="0"/>
        <w:ind w:left="0" w:leftChars="0"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排查整治范围和内容</w:t>
      </w:r>
    </w:p>
    <w:p>
      <w:pPr>
        <w:keepNext w:val="0"/>
        <w:keepLines w:val="0"/>
        <w:widowControl/>
        <w:numPr>
          <w:ilvl w:val="0"/>
          <w:numId w:val="0"/>
        </w:numPr>
        <w:suppressLineNumbers w:val="0"/>
        <w:spacing w:line="360" w:lineRule="auto"/>
        <w:ind w:left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本次排查整治的范围为各类妨碍民营经济公平参与市场竞争</w:t>
      </w:r>
    </w:p>
    <w:p>
      <w:pPr>
        <w:keepNext w:val="0"/>
        <w:keepLines w:val="0"/>
        <w:widowControl/>
        <w:numPr>
          <w:ilvl w:val="0"/>
          <w:numId w:val="0"/>
        </w:numPr>
        <w:suppressLineNumbers w:val="0"/>
        <w:spacing w:line="360" w:lineRule="auto"/>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的规定和做法，</w:t>
      </w:r>
      <w:r>
        <w:rPr>
          <w:rFonts w:hint="eastAsia" w:ascii="仿宋_GB2312" w:hAnsi="仿宋_GB2312" w:eastAsia="仿宋_GB2312" w:cs="仿宋_GB2312"/>
          <w:color w:val="000000"/>
          <w:kern w:val="0"/>
          <w:sz w:val="32"/>
          <w:szCs w:val="32"/>
          <w:u w:val="none"/>
          <w:lang w:val="en-US" w:eastAsia="zh-CN" w:bidi="ar"/>
        </w:rPr>
        <w:t>包括县局现行有效</w:t>
      </w:r>
      <w:r>
        <w:rPr>
          <w:rFonts w:hint="eastAsia" w:ascii="仿宋_GB2312" w:hAnsi="仿宋_GB2312" w:eastAsia="仿宋_GB2312" w:cs="仿宋_GB2312"/>
          <w:color w:val="000000"/>
          <w:kern w:val="0"/>
          <w:sz w:val="32"/>
          <w:szCs w:val="32"/>
          <w:lang w:val="en-US" w:eastAsia="zh-CN" w:bidi="ar"/>
        </w:rPr>
        <w:t>的涉及市场主体经济活动的地方性法规、政府规章、规范性文件、招标文件（公告）、</w:t>
      </w:r>
      <w:r>
        <w:rPr>
          <w:rFonts w:hint="eastAsia" w:ascii="仿宋_GB2312" w:hAnsi="仿宋_GB2312" w:eastAsia="仿宋_GB2312" w:cs="仿宋_GB2312"/>
          <w:color w:val="000000"/>
          <w:kern w:val="0"/>
          <w:sz w:val="32"/>
          <w:szCs w:val="32"/>
          <w:u w:val="none"/>
          <w:lang w:val="en-US" w:eastAsia="zh-CN" w:bidi="ar"/>
        </w:rPr>
        <w:t>政企合作协议</w:t>
      </w:r>
      <w:r>
        <w:rPr>
          <w:rFonts w:hint="eastAsia" w:ascii="仿宋_GB2312" w:hAnsi="仿宋_GB2312" w:eastAsia="仿宋_GB2312" w:cs="仿宋_GB2312"/>
          <w:color w:val="000000"/>
          <w:kern w:val="0"/>
          <w:sz w:val="32"/>
          <w:szCs w:val="32"/>
          <w:lang w:val="en-US" w:eastAsia="zh-CN" w:bidi="ar"/>
        </w:rPr>
        <w:t>及其他政策措施，以及没有体现到文件中的</w:t>
      </w:r>
      <w:r>
        <w:rPr>
          <w:rFonts w:hint="eastAsia" w:ascii="仿宋_GB2312" w:hAnsi="仿宋_GB2312" w:eastAsia="仿宋_GB2312" w:cs="仿宋_GB2312"/>
          <w:color w:val="000000"/>
          <w:kern w:val="0"/>
          <w:sz w:val="32"/>
          <w:szCs w:val="32"/>
          <w:u w:val="none"/>
          <w:lang w:val="en-US" w:eastAsia="zh-CN" w:bidi="ar"/>
        </w:rPr>
        <w:t>实践行为</w:t>
      </w:r>
      <w:r>
        <w:rPr>
          <w:rFonts w:hint="eastAsia" w:hAnsi="仿宋_GB2312" w:cs="仿宋_GB2312"/>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lang w:val="en-US" w:eastAsia="zh-CN" w:bidi="ar"/>
        </w:rPr>
        <w:t>重点排查整治以下问题：</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sz w:val="32"/>
          <w:szCs w:val="32"/>
        </w:rPr>
      </w:pPr>
      <w:r>
        <w:rPr>
          <w:rFonts w:hint="eastAsia" w:ascii="仿宋" w:hAnsi="仿宋" w:eastAsia="仿宋" w:cs="仿宋"/>
          <w:b/>
          <w:bCs/>
          <w:color w:val="000000"/>
          <w:kern w:val="0"/>
          <w:sz w:val="32"/>
          <w:szCs w:val="32"/>
          <w:lang w:val="en-US" w:eastAsia="zh-CN" w:bidi="ar"/>
        </w:rPr>
        <w:t>（一）妨碍民营企业依法平等进入和退出市场。</w:t>
      </w:r>
      <w:r>
        <w:rPr>
          <w:rFonts w:hint="eastAsia" w:ascii="仿宋_GB2312" w:hAnsi="仿宋_GB2312" w:eastAsia="仿宋_GB2312" w:cs="仿宋_GB2312"/>
          <w:color w:val="000000"/>
          <w:kern w:val="0"/>
          <w:sz w:val="32"/>
          <w:szCs w:val="32"/>
          <w:lang w:val="en-US" w:eastAsia="zh-CN" w:bidi="ar"/>
        </w:rPr>
        <w:t xml:space="preserve">包括但不限于设置不合理或歧视性的市场准入和退出条件；未经公平竞争授予特许经营权；限定经营、购买、使用特定经营者提供的商品和服务；违法违规设置审批或者具有审批性质的事前备案程序；对市场准入负面清单以外的行业、领域、业务等设置准入限制等。 </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sz w:val="32"/>
          <w:szCs w:val="32"/>
        </w:rPr>
      </w:pPr>
      <w:r>
        <w:rPr>
          <w:rFonts w:hint="eastAsia" w:ascii="仿宋" w:hAnsi="仿宋" w:eastAsia="仿宋" w:cs="仿宋"/>
          <w:b/>
          <w:bCs/>
          <w:color w:val="000000"/>
          <w:kern w:val="0"/>
          <w:sz w:val="32"/>
          <w:szCs w:val="32"/>
          <w:lang w:val="en-US" w:eastAsia="zh-CN" w:bidi="ar"/>
        </w:rPr>
        <w:t>（二）限制商品和要素在地区之间自由流动。</w:t>
      </w:r>
      <w:r>
        <w:rPr>
          <w:rFonts w:hint="eastAsia" w:ascii="仿宋_GB2312" w:hAnsi="仿宋_GB2312" w:eastAsia="仿宋_GB2312" w:cs="仿宋_GB2312"/>
          <w:color w:val="000000"/>
          <w:kern w:val="0"/>
          <w:sz w:val="32"/>
          <w:szCs w:val="32"/>
          <w:lang w:val="en-US" w:eastAsia="zh-CN" w:bidi="ar"/>
        </w:rPr>
        <w:t xml:space="preserve">包括但不限于对外地商品和服务实行歧视性价格或者补贴政策；限制外地商品和服务进入本地市场或者阻碍本地商品运出、服务输出；排斥、限制外地民营企业参加本地招投标；排斥、限制或者强制外地民营企业在本地投资或者设立分支机构；对外地民营企业在本地的投资或者设立的分支机构实行歧视性待遇等。 </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sz w:val="32"/>
          <w:szCs w:val="32"/>
        </w:rPr>
      </w:pPr>
      <w:r>
        <w:rPr>
          <w:rFonts w:hint="eastAsia" w:ascii="仿宋" w:hAnsi="仿宋" w:eastAsia="仿宋" w:cs="仿宋"/>
          <w:b/>
          <w:bCs/>
          <w:color w:val="000000"/>
          <w:kern w:val="0"/>
          <w:sz w:val="32"/>
          <w:szCs w:val="32"/>
          <w:lang w:val="en-US" w:eastAsia="zh-CN" w:bidi="ar"/>
        </w:rPr>
        <w:t>（三）违法违规实行区别性、歧视性优惠政策。</w:t>
      </w:r>
      <w:r>
        <w:rPr>
          <w:rFonts w:hint="eastAsia" w:ascii="仿宋_GB2312" w:hAnsi="仿宋_GB2312" w:eastAsia="仿宋_GB2312" w:cs="仿宋_GB2312"/>
          <w:color w:val="000000"/>
          <w:kern w:val="0"/>
          <w:sz w:val="32"/>
          <w:szCs w:val="32"/>
          <w:lang w:val="en-US" w:eastAsia="zh-CN" w:bidi="ar"/>
        </w:rPr>
        <w:t xml:space="preserve">包括但不限于违法违规在要素获取、奖励补贴、减税降费、金融投资价格等政策方面区别性、歧视性对待民营企业；在涉及市场主体经济活动的各方面行政管理、监管执法中，违法违规给予不同所有制企业差别待遇等。 </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（四）不当干预民营企业生产经营行为。</w:t>
      </w:r>
      <w:r>
        <w:rPr>
          <w:rFonts w:hint="eastAsia" w:ascii="仿宋_GB2312" w:hAnsi="仿宋_GB2312" w:eastAsia="仿宋_GB2312" w:cs="仿宋_GB2312"/>
          <w:color w:val="000000"/>
          <w:kern w:val="0"/>
          <w:sz w:val="32"/>
          <w:szCs w:val="32"/>
          <w:lang w:val="en-US" w:eastAsia="zh-CN" w:bidi="ar"/>
        </w:rPr>
        <w:t>包括但不限于强制、组织、引导民营企业从事《反垄断法》禁止的垄断行为；违法披露或者违法要求民营企业披露生产经营敏感信息；超越定价权限进行政府定价；违法干预实行市场调节价的商品和服务价格水平等。</w:t>
      </w:r>
    </w:p>
    <w:p>
      <w:pPr>
        <w:keepNext w:val="0"/>
        <w:keepLines w:val="0"/>
        <w:widowControl/>
        <w:suppressLineNumbers w:val="0"/>
        <w:ind w:firstLine="643" w:firstLineChars="200"/>
        <w:jc w:val="left"/>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 xml:space="preserve">三、排查整治方式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本次专项排查整治以突出工作实效为原则，采取集中清理、核查处理等排查整治方式。 </w:t>
      </w:r>
    </w:p>
    <w:p>
      <w:pPr>
        <w:keepNext w:val="0"/>
        <w:keepLines w:val="0"/>
        <w:widowControl/>
        <w:suppressLineNumbers w:val="0"/>
        <w:spacing w:line="360" w:lineRule="auto"/>
        <w:ind w:firstLine="643" w:firstLineChars="200"/>
        <w:jc w:val="left"/>
        <w:rPr>
          <w:rFonts w:hint="eastAsia" w:ascii="仿宋_GB2312" w:hAnsi="仿宋_GB2312" w:eastAsia="仿宋_GB2312" w:cs="仿宋_GB2312"/>
          <w:color w:val="FF0000"/>
          <w:sz w:val="32"/>
          <w:szCs w:val="32"/>
        </w:rPr>
      </w:pPr>
      <w:r>
        <w:rPr>
          <w:rFonts w:hint="eastAsia" w:ascii="仿宋" w:hAnsi="仿宋" w:eastAsia="仿宋" w:cs="仿宋"/>
          <w:b/>
          <w:bCs/>
          <w:color w:val="000000"/>
          <w:kern w:val="0"/>
          <w:sz w:val="32"/>
          <w:szCs w:val="32"/>
          <w:lang w:val="en-US" w:eastAsia="zh-CN" w:bidi="ar"/>
        </w:rPr>
        <w:t>（一）集中清理。</w:t>
      </w:r>
      <w:r>
        <w:rPr>
          <w:rFonts w:hint="eastAsia" w:ascii="仿宋_GB2312" w:hAnsi="仿宋_GB2312" w:eastAsia="仿宋_GB2312" w:cs="仿宋_GB2312"/>
          <w:color w:val="000000"/>
          <w:kern w:val="0"/>
          <w:sz w:val="32"/>
          <w:szCs w:val="32"/>
          <w:lang w:val="en-US" w:eastAsia="zh-CN" w:bidi="ar"/>
        </w:rPr>
        <w:t>本次专项排查整治按照“谁制定、谁清理”的方式，对现行有效的地方性法规、政府规章、规范性文件及其他政策措施进行全面自查清理。</w:t>
      </w:r>
      <w:r>
        <w:rPr>
          <w:rFonts w:hint="eastAsia" w:ascii="仿宋_GB2312" w:hAnsi="仿宋_GB2312" w:eastAsia="仿宋_GB2312" w:cs="仿宋_GB2312"/>
          <w:color w:val="000000"/>
          <w:kern w:val="0"/>
          <w:sz w:val="32"/>
          <w:szCs w:val="32"/>
          <w:u w:val="none"/>
          <w:lang w:val="en-US" w:eastAsia="zh-CN" w:bidi="ar"/>
        </w:rPr>
        <w:t>各部门负责本部门（含本部门起草以县政府、政府办名义出台的）政策措施的集中清理。</w:t>
      </w:r>
      <w:r>
        <w:rPr>
          <w:rFonts w:hint="eastAsia" w:ascii="仿宋_GB2312" w:hAnsi="仿宋_GB2312" w:eastAsia="仿宋_GB2312" w:cs="仿宋_GB2312"/>
          <w:color w:val="000000"/>
          <w:kern w:val="0"/>
          <w:sz w:val="32"/>
          <w:szCs w:val="32"/>
          <w:lang w:val="en-US" w:eastAsia="zh-CN" w:bidi="ar"/>
        </w:rPr>
        <w:t>对发现的妨碍民营经济公平参与市场竞争的政策措施，县政府及相关部门依法根据权限修订、废止。</w:t>
      </w:r>
      <w:r>
        <w:rPr>
          <w:rFonts w:hint="eastAsia" w:ascii="仿宋_GB2312" w:hAnsi="仿宋_GB2312" w:eastAsia="仿宋_GB2312" w:cs="仿宋_GB2312"/>
          <w:color w:val="000000"/>
          <w:kern w:val="0"/>
          <w:sz w:val="32"/>
          <w:szCs w:val="32"/>
          <w:u w:val="none"/>
          <w:lang w:val="en-US" w:eastAsia="zh-CN" w:bidi="ar"/>
        </w:rPr>
        <w:t>对经公平竞争审查后出台的政策措施，</w:t>
      </w:r>
      <w:r>
        <w:rPr>
          <w:rFonts w:hint="eastAsia" w:ascii="仿宋_GB2312" w:hAnsi="仿宋_GB2312" w:eastAsia="仿宋_GB2312" w:cs="仿宋_GB2312"/>
          <w:color w:val="000000"/>
          <w:kern w:val="0"/>
          <w:sz w:val="32"/>
          <w:szCs w:val="32"/>
          <w:lang w:val="en-US" w:eastAsia="zh-CN" w:bidi="ar"/>
        </w:rPr>
        <w:t>可在清理过程中一并对其影响统一市场和公平竞争的情况进行评估，并按规定向社会公开征求意见、公布评估结果。</w:t>
      </w:r>
      <w:r>
        <w:rPr>
          <w:rFonts w:hint="eastAsia" w:ascii="仿宋_GB2312" w:hAnsi="仿宋_GB2312" w:eastAsia="仿宋_GB2312" w:cs="仿宋_GB2312"/>
          <w:color w:val="FF0000"/>
          <w:kern w:val="0"/>
          <w:sz w:val="32"/>
          <w:szCs w:val="32"/>
          <w:lang w:val="en-US" w:eastAsia="zh-CN" w:bidi="ar"/>
        </w:rPr>
        <w:t xml:space="preserve"> </w:t>
      </w:r>
    </w:p>
    <w:p>
      <w:pPr>
        <w:keepNext w:val="0"/>
        <w:keepLines w:val="0"/>
        <w:widowControl/>
        <w:suppressLineNumbers w:val="0"/>
        <w:spacing w:line="360" w:lineRule="auto"/>
        <w:ind w:firstLine="321" w:firstLineChars="1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（二）核查处理。</w:t>
      </w:r>
      <w:r>
        <w:rPr>
          <w:rFonts w:hint="eastAsia" w:ascii="仿宋_GB2312" w:hAnsi="仿宋_GB2312" w:eastAsia="仿宋_GB2312" w:cs="仿宋_GB2312"/>
          <w:b w:val="0"/>
          <w:bCs w:val="0"/>
          <w:color w:val="000000"/>
          <w:kern w:val="0"/>
          <w:sz w:val="32"/>
          <w:szCs w:val="32"/>
          <w:u w:val="none"/>
          <w:lang w:val="en-US" w:eastAsia="zh-CN" w:bidi="ar"/>
        </w:rPr>
        <w:t>我局</w:t>
      </w:r>
      <w:r>
        <w:rPr>
          <w:rFonts w:hint="eastAsia" w:ascii="仿宋_GB2312" w:hAnsi="仿宋_GB2312" w:eastAsia="仿宋_GB2312" w:cs="仿宋_GB2312"/>
          <w:color w:val="000000"/>
          <w:kern w:val="0"/>
          <w:sz w:val="32"/>
          <w:szCs w:val="32"/>
          <w:u w:val="none"/>
          <w:lang w:val="en-US" w:eastAsia="zh-CN" w:bidi="ar"/>
        </w:rPr>
        <w:t>将发布本次专项排查整治公告。</w:t>
      </w:r>
      <w:r>
        <w:rPr>
          <w:rFonts w:hint="eastAsia" w:ascii="仿宋_GB2312" w:hAnsi="仿宋_GB2312" w:eastAsia="仿宋_GB2312" w:cs="仿宋_GB2312"/>
          <w:color w:val="000000"/>
          <w:kern w:val="0"/>
          <w:sz w:val="32"/>
          <w:szCs w:val="32"/>
          <w:lang w:val="en-US" w:eastAsia="zh-CN" w:bidi="ar"/>
        </w:rPr>
        <w:t>同时，可以通过走访有关民营企业、开展交流座谈会等方式，了解企业涉及公平竞争的问题和困难，积极开展线索征集，对涉及本次整治内容明确可查的线索进行重点核查。确认违法违规的，及时反馈被核查部门并督促整改。拒不整改或严重影响市场公平竞争的，依法立案查处。相关违法违规行为或规定涉及上级机关的，由行为实施部门或政策制定部门逐级上报上级机关处理。</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楷体" w:hAnsi="楷体" w:eastAsia="楷体" w:cs="楷体"/>
          <w:b/>
          <w:bCs/>
          <w:color w:val="000000"/>
          <w:kern w:val="0"/>
          <w:sz w:val="32"/>
          <w:szCs w:val="32"/>
          <w:lang w:val="en-US" w:eastAsia="zh-CN" w:bidi="ar"/>
        </w:rPr>
        <w:t xml:space="preserve">四、工作步骤 </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zh-CN" w:bidi="ar"/>
        </w:rPr>
        <w:t xml:space="preserve"> 月 27日前完成集中清理工作，各部门要按照时间节点组织开展好本部门政策措施清理工作，并及时汇总清理（清理情况报表见附件）报送局</w:t>
      </w:r>
      <w:r>
        <w:rPr>
          <w:rFonts w:hint="eastAsia" w:hAnsi="仿宋_GB2312" w:cs="仿宋_GB2312"/>
          <w:color w:val="000000"/>
          <w:kern w:val="0"/>
          <w:sz w:val="32"/>
          <w:szCs w:val="32"/>
          <w:lang w:val="en-US" w:eastAsia="zh-CN" w:bidi="ar"/>
        </w:rPr>
        <w:t>许可股</w:t>
      </w:r>
      <w:r>
        <w:rPr>
          <w:rFonts w:hint="eastAsia" w:ascii="仿宋_GB2312" w:hAnsi="仿宋_GB2312" w:eastAsia="仿宋_GB2312" w:cs="仿宋_GB2312"/>
          <w:color w:val="000000"/>
          <w:kern w:val="0"/>
          <w:sz w:val="32"/>
          <w:szCs w:val="32"/>
          <w:lang w:val="en-US" w:eastAsia="zh-CN" w:bidi="ar"/>
        </w:rPr>
        <w:t>； 6月15日前根据集中清理结果，完成全部修订和废止工作，同时对本部门开展专项整治清理工作情况进行阶段性总结，工作总结报局</w:t>
      </w:r>
      <w:r>
        <w:rPr>
          <w:rFonts w:hint="eastAsia" w:hAnsi="仿宋_GB2312" w:cs="仿宋_GB2312"/>
          <w:color w:val="000000"/>
          <w:kern w:val="0"/>
          <w:sz w:val="32"/>
          <w:szCs w:val="32"/>
          <w:lang w:val="en-US" w:eastAsia="zh-CN" w:bidi="ar"/>
        </w:rPr>
        <w:t>许可股</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firstLine="643" w:firstLineChars="200"/>
        <w:jc w:val="left"/>
        <w:rPr>
          <w:rFonts w:hint="eastAsia" w:ascii="楷体" w:hAnsi="楷体" w:eastAsia="楷体" w:cs="楷体"/>
          <w:b/>
          <w:bCs/>
          <w:sz w:val="32"/>
          <w:szCs w:val="32"/>
        </w:rPr>
      </w:pPr>
      <w:r>
        <w:rPr>
          <w:rFonts w:hint="eastAsia" w:ascii="楷体" w:hAnsi="楷体" w:eastAsia="楷体" w:cs="楷体"/>
          <w:b/>
          <w:bCs/>
          <w:color w:val="000000"/>
          <w:kern w:val="0"/>
          <w:sz w:val="32"/>
          <w:szCs w:val="32"/>
          <w:lang w:val="en-US" w:eastAsia="zh-CN" w:bidi="ar"/>
        </w:rPr>
        <w:t xml:space="preserve">五、工作要求 </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sz w:val="32"/>
          <w:szCs w:val="32"/>
        </w:rPr>
      </w:pPr>
      <w:r>
        <w:rPr>
          <w:rFonts w:hint="eastAsia" w:ascii="仿宋" w:hAnsi="仿宋" w:eastAsia="仿宋" w:cs="仿宋"/>
          <w:b/>
          <w:bCs/>
          <w:color w:val="000000"/>
          <w:kern w:val="0"/>
          <w:sz w:val="32"/>
          <w:szCs w:val="32"/>
          <w:lang w:val="en-US" w:eastAsia="zh-CN" w:bidi="ar"/>
        </w:rPr>
        <w:t>（一）强化组织领导。</w:t>
      </w:r>
      <w:r>
        <w:rPr>
          <w:rFonts w:hint="eastAsia" w:ascii="仿宋_GB2312" w:hAnsi="仿宋_GB2312" w:eastAsia="仿宋_GB2312" w:cs="仿宋_GB2312"/>
          <w:color w:val="000000"/>
          <w:kern w:val="0"/>
          <w:sz w:val="32"/>
          <w:szCs w:val="32"/>
          <w:lang w:val="en-US" w:eastAsia="zh-CN" w:bidi="ar"/>
        </w:rPr>
        <w:t>本次专项排查整治工作是贯彻落实党中央、国务院和省市县委、省市县政府关于支持民营企业发展、优化营商环境决策部署的重要举措，各部门要强化政治站位，提高思想认识，落实主体责任，周密抓好实施，确保工作顺利开展。</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sz w:val="32"/>
          <w:szCs w:val="32"/>
        </w:rPr>
      </w:pPr>
      <w:r>
        <w:rPr>
          <w:rFonts w:hint="eastAsia" w:ascii="仿宋" w:hAnsi="仿宋" w:eastAsia="仿宋" w:cs="仿宋"/>
          <w:b/>
          <w:bCs/>
          <w:color w:val="000000"/>
          <w:kern w:val="0"/>
          <w:sz w:val="32"/>
          <w:szCs w:val="32"/>
          <w:lang w:val="en-US" w:eastAsia="zh-CN" w:bidi="ar"/>
        </w:rPr>
        <w:t>（二）建立长效机制。</w:t>
      </w:r>
      <w:r>
        <w:rPr>
          <w:rFonts w:hint="eastAsia" w:ascii="仿宋_GB2312" w:hAnsi="仿宋_GB2312" w:eastAsia="仿宋_GB2312" w:cs="仿宋_GB2312"/>
          <w:color w:val="000000"/>
          <w:kern w:val="0"/>
          <w:sz w:val="32"/>
          <w:szCs w:val="32"/>
          <w:lang w:val="en-US" w:eastAsia="zh-CN" w:bidi="ar"/>
        </w:rPr>
        <w:t xml:space="preserve">各部门要在开展专项排查整治工作的基础上，完善工作机制，加强日常审查，坚持定期评估、动态清理，防止违法违规行为反弹。同时，注重广泛听取民营企业、行业协会等方面意见建议，加快建立健全保障民营企业平等参与市场竞争、支持民营企业健康发展的长效机制，巩固专项排查整治成果。 </w:t>
      </w:r>
    </w:p>
    <w:p>
      <w:pPr>
        <w:keepNext w:val="0"/>
        <w:keepLines w:val="0"/>
        <w:widowControl/>
        <w:suppressLineNumbers w:val="0"/>
        <w:spacing w:line="360" w:lineRule="auto"/>
        <w:ind w:firstLine="321"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（三）强化监督问责</w:t>
      </w:r>
      <w:r>
        <w:rPr>
          <w:rFonts w:hint="eastAsia" w:ascii="仿宋" w:hAnsi="仿宋" w:eastAsia="仿宋" w:cs="仿宋"/>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对开展专项排查整治工作成效显著、落实得力的要表扬推广，对进展缓慢、推进不力的将及时督促整改，对不及时纠正滥用行政权力排除、限制竞争行为严重妨碍民营经济公平参与市场竞争的，依规依纪严肃追责。 </w:t>
      </w:r>
    </w:p>
    <w:p>
      <w:pPr>
        <w:keepNext w:val="0"/>
        <w:keepLines w:val="0"/>
        <w:widowControl/>
        <w:suppressLineNumbers w:val="0"/>
        <w:spacing w:line="360" w:lineRule="auto"/>
        <w:ind w:firstLine="320" w:firstLineChars="10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spacing w:line="360" w:lineRule="auto"/>
        <w:ind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r>
        <w:rPr>
          <w:rFonts w:hint="eastAsia" w:hAnsi="仿宋_GB2312" w:cs="仿宋_GB2312"/>
          <w:color w:val="000000"/>
          <w:kern w:val="0"/>
          <w:sz w:val="32"/>
          <w:szCs w:val="32"/>
          <w:lang w:val="en-US" w:eastAsia="zh-CN" w:bidi="ar"/>
        </w:rPr>
        <w:t>一</w:t>
      </w:r>
      <w:r>
        <w:rPr>
          <w:rFonts w:hint="eastAsia" w:ascii="仿宋_GB2312" w:hAnsi="仿宋_GB2312" w:eastAsia="仿宋_GB2312" w:cs="仿宋_GB2312"/>
          <w:color w:val="000000"/>
          <w:kern w:val="0"/>
          <w:sz w:val="32"/>
          <w:szCs w:val="32"/>
          <w:lang w:val="en-US" w:eastAsia="zh-CN" w:bidi="ar"/>
        </w:rPr>
        <w:t>政策措施清理整顿统计表</w:t>
      </w:r>
    </w:p>
    <w:p>
      <w:pPr>
        <w:keepNext w:val="0"/>
        <w:keepLines w:val="0"/>
        <w:widowControl/>
        <w:suppressLineNumbers w:val="0"/>
        <w:spacing w:line="360" w:lineRule="auto"/>
        <w:ind w:firstLine="320" w:firstLineChars="100"/>
        <w:jc w:val="left"/>
        <w:rPr>
          <w:rFonts w:hint="eastAsia" w:ascii="仿宋_GB2312" w:hAnsi="仿宋_GB2312" w:eastAsia="仿宋_GB2312" w:cs="仿宋_GB2312"/>
          <w:color w:val="000000"/>
          <w:kern w:val="0"/>
          <w:sz w:val="32"/>
          <w:szCs w:val="32"/>
          <w:lang w:val="en-US" w:eastAsia="zh-CN" w:bidi="ar"/>
        </w:rPr>
        <w:sectPr>
          <w:pgSz w:w="11906" w:h="16838"/>
          <w:pgMar w:top="2098" w:right="1531" w:bottom="1984" w:left="1531" w:header="1531" w:footer="1417" w:gutter="0"/>
          <w:cols w:space="720" w:num="1"/>
          <w:rtlGutter w:val="0"/>
          <w:docGrid w:type="lines" w:linePitch="312" w:charSpace="0"/>
        </w:sectPr>
      </w:pPr>
    </w:p>
    <w:p>
      <w:pPr>
        <w:spacing w:line="240" w:lineRule="auto"/>
        <w:ind w:firstLine="0" w:firstLineChars="0"/>
        <w:rPr>
          <w:rFonts w:hint="eastAsia" w:ascii="Calibri" w:eastAsia="宋体"/>
          <w:spacing w:val="0"/>
          <w:sz w:val="21"/>
          <w:szCs w:val="24"/>
          <w:lang w:eastAsia="zh-CN"/>
        </w:rPr>
      </w:pPr>
      <w:r>
        <w:rPr>
          <w:rFonts w:hint="eastAsia" w:ascii="Calibri" w:eastAsia="宋体"/>
          <w:spacing w:val="0"/>
          <w:sz w:val="21"/>
          <w:szCs w:val="24"/>
          <w:lang w:eastAsia="zh-CN"/>
        </w:rPr>
        <w:t>附件一</w:t>
      </w:r>
    </w:p>
    <w:p>
      <w:pPr>
        <w:spacing w:line="240" w:lineRule="auto"/>
        <w:ind w:firstLine="4417" w:firstLineChars="1000"/>
        <w:rPr>
          <w:rFonts w:hint="eastAsia" w:ascii="宋体" w:hAnsi="宋体" w:eastAsia="宋体" w:cs="宋体"/>
          <w:b/>
          <w:bCs/>
          <w:spacing w:val="0"/>
          <w:sz w:val="44"/>
          <w:szCs w:val="44"/>
          <w:lang w:eastAsia="zh-CN"/>
        </w:rPr>
      </w:pPr>
      <w:r>
        <w:rPr>
          <w:rFonts w:hint="eastAsia" w:ascii="宋体" w:hAnsi="宋体" w:eastAsia="宋体" w:cs="宋体"/>
          <w:b/>
          <w:bCs/>
          <w:spacing w:val="0"/>
          <w:sz w:val="44"/>
          <w:szCs w:val="44"/>
          <w:lang w:eastAsia="zh-CN"/>
        </w:rPr>
        <w:t>政策措施清理情况统计表</w:t>
      </w:r>
    </w:p>
    <w:p>
      <w:pPr>
        <w:spacing w:line="240" w:lineRule="auto"/>
        <w:ind w:firstLine="0" w:firstLineChars="0"/>
        <w:rPr>
          <w:rFonts w:ascii="Calibri" w:eastAsia="宋体"/>
          <w:spacing w:val="0"/>
          <w:sz w:val="21"/>
          <w:szCs w:val="24"/>
        </w:rPr>
      </w:pPr>
    </w:p>
    <w:p>
      <w:pPr>
        <w:spacing w:line="240" w:lineRule="auto"/>
        <w:ind w:firstLine="0" w:firstLineChars="0"/>
        <w:rPr>
          <w:rFonts w:hint="eastAsia" w:ascii="仿宋" w:hAnsi="仿宋" w:eastAsia="仿宋" w:cs="仿宋"/>
          <w:spacing w:val="0"/>
          <w:sz w:val="24"/>
          <w:szCs w:val="24"/>
          <w:lang w:val="en-US" w:eastAsia="zh-CN"/>
        </w:rPr>
      </w:pPr>
      <w:r>
        <w:rPr>
          <w:rFonts w:hint="eastAsia" w:ascii="仿宋" w:hAnsi="仿宋" w:eastAsia="仿宋" w:cs="仿宋"/>
          <w:spacing w:val="0"/>
          <w:sz w:val="28"/>
          <w:szCs w:val="28"/>
          <w:lang w:eastAsia="zh-CN"/>
        </w:rPr>
        <w:t>填表单位：</w:t>
      </w:r>
      <w:r>
        <w:rPr>
          <w:rFonts w:hint="eastAsia" w:ascii="仿宋" w:hAnsi="仿宋" w:eastAsia="仿宋" w:cs="仿宋"/>
          <w:spacing w:val="0"/>
          <w:sz w:val="28"/>
          <w:szCs w:val="28"/>
          <w:lang w:val="en-US" w:eastAsia="zh-CN"/>
        </w:rPr>
        <w:t xml:space="preserve">            联系人：           电话：                           填表日期：  年   月   日</w:t>
      </w:r>
      <w:r>
        <w:rPr>
          <w:rFonts w:hint="eastAsia" w:ascii="仿宋" w:hAnsi="仿宋" w:eastAsia="仿宋" w:cs="仿宋"/>
          <w:spacing w:val="0"/>
          <w:sz w:val="24"/>
          <w:szCs w:val="24"/>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45"/>
        <w:gridCol w:w="2850"/>
        <w:gridCol w:w="2355"/>
        <w:gridCol w:w="289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0" w:type="dxa"/>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单</w:t>
            </w:r>
            <w:r>
              <w:rPr>
                <w:rFonts w:hint="eastAsia" w:ascii="仿宋" w:hAnsi="仿宋" w:eastAsia="仿宋" w:cs="仿宋"/>
                <w:spacing w:val="0"/>
                <w:sz w:val="28"/>
                <w:szCs w:val="28"/>
                <w:vertAlign w:val="baseline"/>
                <w:lang w:val="en-US" w:eastAsia="zh-CN"/>
              </w:rPr>
              <w:t xml:space="preserve">  </w:t>
            </w:r>
            <w:r>
              <w:rPr>
                <w:rFonts w:hint="eastAsia" w:ascii="仿宋" w:hAnsi="仿宋" w:eastAsia="仿宋" w:cs="仿宋"/>
                <w:spacing w:val="0"/>
                <w:sz w:val="28"/>
                <w:szCs w:val="28"/>
                <w:vertAlign w:val="baseline"/>
                <w:lang w:eastAsia="zh-CN"/>
              </w:rPr>
              <w:t>位</w:t>
            </w:r>
          </w:p>
        </w:tc>
        <w:tc>
          <w:tcPr>
            <w:tcW w:w="2145" w:type="dxa"/>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清理总数（件）</w:t>
            </w:r>
          </w:p>
        </w:tc>
        <w:tc>
          <w:tcPr>
            <w:tcW w:w="2850" w:type="dxa"/>
            <w:noWrap w:val="0"/>
            <w:vAlign w:val="top"/>
          </w:tcPr>
          <w:p>
            <w:pPr>
              <w:spacing w:line="240" w:lineRule="auto"/>
              <w:ind w:firstLine="0" w:firstLineChars="0"/>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 xml:space="preserve">     </w:t>
            </w:r>
            <w:r>
              <w:rPr>
                <w:rFonts w:hint="eastAsia" w:ascii="仿宋" w:hAnsi="仿宋" w:eastAsia="仿宋" w:cs="仿宋"/>
                <w:spacing w:val="0"/>
                <w:sz w:val="28"/>
                <w:szCs w:val="28"/>
                <w:vertAlign w:val="baseline"/>
                <w:lang w:val="en-US" w:eastAsia="zh-CN"/>
              </w:rPr>
              <w:t xml:space="preserve">保留(件）  </w:t>
            </w:r>
            <w:r>
              <w:rPr>
                <w:rFonts w:hint="eastAsia" w:ascii="仿宋" w:hAnsi="仿宋" w:eastAsia="仿宋" w:cs="仿宋"/>
                <w:spacing w:val="0"/>
                <w:sz w:val="24"/>
                <w:szCs w:val="24"/>
                <w:vertAlign w:val="baseline"/>
                <w:lang w:val="en-US" w:eastAsia="zh-CN"/>
              </w:rPr>
              <w:t xml:space="preserve"> </w:t>
            </w:r>
          </w:p>
        </w:tc>
        <w:tc>
          <w:tcPr>
            <w:tcW w:w="2355" w:type="dxa"/>
            <w:noWrap w:val="0"/>
            <w:vAlign w:val="top"/>
          </w:tcPr>
          <w:p>
            <w:pPr>
              <w:spacing w:line="240" w:lineRule="auto"/>
              <w:ind w:firstLine="560" w:firstLineChars="200"/>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8"/>
                <w:szCs w:val="28"/>
                <w:vertAlign w:val="baseline"/>
                <w:lang w:eastAsia="zh-CN"/>
              </w:rPr>
              <w:t>废止（件）</w:t>
            </w:r>
          </w:p>
        </w:tc>
        <w:tc>
          <w:tcPr>
            <w:tcW w:w="2895" w:type="dxa"/>
            <w:noWrap w:val="0"/>
            <w:vAlign w:val="top"/>
          </w:tcPr>
          <w:p>
            <w:pPr>
              <w:spacing w:line="240" w:lineRule="auto"/>
              <w:ind w:firstLine="560" w:firstLineChars="20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修订（件）</w:t>
            </w:r>
          </w:p>
        </w:tc>
        <w:tc>
          <w:tcPr>
            <w:tcW w:w="3375" w:type="dxa"/>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适用例外规定（件）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80" w:type="dxa"/>
            <w:noWrap w:val="0"/>
            <w:vAlign w:val="top"/>
          </w:tcPr>
          <w:p>
            <w:pPr>
              <w:spacing w:line="240" w:lineRule="auto"/>
              <w:ind w:firstLine="0" w:firstLineChars="0"/>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XX股室（直属机构）</w:t>
            </w:r>
          </w:p>
        </w:tc>
        <w:tc>
          <w:tcPr>
            <w:tcW w:w="2145" w:type="dxa"/>
            <w:noWrap w:val="0"/>
            <w:vAlign w:val="top"/>
          </w:tcPr>
          <w:p>
            <w:pPr>
              <w:spacing w:line="240" w:lineRule="auto"/>
              <w:ind w:firstLine="0" w:firstLineChars="0"/>
              <w:rPr>
                <w:rFonts w:hint="eastAsia" w:ascii="仿宋" w:hAnsi="仿宋" w:eastAsia="仿宋" w:cs="仿宋"/>
                <w:spacing w:val="0"/>
                <w:sz w:val="24"/>
                <w:szCs w:val="24"/>
                <w:vertAlign w:val="baseline"/>
              </w:rPr>
            </w:pPr>
          </w:p>
        </w:tc>
        <w:tc>
          <w:tcPr>
            <w:tcW w:w="2850" w:type="dxa"/>
            <w:noWrap w:val="0"/>
            <w:vAlign w:val="top"/>
          </w:tcPr>
          <w:p>
            <w:pPr>
              <w:spacing w:line="240" w:lineRule="auto"/>
              <w:ind w:firstLine="0" w:firstLineChars="0"/>
              <w:rPr>
                <w:rFonts w:hint="eastAsia" w:ascii="仿宋" w:hAnsi="仿宋" w:eastAsia="仿宋" w:cs="仿宋"/>
                <w:spacing w:val="0"/>
                <w:sz w:val="24"/>
                <w:szCs w:val="24"/>
                <w:vertAlign w:val="baseline"/>
              </w:rPr>
            </w:pPr>
          </w:p>
        </w:tc>
        <w:tc>
          <w:tcPr>
            <w:tcW w:w="2355" w:type="dxa"/>
            <w:noWrap w:val="0"/>
            <w:vAlign w:val="top"/>
          </w:tcPr>
          <w:p>
            <w:pPr>
              <w:spacing w:line="240" w:lineRule="auto"/>
              <w:ind w:firstLine="0" w:firstLineChars="0"/>
              <w:rPr>
                <w:rFonts w:hint="eastAsia" w:ascii="仿宋" w:hAnsi="仿宋" w:eastAsia="仿宋" w:cs="仿宋"/>
                <w:spacing w:val="0"/>
                <w:sz w:val="24"/>
                <w:szCs w:val="24"/>
                <w:vertAlign w:val="baseline"/>
              </w:rPr>
            </w:pPr>
          </w:p>
        </w:tc>
        <w:tc>
          <w:tcPr>
            <w:tcW w:w="2895" w:type="dxa"/>
            <w:noWrap w:val="0"/>
            <w:vAlign w:val="top"/>
          </w:tcPr>
          <w:p>
            <w:pPr>
              <w:spacing w:line="240" w:lineRule="auto"/>
              <w:ind w:firstLine="0" w:firstLineChars="0"/>
              <w:rPr>
                <w:rFonts w:hint="eastAsia" w:ascii="仿宋" w:hAnsi="仿宋" w:eastAsia="仿宋" w:cs="仿宋"/>
                <w:spacing w:val="0"/>
                <w:sz w:val="24"/>
                <w:szCs w:val="24"/>
                <w:vertAlign w:val="baseline"/>
              </w:rPr>
            </w:pPr>
          </w:p>
        </w:tc>
        <w:tc>
          <w:tcPr>
            <w:tcW w:w="3375" w:type="dxa"/>
            <w:noWrap w:val="0"/>
            <w:vAlign w:val="top"/>
          </w:tcPr>
          <w:p>
            <w:pPr>
              <w:spacing w:line="240" w:lineRule="auto"/>
              <w:ind w:firstLine="0" w:firstLineChars="0"/>
              <w:rPr>
                <w:rFonts w:hint="eastAsia" w:ascii="仿宋" w:hAnsi="仿宋" w:eastAsia="仿宋" w:cs="仿宋"/>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700" w:type="dxa"/>
            <w:gridSpan w:val="6"/>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p>
          <w:p>
            <w:pPr>
              <w:spacing w:line="240" w:lineRule="auto"/>
              <w:ind w:firstLine="3920" w:firstLineChars="140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具体废止、修订、适用例外规定的政策措施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80" w:type="dxa"/>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序号</w:t>
            </w:r>
          </w:p>
        </w:tc>
        <w:tc>
          <w:tcPr>
            <w:tcW w:w="2145" w:type="dxa"/>
            <w:noWrap w:val="0"/>
            <w:vAlign w:val="top"/>
          </w:tcPr>
          <w:p>
            <w:pPr>
              <w:spacing w:line="240" w:lineRule="auto"/>
              <w:ind w:firstLine="0" w:firstLineChars="0"/>
              <w:rPr>
                <w:rFonts w:hint="default"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 xml:space="preserve">   </w:t>
            </w:r>
            <w:r>
              <w:rPr>
                <w:rFonts w:hint="eastAsia" w:ascii="仿宋" w:hAnsi="仿宋" w:eastAsia="仿宋" w:cs="仿宋"/>
                <w:spacing w:val="0"/>
                <w:sz w:val="28"/>
                <w:szCs w:val="28"/>
                <w:vertAlign w:val="baseline"/>
                <w:lang w:val="en-US" w:eastAsia="zh-CN"/>
              </w:rPr>
              <w:t xml:space="preserve"> 发文单位</w:t>
            </w:r>
          </w:p>
        </w:tc>
        <w:tc>
          <w:tcPr>
            <w:tcW w:w="2850" w:type="dxa"/>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政策措施名称及文号</w:t>
            </w:r>
          </w:p>
        </w:tc>
        <w:tc>
          <w:tcPr>
            <w:tcW w:w="2355" w:type="dxa"/>
            <w:noWrap w:val="0"/>
            <w:vAlign w:val="top"/>
          </w:tcPr>
          <w:p>
            <w:pPr>
              <w:spacing w:line="240" w:lineRule="auto"/>
              <w:ind w:firstLine="280" w:firstLineChars="10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政策措施类别</w:t>
            </w:r>
          </w:p>
        </w:tc>
        <w:tc>
          <w:tcPr>
            <w:tcW w:w="2895" w:type="dxa"/>
            <w:noWrap w:val="0"/>
            <w:vAlign w:val="top"/>
          </w:tcPr>
          <w:p>
            <w:pPr>
              <w:spacing w:line="240" w:lineRule="auto"/>
              <w:ind w:firstLine="560" w:firstLineChars="20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具体违规情形</w:t>
            </w:r>
          </w:p>
        </w:tc>
        <w:tc>
          <w:tcPr>
            <w:tcW w:w="3375" w:type="dxa"/>
            <w:noWrap w:val="0"/>
            <w:vAlign w:val="top"/>
          </w:tcPr>
          <w:p>
            <w:pPr>
              <w:spacing w:line="240" w:lineRule="auto"/>
              <w:ind w:firstLine="0" w:firstLineChars="0"/>
              <w:rPr>
                <w:rFonts w:hint="eastAsia" w:ascii="仿宋" w:hAnsi="仿宋" w:eastAsia="仿宋" w:cs="仿宋"/>
                <w:spacing w:val="0"/>
                <w:sz w:val="24"/>
                <w:szCs w:val="24"/>
                <w:vertAlign w:val="baseline"/>
                <w:lang w:eastAsia="zh-CN"/>
              </w:rPr>
            </w:pPr>
            <w:r>
              <w:rPr>
                <w:rFonts w:hint="eastAsia" w:ascii="仿宋" w:hAnsi="仿宋" w:eastAsia="仿宋" w:cs="仿宋"/>
                <w:spacing w:val="0"/>
                <w:sz w:val="28"/>
                <w:szCs w:val="28"/>
                <w:vertAlign w:val="baseline"/>
                <w:lang w:eastAsia="zh-CN"/>
              </w:rPr>
              <w:t>清理意见及目前清理情况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080" w:type="dxa"/>
            <w:noWrap w:val="0"/>
            <w:vAlign w:val="top"/>
          </w:tcPr>
          <w:p>
            <w:pPr>
              <w:spacing w:line="240" w:lineRule="auto"/>
              <w:ind w:firstLine="0" w:firstLineChars="0"/>
              <w:rPr>
                <w:rFonts w:hint="eastAsia" w:ascii="仿宋" w:hAnsi="仿宋" w:eastAsia="仿宋" w:cs="仿宋"/>
                <w:spacing w:val="0"/>
                <w:sz w:val="24"/>
                <w:szCs w:val="24"/>
                <w:vertAlign w:val="baseline"/>
              </w:rPr>
            </w:pPr>
          </w:p>
          <w:p>
            <w:pPr>
              <w:spacing w:line="240" w:lineRule="auto"/>
              <w:ind w:firstLine="240" w:firstLineChars="100"/>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1</w:t>
            </w:r>
          </w:p>
        </w:tc>
        <w:tc>
          <w:tcPr>
            <w:tcW w:w="2145" w:type="dxa"/>
            <w:noWrap w:val="0"/>
            <w:vAlign w:val="top"/>
          </w:tcPr>
          <w:p>
            <w:pPr>
              <w:spacing w:line="240" w:lineRule="auto"/>
              <w:ind w:firstLine="0" w:firstLineChars="0"/>
              <w:rPr>
                <w:rFonts w:hint="default" w:ascii="仿宋" w:hAnsi="仿宋" w:eastAsia="仿宋" w:cs="仿宋"/>
                <w:spacing w:val="0"/>
                <w:sz w:val="24"/>
                <w:szCs w:val="24"/>
                <w:vertAlign w:val="baseline"/>
                <w:lang w:val="en-US" w:eastAsia="zh-CN"/>
              </w:rPr>
            </w:pPr>
          </w:p>
        </w:tc>
        <w:tc>
          <w:tcPr>
            <w:tcW w:w="2850" w:type="dxa"/>
            <w:noWrap w:val="0"/>
            <w:vAlign w:val="top"/>
          </w:tcPr>
          <w:p>
            <w:pPr>
              <w:spacing w:line="240" w:lineRule="auto"/>
              <w:ind w:firstLine="0" w:firstLineChars="0"/>
              <w:rPr>
                <w:rFonts w:hint="default" w:ascii="仿宋" w:hAnsi="仿宋" w:eastAsia="仿宋" w:cs="仿宋"/>
                <w:spacing w:val="0"/>
                <w:sz w:val="24"/>
                <w:szCs w:val="24"/>
                <w:vertAlign w:val="baseline"/>
                <w:lang w:val="en-US" w:eastAsia="zh-CN"/>
              </w:rPr>
            </w:pPr>
          </w:p>
        </w:tc>
        <w:tc>
          <w:tcPr>
            <w:tcW w:w="2355" w:type="dxa"/>
            <w:noWrap w:val="0"/>
            <w:vAlign w:val="top"/>
          </w:tcPr>
          <w:p>
            <w:pPr>
              <w:spacing w:line="240" w:lineRule="auto"/>
              <w:ind w:firstLine="0" w:firstLineChars="0"/>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 xml:space="preserve">  </w:t>
            </w:r>
          </w:p>
        </w:tc>
        <w:tc>
          <w:tcPr>
            <w:tcW w:w="2895" w:type="dxa"/>
            <w:noWrap w:val="0"/>
            <w:vAlign w:val="top"/>
          </w:tcPr>
          <w:p>
            <w:pPr>
              <w:spacing w:line="240" w:lineRule="auto"/>
              <w:ind w:firstLine="0" w:firstLineChars="0"/>
              <w:rPr>
                <w:rFonts w:hint="default"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 xml:space="preserve">   </w:t>
            </w:r>
          </w:p>
        </w:tc>
        <w:tc>
          <w:tcPr>
            <w:tcW w:w="3375" w:type="dxa"/>
            <w:noWrap w:val="0"/>
            <w:vAlign w:val="top"/>
          </w:tcPr>
          <w:p>
            <w:pPr>
              <w:spacing w:line="240" w:lineRule="auto"/>
              <w:ind w:firstLine="0" w:firstLineChars="0"/>
              <w:rPr>
                <w:rFonts w:hint="eastAsia" w:ascii="仿宋" w:hAnsi="仿宋" w:eastAsia="仿宋" w:cs="仿宋"/>
                <w:spacing w:val="0"/>
                <w:sz w:val="24"/>
                <w:szCs w:val="24"/>
                <w:vertAlign w:val="baseline"/>
              </w:rPr>
            </w:pPr>
          </w:p>
        </w:tc>
      </w:tr>
    </w:tbl>
    <w:p>
      <w:pPr>
        <w:spacing w:line="240" w:lineRule="auto"/>
        <w:ind w:firstLine="0" w:firstLineChars="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填表说明：</w:t>
      </w:r>
      <w:r>
        <w:rPr>
          <w:rFonts w:hint="eastAsia" w:ascii="仿宋" w:hAnsi="仿宋" w:eastAsia="仿宋" w:cs="仿宋"/>
          <w:spacing w:val="0"/>
          <w:sz w:val="24"/>
          <w:szCs w:val="24"/>
          <w:lang w:val="en-US" w:eastAsia="zh-CN"/>
        </w:rPr>
        <w:t xml:space="preserve"> 1、清理总数（件）=保留（件）+废止（件）+修订（件），保留（件）含适用例外规定（件）；</w:t>
      </w:r>
    </w:p>
    <w:p>
      <w:pPr>
        <w:numPr>
          <w:ilvl w:val="0"/>
          <w:numId w:val="2"/>
        </w:numPr>
        <w:spacing w:line="240" w:lineRule="auto"/>
        <w:ind w:left="1155" w:leftChars="0" w:firstLine="0" w:firstLineChars="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列举的具体废止、修订、使用例外规定的政策措施应与本单位总数量相对应；</w:t>
      </w:r>
    </w:p>
    <w:p>
      <w:pPr>
        <w:numPr>
          <w:ilvl w:val="0"/>
          <w:numId w:val="2"/>
        </w:numPr>
        <w:spacing w:line="240" w:lineRule="auto"/>
        <w:ind w:left="1155" w:leftChars="0" w:firstLine="0" w:firstLineChars="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“政策措施类别”包括地方性法规、政府规章、规范性文件、其他政策措施四类；</w:t>
      </w:r>
    </w:p>
    <w:p>
      <w:pPr>
        <w:numPr>
          <w:ilvl w:val="0"/>
          <w:numId w:val="2"/>
        </w:numPr>
        <w:spacing w:line="240" w:lineRule="auto"/>
        <w:ind w:left="1155" w:leftChars="0" w:firstLine="0" w:firstLineChars="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“清理意见及目前清理情况”栏应明确废止、修订或因符合公平竞争审查制度例外规定继续保留，并说明目前废止或修订的具体情况。因符合例外规定继续保留的，应说明适用例外规定的具体理由和评估情况。</w:t>
      </w:r>
    </w:p>
    <w:p>
      <w:pPr>
        <w:pStyle w:val="2"/>
        <w:rPr>
          <w:rFonts w:hint="eastAsia"/>
          <w:lang w:val="en-US" w:eastAsia="zh-CN"/>
        </w:rPr>
        <w:sectPr>
          <w:pgSz w:w="16838" w:h="11906" w:orient="landscape"/>
          <w:pgMar w:top="1531" w:right="2098" w:bottom="1531" w:left="1984" w:header="1531" w:footer="1417" w:gutter="0"/>
          <w:cols w:space="720" w:num="1"/>
          <w:rtlGutter w:val="0"/>
          <w:docGrid w:type="lines" w:linePitch="312" w:charSpace="0"/>
        </w:sectPr>
      </w:pPr>
    </w:p>
    <w:p>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7CAB4"/>
    <w:multiLevelType w:val="singleLevel"/>
    <w:tmpl w:val="CC97CAB4"/>
    <w:lvl w:ilvl="0" w:tentative="0">
      <w:start w:val="1"/>
      <w:numFmt w:val="chineseCounting"/>
      <w:suff w:val="nothing"/>
      <w:lvlText w:val="%1、"/>
      <w:lvlJc w:val="left"/>
      <w:rPr>
        <w:rFonts w:hint="eastAsia"/>
      </w:rPr>
    </w:lvl>
  </w:abstractNum>
  <w:abstractNum w:abstractNumId="1">
    <w:nsid w:val="F1CD71CF"/>
    <w:multiLevelType w:val="singleLevel"/>
    <w:tmpl w:val="F1CD71CF"/>
    <w:lvl w:ilvl="0" w:tentative="0">
      <w:start w:val="2"/>
      <w:numFmt w:val="decimal"/>
      <w:suff w:val="nothing"/>
      <w:lvlText w:val="%1、"/>
      <w:lvlJc w:val="left"/>
      <w:pPr>
        <w:ind w:left="1155"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dit="readOnly" w:enforcement="1" w:cryptProviderType="rsaFull" w:cryptAlgorithmClass="hash" w:cryptAlgorithmType="typeAny" w:cryptAlgorithmSid="4" w:cryptSpinCount="0" w:hash="XTuIt4SVmcXnyU1jqPRiYHB1NBE=" w:salt="ycHYf3cH21U7wajNlwzXR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TllZjM1NDMwMmY5YWY0ZjAwZjdhMTQ1MDAyODEifQ=="/>
  </w:docVars>
  <w:rsids>
    <w:rsidRoot w:val="551C74E8"/>
    <w:rsid w:val="551C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next w:val="3"/>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4"/>
    <w:qFormat/>
    <w:uiPriority w:val="1"/>
    <w:pPr>
      <w:spacing w:before="190"/>
      <w:ind w:left="120" w:firstLine="480"/>
    </w:pPr>
    <w:rPr>
      <w:rFonts w:ascii="仿宋" w:hAnsi="仿宋" w:eastAsia="仿宋" w:cs="仿宋"/>
      <w:sz w:val="32"/>
      <w:szCs w:val="32"/>
      <w:lang w:val="zh-CN" w:eastAsia="zh-CN" w:bidi="zh-CN"/>
    </w:rPr>
  </w:style>
  <w:style w:type="paragraph" w:customStyle="1" w:styleId="4">
    <w:name w:val="xl27"/>
    <w:basedOn w:val="1"/>
    <w:next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2022-05-19T02:43:00Z</dcterms:created>
  <dc:creator>一念之间</dc:creator>
  <cp:lastModifiedBy>一念之间</cp:lastModifiedBy>
  <dcterms:modified xsi:type="dcterms:W3CDTF">2022-05-19T02:44:48Z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FD502C2FFDB64F19AF0FD6A1AE8B2EA5</vt:lpwstr>
  </property>
</Properties>
</file>