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Times New Roman" w:hAnsi="Times New Roman" w:eastAsia="仿宋_GB2312"/>
          <w:sz w:val="32"/>
          <w:szCs w:val="32"/>
        </w:rPr>
      </w:pPr>
      <w:r>
        <w:rPr>
          <w:rFonts w:ascii="Times New Roman" w:hAnsi="Times New Roman" w:eastAsia="仿宋_GB2312"/>
          <w:sz w:val="32"/>
          <w:szCs w:val="32"/>
        </w:rPr>
        <w:t>各镇人民政府，县政府有关部门，各有关单位：</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《濉溪县2022年服务业发展工作意见》已经县政府同意，现印发给你们，请认真贯彻落实。</w:t>
      </w:r>
    </w:p>
    <w:p>
      <w:pPr>
        <w:spacing w:after="0" w:line="560" w:lineRule="exact"/>
        <w:rPr>
          <w:rFonts w:ascii="Times New Roman" w:hAnsi="Times New Roman" w:eastAsia="仿宋_GB2312"/>
          <w:sz w:val="32"/>
          <w:szCs w:val="32"/>
        </w:rPr>
      </w:pPr>
    </w:p>
    <w:p>
      <w:pPr>
        <w:spacing w:after="0" w:line="560" w:lineRule="exact"/>
        <w:rPr>
          <w:rFonts w:ascii="Times New Roman" w:hAnsi="Times New Roman" w:eastAsia="仿宋_GB2312"/>
          <w:sz w:val="32"/>
          <w:szCs w:val="32"/>
        </w:rPr>
      </w:pPr>
    </w:p>
    <w:p>
      <w:pPr>
        <w:spacing w:after="0" w:line="560" w:lineRule="exact"/>
        <w:rPr>
          <w:rFonts w:ascii="Times New Roman" w:hAnsi="Times New Roman" w:eastAsia="仿宋_GB2312"/>
          <w:sz w:val="32"/>
          <w:szCs w:val="32"/>
        </w:rPr>
      </w:pPr>
    </w:p>
    <w:p>
      <w:pPr>
        <w:wordWrap w:val="0"/>
        <w:spacing w:after="0" w:line="560" w:lineRule="exact"/>
        <w:ind w:right="480"/>
        <w:jc w:val="right"/>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2022年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19</w:t>
      </w:r>
      <w:r>
        <w:rPr>
          <w:rFonts w:ascii="Times New Roman" w:hAnsi="Times New Roman" w:eastAsia="仿宋_GB2312"/>
          <w:sz w:val="32"/>
          <w:szCs w:val="32"/>
        </w:rPr>
        <w:t xml:space="preserve">日        </w:t>
      </w:r>
    </w:p>
    <w:p>
      <w:pPr>
        <w:pStyle w:val="2"/>
        <w:wordWrap/>
      </w:pPr>
    </w:p>
    <w:p>
      <w:pPr>
        <w:spacing w:after="0" w:line="560" w:lineRule="exact"/>
        <w:rPr>
          <w:rFonts w:ascii="Times New Roman" w:hAnsi="Times New Roman" w:eastAsia="仿宋_GB2312"/>
          <w:sz w:val="32"/>
          <w:szCs w:val="32"/>
        </w:rPr>
      </w:pPr>
    </w:p>
    <w:p>
      <w:pPr>
        <w:spacing w:after="0"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濉溪县2022年服务业发展工作意见</w:t>
      </w:r>
    </w:p>
    <w:p>
      <w:pPr>
        <w:spacing w:after="0" w:line="560" w:lineRule="exact"/>
        <w:rPr>
          <w:rFonts w:ascii="Times New Roman" w:hAnsi="Times New Roman" w:eastAsia="仿宋_GB2312"/>
          <w:sz w:val="32"/>
          <w:szCs w:val="32"/>
        </w:rPr>
      </w:pP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为贯彻落实新发展理念，加快发展服务业新业态新模式，着力培育服务业发展新动能，推动全县服务业高质量发展，现就做好2022年服务业发展工作，提出如下工作意见：</w:t>
      </w:r>
    </w:p>
    <w:p>
      <w:pPr>
        <w:spacing w:after="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一、指导思想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落实党的十九大和十九届历次全会精神，深入学习贯彻习近平总书记考察安徽重要讲话指示精神和省、市、县委全会精神，立足新发展阶段、贯彻新发展理念、构建新发展格局，营造服务业发展的良好环境，推动生产性服务业向专业化和价值链高端延伸，推动生活性服务业向高品质和多样化升级，补齐服务业发展短板，推进全县经济结构向三二一转变，着力构建影响力大、竞争力强、普惠多元的现代服务业体系，为建设美好濉溪提供有力支撑。</w:t>
      </w:r>
    </w:p>
    <w:p>
      <w:pPr>
        <w:spacing w:after="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二、目标任务</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全年完成服务业增加值增速8.5%以上。各镇</w:t>
      </w:r>
      <w:r>
        <w:rPr>
          <w:rFonts w:hint="eastAsia" w:ascii="Times New Roman" w:hAnsi="Times New Roman" w:eastAsia="仿宋_GB2312"/>
          <w:sz w:val="32"/>
          <w:szCs w:val="32"/>
        </w:rPr>
        <w:t>（</w:t>
      </w:r>
      <w:r>
        <w:rPr>
          <w:rFonts w:ascii="Times New Roman" w:hAnsi="Times New Roman" w:eastAsia="仿宋_GB2312"/>
          <w:sz w:val="32"/>
          <w:szCs w:val="32"/>
        </w:rPr>
        <w:t>园区</w:t>
      </w:r>
      <w:r>
        <w:rPr>
          <w:rFonts w:hint="eastAsia" w:ascii="Times New Roman" w:hAnsi="Times New Roman" w:eastAsia="仿宋_GB2312"/>
          <w:sz w:val="32"/>
          <w:szCs w:val="32"/>
        </w:rPr>
        <w:t>）、</w:t>
      </w:r>
      <w:r>
        <w:rPr>
          <w:rFonts w:ascii="Times New Roman" w:hAnsi="Times New Roman" w:eastAsia="仿宋_GB2312"/>
          <w:sz w:val="32"/>
          <w:szCs w:val="32"/>
        </w:rPr>
        <w:t>有关单位完成2022年濉溪县服务业分解任务。</w:t>
      </w:r>
    </w:p>
    <w:p>
      <w:pPr>
        <w:spacing w:after="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三、工作举措</w:t>
      </w:r>
    </w:p>
    <w:p>
      <w:pPr>
        <w:spacing w:after="0" w:line="560" w:lineRule="exact"/>
        <w:ind w:firstLine="643" w:firstLineChars="200"/>
        <w:jc w:val="both"/>
        <w:rPr>
          <w:rFonts w:ascii="Times New Roman" w:hAnsi="Times New Roman" w:eastAsia="楷体_GB2312"/>
          <w:sz w:val="32"/>
          <w:szCs w:val="32"/>
        </w:rPr>
      </w:pPr>
      <w:r>
        <w:rPr>
          <w:rFonts w:ascii="Times New Roman" w:hAnsi="Times New Roman" w:eastAsia="楷体_GB2312"/>
          <w:b/>
          <w:bCs/>
          <w:sz w:val="32"/>
          <w:szCs w:val="32"/>
        </w:rPr>
        <w:t>（一）项目为王，强化招商和项目推进力度。</w:t>
      </w:r>
      <w:r>
        <w:rPr>
          <w:rFonts w:ascii="Times New Roman" w:hAnsi="Times New Roman" w:eastAsia="仿宋_GB2312"/>
          <w:sz w:val="32"/>
          <w:szCs w:val="32"/>
        </w:rPr>
        <w:t>完善服务业专项招商方案，创新招商方法，围绕服务业集聚区、立体交通网、红色旅游、大数据等新兴业态和模式招商重点，积极招引产业链、供应链上下游关联企业，大力引进现代物流、商贸综合体、金融业、生态旅游、科技研发等重点领域的服务业企业和项目。继续实施全县服务业重大项目工程，2022年重点跟踪投资规模较大、发展前景较好的服务业重点项目20个。对纳入省、市重点服务业项目的中瑞农产品冷链物流园、二关路商业综合体、新型金属铝材料公共服务平台等项目重点做好跟踪推进，确保按时完成工期；加快凤栖湖湿地保护项目建设进度，争取早日竣工开园；加快乾隆湖周边开发，积极谋划中高端商务酒店、儿童乐园、水上运动等服务业项目；加快河西区地块拆迁，积极推进与太古里商业公司合作洽谈，争取项目落地，补齐商业短板。所有项目进度实行月报制，明确责任主体和责任人，每月按时报送县发改委，发改委强化序时进度督查，全力推进重点项目实施步伐。</w:t>
      </w:r>
      <w:r>
        <w:rPr>
          <w:rFonts w:ascii="Times New Roman" w:hAnsi="Times New Roman" w:eastAsia="楷体_GB2312"/>
          <w:sz w:val="32"/>
          <w:szCs w:val="32"/>
        </w:rPr>
        <w:t>（责任单位：县商务局、县发改委、县文旅体局、县数据局、县财政局、县科技局、县建投集团、濉溪经济开发区、濉溪镇）</w:t>
      </w:r>
    </w:p>
    <w:p>
      <w:pPr>
        <w:spacing w:after="0" w:line="56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rPr>
        <w:t>（二）瞄准重点，推动物流业高质量发展。</w:t>
      </w:r>
      <w:r>
        <w:rPr>
          <w:rFonts w:ascii="Times New Roman" w:hAnsi="Times New Roman" w:eastAsia="仿宋_GB2312"/>
          <w:sz w:val="32"/>
          <w:szCs w:val="32"/>
        </w:rPr>
        <w:t>整合现有物流快递资源，优化配送渠道，有效减低物流快递成本。抓好中瑞农产品冷链物流园的建设与投运进度，加快濉溪经济开发区智能快递物流中心、泽源物流建设进度，积极跟进淮海壹号二期项目、京东物流园、孙疃港建材物流园等项目，争取尽快签约落地，加快形成一批物流龙头企业，提高产业集聚水平和增加区域辐射能力。依托濉溪县绿色农产品优势资源、产业优势和便捷的交通体系，及冷链仓储、冷链物流和直销配送等物流体系，打造长三角绿色农产品物流供应平台。</w:t>
      </w:r>
      <w:r>
        <w:rPr>
          <w:rFonts w:ascii="Times New Roman" w:hAnsi="Times New Roman" w:eastAsia="楷体_GB2312"/>
          <w:sz w:val="32"/>
          <w:szCs w:val="32"/>
        </w:rPr>
        <w:t>（责任单位：县发改委、县商务局、县农业农村局、濉溪经济开发区、濉溪镇、孙疃镇）</w:t>
      </w:r>
    </w:p>
    <w:p>
      <w:pPr>
        <w:spacing w:after="0" w:line="560" w:lineRule="exact"/>
        <w:ind w:firstLine="643" w:firstLineChars="200"/>
        <w:jc w:val="both"/>
        <w:rPr>
          <w:rFonts w:ascii="Times New Roman" w:hAnsi="Times New Roman" w:eastAsia="楷体_GB2312"/>
          <w:sz w:val="32"/>
          <w:szCs w:val="32"/>
        </w:rPr>
      </w:pPr>
      <w:r>
        <w:rPr>
          <w:rFonts w:ascii="Times New Roman" w:hAnsi="Times New Roman" w:eastAsia="楷体_GB2312"/>
          <w:b/>
          <w:bCs/>
          <w:sz w:val="32"/>
          <w:szCs w:val="32"/>
        </w:rPr>
        <w:t>（三）能级提升，培育服务业集聚载体。</w:t>
      </w:r>
      <w:r>
        <w:rPr>
          <w:rFonts w:ascii="Times New Roman" w:hAnsi="Times New Roman" w:eastAsia="仿宋_GB2312"/>
          <w:sz w:val="32"/>
          <w:szCs w:val="32"/>
        </w:rPr>
        <w:t>积极开展服务业集聚区培育工作，进一步明确集聚发展导向。目前我县有专业市场集聚区、物流集聚区和电子商务集聚示范区各1家。下一步支持现有省级服务业集聚区中瑞新型农产品专业市场进行能级提升，加强对淮海商贸城、城北农贸市场的专业化培育，争取达到省级集聚区申报要求，同步重点打造老城石板街和柳孜文化园等新培育集聚载体，为争创省级服务业集聚区创造条件。同时，进一步督促集聚区完善管理体系，设立独立管理机构，明确专人负责，建立健全工作体系和推进体制，集聚区所在镇、园区针对集聚区发展重点，加大招商力度，完善公共基础设施配套，凝聚各方合力，共同打造良好的营商环境。</w:t>
      </w:r>
      <w:r>
        <w:rPr>
          <w:rFonts w:ascii="Times New Roman" w:hAnsi="Times New Roman" w:eastAsia="楷体_GB2312"/>
          <w:sz w:val="32"/>
          <w:szCs w:val="32"/>
        </w:rPr>
        <w:t>（责任单位：县发改委、县商务局、县文旅体局、县建投集团、濉溪镇、百善镇）</w:t>
      </w:r>
    </w:p>
    <w:p>
      <w:pPr>
        <w:spacing w:after="0" w:line="56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rPr>
        <w:t>（四）突出主体，培植壮大服务业企业。</w:t>
      </w:r>
      <w:r>
        <w:rPr>
          <w:rFonts w:ascii="Times New Roman" w:hAnsi="Times New Roman" w:eastAsia="仿宋_GB2312"/>
          <w:sz w:val="32"/>
          <w:szCs w:val="32"/>
        </w:rPr>
        <w:t>2021年我县培育入统皖北庞源建筑科技有限公司、古城文化旅游公司等服务业企业9家（其中3家规上服务业）</w:t>
      </w:r>
      <w:r>
        <w:rPr>
          <w:rFonts w:hint="eastAsia" w:ascii="Times New Roman" w:hAnsi="Times New Roman" w:eastAsia="仿宋_GB2312"/>
          <w:sz w:val="32"/>
          <w:szCs w:val="32"/>
        </w:rPr>
        <w:t>，</w:t>
      </w:r>
      <w:r>
        <w:rPr>
          <w:rFonts w:ascii="Times New Roman" w:hAnsi="Times New Roman" w:eastAsia="仿宋_GB2312"/>
          <w:sz w:val="32"/>
          <w:szCs w:val="32"/>
        </w:rPr>
        <w:t>分别拉动营利性服务业和装卸搬运仓储业增长26.8和62.1个百分点，新增企业拉动作用明显。今年继续加大企业培育扶持力度，重点加强规上、限上新开业企业的培育力度，做好限下规下服务业企业的“小升规”培育工作，及时跟踪，及时入统，同时通过资源整合、政策扶持等方式做大做强在库企业，进一步提升企业竞争力。</w:t>
      </w:r>
      <w:r>
        <w:rPr>
          <w:rFonts w:ascii="Times New Roman" w:hAnsi="Times New Roman" w:eastAsia="楷体_GB2312"/>
          <w:sz w:val="32"/>
          <w:szCs w:val="32"/>
        </w:rPr>
        <w:t>（责任单位：县发改委、全县有纳统任务的镇</w:t>
      </w:r>
      <w:r>
        <w:rPr>
          <w:rFonts w:hint="eastAsia" w:ascii="Times New Roman" w:hAnsi="Times New Roman" w:eastAsia="楷体_GB2312"/>
          <w:sz w:val="32"/>
          <w:szCs w:val="32"/>
        </w:rPr>
        <w:t>、</w:t>
      </w:r>
      <w:r>
        <w:rPr>
          <w:rFonts w:ascii="Times New Roman" w:hAnsi="Times New Roman" w:eastAsia="楷体_GB2312"/>
          <w:sz w:val="32"/>
          <w:szCs w:val="32"/>
        </w:rPr>
        <w:t>园区和有关单位）</w:t>
      </w:r>
    </w:p>
    <w:p>
      <w:pPr>
        <w:spacing w:after="0" w:line="56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rPr>
        <w:t>（五）两业共生，推进产业融合发展。</w:t>
      </w:r>
      <w:r>
        <w:rPr>
          <w:rFonts w:ascii="Times New Roman" w:hAnsi="Times New Roman" w:eastAsia="仿宋_GB2312"/>
          <w:sz w:val="32"/>
          <w:szCs w:val="32"/>
        </w:rPr>
        <w:t>深化产业融合发展理念，着力推进先进制造业和现代服务业深度融合发展。探索构建先进制造业和现代服务业产业链双向融合互动机制，大力提升制造业服务化水平，以我县现有铝基、碳基、氢基产业等适宜推进“两业”深度融合发展的现代产业为重点，鼓励制造业企业发展个性化定制、智能制造与运营管理、融资租赁、系统集成以及整体解决方案等业务；组织濉溪经济开发区及龙头企业积极参与全省“两业”深度融合试点工作，进一步推进我县两业融合发展工作。</w:t>
      </w:r>
      <w:r>
        <w:rPr>
          <w:rFonts w:ascii="Times New Roman" w:hAnsi="Times New Roman" w:eastAsia="楷体_GB2312"/>
          <w:sz w:val="32"/>
          <w:szCs w:val="32"/>
        </w:rPr>
        <w:t>（责任单位：县发改委、县经信局、濉溪经济开发区）</w:t>
      </w:r>
    </w:p>
    <w:p>
      <w:pPr>
        <w:spacing w:after="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四、组织保障</w:t>
      </w:r>
    </w:p>
    <w:p>
      <w:pPr>
        <w:spacing w:after="0" w:line="56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rPr>
        <w:t>（一）以机制为依托，确保服务业稳步发展。</w:t>
      </w:r>
      <w:r>
        <w:rPr>
          <w:rFonts w:ascii="Times New Roman" w:hAnsi="Times New Roman" w:eastAsia="仿宋_GB2312"/>
          <w:sz w:val="32"/>
          <w:szCs w:val="32"/>
        </w:rPr>
        <w:t>县服务业发展领导小组切实履行职责，明确分工，落实责任，</w:t>
      </w:r>
      <w:r>
        <w:rPr>
          <w:rFonts w:hint="eastAsia" w:ascii="Times New Roman" w:hAnsi="Times New Roman" w:eastAsia="仿宋_GB2312"/>
          <w:sz w:val="32"/>
          <w:szCs w:val="32"/>
        </w:rPr>
        <w:t>推动</w:t>
      </w:r>
      <w:r>
        <w:rPr>
          <w:rFonts w:ascii="Times New Roman" w:hAnsi="Times New Roman" w:eastAsia="仿宋_GB2312"/>
          <w:sz w:val="32"/>
          <w:szCs w:val="32"/>
        </w:rPr>
        <w:t>领导小组成员单位充分发挥作用，建立综合管理体制。县发改、统计、商务、财政、市场、住建、交通、文旅体等部门各司其职，加强沟通协作，及时解决服务业发展过程中的难点、堵点问题，以高效工作机制推动服务业稳步发展。健全服务业工作协调机制，</w:t>
      </w:r>
      <w:r>
        <w:rPr>
          <w:rFonts w:hint="eastAsia" w:ascii="Times New Roman" w:hAnsi="Times New Roman" w:eastAsia="仿宋_GB2312"/>
          <w:sz w:val="32"/>
          <w:szCs w:val="32"/>
        </w:rPr>
        <w:t>县</w:t>
      </w:r>
      <w:r>
        <w:rPr>
          <w:rFonts w:ascii="Times New Roman" w:hAnsi="Times New Roman" w:eastAsia="仿宋_GB2312"/>
          <w:sz w:val="32"/>
          <w:szCs w:val="32"/>
        </w:rPr>
        <w:t>发改委及时了解和掌握服务业发展过程中出现的新情况、新问题，提高服务业运行监测分析能力。</w:t>
      </w:r>
    </w:p>
    <w:p>
      <w:pPr>
        <w:spacing w:after="0" w:line="56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rPr>
        <w:t>（二）以考核为抓手，促进服务业高效发展。</w:t>
      </w:r>
      <w:r>
        <w:rPr>
          <w:rFonts w:ascii="Times New Roman" w:hAnsi="Times New Roman" w:eastAsia="仿宋_GB2312"/>
          <w:sz w:val="32"/>
          <w:szCs w:val="32"/>
        </w:rPr>
        <w:t>各镇</w:t>
      </w:r>
      <w:r>
        <w:rPr>
          <w:rFonts w:hint="eastAsia" w:ascii="Times New Roman" w:hAnsi="Times New Roman" w:eastAsia="仿宋_GB2312"/>
          <w:sz w:val="32"/>
          <w:szCs w:val="32"/>
        </w:rPr>
        <w:t>（</w:t>
      </w:r>
      <w:r>
        <w:rPr>
          <w:rFonts w:ascii="Times New Roman" w:hAnsi="Times New Roman" w:eastAsia="仿宋_GB2312"/>
          <w:sz w:val="32"/>
          <w:szCs w:val="32"/>
        </w:rPr>
        <w:t>园区</w:t>
      </w:r>
      <w:r>
        <w:rPr>
          <w:rFonts w:hint="eastAsia" w:ascii="Times New Roman" w:hAnsi="Times New Roman" w:eastAsia="仿宋_GB2312"/>
          <w:sz w:val="32"/>
          <w:szCs w:val="32"/>
        </w:rPr>
        <w:t>）、</w:t>
      </w:r>
      <w:r>
        <w:rPr>
          <w:rFonts w:ascii="Times New Roman" w:hAnsi="Times New Roman" w:eastAsia="仿宋_GB2312"/>
          <w:sz w:val="32"/>
          <w:szCs w:val="32"/>
        </w:rPr>
        <w:t>各有关部门要按照2022年服务业分解任务，对照任务清单，制定具体工作计划，明确任务时限，压实工作责任，确保任务到人</w:t>
      </w:r>
      <w:r>
        <w:rPr>
          <w:rFonts w:hint="eastAsia" w:ascii="Times New Roman" w:hAnsi="Times New Roman" w:eastAsia="仿宋_GB2312"/>
          <w:sz w:val="32"/>
          <w:szCs w:val="32"/>
        </w:rPr>
        <w:t>、</w:t>
      </w:r>
      <w:r>
        <w:rPr>
          <w:rFonts w:ascii="Times New Roman" w:hAnsi="Times New Roman" w:eastAsia="仿宋_GB2312"/>
          <w:sz w:val="32"/>
          <w:szCs w:val="32"/>
        </w:rPr>
        <w:t>责任到人，紧盯服务业发展不放松。同时，加强调度，每月召开专题调度会，分析解决问题。县委办（督查考核办）要把各镇</w:t>
      </w:r>
      <w:r>
        <w:rPr>
          <w:rFonts w:hint="eastAsia" w:ascii="Times New Roman" w:hAnsi="Times New Roman" w:eastAsia="仿宋_GB2312"/>
          <w:sz w:val="32"/>
          <w:szCs w:val="32"/>
        </w:rPr>
        <w:t>（</w:t>
      </w:r>
      <w:r>
        <w:rPr>
          <w:rFonts w:ascii="Times New Roman" w:hAnsi="Times New Roman" w:eastAsia="仿宋_GB2312"/>
          <w:sz w:val="32"/>
          <w:szCs w:val="32"/>
        </w:rPr>
        <w:t>园区</w:t>
      </w:r>
      <w:r>
        <w:rPr>
          <w:rFonts w:hint="eastAsia" w:ascii="Times New Roman" w:hAnsi="Times New Roman" w:eastAsia="仿宋_GB2312"/>
          <w:sz w:val="32"/>
          <w:szCs w:val="32"/>
        </w:rPr>
        <w:t>）、</w:t>
      </w:r>
      <w:r>
        <w:rPr>
          <w:rFonts w:ascii="Times New Roman" w:hAnsi="Times New Roman" w:eastAsia="仿宋_GB2312"/>
          <w:sz w:val="32"/>
          <w:szCs w:val="32"/>
        </w:rPr>
        <w:t>各有关部门服务业发展工作列入全县目标考核，每月通报新增企业培育入统以及服务业发展考核情况，全力推动服务业发展。</w:t>
      </w: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widowControl w:val="0"/>
        <w:adjustRightInd/>
        <w:snapToGrid/>
        <w:spacing w:after="0" w:line="560" w:lineRule="exact"/>
        <w:rPr>
          <w:rFonts w:ascii="Times New Roman" w:hAnsi="Times New Roman" w:eastAsia="仿宋_GB2312"/>
          <w:color w:val="000000"/>
          <w:sz w:val="28"/>
          <w:szCs w:val="28"/>
        </w:rPr>
      </w:pPr>
    </w:p>
    <w:p>
      <w:pPr>
        <w:pStyle w:val="2"/>
        <w:rPr>
          <w:rFonts w:ascii="Times New Roman" w:hAnsi="Times New Roman" w:eastAsia="仿宋_GB2312"/>
          <w:color w:val="000000"/>
          <w:sz w:val="28"/>
          <w:szCs w:val="28"/>
        </w:rPr>
      </w:pPr>
    </w:p>
    <w:p>
      <w:pPr>
        <w:pStyle w:val="2"/>
        <w:rPr>
          <w:rFonts w:ascii="Times New Roman" w:hAnsi="Times New Roman" w:eastAsia="仿宋_GB2312"/>
          <w:color w:val="000000"/>
          <w:sz w:val="28"/>
          <w:szCs w:val="28"/>
        </w:rPr>
      </w:pPr>
    </w:p>
    <w:p>
      <w:pPr>
        <w:pStyle w:val="2"/>
        <w:rPr>
          <w:rFonts w:ascii="Times New Roman" w:hAnsi="Times New Roman" w:eastAsia="仿宋_GB2312"/>
          <w:color w:val="000000"/>
          <w:sz w:val="28"/>
          <w:szCs w:val="28"/>
        </w:rPr>
      </w:pPr>
    </w:p>
    <w:p>
      <w:pPr>
        <w:pStyle w:val="2"/>
        <w:rPr>
          <w:rFonts w:ascii="Times New Roman" w:hAnsi="Times New Roman" w:eastAsia="仿宋_GB2312"/>
          <w:color w:val="000000"/>
          <w:sz w:val="28"/>
          <w:szCs w:val="28"/>
        </w:rPr>
      </w:pPr>
      <w:bookmarkStart w:id="0" w:name="_GoBack"/>
      <w:bookmarkEnd w:id="0"/>
    </w:p>
    <w:p>
      <w:pPr>
        <w:widowControl w:val="0"/>
        <w:adjustRightInd/>
        <w:snapToGrid/>
        <w:spacing w:after="0"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抄送</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县委</w:t>
      </w:r>
      <w:r>
        <w:rPr>
          <w:rFonts w:hint="eastAsia" w:ascii="Times New Roman" w:hAnsi="Times New Roman" w:eastAsia="仿宋_GB2312"/>
          <w:color w:val="000000"/>
          <w:sz w:val="28"/>
          <w:szCs w:val="28"/>
        </w:rPr>
        <w:t>办公室</w:t>
      </w:r>
      <w:r>
        <w:rPr>
          <w:rFonts w:ascii="Times New Roman" w:hAnsi="Times New Roman" w:eastAsia="仿宋_GB2312"/>
          <w:color w:val="000000"/>
          <w:sz w:val="28"/>
          <w:szCs w:val="28"/>
        </w:rPr>
        <w:t>，县人大常委会办公室，县政协办公室，县监察委，</w:t>
      </w:r>
    </w:p>
    <w:p>
      <w:pPr>
        <w:widowControl w:val="0"/>
        <w:adjustRightInd/>
        <w:snapToGrid/>
        <w:spacing w:after="0" w:line="560" w:lineRule="exact"/>
        <w:ind w:firstLine="840" w:firstLineChars="300"/>
        <w:rPr>
          <w:rFonts w:ascii="Times New Roman" w:hAnsi="Times New Roman" w:eastAsia="仿宋_GB2312"/>
          <w:sz w:val="32"/>
          <w:szCs w:val="32"/>
        </w:rPr>
      </w:pPr>
      <w:r>
        <w:rPr>
          <w:rFonts w:ascii="Times New Roman" w:hAnsi="Times New Roman" w:eastAsia="仿宋_GB2312"/>
          <w:color w:val="000000"/>
          <w:sz w:val="28"/>
          <w:szCs w:val="28"/>
        </w:rPr>
        <w:t>县法院、县检察院，县人武部。</w:t>
      </w:r>
    </w:p>
    <w:p/>
    <w:sectPr>
      <w:footerReference r:id="rId4" w:type="default"/>
      <w:pgSz w:w="11906" w:h="16838"/>
      <w:pgMar w:top="1985" w:right="1503" w:bottom="187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07D54785"/>
    <w:rsid w:val="192B12EA"/>
    <w:rsid w:val="7A2B4EF8"/>
    <w:rsid w:val="7BC12DBC"/>
    <w:rsid w:val="7CB4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2"/>
    </w:rPr>
  </w:style>
  <w:style w:type="paragraph" w:styleId="3">
    <w:name w:val="Body Text Indent"/>
    <w:basedOn w:val="1"/>
    <w:qFormat/>
    <w:uiPriority w:val="0"/>
    <w:pPr>
      <w:ind w:firstLine="435"/>
    </w:pPr>
    <w:rPr>
      <w:sz w:val="28"/>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2446</Words>
  <Characters>2481</Characters>
  <Lines>0</Lines>
  <Paragraphs>0</Paragraphs>
  <TotalTime>1</TotalTime>
  <ScaleCrop>false</ScaleCrop>
  <LinksUpToDate>false</LinksUpToDate>
  <CharactersWithSpaces>2499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2022-06-09T02:45:07Z</dcterms:created>
  <dc:creator>Administrator</dc:creator>
  <cp:lastModifiedBy>周争</cp:lastModifiedBy>
  <dcterms:modified xsi:type="dcterms:W3CDTF">2022-06-09T02:47:20Z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F5F8DB5485144A63ABF2F81D81CB73FC</vt:lpwstr>
  </property>
</Properties>
</file>