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772C2A">
      <w:pPr>
        <w:rPr>
          <w:rFonts w:ascii="宋体" w:hAnsi="宋体"/>
          <w:b/>
          <w:sz w:val="36"/>
          <w:szCs w:val="36"/>
        </w:rPr>
      </w:pPr>
    </w:p>
    <w:p w14:paraId="727B5D35">
      <w:pPr>
        <w:jc w:val="center"/>
      </w:pPr>
      <w:r>
        <w:rPr>
          <w:rFonts w:ascii="宋体" w:hAnsi="宋体"/>
          <w:b/>
          <w:sz w:val="36"/>
          <w:szCs w:val="36"/>
        </w:rPr>
        <w:t xml:space="preserve"> </w:t>
      </w:r>
    </w:p>
    <w:p w14:paraId="583ADDEB">
      <w:pPr>
        <w:jc w:val="center"/>
        <w:rPr>
          <w:rFonts w:ascii="宋体" w:hAnsi="宋体"/>
          <w:b/>
          <w:sz w:val="36"/>
          <w:szCs w:val="36"/>
        </w:rPr>
      </w:pPr>
      <w:r>
        <w:rPr>
          <w:rFonts w:ascii="仿宋_GB2312" w:hAnsi="宋体"/>
          <w:b/>
          <w:sz w:val="36"/>
          <w:szCs w:val="36"/>
        </w:rPr>
        <w:t>濉溪县卫生健康宣传教育培训中心</w:t>
      </w:r>
    </w:p>
    <w:p w14:paraId="1368E3B9">
      <w:pPr>
        <w:jc w:val="center"/>
        <w:rPr>
          <w:rFonts w:ascii="宋体" w:hAnsi="宋体"/>
          <w:b/>
          <w:sz w:val="36"/>
          <w:szCs w:val="36"/>
        </w:rPr>
      </w:pPr>
      <w:r>
        <w:rPr>
          <w:rFonts w:ascii="宋体" w:hAnsi="宋体"/>
          <w:b/>
          <w:sz w:val="36"/>
          <w:szCs w:val="36"/>
        </w:rPr>
        <w:t>2023</w:t>
      </w:r>
      <w:r>
        <w:rPr>
          <w:rFonts w:ascii="仿宋_GB2312" w:hAnsi="宋体"/>
          <w:b/>
          <w:sz w:val="36"/>
          <w:szCs w:val="36"/>
        </w:rPr>
        <w:t>年度一般公共预算财政</w:t>
      </w:r>
    </w:p>
    <w:p w14:paraId="7F032776">
      <w:pPr>
        <w:jc w:val="center"/>
        <w:rPr>
          <w:rFonts w:ascii="宋体" w:hAnsi="宋体"/>
          <w:b/>
          <w:sz w:val="36"/>
          <w:szCs w:val="36"/>
        </w:rPr>
      </w:pPr>
      <w:r>
        <w:rPr>
          <w:rFonts w:ascii="仿宋_GB2312" w:hAnsi="宋体"/>
          <w:b/>
          <w:sz w:val="36"/>
          <w:szCs w:val="36"/>
        </w:rPr>
        <w:t>拨款</w:t>
      </w:r>
      <w:r>
        <w:rPr>
          <w:rFonts w:ascii="宋体" w:hAnsi="宋体"/>
          <w:b/>
          <w:sz w:val="36"/>
          <w:szCs w:val="36"/>
        </w:rPr>
        <w:t>“</w:t>
      </w:r>
      <w:r>
        <w:rPr>
          <w:rFonts w:ascii="仿宋_GB2312" w:hAnsi="宋体"/>
          <w:b/>
          <w:sz w:val="36"/>
          <w:szCs w:val="36"/>
        </w:rPr>
        <w:t>三公</w:t>
      </w:r>
      <w:r>
        <w:rPr>
          <w:rFonts w:ascii="宋体" w:hAnsi="宋体"/>
          <w:b/>
          <w:sz w:val="36"/>
          <w:szCs w:val="36"/>
        </w:rPr>
        <w:t>”</w:t>
      </w:r>
      <w:r>
        <w:rPr>
          <w:rFonts w:ascii="仿宋_GB2312" w:hAnsi="宋体"/>
          <w:b/>
          <w:sz w:val="36"/>
          <w:szCs w:val="36"/>
        </w:rPr>
        <w:t>经费支出决算情况说明</w:t>
      </w:r>
    </w:p>
    <w:p w14:paraId="1FD8BB41">
      <w:pPr>
        <w:jc w:val="center"/>
      </w:pPr>
      <w:r>
        <w:rPr>
          <w:rFonts w:ascii="楷体_GB2312"/>
        </w:rPr>
        <w:t xml:space="preserve"> </w:t>
      </w:r>
    </w:p>
    <w:p w14:paraId="74A67787">
      <w:pPr>
        <w:spacing w:line="360" w:lineRule="auto"/>
        <w:jc w:val="center"/>
      </w:pPr>
      <w:r>
        <w:rPr>
          <w:rFonts w:ascii="宋体" w:hAnsi="宋体"/>
          <w:sz w:val="6"/>
          <w:szCs w:val="6"/>
        </w:rPr>
        <w:t xml:space="preserve"> </w:t>
      </w:r>
    </w:p>
    <w:p w14:paraId="4B4CD8A6">
      <w:r>
        <w:rPr>
          <w:rFonts w:ascii="黑体" w:hAnsi="黑体"/>
        </w:rPr>
        <w:t xml:space="preserve">    一、2023年度一般公共预算财政拨款“三公”经费支出决算表</w:t>
      </w:r>
    </w:p>
    <w:p w14:paraId="5C46E779">
      <w:pPr>
        <w:ind w:firstLine="6720"/>
        <w:rPr>
          <w:rFonts w:ascii="黑体" w:hAnsi="黑体"/>
        </w:rPr>
      </w:pPr>
      <w:r>
        <w:rPr>
          <w:rFonts w:ascii="仿宋_GB2312"/>
        </w:rPr>
        <w:t>单位：万元</w:t>
      </w:r>
    </w:p>
    <w:tbl>
      <w:tblPr>
        <w:tblStyle w:val="11"/>
        <w:tblW w:w="8756" w:type="dxa"/>
        <w:tblInd w:w="135" w:type="dxa"/>
        <w:tblLayout w:type="autofit"/>
        <w:tblCellMar>
          <w:top w:w="0" w:type="dxa"/>
          <w:left w:w="108" w:type="dxa"/>
          <w:bottom w:w="0" w:type="dxa"/>
          <w:right w:w="108" w:type="dxa"/>
        </w:tblCellMar>
      </w:tblPr>
      <w:tblGrid>
        <w:gridCol w:w="4379"/>
        <w:gridCol w:w="2157"/>
        <w:gridCol w:w="2220"/>
      </w:tblGrid>
      <w:tr w14:paraId="2DB2C4BB">
        <w:tblPrEx>
          <w:tblCellMar>
            <w:top w:w="0" w:type="dxa"/>
            <w:left w:w="108" w:type="dxa"/>
            <w:bottom w:w="0" w:type="dxa"/>
            <w:right w:w="108" w:type="dxa"/>
          </w:tblCellMar>
        </w:tblPrEx>
        <w:trPr>
          <w:trHeight w:val="397" w:hRule="atLeast"/>
        </w:trPr>
        <w:tc>
          <w:tcPr>
            <w:tcW w:w="4379" w:type="dxa"/>
            <w:tcBorders>
              <w:top w:val="single" w:color="000000" w:sz="4" w:space="0"/>
              <w:left w:val="single" w:color="000000" w:sz="4" w:space="0"/>
              <w:bottom w:val="single" w:color="000000" w:sz="4" w:space="0"/>
              <w:right w:val="single" w:color="000000" w:sz="4" w:space="0"/>
            </w:tcBorders>
            <w:vAlign w:val="center"/>
          </w:tcPr>
          <w:p w14:paraId="44AD2039">
            <w:pPr>
              <w:jc w:val="center"/>
            </w:pPr>
            <w:r>
              <w:rPr>
                <w:rFonts w:ascii="宋体" w:hAnsi="宋体"/>
                <w:b/>
              </w:rPr>
              <w:t>项  目</w:t>
            </w:r>
          </w:p>
        </w:tc>
        <w:tc>
          <w:tcPr>
            <w:tcW w:w="2157" w:type="dxa"/>
            <w:tcBorders>
              <w:top w:val="single" w:color="000000" w:sz="4" w:space="0"/>
              <w:left w:val="nil"/>
              <w:bottom w:val="single" w:color="000000" w:sz="4" w:space="0"/>
              <w:right w:val="single" w:color="000000" w:sz="4" w:space="0"/>
            </w:tcBorders>
            <w:vAlign w:val="center"/>
          </w:tcPr>
          <w:p w14:paraId="74F92ACD">
            <w:pPr>
              <w:jc w:val="center"/>
            </w:pPr>
            <w:r>
              <w:rPr>
                <w:rFonts w:ascii="宋体" w:hAnsi="宋体"/>
                <w:b/>
              </w:rPr>
              <w:t>预 算 数</w:t>
            </w:r>
          </w:p>
        </w:tc>
        <w:tc>
          <w:tcPr>
            <w:tcW w:w="2220" w:type="dxa"/>
            <w:tcBorders>
              <w:top w:val="single" w:color="000000" w:sz="4" w:space="0"/>
              <w:left w:val="nil"/>
              <w:bottom w:val="single" w:color="000000" w:sz="4" w:space="0"/>
              <w:right w:val="single" w:color="000000" w:sz="4" w:space="0"/>
            </w:tcBorders>
            <w:vAlign w:val="center"/>
          </w:tcPr>
          <w:p w14:paraId="7FC985F9">
            <w:pPr>
              <w:jc w:val="center"/>
            </w:pPr>
            <w:r>
              <w:rPr>
                <w:rFonts w:ascii="宋体" w:hAnsi="宋体"/>
                <w:b/>
              </w:rPr>
              <w:t>决 算 数</w:t>
            </w:r>
          </w:p>
        </w:tc>
      </w:tr>
      <w:tr w14:paraId="617EC752">
        <w:tblPrEx>
          <w:tblCellMar>
            <w:top w:w="0" w:type="dxa"/>
            <w:left w:w="108" w:type="dxa"/>
            <w:bottom w:w="0" w:type="dxa"/>
            <w:right w:w="108" w:type="dxa"/>
          </w:tblCellMar>
        </w:tblPrEx>
        <w:trPr>
          <w:trHeight w:val="397" w:hRule="atLeast"/>
        </w:trPr>
        <w:tc>
          <w:tcPr>
            <w:tcW w:w="4379" w:type="dxa"/>
            <w:tcBorders>
              <w:top w:val="nil"/>
              <w:left w:val="single" w:color="000000" w:sz="4" w:space="0"/>
              <w:bottom w:val="single" w:color="000000" w:sz="4" w:space="0"/>
              <w:right w:val="single" w:color="000000" w:sz="4" w:space="0"/>
            </w:tcBorders>
            <w:vAlign w:val="center"/>
          </w:tcPr>
          <w:p w14:paraId="264A0392">
            <w:pPr>
              <w:jc w:val="center"/>
            </w:pPr>
            <w:r>
              <w:rPr>
                <w:rFonts w:ascii="宋体" w:hAnsi="宋体"/>
                <w:b/>
              </w:rPr>
              <w:t>合  计</w:t>
            </w:r>
          </w:p>
        </w:tc>
        <w:tc>
          <w:tcPr>
            <w:tcW w:w="2157" w:type="dxa"/>
            <w:tcBorders>
              <w:top w:val="nil"/>
              <w:left w:val="nil"/>
              <w:bottom w:val="single" w:color="000000" w:sz="4" w:space="0"/>
              <w:right w:val="single" w:color="000000" w:sz="4" w:space="0"/>
            </w:tcBorders>
            <w:vAlign w:val="center"/>
          </w:tcPr>
          <w:p w14:paraId="65492553">
            <w:pPr>
              <w:jc w:val="center"/>
            </w:pPr>
            <w:r>
              <w:rPr>
                <w:rFonts w:ascii="宋体" w:hAnsi="宋体"/>
                <w:b/>
              </w:rPr>
              <w:t>3.02</w:t>
            </w:r>
          </w:p>
        </w:tc>
        <w:tc>
          <w:tcPr>
            <w:tcW w:w="2220" w:type="dxa"/>
            <w:tcBorders>
              <w:top w:val="nil"/>
              <w:left w:val="nil"/>
              <w:bottom w:val="single" w:color="000000" w:sz="4" w:space="0"/>
              <w:right w:val="single" w:color="000000" w:sz="4" w:space="0"/>
            </w:tcBorders>
            <w:vAlign w:val="center"/>
          </w:tcPr>
          <w:p w14:paraId="173C66F9">
            <w:pPr>
              <w:jc w:val="center"/>
            </w:pPr>
            <w:r>
              <w:rPr>
                <w:rFonts w:ascii="宋体" w:hAnsi="宋体"/>
                <w:b/>
              </w:rPr>
              <w:t>1.32</w:t>
            </w:r>
          </w:p>
        </w:tc>
      </w:tr>
      <w:tr w14:paraId="7FD58A7B">
        <w:tblPrEx>
          <w:tblCellMar>
            <w:top w:w="0" w:type="dxa"/>
            <w:left w:w="108" w:type="dxa"/>
            <w:bottom w:w="0" w:type="dxa"/>
            <w:right w:w="108" w:type="dxa"/>
          </w:tblCellMar>
        </w:tblPrEx>
        <w:trPr>
          <w:trHeight w:val="397" w:hRule="atLeast"/>
        </w:trPr>
        <w:tc>
          <w:tcPr>
            <w:tcW w:w="4379" w:type="dxa"/>
            <w:tcBorders>
              <w:top w:val="nil"/>
              <w:left w:val="single" w:color="000000" w:sz="4" w:space="0"/>
              <w:bottom w:val="single" w:color="000000" w:sz="4" w:space="0"/>
              <w:right w:val="single" w:color="000000" w:sz="4" w:space="0"/>
            </w:tcBorders>
            <w:vAlign w:val="center"/>
          </w:tcPr>
          <w:p w14:paraId="757700F6">
            <w:pPr>
              <w:jc w:val="left"/>
            </w:pPr>
            <w:r>
              <w:rPr>
                <w:rFonts w:ascii="宋体" w:hAnsi="宋体"/>
              </w:rPr>
              <w:t>因公出国（境）费</w:t>
            </w:r>
          </w:p>
        </w:tc>
        <w:tc>
          <w:tcPr>
            <w:tcW w:w="2157" w:type="dxa"/>
            <w:tcBorders>
              <w:top w:val="nil"/>
              <w:left w:val="nil"/>
              <w:bottom w:val="single" w:color="000000" w:sz="4" w:space="0"/>
              <w:right w:val="single" w:color="000000" w:sz="4" w:space="0"/>
            </w:tcBorders>
            <w:vAlign w:val="bottom"/>
          </w:tcPr>
          <w:p w14:paraId="3023805B">
            <w:pPr>
              <w:jc w:val="center"/>
            </w:pPr>
          </w:p>
        </w:tc>
        <w:tc>
          <w:tcPr>
            <w:tcW w:w="2220" w:type="dxa"/>
            <w:tcBorders>
              <w:top w:val="nil"/>
              <w:left w:val="nil"/>
              <w:bottom w:val="single" w:color="000000" w:sz="4" w:space="0"/>
              <w:right w:val="single" w:color="000000" w:sz="4" w:space="0"/>
            </w:tcBorders>
            <w:vAlign w:val="bottom"/>
          </w:tcPr>
          <w:p w14:paraId="38604139">
            <w:pPr>
              <w:jc w:val="center"/>
            </w:pPr>
          </w:p>
        </w:tc>
      </w:tr>
      <w:tr w14:paraId="0A185EE1">
        <w:tblPrEx>
          <w:tblCellMar>
            <w:top w:w="0" w:type="dxa"/>
            <w:left w:w="108" w:type="dxa"/>
            <w:bottom w:w="0" w:type="dxa"/>
            <w:right w:w="108" w:type="dxa"/>
          </w:tblCellMar>
        </w:tblPrEx>
        <w:trPr>
          <w:trHeight w:val="397" w:hRule="atLeast"/>
        </w:trPr>
        <w:tc>
          <w:tcPr>
            <w:tcW w:w="4379" w:type="dxa"/>
            <w:tcBorders>
              <w:top w:val="nil"/>
              <w:left w:val="single" w:color="000000" w:sz="4" w:space="0"/>
              <w:bottom w:val="single" w:color="000000" w:sz="4" w:space="0"/>
              <w:right w:val="single" w:color="000000" w:sz="4" w:space="0"/>
            </w:tcBorders>
            <w:vAlign w:val="center"/>
          </w:tcPr>
          <w:p w14:paraId="0790F438">
            <w:pPr>
              <w:jc w:val="left"/>
            </w:pPr>
            <w:r>
              <w:rPr>
                <w:rFonts w:ascii="宋体" w:hAnsi="宋体"/>
              </w:rPr>
              <w:t>公务接待费</w:t>
            </w:r>
          </w:p>
        </w:tc>
        <w:tc>
          <w:tcPr>
            <w:tcW w:w="2157" w:type="dxa"/>
            <w:tcBorders>
              <w:top w:val="nil"/>
              <w:left w:val="nil"/>
              <w:bottom w:val="single" w:color="000000" w:sz="4" w:space="0"/>
              <w:right w:val="single" w:color="000000" w:sz="4" w:space="0"/>
            </w:tcBorders>
            <w:vAlign w:val="bottom"/>
          </w:tcPr>
          <w:p w14:paraId="6D6371BF">
            <w:pPr>
              <w:jc w:val="center"/>
            </w:pPr>
            <w:r>
              <w:rPr>
                <w:rFonts w:ascii="宋体" w:hAnsi="宋体"/>
              </w:rPr>
              <w:t>0.3</w:t>
            </w:r>
          </w:p>
        </w:tc>
        <w:tc>
          <w:tcPr>
            <w:tcW w:w="2220" w:type="dxa"/>
            <w:tcBorders>
              <w:top w:val="nil"/>
              <w:left w:val="nil"/>
              <w:bottom w:val="single" w:color="000000" w:sz="4" w:space="0"/>
              <w:right w:val="single" w:color="000000" w:sz="4" w:space="0"/>
            </w:tcBorders>
            <w:vAlign w:val="bottom"/>
          </w:tcPr>
          <w:p w14:paraId="11A6E1F3">
            <w:pPr>
              <w:jc w:val="center"/>
            </w:pPr>
          </w:p>
        </w:tc>
      </w:tr>
      <w:tr w14:paraId="11352CA4">
        <w:tblPrEx>
          <w:tblCellMar>
            <w:top w:w="0" w:type="dxa"/>
            <w:left w:w="108" w:type="dxa"/>
            <w:bottom w:w="0" w:type="dxa"/>
            <w:right w:w="108" w:type="dxa"/>
          </w:tblCellMar>
        </w:tblPrEx>
        <w:trPr>
          <w:trHeight w:val="397" w:hRule="atLeast"/>
        </w:trPr>
        <w:tc>
          <w:tcPr>
            <w:tcW w:w="4379" w:type="dxa"/>
            <w:tcBorders>
              <w:top w:val="nil"/>
              <w:left w:val="single" w:color="000000" w:sz="4" w:space="0"/>
              <w:bottom w:val="single" w:color="000000" w:sz="4" w:space="0"/>
              <w:right w:val="single" w:color="000000" w:sz="4" w:space="0"/>
            </w:tcBorders>
            <w:vAlign w:val="center"/>
          </w:tcPr>
          <w:p w14:paraId="24FFDF47">
            <w:pPr>
              <w:jc w:val="left"/>
            </w:pPr>
            <w:r>
              <w:rPr>
                <w:rFonts w:ascii="宋体" w:hAnsi="宋体"/>
              </w:rPr>
              <w:t>公务用车购置及运行维护费</w:t>
            </w:r>
          </w:p>
        </w:tc>
        <w:tc>
          <w:tcPr>
            <w:tcW w:w="2157" w:type="dxa"/>
            <w:tcBorders>
              <w:top w:val="nil"/>
              <w:left w:val="nil"/>
              <w:bottom w:val="single" w:color="000000" w:sz="4" w:space="0"/>
              <w:right w:val="single" w:color="000000" w:sz="4" w:space="0"/>
            </w:tcBorders>
            <w:vAlign w:val="bottom"/>
          </w:tcPr>
          <w:p w14:paraId="70815421">
            <w:pPr>
              <w:jc w:val="center"/>
            </w:pPr>
            <w:r>
              <w:rPr>
                <w:rFonts w:ascii="宋体" w:hAnsi="宋体"/>
              </w:rPr>
              <w:t>2.72</w:t>
            </w:r>
          </w:p>
        </w:tc>
        <w:tc>
          <w:tcPr>
            <w:tcW w:w="2220" w:type="dxa"/>
            <w:tcBorders>
              <w:top w:val="nil"/>
              <w:left w:val="nil"/>
              <w:bottom w:val="single" w:color="000000" w:sz="4" w:space="0"/>
              <w:right w:val="single" w:color="000000" w:sz="4" w:space="0"/>
            </w:tcBorders>
            <w:vAlign w:val="bottom"/>
          </w:tcPr>
          <w:p w14:paraId="21427292">
            <w:pPr>
              <w:jc w:val="center"/>
            </w:pPr>
            <w:r>
              <w:rPr>
                <w:rFonts w:ascii="宋体" w:hAnsi="宋体"/>
              </w:rPr>
              <w:t>1.32</w:t>
            </w:r>
          </w:p>
        </w:tc>
      </w:tr>
      <w:tr w14:paraId="2BB817C1">
        <w:tblPrEx>
          <w:tblCellMar>
            <w:top w:w="0" w:type="dxa"/>
            <w:left w:w="108" w:type="dxa"/>
            <w:bottom w:w="0" w:type="dxa"/>
            <w:right w:w="108" w:type="dxa"/>
          </w:tblCellMar>
        </w:tblPrEx>
        <w:trPr>
          <w:trHeight w:val="397" w:hRule="atLeast"/>
        </w:trPr>
        <w:tc>
          <w:tcPr>
            <w:tcW w:w="4379" w:type="dxa"/>
            <w:tcBorders>
              <w:top w:val="nil"/>
              <w:left w:val="single" w:color="000000" w:sz="4" w:space="0"/>
              <w:bottom w:val="single" w:color="000000" w:sz="4" w:space="0"/>
              <w:right w:val="single" w:color="000000" w:sz="4" w:space="0"/>
            </w:tcBorders>
            <w:vAlign w:val="center"/>
          </w:tcPr>
          <w:p w14:paraId="35AC5C41">
            <w:pPr>
              <w:jc w:val="left"/>
            </w:pPr>
            <w:r>
              <w:rPr>
                <w:rFonts w:ascii="宋体" w:hAnsi="宋体"/>
              </w:rPr>
              <w:t xml:space="preserve">  其中：公务用车购置费 </w:t>
            </w:r>
          </w:p>
        </w:tc>
        <w:tc>
          <w:tcPr>
            <w:tcW w:w="2157" w:type="dxa"/>
            <w:tcBorders>
              <w:top w:val="nil"/>
              <w:left w:val="nil"/>
              <w:bottom w:val="single" w:color="000000" w:sz="4" w:space="0"/>
              <w:right w:val="single" w:color="000000" w:sz="4" w:space="0"/>
            </w:tcBorders>
            <w:vAlign w:val="bottom"/>
          </w:tcPr>
          <w:p w14:paraId="5D3AB565">
            <w:pPr>
              <w:jc w:val="center"/>
            </w:pPr>
          </w:p>
        </w:tc>
        <w:tc>
          <w:tcPr>
            <w:tcW w:w="2220" w:type="dxa"/>
            <w:tcBorders>
              <w:top w:val="nil"/>
              <w:left w:val="nil"/>
              <w:bottom w:val="single" w:color="000000" w:sz="4" w:space="0"/>
              <w:right w:val="single" w:color="000000" w:sz="4" w:space="0"/>
            </w:tcBorders>
            <w:vAlign w:val="bottom"/>
          </w:tcPr>
          <w:p w14:paraId="3D2EEE64">
            <w:pPr>
              <w:jc w:val="center"/>
            </w:pPr>
          </w:p>
        </w:tc>
      </w:tr>
      <w:tr w14:paraId="5A9CD73C">
        <w:tblPrEx>
          <w:tblCellMar>
            <w:top w:w="0" w:type="dxa"/>
            <w:left w:w="108" w:type="dxa"/>
            <w:bottom w:w="0" w:type="dxa"/>
            <w:right w:w="108" w:type="dxa"/>
          </w:tblCellMar>
        </w:tblPrEx>
        <w:trPr>
          <w:trHeight w:val="397" w:hRule="atLeast"/>
        </w:trPr>
        <w:tc>
          <w:tcPr>
            <w:tcW w:w="4379" w:type="dxa"/>
            <w:tcBorders>
              <w:top w:val="nil"/>
              <w:left w:val="single" w:color="000000" w:sz="4" w:space="0"/>
              <w:bottom w:val="single" w:color="000000" w:sz="4" w:space="0"/>
              <w:right w:val="single" w:color="000000" w:sz="4" w:space="0"/>
            </w:tcBorders>
            <w:vAlign w:val="center"/>
          </w:tcPr>
          <w:p w14:paraId="6447C7E7">
            <w:pPr>
              <w:jc w:val="left"/>
            </w:pPr>
            <w:r>
              <w:rPr>
                <w:rFonts w:ascii="宋体" w:hAnsi="宋体"/>
              </w:rPr>
              <w:t xml:space="preserve">        公务用车运行维护费</w:t>
            </w:r>
          </w:p>
        </w:tc>
        <w:tc>
          <w:tcPr>
            <w:tcW w:w="2157" w:type="dxa"/>
            <w:tcBorders>
              <w:top w:val="nil"/>
              <w:left w:val="nil"/>
              <w:bottom w:val="single" w:color="000000" w:sz="4" w:space="0"/>
              <w:right w:val="single" w:color="000000" w:sz="4" w:space="0"/>
            </w:tcBorders>
            <w:vAlign w:val="bottom"/>
          </w:tcPr>
          <w:p w14:paraId="563435A9">
            <w:pPr>
              <w:jc w:val="center"/>
            </w:pPr>
            <w:r>
              <w:rPr>
                <w:rFonts w:ascii="宋体" w:hAnsi="宋体"/>
              </w:rPr>
              <w:t>2.72</w:t>
            </w:r>
          </w:p>
        </w:tc>
        <w:tc>
          <w:tcPr>
            <w:tcW w:w="2220" w:type="dxa"/>
            <w:tcBorders>
              <w:top w:val="nil"/>
              <w:left w:val="nil"/>
              <w:bottom w:val="single" w:color="000000" w:sz="4" w:space="0"/>
              <w:right w:val="single" w:color="000000" w:sz="4" w:space="0"/>
            </w:tcBorders>
            <w:vAlign w:val="bottom"/>
          </w:tcPr>
          <w:p w14:paraId="3E2A2D3A">
            <w:pPr>
              <w:jc w:val="center"/>
            </w:pPr>
            <w:r>
              <w:rPr>
                <w:rFonts w:ascii="宋体" w:hAnsi="宋体"/>
              </w:rPr>
              <w:t>1.32</w:t>
            </w:r>
          </w:p>
        </w:tc>
      </w:tr>
    </w:tbl>
    <w:p w14:paraId="601E3B94">
      <w:pPr>
        <w:ind w:firstLine="640"/>
      </w:pPr>
      <w:r>
        <w:rPr>
          <w:rFonts w:ascii="黑体" w:hAnsi="黑体"/>
        </w:rPr>
        <w:t xml:space="preserve">                                      </w:t>
      </w:r>
    </w:p>
    <w:p w14:paraId="42E8A481">
      <w:r>
        <w:rPr>
          <w:rFonts w:ascii="黑体" w:hAnsi="黑体"/>
        </w:rPr>
        <w:t xml:space="preserve">    二、2023年度一般公共预算财政拨款“三公”经费支出情况说明</w:t>
      </w:r>
    </w:p>
    <w:p w14:paraId="0668D0FB">
      <w:pPr>
        <w:ind w:firstLine="643"/>
      </w:pPr>
      <w:r>
        <w:rPr>
          <w:rFonts w:ascii="仿宋_GB2312" w:hAnsi="仿宋"/>
          <w:b/>
        </w:rPr>
        <w:t>（一）一般公共预算财政拨款“三公”经费支出决算总体情况说明。</w:t>
      </w:r>
    </w:p>
    <w:p w14:paraId="30D0BE2C">
      <w:pPr>
        <w:ind w:firstLine="640"/>
        <w:rPr>
          <w:rFonts w:ascii="仿宋_GB2312" w:hAnsi="仿宋"/>
          <w:color w:val="FF0000"/>
        </w:rPr>
      </w:pPr>
      <w:r>
        <w:rPr>
          <w:rFonts w:ascii="仿宋_GB2312" w:hAnsi="仿宋"/>
        </w:rPr>
        <w:t>濉溪县卫生健康宣传教育培训中心2023年度一般公共预算财政拨款“三公”经费支出预算为3.02万元，支出决算为1.32万元，完成预算的43.71%，决算数小于预算数的主要原因是节约燃油及车辆维修维护费用；较上年增加0.56万元，增长73.68%，决算数较上年增加的主要原因是2023年度加大对基层宣传工作力度，开展形式多样的宣传宣讲工作及定点帮扶宣讲工作。</w:t>
      </w:r>
    </w:p>
    <w:p w14:paraId="2AC33BEB">
      <w:pPr>
        <w:ind w:firstLine="643"/>
      </w:pPr>
      <w:r>
        <w:rPr>
          <w:rFonts w:ascii="仿宋_GB2312" w:hAnsi="仿宋"/>
          <w:b/>
        </w:rPr>
        <w:t>（二）一般公共预算财政拨款“三公”经费支出决算具体情况说明。</w:t>
      </w:r>
    </w:p>
    <w:p w14:paraId="71A3B468">
      <w:pPr>
        <w:ind w:firstLine="640"/>
      </w:pPr>
      <w:r>
        <w:rPr>
          <w:rFonts w:ascii="仿宋_GB2312" w:hAnsi="仿宋"/>
        </w:rPr>
        <w:t>濉溪县卫生健康宣传教育培训中心2023年度一般公共预算财政拨款“三公”经费支出决算中，因公出国（境）费支出决算0万元，占0%;公务接待费支出决算0万元，占0%；公务用车购置及运行维护费支出决算1.32万元，占43.71%。具体情况如下：</w:t>
      </w:r>
    </w:p>
    <w:p w14:paraId="5BAD9A4E">
      <w:pPr>
        <w:ind w:firstLine="643"/>
        <w:rPr>
          <w:rFonts w:ascii="仿宋_GB2312" w:hAnsi="仿宋"/>
          <w:b/>
        </w:rPr>
      </w:pPr>
      <w:r>
        <w:rPr>
          <w:rFonts w:ascii="仿宋_GB2312" w:hAnsi="仿宋"/>
          <w:b/>
        </w:rPr>
        <w:t>1.因公出国（境）费</w:t>
      </w:r>
      <w:r>
        <w:rPr>
          <w:rFonts w:ascii="仿宋_GB2312" w:hAnsi="仿宋"/>
        </w:rPr>
        <w:t>预算为0万元，支出决算为0万元，完成预算的100%，决算数与预算数相同；较上年减少0万元，下降0%。原因是2022年度、2023年度均未安排因公出国（境）计划。故2023年濉溪县卫生健康宣传教育培训中心因公出国（境）团组0次，累计出国（境）0人次。</w:t>
      </w:r>
    </w:p>
    <w:p w14:paraId="32AB3685">
      <w:pPr>
        <w:ind w:firstLine="643"/>
      </w:pPr>
      <w:r>
        <w:rPr>
          <w:rFonts w:ascii="仿宋_GB2312" w:hAnsi="仿宋"/>
          <w:b/>
        </w:rPr>
        <w:t>2.公务接待费</w:t>
      </w:r>
      <w:r>
        <w:rPr>
          <w:rFonts w:ascii="仿宋_GB2312" w:hAnsi="仿宋"/>
        </w:rPr>
        <w:t>预算为0.3万元，支出决算为0万元, 完成预算的0%，决算数小于预算数的主要原因是本年度未发生公务接待支出费用。决算数较上年减少（增加）0万元，下降（增长）0%，决算数较上年减少（增加）的主要原因是未发生公务接待支出费用。2023年濉溪县卫生健康宣传教育培训中心国内公务接待共0批次（其中外事接待0批次），0人次（其中外事接待0人次）。经费使用严格贯彻</w:t>
      </w:r>
      <w:bookmarkStart w:id="0" w:name="_GoBack"/>
      <w:bookmarkEnd w:id="0"/>
      <w:r>
        <w:rPr>
          <w:rFonts w:ascii="仿宋_GB2312" w:hAnsi="仿宋"/>
        </w:rPr>
        <w:t>中央八项规定要求，严格执行《党政机关厉行节约反对浪费条例》、濉溪县公务接待相关规定等。</w:t>
      </w:r>
    </w:p>
    <w:p w14:paraId="09BA79B1">
      <w:pPr>
        <w:ind w:firstLine="643"/>
        <w:rPr>
          <w:rFonts w:ascii="仿宋_GB2312"/>
        </w:rPr>
      </w:pPr>
      <w:r>
        <w:rPr>
          <w:rFonts w:ascii="仿宋_GB2312" w:hAnsi="仿宋"/>
          <w:b/>
        </w:rPr>
        <w:t>3.公务用车购置及运行维护费</w:t>
      </w:r>
      <w:r>
        <w:rPr>
          <w:rFonts w:ascii="仿宋_GB2312" w:hAnsi="仿宋"/>
        </w:rPr>
        <w:t>预算为2.72万元，支出决算为1.32万元，完成预算的48.53%，决算数小于预算数的主要原因是节约然修费用及减少不必要的公车出行。较上年增加0.56万元，增长73.68%，决算数较上年增加的主要原因是2023年度加大对基层宣传工作力度，开展形式多样的宣传宣讲工作及定点帮扶宣讲工作。其中，公务用车购置费预算为0万元，支出决算为0万元，完成预算的0%，决算数小于（大于）预算数的主要原因是2023年度没有安排公务用车购置费。较上年减少（增加）0万元，下降（增长）0%,决算数较上年减少（增加）的主要原因是2023年度没有安排公务用车购置费。公务用车运行维护费预算为2.72万元，支出决算为1.32万元，完成预算的48.53%，决算数小于预算数的主要原因是节约然修费用及减少不必要的公车出行。较上年增加0.56万元，增长73.68%，决算数较上年增加的主要原因是2023年度加大对基层宣传工作力度，开展形式多样的宣传宣讲工作及定点帮扶宣讲工作。公务用车运行维护费，包括车辆燃料费、维修费、过路过桥费、保险费等支出，主要用于车辆燃料费、车辆维修（护）费、过路过桥费、保险费等支出。截至2023年12月31日，濉溪县卫生健康宣传教育培训中心开支财政拨款的公务用车保有量为1辆。</w:t>
      </w:r>
    </w:p>
    <w:p w14:paraId="30DC5BDD"/>
    <w:sectPr>
      <w:pgSz w:w="11906" w:h="16838"/>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splitPgBreakAndParaMark/>
    <w:compatSetting w:name="compatibilityMode" w:uri="http://schemas.microsoft.com/office/word" w:val="12"/>
  </w:compat>
  <w:rsids>
    <w:rsidRoot w:val="00000000"/>
    <w:rsid w:val="03FB59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rPr>
  </w:style>
  <w:style w:type="paragraph" w:styleId="2">
    <w:name w:val="heading 1"/>
    <w:basedOn w:val="1"/>
    <w:uiPriority w:val="0"/>
    <w:pPr>
      <w:spacing w:before="480"/>
    </w:pPr>
    <w:rPr>
      <w:b/>
      <w:color w:val="345A8A"/>
      <w:sz w:val="32"/>
    </w:rPr>
  </w:style>
  <w:style w:type="paragraph" w:styleId="3">
    <w:name w:val="heading 2"/>
    <w:basedOn w:val="1"/>
    <w:uiPriority w:val="0"/>
    <w:pPr>
      <w:spacing w:before="200"/>
    </w:pPr>
    <w:rPr>
      <w:b/>
      <w:color w:val="4F81BD"/>
      <w:sz w:val="26"/>
    </w:rPr>
  </w:style>
  <w:style w:type="paragraph" w:styleId="4">
    <w:name w:val="heading 3"/>
    <w:basedOn w:val="1"/>
    <w:uiPriority w:val="0"/>
    <w:pPr>
      <w:spacing w:before="200"/>
    </w:pPr>
    <w:rPr>
      <w:b/>
      <w:color w:val="4F81BD"/>
      <w:sz w:val="2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5">
    <w:name w:val="Subtitle"/>
    <w:basedOn w:val="1"/>
    <w:uiPriority w:val="0"/>
    <w:rPr>
      <w:i/>
      <w:color w:val="4F81BD"/>
      <w:sz w:val="24"/>
    </w:rPr>
  </w:style>
  <w:style w:type="paragraph" w:styleId="6">
    <w:name w:val="Title"/>
    <w:basedOn w:val="1"/>
    <w:qFormat/>
    <w:uiPriority w:val="0"/>
    <w:pPr>
      <w:spacing w:after="300"/>
    </w:pPr>
    <w:rPr>
      <w:color w:val="17365D"/>
      <w:sz w:val="52"/>
    </w:rPr>
  </w:style>
  <w:style w:type="paragraph" w:customStyle="1" w:styleId="9">
    <w:name w:val="正文1"/>
    <w:qFormat/>
    <w:uiPriority w:val="0"/>
    <w:pPr>
      <w:jc w:val="both"/>
    </w:pPr>
    <w:rPr>
      <w:rFonts w:ascii="Times New Roman"/>
      <w:sz w:val="32"/>
      <w:szCs w:val="32"/>
    </w:rPr>
  </w:style>
  <w:style w:type="character" w:customStyle="1" w:styleId="10">
    <w:name w:val="默认段落字体1"/>
    <w:qFormat/>
    <w:uiPriority w:val="0"/>
  </w:style>
  <w:style w:type="table" w:customStyle="1" w:styleId="11">
    <w:name w:val="普通表格1"/>
    <w:qFormat/>
    <w:uiPriority w:val="0"/>
  </w:style>
  <w:style w:type="paragraph" w:customStyle="1" w:styleId="12">
    <w:name w:val="正文文本1"/>
    <w:basedOn w:val="9"/>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1305</Words>
  <Characters>1454</Characters>
  <Lines>0</Lines>
  <Paragraphs>0</Paragraphs>
  <TotalTime>0</TotalTime>
  <ScaleCrop>false</ScaleCrop>
  <LinksUpToDate>false</LinksUpToDate>
  <CharactersWithSpaces>1523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2007-04-30T19:01:00Z</dcterms:created>
  <dc:creator>王欣</dc:creator>
  <cp:lastModifiedBy>王欣</cp:lastModifiedBy>
  <dcterms:modified xsi:type="dcterms:W3CDTF">2025-06-23T00:15:36Z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eyJoZGlkIjoiMWY2Mjg4NmJlNzQyYmM2YjhhNTk1MmI1NDNhMzIzMWMifQ==</vt:lpwstr>
  </property>
  <property fmtid="{D5CDD505-2E9C-101B-9397-08002B2CF9AE}" pid="3" name="KSOProductBuildVer">
    <vt:lpwstr>2052-12.1.0.21541</vt:lpwstr>
  </property>
  <property fmtid="{D5CDD505-2E9C-101B-9397-08002B2CF9AE}" pid="4" name="ICV">
    <vt:lpwstr>164217EFE60948888822BCEDBE99ACC9_12</vt:lpwstr>
  </property>
</Properties>
</file>