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7E1C6">
      <w:pPr>
        <w:kinsoku/>
        <w:jc w:val="center"/>
        <w:outlineLvl w:val="0"/>
        <w:rPr>
          <w:rFonts w:ascii="Times New Roman" w:hAnsi="Times New Roman" w:eastAsia="宋体" w:cs="Times New Roman"/>
          <w:bCs/>
          <w:sz w:val="72"/>
          <w:szCs w:val="72"/>
          <w:lang w:eastAsia="zh-CN"/>
        </w:rPr>
      </w:pPr>
    </w:p>
    <w:p w14:paraId="29085A4F">
      <w:pPr>
        <w:kinsoku/>
        <w:jc w:val="center"/>
        <w:outlineLvl w:val="0"/>
        <w:rPr>
          <w:rFonts w:ascii="Times New Roman" w:hAnsi="Times New Roman" w:eastAsia="宋体" w:cs="Times New Roman"/>
          <w:bCs/>
          <w:sz w:val="72"/>
          <w:szCs w:val="72"/>
          <w:lang w:eastAsia="zh-CN"/>
        </w:rPr>
      </w:pPr>
    </w:p>
    <w:p w14:paraId="35A57779">
      <w:pPr>
        <w:kinsoku/>
        <w:jc w:val="center"/>
        <w:outlineLvl w:val="0"/>
        <w:rPr>
          <w:rFonts w:ascii="Times New Roman" w:hAnsi="Times New Roman" w:eastAsia="宋体" w:cs="Times New Roman"/>
          <w:bCs/>
          <w:sz w:val="72"/>
          <w:szCs w:val="72"/>
          <w:lang w:eastAsia="zh-CN"/>
        </w:rPr>
      </w:pPr>
      <w:r>
        <w:rPr>
          <w:rFonts w:ascii="Times New Roman" w:hAnsi="Times New Roman" w:eastAsia="宋体" w:cs="Times New Roman"/>
          <w:bCs/>
          <w:sz w:val="72"/>
          <w:szCs w:val="72"/>
          <w:lang w:eastAsia="zh-CN"/>
        </w:rPr>
        <w:t>建设项目环境影响报告表</w:t>
      </w:r>
    </w:p>
    <w:p w14:paraId="27E526C3">
      <w:pPr>
        <w:pStyle w:val="10"/>
        <w:kinsoku/>
        <w:rPr>
          <w:rFonts w:ascii="Times New Roman" w:hAnsi="Times New Roman" w:eastAsia="宋体" w:cs="Times New Roman"/>
          <w:lang w:eastAsia="zh-CN"/>
        </w:rPr>
      </w:pPr>
    </w:p>
    <w:p w14:paraId="1D0CDD76">
      <w:pPr>
        <w:kinsoku/>
        <w:spacing w:before="249" w:beforeLines="80"/>
        <w:jc w:val="center"/>
        <w:rPr>
          <w:rFonts w:ascii="Times New Roman" w:hAnsi="Times New Roman" w:eastAsia="宋体" w:cs="Times New Roman"/>
          <w:bCs/>
          <w:sz w:val="48"/>
          <w:szCs w:val="48"/>
          <w:lang w:eastAsia="zh-CN"/>
        </w:rPr>
      </w:pPr>
      <w:r>
        <w:rPr>
          <w:rFonts w:ascii="Times New Roman" w:hAnsi="Times New Roman" w:eastAsia="宋体" w:cs="Times New Roman"/>
          <w:bCs/>
          <w:sz w:val="48"/>
          <w:szCs w:val="48"/>
          <w:lang w:eastAsia="zh-CN"/>
        </w:rPr>
        <w:t>（污染影响类）</w:t>
      </w:r>
    </w:p>
    <w:p w14:paraId="1198AA72">
      <w:pPr>
        <w:kinsoku/>
        <w:jc w:val="center"/>
        <w:rPr>
          <w:rFonts w:ascii="Times New Roman" w:hAnsi="Times New Roman" w:eastAsia="宋体" w:cs="Times New Roman"/>
          <w:sz w:val="52"/>
          <w:szCs w:val="52"/>
          <w:lang w:eastAsia="zh-CN"/>
        </w:rPr>
      </w:pPr>
    </w:p>
    <w:p w14:paraId="28CFA232">
      <w:pPr>
        <w:kinsoku/>
        <w:ind w:firstLine="1040"/>
        <w:rPr>
          <w:rFonts w:ascii="Times New Roman" w:hAnsi="Times New Roman" w:eastAsia="宋体" w:cs="Times New Roman"/>
          <w:sz w:val="44"/>
          <w:szCs w:val="44"/>
          <w:lang w:eastAsia="zh-CN"/>
        </w:rPr>
      </w:pPr>
    </w:p>
    <w:p w14:paraId="408E1648">
      <w:pPr>
        <w:kinsoku/>
        <w:ind w:firstLine="1040"/>
        <w:rPr>
          <w:rFonts w:ascii="Times New Roman" w:hAnsi="Times New Roman" w:eastAsia="宋体" w:cs="Times New Roman"/>
          <w:sz w:val="44"/>
          <w:szCs w:val="44"/>
          <w:lang w:eastAsia="zh-CN"/>
        </w:rPr>
      </w:pPr>
    </w:p>
    <w:p w14:paraId="25F991E3">
      <w:pPr>
        <w:kinsoku/>
        <w:ind w:firstLine="1040"/>
        <w:rPr>
          <w:rFonts w:ascii="Times New Roman" w:hAnsi="Times New Roman" w:eastAsia="宋体" w:cs="Times New Roman"/>
          <w:sz w:val="44"/>
          <w:szCs w:val="44"/>
          <w:lang w:eastAsia="zh-CN"/>
        </w:rPr>
      </w:pPr>
    </w:p>
    <w:p w14:paraId="725E811C">
      <w:pPr>
        <w:kinsoku/>
        <w:ind w:firstLine="1040"/>
        <w:rPr>
          <w:rFonts w:ascii="Times New Roman" w:hAnsi="Times New Roman" w:eastAsia="宋体" w:cs="Times New Roman"/>
          <w:sz w:val="44"/>
          <w:szCs w:val="44"/>
          <w:lang w:eastAsia="zh-CN"/>
        </w:rPr>
      </w:pPr>
    </w:p>
    <w:p w14:paraId="2E8C1299">
      <w:pPr>
        <w:kinsoku/>
        <w:ind w:firstLine="1040"/>
        <w:rPr>
          <w:rFonts w:ascii="Times New Roman" w:hAnsi="Times New Roman" w:eastAsia="宋体" w:cs="Times New Roman"/>
          <w:sz w:val="44"/>
          <w:szCs w:val="44"/>
          <w:lang w:eastAsia="zh-CN"/>
        </w:rPr>
      </w:pPr>
    </w:p>
    <w:p w14:paraId="4EB24223">
      <w:pPr>
        <w:kinsoku/>
        <w:rPr>
          <w:rFonts w:ascii="Times New Roman" w:hAnsi="Times New Roman" w:eastAsia="宋体" w:cs="Times New Roman"/>
          <w:sz w:val="44"/>
          <w:szCs w:val="44"/>
          <w:lang w:eastAsia="zh-CN"/>
        </w:rPr>
      </w:pPr>
    </w:p>
    <w:p w14:paraId="27A0084A">
      <w:pPr>
        <w:kinsoku/>
        <w:ind w:firstLine="1040"/>
        <w:rPr>
          <w:rFonts w:ascii="Times New Roman" w:hAnsi="Times New Roman" w:eastAsia="宋体" w:cs="Times New Roman"/>
          <w:sz w:val="44"/>
          <w:szCs w:val="44"/>
          <w:lang w:eastAsia="zh-CN"/>
        </w:rPr>
      </w:pPr>
    </w:p>
    <w:p w14:paraId="416AD4FA">
      <w:pPr>
        <w:kinsoku/>
        <w:ind w:firstLine="1040"/>
        <w:rPr>
          <w:rFonts w:ascii="Times New Roman" w:hAnsi="Times New Roman" w:eastAsia="宋体" w:cs="Times New Roman"/>
          <w:sz w:val="44"/>
          <w:szCs w:val="44"/>
          <w:lang w:eastAsia="zh-CN"/>
        </w:rPr>
      </w:pPr>
    </w:p>
    <w:p w14:paraId="3A794959">
      <w:pPr>
        <w:kinsoku/>
        <w:spacing w:line="288" w:lineRule="auto"/>
        <w:ind w:left="1600" w:hanging="1600" w:hangingChars="500"/>
        <w:rPr>
          <w:rFonts w:ascii="Times New Roman" w:hAnsi="Times New Roman" w:eastAsia="宋体" w:cs="Times New Roman"/>
          <w:sz w:val="32"/>
          <w:szCs w:val="32"/>
          <w:u w:val="single"/>
          <w:lang w:eastAsia="zh-CN"/>
        </w:rPr>
      </w:pPr>
      <w:bookmarkStart w:id="0" w:name="_Hlk57884087"/>
      <w:r>
        <w:rPr>
          <w:rFonts w:ascii="Times New Roman" w:hAnsi="Times New Roman" w:eastAsia="宋体" w:cs="Times New Roman"/>
          <w:sz w:val="32"/>
          <w:szCs w:val="32"/>
          <w:lang w:eastAsia="zh-CN"/>
        </w:rPr>
        <w:t>项目名称：</w:t>
      </w:r>
      <w:r>
        <w:rPr>
          <w:rFonts w:ascii="Times New Roman" w:hAnsi="Times New Roman" w:eastAsia="宋体" w:cs="Times New Roman"/>
          <w:sz w:val="32"/>
          <w:szCs w:val="32"/>
          <w:u w:val="single"/>
          <w:lang w:eastAsia="zh-CN"/>
        </w:rPr>
        <w:t xml:space="preserve"> 年产3000吨护栏，钣金箱体</w:t>
      </w:r>
      <w:r>
        <w:rPr>
          <w:rFonts w:hint="eastAsia" w:ascii="Times New Roman" w:hAnsi="Times New Roman" w:eastAsia="宋体" w:cs="Times New Roman"/>
          <w:sz w:val="32"/>
          <w:szCs w:val="32"/>
          <w:u w:val="single"/>
          <w:lang w:eastAsia="zh-CN"/>
        </w:rPr>
        <w:t>，</w:t>
      </w:r>
      <w:r>
        <w:rPr>
          <w:rFonts w:ascii="Times New Roman" w:hAnsi="Times New Roman" w:eastAsia="宋体" w:cs="Times New Roman"/>
          <w:sz w:val="32"/>
          <w:szCs w:val="32"/>
          <w:u w:val="single"/>
          <w:lang w:eastAsia="zh-CN"/>
        </w:rPr>
        <w:t>钢结构生产线项目</w:t>
      </w:r>
    </w:p>
    <w:p w14:paraId="59FF9C98">
      <w:pPr>
        <w:kinsoku/>
        <w:spacing w:line="288" w:lineRule="auto"/>
        <w:jc w:val="both"/>
        <w:rPr>
          <w:rFonts w:ascii="Times New Roman" w:hAnsi="Times New Roman" w:eastAsia="宋体" w:cs="Times New Roman"/>
          <w:sz w:val="32"/>
          <w:szCs w:val="32"/>
          <w:u w:val="single"/>
          <w:lang w:eastAsia="zh-CN"/>
        </w:rPr>
      </w:pPr>
      <w:r>
        <w:rPr>
          <w:rFonts w:ascii="Times New Roman" w:hAnsi="Times New Roman" w:eastAsia="宋体" w:cs="Times New Roman"/>
          <w:sz w:val="32"/>
          <w:szCs w:val="32"/>
          <w:lang w:eastAsia="zh-CN"/>
        </w:rPr>
        <w:t>建设单位：</w:t>
      </w:r>
      <w:r>
        <w:rPr>
          <w:rFonts w:ascii="Times New Roman" w:hAnsi="Times New Roman" w:eastAsia="宋体" w:cs="Times New Roman"/>
          <w:sz w:val="32"/>
          <w:szCs w:val="32"/>
          <w:u w:val="single"/>
          <w:lang w:eastAsia="zh-CN"/>
        </w:rPr>
        <w:t xml:space="preserve">         安徽昶合市政工程有限公司                </w:t>
      </w:r>
    </w:p>
    <w:p w14:paraId="3E275513">
      <w:pPr>
        <w:kinsoku/>
        <w:spacing w:line="288" w:lineRule="auto"/>
        <w:rPr>
          <w:rFonts w:ascii="Times New Roman" w:hAnsi="Times New Roman" w:eastAsia="宋体" w:cs="Times New Roman"/>
          <w:sz w:val="32"/>
          <w:szCs w:val="32"/>
          <w:u w:val="single"/>
          <w:lang w:eastAsia="zh-CN"/>
        </w:rPr>
      </w:pPr>
      <w:r>
        <w:rPr>
          <w:rFonts w:ascii="Times New Roman" w:hAnsi="Times New Roman" w:eastAsia="宋体" w:cs="Times New Roman"/>
          <w:sz w:val="32"/>
          <w:szCs w:val="32"/>
          <w:lang w:eastAsia="zh-CN"/>
        </w:rPr>
        <w:t>编制日期：</w:t>
      </w:r>
      <w:r>
        <w:rPr>
          <w:rFonts w:ascii="Times New Roman" w:hAnsi="Times New Roman" w:eastAsia="宋体" w:cs="Times New Roman"/>
          <w:sz w:val="32"/>
          <w:szCs w:val="32"/>
          <w:u w:val="single"/>
          <w:lang w:eastAsia="zh-CN"/>
        </w:rPr>
        <w:t xml:space="preserve">              2025年</w:t>
      </w:r>
      <w:r>
        <w:rPr>
          <w:rFonts w:hint="eastAsia" w:ascii="Times New Roman" w:hAnsi="Times New Roman" w:eastAsia="宋体" w:cs="Times New Roman"/>
          <w:sz w:val="32"/>
          <w:szCs w:val="32"/>
          <w:u w:val="single"/>
          <w:lang w:eastAsia="zh-CN"/>
        </w:rPr>
        <w:t>7</w:t>
      </w:r>
      <w:r>
        <w:rPr>
          <w:rFonts w:ascii="Times New Roman" w:hAnsi="Times New Roman" w:eastAsia="宋体" w:cs="Times New Roman"/>
          <w:sz w:val="32"/>
          <w:szCs w:val="32"/>
          <w:u w:val="single"/>
          <w:lang w:eastAsia="zh-CN"/>
        </w:rPr>
        <w:t xml:space="preserve">月                   </w:t>
      </w:r>
    </w:p>
    <w:p w14:paraId="05F79C49">
      <w:pPr>
        <w:kinsoku/>
        <w:spacing w:line="288" w:lineRule="auto"/>
        <w:ind w:firstLine="1040"/>
        <w:rPr>
          <w:rFonts w:ascii="Times New Roman" w:hAnsi="Times New Roman" w:cs="Times New Roman"/>
          <w:sz w:val="36"/>
          <w:szCs w:val="36"/>
          <w:u w:val="single"/>
          <w:lang w:eastAsia="zh-CN"/>
        </w:rPr>
      </w:pPr>
    </w:p>
    <w:p w14:paraId="073362F5">
      <w:pPr>
        <w:pStyle w:val="15"/>
        <w:kinsoku/>
        <w:rPr>
          <w:rFonts w:ascii="Times New Roman" w:hAnsi="Times New Roman" w:eastAsia="宋体" w:cs="Times New Roman"/>
          <w:lang w:eastAsia="zh-CN"/>
        </w:rPr>
      </w:pPr>
    </w:p>
    <w:p w14:paraId="5967FA96">
      <w:pPr>
        <w:kinsoku/>
        <w:spacing w:line="288" w:lineRule="auto"/>
        <w:ind w:firstLine="1040"/>
        <w:rPr>
          <w:rFonts w:ascii="Times New Roman" w:hAnsi="Times New Roman" w:cs="Times New Roman"/>
          <w:sz w:val="36"/>
          <w:szCs w:val="36"/>
          <w:lang w:eastAsia="zh-CN"/>
        </w:rPr>
      </w:pPr>
    </w:p>
    <w:bookmarkEnd w:id="0"/>
    <w:p w14:paraId="0505456E">
      <w:pPr>
        <w:kinsoku/>
        <w:spacing w:line="288" w:lineRule="auto"/>
        <w:jc w:val="both"/>
        <w:rPr>
          <w:rFonts w:ascii="Times New Roman" w:hAnsi="Times New Roman" w:cs="Times New Roman"/>
          <w:sz w:val="36"/>
          <w:szCs w:val="36"/>
          <w:lang w:eastAsia="zh-CN"/>
        </w:rPr>
      </w:pPr>
    </w:p>
    <w:p w14:paraId="364546E2">
      <w:pPr>
        <w:kinsoku/>
        <w:spacing w:line="288" w:lineRule="auto"/>
        <w:jc w:val="center"/>
        <w:rPr>
          <w:rFonts w:ascii="Times New Roman" w:hAnsi="Times New Roman" w:cs="Times New Roman"/>
          <w:sz w:val="36"/>
          <w:szCs w:val="36"/>
          <w:lang w:eastAsia="zh-CN"/>
        </w:rPr>
      </w:pPr>
      <w:r>
        <w:rPr>
          <w:rFonts w:ascii="Times New Roman" w:hAnsi="Times New Roman" w:cs="Times New Roman"/>
          <w:sz w:val="36"/>
          <w:szCs w:val="36"/>
          <w:lang w:eastAsia="zh-CN"/>
        </w:rPr>
        <w:t>中华人民共和国生态环境部制</w:t>
      </w:r>
    </w:p>
    <w:p w14:paraId="1ABD0F3D">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61FE6768">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14:paraId="77D1EF39">
      <w:pPr>
        <w:pStyle w:val="19"/>
        <w:kinsoku/>
        <w:adjustRightInd/>
        <w:snapToGrid/>
        <w:spacing w:before="0" w:beforeAutospacing="0" w:after="0" w:afterAutospacing="0" w:line="360" w:lineRule="auto"/>
        <w:jc w:val="center"/>
        <w:outlineLvl w:val="0"/>
        <w:rPr>
          <w:rFonts w:ascii="Times New Roman" w:hAnsi="Times New Roman" w:eastAsia="宋体" w:cs="Times New Roman"/>
          <w:b/>
          <w:bCs/>
          <w:sz w:val="30"/>
          <w:szCs w:val="30"/>
        </w:rPr>
      </w:pPr>
      <w:r>
        <w:rPr>
          <w:rFonts w:ascii="Times New Roman" w:hAnsi="Times New Roman" w:eastAsia="宋体" w:cs="Times New Roman"/>
          <w:b/>
          <w:bCs/>
          <w:sz w:val="30"/>
          <w:szCs w:val="30"/>
        </w:rPr>
        <w:t>一、建设项目基本情况</w:t>
      </w:r>
    </w:p>
    <w:tbl>
      <w:tblPr>
        <w:tblStyle w:val="22"/>
        <w:tblW w:w="1004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349"/>
        <w:gridCol w:w="2668"/>
        <w:gridCol w:w="2223"/>
        <w:gridCol w:w="3808"/>
      </w:tblGrid>
      <w:tr w14:paraId="501CC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4BD353DE">
            <w:pPr>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建设项目名称</w:t>
            </w:r>
          </w:p>
        </w:tc>
        <w:tc>
          <w:tcPr>
            <w:tcW w:w="8699" w:type="dxa"/>
            <w:gridSpan w:val="3"/>
            <w:tcBorders>
              <w:tl2br w:val="nil"/>
              <w:tr2bl w:val="nil"/>
            </w:tcBorders>
            <w:vAlign w:val="center"/>
          </w:tcPr>
          <w:p w14:paraId="054556BA">
            <w:pPr>
              <w:jc w:val="center"/>
              <w:rPr>
                <w:rFonts w:ascii="Times New Roman" w:hAnsi="Times New Roman" w:cs="Times New Roman"/>
                <w:color w:val="auto"/>
                <w:sz w:val="24"/>
                <w:szCs w:val="24"/>
                <w:highlight w:val="yellow"/>
              </w:rPr>
            </w:pPr>
            <w:r>
              <w:rPr>
                <w:rFonts w:ascii="Times New Roman" w:hAnsi="Times New Roman" w:eastAsia="宋体" w:cs="Times New Roman"/>
                <w:color w:val="auto"/>
                <w:sz w:val="24"/>
                <w:szCs w:val="24"/>
                <w:lang w:eastAsia="zh-CN"/>
              </w:rPr>
              <w:t>年产3000吨护栏，钣金箱体</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钢结构生产线项目</w:t>
            </w:r>
          </w:p>
        </w:tc>
      </w:tr>
      <w:tr w14:paraId="6778D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7A0B87DE">
            <w:pPr>
              <w:jc w:val="center"/>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项目代码</w:t>
            </w:r>
          </w:p>
        </w:tc>
        <w:tc>
          <w:tcPr>
            <w:tcW w:w="8699" w:type="dxa"/>
            <w:gridSpan w:val="3"/>
            <w:tcBorders>
              <w:tl2br w:val="nil"/>
              <w:tr2bl w:val="nil"/>
            </w:tcBorders>
            <w:vAlign w:val="center"/>
          </w:tcPr>
          <w:p w14:paraId="27684DAE">
            <w:pPr>
              <w:jc w:val="center"/>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2505-340621-04-01-715664</w:t>
            </w:r>
          </w:p>
        </w:tc>
      </w:tr>
      <w:tr w14:paraId="1998B5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2160F1F4">
            <w:pPr>
              <w:jc w:val="center"/>
              <w:rPr>
                <w:rFonts w:ascii="Times New Roman" w:hAnsi="Times New Roman" w:cs="Times New Roman"/>
                <w:color w:val="auto"/>
                <w:sz w:val="24"/>
                <w:szCs w:val="24"/>
              </w:rPr>
            </w:pPr>
            <w:r>
              <w:rPr>
                <w:rFonts w:ascii="Times New Roman" w:hAnsi="Times New Roman" w:cs="Times New Roman"/>
                <w:color w:val="auto"/>
                <w:sz w:val="24"/>
                <w:szCs w:val="24"/>
              </w:rPr>
              <w:t>建设单位联系人</w:t>
            </w:r>
          </w:p>
        </w:tc>
        <w:tc>
          <w:tcPr>
            <w:tcW w:w="2668" w:type="dxa"/>
            <w:tcBorders>
              <w:tl2br w:val="nil"/>
              <w:tr2bl w:val="nil"/>
            </w:tcBorders>
            <w:vAlign w:val="center"/>
          </w:tcPr>
          <w:p w14:paraId="1F2ED8C3">
            <w:pPr>
              <w:jc w:val="center"/>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w:t>
            </w:r>
          </w:p>
        </w:tc>
        <w:tc>
          <w:tcPr>
            <w:tcW w:w="2223" w:type="dxa"/>
            <w:tcBorders>
              <w:tl2br w:val="nil"/>
              <w:tr2bl w:val="nil"/>
            </w:tcBorders>
            <w:vAlign w:val="center"/>
          </w:tcPr>
          <w:p w14:paraId="633E7061">
            <w:pPr>
              <w:jc w:val="center"/>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联系方式</w:t>
            </w:r>
          </w:p>
        </w:tc>
        <w:tc>
          <w:tcPr>
            <w:tcW w:w="3808" w:type="dxa"/>
            <w:tcBorders>
              <w:tl2br w:val="nil"/>
              <w:tr2bl w:val="nil"/>
            </w:tcBorders>
            <w:vAlign w:val="center"/>
          </w:tcPr>
          <w:p w14:paraId="6D6A1446">
            <w:pPr>
              <w:jc w:val="center"/>
              <w:rPr>
                <w:rFonts w:ascii="Times New Roman" w:hAnsi="Times New Roman" w:cs="Times New Roman"/>
                <w:color w:val="auto"/>
                <w:sz w:val="24"/>
                <w:szCs w:val="24"/>
                <w:lang w:eastAsia="zh-CN"/>
              </w:rPr>
            </w:pPr>
            <w:bookmarkStart w:id="17" w:name="_GoBack"/>
            <w:bookmarkEnd w:id="17"/>
            <w:r>
              <w:rPr>
                <w:rFonts w:hint="eastAsia" w:ascii="Times New Roman" w:hAnsi="Times New Roman" w:cs="Times New Roman"/>
                <w:color w:val="auto"/>
                <w:sz w:val="24"/>
                <w:szCs w:val="24"/>
                <w:lang w:val="en-US" w:eastAsia="zh-CN"/>
              </w:rPr>
              <w:t>/</w:t>
            </w:r>
          </w:p>
        </w:tc>
      </w:tr>
      <w:tr w14:paraId="34B53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1285E9FB">
            <w:pPr>
              <w:jc w:val="center"/>
              <w:rPr>
                <w:rFonts w:ascii="Times New Roman" w:hAnsi="Times New Roman" w:cs="Times New Roman"/>
                <w:color w:val="auto"/>
                <w:sz w:val="24"/>
                <w:szCs w:val="24"/>
              </w:rPr>
            </w:pPr>
            <w:r>
              <w:rPr>
                <w:rFonts w:ascii="Times New Roman" w:hAnsi="Times New Roman" w:cs="Times New Roman"/>
                <w:color w:val="auto"/>
                <w:sz w:val="24"/>
                <w:szCs w:val="24"/>
              </w:rPr>
              <w:t>建设地点</w:t>
            </w:r>
          </w:p>
        </w:tc>
        <w:tc>
          <w:tcPr>
            <w:tcW w:w="8699" w:type="dxa"/>
            <w:gridSpan w:val="3"/>
            <w:tcBorders>
              <w:tl2br w:val="nil"/>
              <w:tr2bl w:val="nil"/>
            </w:tcBorders>
            <w:vAlign w:val="center"/>
          </w:tcPr>
          <w:p w14:paraId="366DFDFA">
            <w:pPr>
              <w:jc w:val="center"/>
              <w:rPr>
                <w:rFonts w:ascii="Times New Roman" w:hAnsi="Times New Roman" w:cs="Times New Roman"/>
                <w:color w:val="auto"/>
                <w:sz w:val="24"/>
                <w:szCs w:val="24"/>
              </w:rPr>
            </w:pPr>
            <w:r>
              <w:rPr>
                <w:rFonts w:ascii="Times New Roman" w:hAnsi="Times New Roman" w:cs="Times New Roman"/>
                <w:color w:val="auto"/>
                <w:sz w:val="24"/>
                <w:szCs w:val="24"/>
              </w:rPr>
              <w:t>安徽濉溪经济开发区濉芜产业园区山茶路西侧安徽蓝达建材有限公司厂区内</w:t>
            </w:r>
          </w:p>
        </w:tc>
      </w:tr>
      <w:tr w14:paraId="0F4E3E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27271D6E">
            <w:pPr>
              <w:jc w:val="center"/>
              <w:rPr>
                <w:rFonts w:ascii="Times New Roman" w:hAnsi="Times New Roman" w:cs="Times New Roman"/>
                <w:color w:val="auto"/>
                <w:sz w:val="24"/>
                <w:szCs w:val="24"/>
              </w:rPr>
            </w:pPr>
            <w:r>
              <w:rPr>
                <w:rFonts w:ascii="Times New Roman" w:hAnsi="Times New Roman" w:cs="Times New Roman"/>
                <w:color w:val="auto"/>
                <w:sz w:val="24"/>
                <w:szCs w:val="24"/>
              </w:rPr>
              <w:t>地理坐标</w:t>
            </w:r>
          </w:p>
        </w:tc>
        <w:tc>
          <w:tcPr>
            <w:tcW w:w="8699" w:type="dxa"/>
            <w:gridSpan w:val="3"/>
            <w:tcBorders>
              <w:tl2br w:val="nil"/>
              <w:tr2bl w:val="nil"/>
            </w:tcBorders>
            <w:vAlign w:val="center"/>
          </w:tcPr>
          <w:p w14:paraId="22A0D669">
            <w:pPr>
              <w:jc w:val="center"/>
              <w:rPr>
                <w:rFonts w:ascii="Times New Roman" w:hAnsi="Times New Roman" w:cs="Times New Roman"/>
                <w:color w:val="auto"/>
                <w:sz w:val="24"/>
                <w:szCs w:val="24"/>
              </w:rPr>
            </w:pPr>
            <w:r>
              <w:rPr>
                <w:rFonts w:ascii="Times New Roman" w:hAnsi="Times New Roman" w:eastAsia="宋体" w:cs="Times New Roman"/>
                <w:sz w:val="24"/>
                <w:szCs w:val="24"/>
                <w:lang w:eastAsia="zh-CN"/>
              </w:rPr>
              <w:t>经度：</w:t>
            </w:r>
            <w:r>
              <w:rPr>
                <w:rFonts w:ascii="Times New Roman" w:hAnsi="Times New Roman" w:cs="Times New Roman"/>
                <w:color w:val="auto"/>
                <w:sz w:val="24"/>
                <w:szCs w:val="24"/>
              </w:rPr>
              <w:t>116度</w:t>
            </w:r>
            <w:r>
              <w:rPr>
                <w:rFonts w:ascii="Times New Roman" w:hAnsi="Times New Roman" w:cs="Times New Roman"/>
                <w:color w:val="auto"/>
                <w:sz w:val="24"/>
                <w:szCs w:val="24"/>
                <w:lang w:eastAsia="zh-CN"/>
              </w:rPr>
              <w:t>73</w:t>
            </w:r>
            <w:r>
              <w:rPr>
                <w:rFonts w:ascii="Times New Roman" w:hAnsi="Times New Roman" w:cs="Times New Roman"/>
                <w:color w:val="auto"/>
                <w:sz w:val="24"/>
                <w:szCs w:val="24"/>
              </w:rPr>
              <w:t>分</w:t>
            </w:r>
            <w:r>
              <w:rPr>
                <w:rFonts w:ascii="Times New Roman" w:hAnsi="Times New Roman" w:eastAsia="宋体" w:cs="Times New Roman"/>
                <w:color w:val="auto"/>
                <w:sz w:val="24"/>
                <w:szCs w:val="24"/>
                <w:lang w:eastAsia="zh-CN"/>
              </w:rPr>
              <w:t>88</w:t>
            </w:r>
            <w:r>
              <w:rPr>
                <w:rFonts w:ascii="Times New Roman" w:hAnsi="Times New Roman" w:cs="Times New Roman"/>
                <w:color w:val="auto"/>
                <w:sz w:val="24"/>
                <w:szCs w:val="24"/>
              </w:rPr>
              <w:t>.</w:t>
            </w:r>
            <w:r>
              <w:rPr>
                <w:rFonts w:ascii="Times New Roman" w:hAnsi="Times New Roman" w:eastAsia="宋体" w:cs="Times New Roman"/>
                <w:color w:val="auto"/>
                <w:sz w:val="24"/>
                <w:szCs w:val="24"/>
                <w:lang w:eastAsia="zh-CN"/>
              </w:rPr>
              <w:t>227</w:t>
            </w:r>
            <w:r>
              <w:rPr>
                <w:rFonts w:ascii="Times New Roman" w:hAnsi="Times New Roman" w:cs="Times New Roman"/>
                <w:color w:val="auto"/>
                <w:sz w:val="24"/>
                <w:szCs w:val="24"/>
              </w:rPr>
              <w:t>秒，</w:t>
            </w:r>
            <w:r>
              <w:rPr>
                <w:rFonts w:ascii="Times New Roman" w:hAnsi="Times New Roman" w:eastAsia="宋体" w:cs="Times New Roman"/>
                <w:sz w:val="24"/>
                <w:szCs w:val="24"/>
                <w:lang w:eastAsia="zh-CN"/>
              </w:rPr>
              <w:t>纬度：</w:t>
            </w:r>
            <w:r>
              <w:rPr>
                <w:rFonts w:ascii="Times New Roman" w:hAnsi="Times New Roman" w:cs="Times New Roman"/>
                <w:color w:val="auto"/>
                <w:sz w:val="24"/>
                <w:szCs w:val="24"/>
              </w:rPr>
              <w:t>3</w:t>
            </w:r>
            <w:r>
              <w:rPr>
                <w:rFonts w:ascii="Times New Roman" w:hAnsi="Times New Roman" w:eastAsia="宋体" w:cs="Times New Roman"/>
                <w:color w:val="auto"/>
                <w:sz w:val="24"/>
                <w:szCs w:val="24"/>
                <w:lang w:eastAsia="zh-CN"/>
              </w:rPr>
              <w:t>3</w:t>
            </w:r>
            <w:r>
              <w:rPr>
                <w:rFonts w:ascii="Times New Roman" w:hAnsi="Times New Roman" w:cs="Times New Roman"/>
                <w:color w:val="auto"/>
                <w:sz w:val="24"/>
                <w:szCs w:val="24"/>
              </w:rPr>
              <w:t>度</w:t>
            </w:r>
            <w:r>
              <w:rPr>
                <w:rFonts w:ascii="Times New Roman" w:hAnsi="Times New Roman" w:eastAsia="宋体" w:cs="Times New Roman"/>
                <w:color w:val="auto"/>
                <w:sz w:val="24"/>
                <w:szCs w:val="24"/>
                <w:lang w:eastAsia="zh-CN"/>
              </w:rPr>
              <w:t>87</w:t>
            </w:r>
            <w:r>
              <w:rPr>
                <w:rFonts w:ascii="Times New Roman" w:hAnsi="Times New Roman" w:cs="Times New Roman"/>
                <w:color w:val="auto"/>
                <w:sz w:val="24"/>
                <w:szCs w:val="24"/>
              </w:rPr>
              <w:t>分</w:t>
            </w:r>
            <w:r>
              <w:rPr>
                <w:rFonts w:ascii="Times New Roman" w:hAnsi="Times New Roman" w:eastAsia="宋体" w:cs="Times New Roman"/>
                <w:color w:val="auto"/>
                <w:sz w:val="24"/>
                <w:szCs w:val="24"/>
                <w:lang w:eastAsia="zh-CN"/>
              </w:rPr>
              <w:t>04.232</w:t>
            </w:r>
            <w:r>
              <w:rPr>
                <w:rFonts w:ascii="Times New Roman" w:hAnsi="Times New Roman" w:cs="Times New Roman"/>
                <w:color w:val="auto"/>
                <w:sz w:val="24"/>
                <w:szCs w:val="24"/>
              </w:rPr>
              <w:t>秒</w:t>
            </w:r>
          </w:p>
        </w:tc>
      </w:tr>
      <w:tr w14:paraId="1420A2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1349" w:type="dxa"/>
            <w:tcBorders>
              <w:tl2br w:val="nil"/>
              <w:tr2bl w:val="nil"/>
            </w:tcBorders>
            <w:tcMar>
              <w:top w:w="16" w:type="dxa"/>
              <w:left w:w="16" w:type="dxa"/>
              <w:right w:w="16" w:type="dxa"/>
            </w:tcMar>
            <w:vAlign w:val="center"/>
          </w:tcPr>
          <w:p w14:paraId="47C58114">
            <w:pPr>
              <w:jc w:val="center"/>
              <w:rPr>
                <w:rFonts w:ascii="Times New Roman" w:hAnsi="Times New Roman" w:cs="Times New Roman"/>
                <w:color w:val="auto"/>
                <w:sz w:val="24"/>
                <w:szCs w:val="24"/>
              </w:rPr>
            </w:pPr>
            <w:r>
              <w:rPr>
                <w:rFonts w:ascii="Times New Roman" w:hAnsi="Times New Roman" w:cs="Times New Roman"/>
                <w:color w:val="auto"/>
                <w:sz w:val="24"/>
                <w:szCs w:val="24"/>
              </w:rPr>
              <w:t>国民经济</w:t>
            </w:r>
          </w:p>
          <w:p w14:paraId="7EF5A6E4">
            <w:pPr>
              <w:jc w:val="center"/>
              <w:rPr>
                <w:rFonts w:ascii="Times New Roman" w:hAnsi="Times New Roman" w:cs="Times New Roman"/>
                <w:color w:val="auto"/>
                <w:sz w:val="24"/>
                <w:szCs w:val="24"/>
              </w:rPr>
            </w:pPr>
            <w:r>
              <w:rPr>
                <w:rFonts w:ascii="Times New Roman" w:hAnsi="Times New Roman" w:cs="Times New Roman"/>
                <w:color w:val="auto"/>
                <w:sz w:val="24"/>
                <w:szCs w:val="24"/>
              </w:rPr>
              <w:t>行业类别</w:t>
            </w:r>
          </w:p>
        </w:tc>
        <w:tc>
          <w:tcPr>
            <w:tcW w:w="2668" w:type="dxa"/>
            <w:tcBorders>
              <w:tl2br w:val="nil"/>
              <w:tr2bl w:val="nil"/>
            </w:tcBorders>
            <w:vAlign w:val="center"/>
          </w:tcPr>
          <w:p w14:paraId="311075BC">
            <w:pPr>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3311</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金属结构制造；</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3312</w:t>
            </w:r>
            <w:r>
              <w:rPr>
                <w:rFonts w:ascii="Times New Roman" w:hAnsi="Times New Roman" w:eastAsia="宋体" w:cs="Times New Roman"/>
                <w:color w:val="auto"/>
                <w:sz w:val="24"/>
                <w:szCs w:val="24"/>
                <w:lang w:eastAsia="zh-CN"/>
              </w:rPr>
              <w:t>】金属门窗制造</w:t>
            </w:r>
          </w:p>
        </w:tc>
        <w:tc>
          <w:tcPr>
            <w:tcW w:w="2223" w:type="dxa"/>
            <w:tcBorders>
              <w:tl2br w:val="nil"/>
              <w:tr2bl w:val="nil"/>
            </w:tcBorders>
            <w:vAlign w:val="center"/>
          </w:tcPr>
          <w:p w14:paraId="5F817F57">
            <w:pPr>
              <w:jc w:val="center"/>
              <w:rPr>
                <w:rFonts w:ascii="Times New Roman" w:hAnsi="Times New Roman" w:eastAsia="宋体" w:cs="Times New Roman"/>
                <w:color w:val="auto"/>
                <w:sz w:val="24"/>
                <w:szCs w:val="24"/>
              </w:rPr>
            </w:pPr>
            <w:bookmarkStart w:id="1" w:name="_Hlk49843745"/>
            <w:r>
              <w:rPr>
                <w:rFonts w:ascii="Times New Roman" w:hAnsi="Times New Roman" w:eastAsia="宋体" w:cs="Times New Roman"/>
                <w:color w:val="auto"/>
                <w:sz w:val="24"/>
                <w:szCs w:val="24"/>
              </w:rPr>
              <w:t>建设项目</w:t>
            </w:r>
          </w:p>
          <w:p w14:paraId="05FF28D7">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行业类别</w:t>
            </w:r>
            <w:bookmarkEnd w:id="1"/>
          </w:p>
        </w:tc>
        <w:tc>
          <w:tcPr>
            <w:tcW w:w="3808" w:type="dxa"/>
            <w:tcBorders>
              <w:tl2br w:val="nil"/>
              <w:tr2bl w:val="nil"/>
            </w:tcBorders>
            <w:vAlign w:val="center"/>
          </w:tcPr>
          <w:p w14:paraId="28CE79BA">
            <w:pPr>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eastAsia="zh-CN"/>
              </w:rPr>
              <w:t>三十、金属制品业33-66.结构性金属制品制造331</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其他</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（仅分割、焊接、组装的除外；年用非溶剂型低VOCs含量涂料10吨以下的除外）</w:t>
            </w:r>
          </w:p>
        </w:tc>
      </w:tr>
      <w:tr w14:paraId="2BD930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11" w:hRule="atLeast"/>
          <w:jc w:val="center"/>
        </w:trPr>
        <w:tc>
          <w:tcPr>
            <w:tcW w:w="1349" w:type="dxa"/>
            <w:tcBorders>
              <w:tl2br w:val="nil"/>
              <w:tr2bl w:val="nil"/>
            </w:tcBorders>
            <w:tcMar>
              <w:top w:w="16" w:type="dxa"/>
              <w:left w:w="16" w:type="dxa"/>
              <w:right w:w="16" w:type="dxa"/>
            </w:tcMar>
            <w:vAlign w:val="center"/>
          </w:tcPr>
          <w:p w14:paraId="42FB38E6">
            <w:pPr>
              <w:jc w:val="center"/>
              <w:rPr>
                <w:rFonts w:ascii="Times New Roman" w:hAnsi="Times New Roman" w:cs="Times New Roman"/>
                <w:color w:val="auto"/>
                <w:sz w:val="24"/>
                <w:szCs w:val="24"/>
              </w:rPr>
            </w:pPr>
            <w:r>
              <w:rPr>
                <w:rFonts w:ascii="Times New Roman" w:hAnsi="Times New Roman" w:cs="Times New Roman"/>
                <w:color w:val="auto"/>
                <w:sz w:val="24"/>
                <w:szCs w:val="24"/>
              </w:rPr>
              <w:t>建设性质</w:t>
            </w:r>
          </w:p>
        </w:tc>
        <w:tc>
          <w:tcPr>
            <w:tcW w:w="2668" w:type="dxa"/>
            <w:tcBorders>
              <w:tl2br w:val="nil"/>
              <w:tr2bl w:val="nil"/>
            </w:tcBorders>
            <w:vAlign w:val="center"/>
          </w:tcPr>
          <w:p w14:paraId="3AC29623">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ascii="Times New Roman" w:hAnsi="Times New Roman" w:cs="Times New Roman"/>
                <w:color w:val="auto"/>
                <w:sz w:val="24"/>
                <w:szCs w:val="24"/>
                <w:lang w:eastAsia="zh-CN"/>
              </w:rPr>
              <w:t>☑</w:t>
            </w:r>
            <w:r>
              <w:rPr>
                <w:rFonts w:ascii="Times New Roman" w:hAnsi="Times New Roman" w:cs="Times New Roman"/>
                <w:color w:val="auto"/>
                <w:sz w:val="24"/>
                <w:szCs w:val="24"/>
              </w:rPr>
              <w:t>新建（迁建）</w:t>
            </w:r>
          </w:p>
          <w:p w14:paraId="56069A99">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改建</w:t>
            </w:r>
          </w:p>
          <w:p w14:paraId="5665D046">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扩建</w:t>
            </w:r>
          </w:p>
          <w:p w14:paraId="1AF3EE77">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技术改造</w:t>
            </w:r>
          </w:p>
        </w:tc>
        <w:tc>
          <w:tcPr>
            <w:tcW w:w="2223" w:type="dxa"/>
            <w:tcBorders>
              <w:tl2br w:val="nil"/>
              <w:tr2bl w:val="nil"/>
            </w:tcBorders>
            <w:vAlign w:val="center"/>
          </w:tcPr>
          <w:p w14:paraId="1B100753">
            <w:pPr>
              <w:jc w:val="center"/>
              <w:rPr>
                <w:rFonts w:ascii="Times New Roman" w:hAnsi="Times New Roman" w:cs="Times New Roman"/>
                <w:color w:val="auto"/>
                <w:sz w:val="24"/>
                <w:szCs w:val="24"/>
              </w:rPr>
            </w:pPr>
            <w:r>
              <w:rPr>
                <w:rFonts w:ascii="Times New Roman" w:hAnsi="Times New Roman" w:cs="Times New Roman"/>
                <w:color w:val="auto"/>
                <w:sz w:val="24"/>
                <w:szCs w:val="24"/>
              </w:rPr>
              <w:t>建设项目</w:t>
            </w:r>
          </w:p>
          <w:p w14:paraId="50F5C88D">
            <w:pPr>
              <w:jc w:val="center"/>
              <w:rPr>
                <w:rFonts w:ascii="Times New Roman" w:hAnsi="Times New Roman" w:cs="Times New Roman"/>
                <w:color w:val="auto"/>
                <w:sz w:val="24"/>
                <w:szCs w:val="24"/>
              </w:rPr>
            </w:pPr>
            <w:r>
              <w:rPr>
                <w:rFonts w:ascii="Times New Roman" w:hAnsi="Times New Roman" w:cs="Times New Roman"/>
                <w:color w:val="auto"/>
                <w:sz w:val="24"/>
                <w:szCs w:val="24"/>
              </w:rPr>
              <w:t>申报情形</w:t>
            </w:r>
          </w:p>
        </w:tc>
        <w:tc>
          <w:tcPr>
            <w:tcW w:w="3808" w:type="dxa"/>
            <w:tcBorders>
              <w:tl2br w:val="nil"/>
              <w:tr2bl w:val="nil"/>
            </w:tcBorders>
            <w:vAlign w:val="center"/>
          </w:tcPr>
          <w:p w14:paraId="001BBB6B">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52"/>
            </w:r>
            <w:r>
              <w:rPr>
                <w:rFonts w:ascii="Times New Roman" w:hAnsi="Times New Roman" w:cs="Times New Roman"/>
                <w:color w:val="auto"/>
                <w:sz w:val="24"/>
                <w:szCs w:val="24"/>
              </w:rPr>
              <w:t xml:space="preserve">首次申报项目             </w:t>
            </w:r>
          </w:p>
          <w:p w14:paraId="42F1A474">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不予批准后再次申报项目</w:t>
            </w:r>
          </w:p>
          <w:p w14:paraId="4B3ED2E7">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sym w:font="Wingdings 2" w:char="00A3"/>
            </w:r>
            <w:r>
              <w:rPr>
                <w:rFonts w:ascii="Times New Roman" w:hAnsi="Times New Roman" w:cs="Times New Roman"/>
                <w:color w:val="auto"/>
                <w:sz w:val="24"/>
                <w:szCs w:val="24"/>
              </w:rPr>
              <w:t xml:space="preserve">超五年重新审核项目     </w:t>
            </w:r>
          </w:p>
          <w:p w14:paraId="442DCB33">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rPr>
              <w:t>重大变动重新报批项目</w:t>
            </w:r>
          </w:p>
        </w:tc>
      </w:tr>
      <w:tr w14:paraId="75330C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12" w:hRule="atLeast"/>
          <w:jc w:val="center"/>
        </w:trPr>
        <w:tc>
          <w:tcPr>
            <w:tcW w:w="1349" w:type="dxa"/>
            <w:tcBorders>
              <w:tl2br w:val="nil"/>
              <w:tr2bl w:val="nil"/>
            </w:tcBorders>
            <w:tcMar>
              <w:top w:w="16" w:type="dxa"/>
              <w:left w:w="16" w:type="dxa"/>
              <w:right w:w="16" w:type="dxa"/>
            </w:tcMar>
            <w:vAlign w:val="center"/>
          </w:tcPr>
          <w:p w14:paraId="4634066B">
            <w:pPr>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项目审批（核准/备案）部门（选填）</w:t>
            </w:r>
          </w:p>
        </w:tc>
        <w:tc>
          <w:tcPr>
            <w:tcW w:w="2668" w:type="dxa"/>
            <w:tcBorders>
              <w:tl2br w:val="nil"/>
              <w:tr2bl w:val="nil"/>
            </w:tcBorders>
            <w:vAlign w:val="center"/>
          </w:tcPr>
          <w:p w14:paraId="54E70DF0">
            <w:pPr>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濉溪县发展改革委</w:t>
            </w:r>
          </w:p>
        </w:tc>
        <w:tc>
          <w:tcPr>
            <w:tcW w:w="2223" w:type="dxa"/>
            <w:tcBorders>
              <w:tl2br w:val="nil"/>
              <w:tr2bl w:val="nil"/>
            </w:tcBorders>
            <w:vAlign w:val="center"/>
          </w:tcPr>
          <w:p w14:paraId="3F0E8C93">
            <w:pPr>
              <w:jc w:val="center"/>
              <w:rPr>
                <w:rFonts w:ascii="Times New Roman" w:hAnsi="Times New Roman" w:cs="Times New Roman"/>
                <w:color w:val="auto"/>
                <w:sz w:val="24"/>
                <w:szCs w:val="24"/>
              </w:rPr>
            </w:pPr>
            <w:r>
              <w:rPr>
                <w:rFonts w:ascii="Times New Roman" w:hAnsi="Times New Roman" w:cs="Times New Roman"/>
                <w:color w:val="auto"/>
                <w:sz w:val="24"/>
                <w:szCs w:val="24"/>
              </w:rPr>
              <w:t>项目审批（核准/</w:t>
            </w:r>
          </w:p>
          <w:p w14:paraId="2C33BBD2">
            <w:pPr>
              <w:jc w:val="center"/>
              <w:rPr>
                <w:rFonts w:ascii="Times New Roman" w:hAnsi="Times New Roman" w:cs="Times New Roman"/>
                <w:color w:val="auto"/>
                <w:sz w:val="24"/>
                <w:szCs w:val="24"/>
              </w:rPr>
            </w:pPr>
            <w:r>
              <w:rPr>
                <w:rFonts w:ascii="Times New Roman" w:hAnsi="Times New Roman" w:cs="Times New Roman"/>
                <w:color w:val="auto"/>
                <w:sz w:val="24"/>
                <w:szCs w:val="24"/>
              </w:rPr>
              <w:t>备案）文号（选填）</w:t>
            </w:r>
          </w:p>
        </w:tc>
        <w:tc>
          <w:tcPr>
            <w:tcW w:w="3808" w:type="dxa"/>
            <w:tcBorders>
              <w:tl2br w:val="nil"/>
              <w:tr2bl w:val="nil"/>
            </w:tcBorders>
            <w:vAlign w:val="center"/>
          </w:tcPr>
          <w:p w14:paraId="57B927A7">
            <w:pPr>
              <w:jc w:val="center"/>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w:t>
            </w:r>
          </w:p>
        </w:tc>
      </w:tr>
      <w:tr w14:paraId="6FB750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427869F5">
            <w:pPr>
              <w:jc w:val="center"/>
              <w:rPr>
                <w:rFonts w:ascii="Times New Roman" w:hAnsi="Times New Roman" w:cs="Times New Roman"/>
                <w:color w:val="auto"/>
                <w:sz w:val="24"/>
                <w:szCs w:val="24"/>
              </w:rPr>
            </w:pPr>
            <w:r>
              <w:rPr>
                <w:rFonts w:ascii="Times New Roman" w:hAnsi="Times New Roman" w:cs="Times New Roman"/>
                <w:color w:val="auto"/>
                <w:sz w:val="24"/>
                <w:szCs w:val="24"/>
              </w:rPr>
              <w:t>总投资（万元）</w:t>
            </w:r>
          </w:p>
        </w:tc>
        <w:tc>
          <w:tcPr>
            <w:tcW w:w="2668" w:type="dxa"/>
            <w:tcBorders>
              <w:tl2br w:val="nil"/>
              <w:tr2bl w:val="nil"/>
            </w:tcBorders>
            <w:vAlign w:val="center"/>
          </w:tcPr>
          <w:p w14:paraId="2085C462">
            <w:pPr>
              <w:jc w:val="center"/>
              <w:rPr>
                <w:rFonts w:ascii="Times New Roman" w:hAnsi="Times New Roman" w:cs="Times New Roman"/>
                <w:color w:val="auto"/>
                <w:sz w:val="24"/>
                <w:szCs w:val="24"/>
              </w:rPr>
            </w:pPr>
            <w:r>
              <w:rPr>
                <w:rFonts w:ascii="Times New Roman" w:hAnsi="Times New Roman" w:cs="Times New Roman"/>
                <w:color w:val="auto"/>
                <w:sz w:val="24"/>
                <w:szCs w:val="24"/>
                <w:lang w:eastAsia="zh-CN"/>
              </w:rPr>
              <w:t>600</w:t>
            </w:r>
          </w:p>
        </w:tc>
        <w:tc>
          <w:tcPr>
            <w:tcW w:w="2223" w:type="dxa"/>
            <w:tcBorders>
              <w:tl2br w:val="nil"/>
              <w:tr2bl w:val="nil"/>
            </w:tcBorders>
            <w:tcMar>
              <w:top w:w="16" w:type="dxa"/>
              <w:left w:w="16" w:type="dxa"/>
              <w:right w:w="16" w:type="dxa"/>
            </w:tcMar>
            <w:vAlign w:val="center"/>
          </w:tcPr>
          <w:p w14:paraId="46CB980D">
            <w:pPr>
              <w:jc w:val="center"/>
              <w:rPr>
                <w:rFonts w:ascii="Times New Roman" w:hAnsi="Times New Roman" w:cs="Times New Roman"/>
                <w:color w:val="auto"/>
                <w:sz w:val="24"/>
                <w:szCs w:val="24"/>
              </w:rPr>
            </w:pPr>
            <w:r>
              <w:rPr>
                <w:rFonts w:ascii="Times New Roman" w:hAnsi="Times New Roman" w:cs="Times New Roman"/>
                <w:color w:val="auto"/>
                <w:sz w:val="24"/>
                <w:szCs w:val="24"/>
              </w:rPr>
              <w:t>环保投资（万元）</w:t>
            </w:r>
          </w:p>
        </w:tc>
        <w:tc>
          <w:tcPr>
            <w:tcW w:w="3808" w:type="dxa"/>
            <w:tcBorders>
              <w:tl2br w:val="nil"/>
              <w:tr2bl w:val="nil"/>
            </w:tcBorders>
            <w:vAlign w:val="center"/>
          </w:tcPr>
          <w:p w14:paraId="0B950A42">
            <w:pPr>
              <w:jc w:val="center"/>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100</w:t>
            </w:r>
          </w:p>
        </w:tc>
      </w:tr>
      <w:tr w14:paraId="0D5AD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668AE1A0">
            <w:pPr>
              <w:jc w:val="center"/>
              <w:rPr>
                <w:rFonts w:ascii="Times New Roman" w:hAnsi="Times New Roman" w:cs="Times New Roman"/>
                <w:color w:val="auto"/>
                <w:sz w:val="24"/>
                <w:szCs w:val="24"/>
              </w:rPr>
            </w:pPr>
            <w:r>
              <w:rPr>
                <w:rFonts w:ascii="Times New Roman" w:hAnsi="Times New Roman" w:cs="Times New Roman"/>
                <w:color w:val="auto"/>
                <w:sz w:val="24"/>
                <w:szCs w:val="24"/>
              </w:rPr>
              <w:t>环保投资占比（%）</w:t>
            </w:r>
          </w:p>
        </w:tc>
        <w:tc>
          <w:tcPr>
            <w:tcW w:w="2668" w:type="dxa"/>
            <w:tcBorders>
              <w:tl2br w:val="nil"/>
              <w:tr2bl w:val="nil"/>
            </w:tcBorders>
            <w:vAlign w:val="center"/>
          </w:tcPr>
          <w:p w14:paraId="78FEA1E5">
            <w:pPr>
              <w:jc w:val="center"/>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16.7</w:t>
            </w:r>
          </w:p>
        </w:tc>
        <w:tc>
          <w:tcPr>
            <w:tcW w:w="2223" w:type="dxa"/>
            <w:tcBorders>
              <w:tl2br w:val="nil"/>
              <w:tr2bl w:val="nil"/>
            </w:tcBorders>
            <w:tcMar>
              <w:top w:w="16" w:type="dxa"/>
              <w:left w:w="16" w:type="dxa"/>
              <w:right w:w="16" w:type="dxa"/>
            </w:tcMar>
            <w:vAlign w:val="center"/>
          </w:tcPr>
          <w:p w14:paraId="5B95C82C">
            <w:pPr>
              <w:jc w:val="center"/>
              <w:rPr>
                <w:rFonts w:ascii="Times New Roman" w:hAnsi="Times New Roman" w:cs="Times New Roman"/>
                <w:color w:val="auto"/>
                <w:sz w:val="24"/>
                <w:szCs w:val="24"/>
              </w:rPr>
            </w:pPr>
            <w:r>
              <w:rPr>
                <w:rFonts w:ascii="Times New Roman" w:hAnsi="Times New Roman" w:cs="Times New Roman"/>
                <w:color w:val="auto"/>
                <w:sz w:val="24"/>
                <w:szCs w:val="24"/>
              </w:rPr>
              <w:t>施工工期</w:t>
            </w:r>
          </w:p>
        </w:tc>
        <w:tc>
          <w:tcPr>
            <w:tcW w:w="3808" w:type="dxa"/>
            <w:tcBorders>
              <w:tl2br w:val="nil"/>
              <w:tr2bl w:val="nil"/>
            </w:tcBorders>
            <w:vAlign w:val="center"/>
          </w:tcPr>
          <w:p w14:paraId="1C2D351A">
            <w:pPr>
              <w:jc w:val="center"/>
              <w:rPr>
                <w:rFonts w:ascii="Times New Roman" w:hAnsi="Times New Roman" w:cs="Times New Roman"/>
                <w:color w:val="auto"/>
                <w:sz w:val="24"/>
                <w:szCs w:val="24"/>
              </w:rPr>
            </w:pPr>
            <w:r>
              <w:rPr>
                <w:rFonts w:ascii="Times New Roman" w:hAnsi="Times New Roman" w:cs="Times New Roman"/>
                <w:color w:val="auto"/>
                <w:sz w:val="24"/>
                <w:szCs w:val="24"/>
              </w:rPr>
              <w:t>3个月</w:t>
            </w:r>
          </w:p>
        </w:tc>
      </w:tr>
      <w:tr w14:paraId="62F018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7" w:hRule="atLeast"/>
          <w:jc w:val="center"/>
        </w:trPr>
        <w:tc>
          <w:tcPr>
            <w:tcW w:w="1349" w:type="dxa"/>
            <w:tcBorders>
              <w:tl2br w:val="nil"/>
              <w:tr2bl w:val="nil"/>
            </w:tcBorders>
            <w:tcMar>
              <w:top w:w="16" w:type="dxa"/>
              <w:left w:w="16" w:type="dxa"/>
              <w:right w:w="16" w:type="dxa"/>
            </w:tcMar>
            <w:vAlign w:val="center"/>
          </w:tcPr>
          <w:p w14:paraId="70DA2ABE">
            <w:pPr>
              <w:jc w:val="center"/>
              <w:rPr>
                <w:rFonts w:ascii="Times New Roman" w:hAnsi="Times New Roman" w:cs="Times New Roman"/>
                <w:color w:val="auto"/>
                <w:sz w:val="24"/>
                <w:szCs w:val="24"/>
              </w:rPr>
            </w:pPr>
            <w:r>
              <w:rPr>
                <w:rFonts w:ascii="Times New Roman" w:hAnsi="Times New Roman" w:cs="Times New Roman"/>
                <w:color w:val="auto"/>
                <w:sz w:val="24"/>
                <w:szCs w:val="24"/>
              </w:rPr>
              <w:t>是否开工建设</w:t>
            </w:r>
          </w:p>
        </w:tc>
        <w:tc>
          <w:tcPr>
            <w:tcW w:w="2668" w:type="dxa"/>
            <w:tcBorders>
              <w:tl2br w:val="nil"/>
              <w:tr2bl w:val="nil"/>
            </w:tcBorders>
            <w:vAlign w:val="center"/>
          </w:tcPr>
          <w:p w14:paraId="7CA69E86">
            <w:pPr>
              <w:rPr>
                <w:rFonts w:ascii="Times New Roman" w:hAnsi="Times New Roman" w:cs="Times New Roman"/>
                <w:color w:val="auto"/>
                <w:sz w:val="24"/>
                <w:szCs w:val="24"/>
              </w:rPr>
            </w:pPr>
            <w:r>
              <w:rPr>
                <w:rFonts w:ascii="Times New Roman" w:hAnsi="Times New Roman" w:cs="Times New Roman"/>
                <w:color w:val="auto"/>
                <w:sz w:val="24"/>
                <w:szCs w:val="24"/>
              </w:rPr>
              <w:t>☑否</w:t>
            </w:r>
          </w:p>
          <w:p w14:paraId="1F1C8347">
            <w:pPr>
              <w:rPr>
                <w:rFonts w:ascii="Times New Roman" w:hAnsi="Times New Roman" w:cs="Times New Roman"/>
                <w:color w:val="auto"/>
                <w:sz w:val="24"/>
                <w:szCs w:val="24"/>
              </w:rPr>
            </w:pPr>
            <w:r>
              <w:rPr>
                <w:color w:val="auto"/>
                <w:sz w:val="24"/>
              </w:rPr>
              <w:sym w:font="Wingdings 2" w:char="00A3"/>
            </w:r>
            <w:r>
              <w:rPr>
                <w:rFonts w:ascii="Times New Roman" w:hAnsi="Times New Roman" w:cs="Times New Roman"/>
                <w:color w:val="auto"/>
                <w:sz w:val="24"/>
                <w:szCs w:val="24"/>
              </w:rPr>
              <w:t>是</w:t>
            </w:r>
          </w:p>
        </w:tc>
        <w:tc>
          <w:tcPr>
            <w:tcW w:w="2223" w:type="dxa"/>
            <w:tcBorders>
              <w:tl2br w:val="nil"/>
              <w:tr2bl w:val="nil"/>
            </w:tcBorders>
            <w:tcMar>
              <w:top w:w="16" w:type="dxa"/>
              <w:left w:w="16" w:type="dxa"/>
              <w:right w:w="16" w:type="dxa"/>
            </w:tcMar>
            <w:vAlign w:val="center"/>
          </w:tcPr>
          <w:p w14:paraId="23E4F35E">
            <w:pPr>
              <w:jc w:val="center"/>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用地（用海）</w:t>
            </w:r>
          </w:p>
          <w:p w14:paraId="215915F2">
            <w:pPr>
              <w:jc w:val="center"/>
              <w:rPr>
                <w:rFonts w:ascii="Times New Roman" w:hAnsi="Times New Roman" w:cs="Times New Roman"/>
                <w:color w:val="auto"/>
                <w:sz w:val="24"/>
                <w:szCs w:val="24"/>
              </w:rPr>
            </w:pPr>
            <w:r>
              <w:rPr>
                <w:rFonts w:ascii="Times New Roman" w:hAnsi="Times New Roman" w:cs="Times New Roman"/>
                <w:color w:val="auto"/>
                <w:spacing w:val="-6"/>
                <w:sz w:val="24"/>
                <w:szCs w:val="24"/>
              </w:rPr>
              <w:t>面积（m</w:t>
            </w:r>
            <w:r>
              <w:rPr>
                <w:rFonts w:ascii="Times New Roman" w:hAnsi="Times New Roman" w:cs="Times New Roman"/>
                <w:color w:val="auto"/>
                <w:spacing w:val="-6"/>
                <w:sz w:val="24"/>
                <w:szCs w:val="24"/>
                <w:vertAlign w:val="superscript"/>
              </w:rPr>
              <w:t>2</w:t>
            </w:r>
            <w:r>
              <w:rPr>
                <w:rFonts w:ascii="Times New Roman" w:hAnsi="Times New Roman" w:cs="Times New Roman"/>
                <w:color w:val="auto"/>
                <w:spacing w:val="-6"/>
                <w:sz w:val="24"/>
                <w:szCs w:val="24"/>
              </w:rPr>
              <w:t>）</w:t>
            </w:r>
          </w:p>
        </w:tc>
        <w:tc>
          <w:tcPr>
            <w:tcW w:w="3808" w:type="dxa"/>
            <w:tcBorders>
              <w:tl2br w:val="nil"/>
              <w:tr2bl w:val="nil"/>
            </w:tcBorders>
            <w:vAlign w:val="center"/>
          </w:tcPr>
          <w:p w14:paraId="71ABB29D">
            <w:pPr>
              <w:jc w:val="center"/>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1800</w:t>
            </w:r>
          </w:p>
        </w:tc>
      </w:tr>
      <w:tr w14:paraId="262267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1349" w:type="dxa"/>
            <w:tcBorders>
              <w:tl2br w:val="nil"/>
              <w:tr2bl w:val="nil"/>
            </w:tcBorders>
            <w:vAlign w:val="center"/>
          </w:tcPr>
          <w:p w14:paraId="2FF1CD1F">
            <w:pPr>
              <w:jc w:val="center"/>
              <w:rPr>
                <w:rFonts w:ascii="Times New Roman" w:hAnsi="Times New Roman" w:cs="Times New Roman"/>
                <w:color w:val="auto"/>
                <w:sz w:val="24"/>
                <w:szCs w:val="24"/>
              </w:rPr>
            </w:pPr>
            <w:r>
              <w:rPr>
                <w:rFonts w:ascii="Times New Roman" w:hAnsi="Times New Roman" w:cs="Times New Roman"/>
                <w:color w:val="auto"/>
                <w:sz w:val="24"/>
                <w:szCs w:val="24"/>
              </w:rPr>
              <w:t>专项评价设置情况</w:t>
            </w:r>
          </w:p>
        </w:tc>
        <w:tc>
          <w:tcPr>
            <w:tcW w:w="8699" w:type="dxa"/>
            <w:gridSpan w:val="3"/>
            <w:tcBorders>
              <w:tl2br w:val="nil"/>
              <w:tr2bl w:val="nil"/>
            </w:tcBorders>
            <w:vAlign w:val="center"/>
          </w:tcPr>
          <w:p w14:paraId="6A56FC85">
            <w:pPr>
              <w:widowControl w:val="0"/>
              <w:kinsoku/>
              <w:adjustRightInd/>
              <w:snapToGrid/>
              <w:spacing w:line="360" w:lineRule="auto"/>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无</w:t>
            </w:r>
          </w:p>
        </w:tc>
      </w:tr>
      <w:tr w14:paraId="195028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1349" w:type="dxa"/>
            <w:tcBorders>
              <w:tl2br w:val="nil"/>
              <w:tr2bl w:val="nil"/>
            </w:tcBorders>
            <w:vAlign w:val="center"/>
          </w:tcPr>
          <w:p w14:paraId="10E8F2D7">
            <w:pPr>
              <w:jc w:val="center"/>
              <w:rPr>
                <w:rFonts w:ascii="Times New Roman" w:hAnsi="Times New Roman" w:cs="Times New Roman"/>
                <w:color w:val="auto"/>
                <w:sz w:val="24"/>
                <w:szCs w:val="24"/>
              </w:rPr>
            </w:pPr>
            <w:r>
              <w:rPr>
                <w:rFonts w:ascii="Times New Roman" w:hAnsi="Times New Roman" w:cs="Times New Roman"/>
                <w:color w:val="auto"/>
                <w:sz w:val="24"/>
                <w:szCs w:val="24"/>
              </w:rPr>
              <w:t>规划情况</w:t>
            </w:r>
          </w:p>
        </w:tc>
        <w:tc>
          <w:tcPr>
            <w:tcW w:w="8699" w:type="dxa"/>
            <w:gridSpan w:val="3"/>
            <w:tcBorders>
              <w:tl2br w:val="nil"/>
              <w:tr2bl w:val="nil"/>
            </w:tcBorders>
            <w:vAlign w:val="center"/>
          </w:tcPr>
          <w:p w14:paraId="672A0E00">
            <w:pPr>
              <w:widowControl w:val="0"/>
              <w:kinsoku/>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b w:val="0"/>
                <w:bCs w:val="0"/>
                <w:color w:val="auto"/>
                <w:sz w:val="24"/>
                <w:szCs w:val="24"/>
              </w:rPr>
              <w:t>规划名称：</w:t>
            </w:r>
            <w:r>
              <w:rPr>
                <w:rFonts w:ascii="Times New Roman" w:hAnsi="Times New Roman" w:eastAsia="宋体" w:cs="Times New Roman"/>
                <w:color w:val="auto"/>
                <w:sz w:val="24"/>
                <w:szCs w:val="24"/>
                <w:lang w:eastAsia="zh-CN"/>
              </w:rPr>
              <w:t>《安徽濉溪经济开发区总体发展规划（</w:t>
            </w:r>
            <w:r>
              <w:rPr>
                <w:rFonts w:hint="eastAsia" w:ascii="Times New Roman" w:hAnsi="Times New Roman" w:eastAsia="宋体" w:cs="Times New Roman"/>
                <w:color w:val="auto"/>
                <w:sz w:val="24"/>
                <w:szCs w:val="24"/>
                <w:lang w:val="en-US" w:eastAsia="zh-CN"/>
              </w:rPr>
              <w:t>2023</w:t>
            </w:r>
            <w:r>
              <w:rPr>
                <w:rFonts w:ascii="Times New Roman" w:hAnsi="Times New Roman" w:eastAsia="宋体" w:cs="Times New Roman"/>
                <w:color w:val="auto"/>
                <w:sz w:val="24"/>
                <w:szCs w:val="24"/>
                <w:lang w:eastAsia="zh-CN"/>
              </w:rPr>
              <w:t>-20</w:t>
            </w:r>
            <w:r>
              <w:rPr>
                <w:rFonts w:hint="eastAsia" w:ascii="Times New Roman" w:hAnsi="Times New Roman" w:eastAsia="宋体" w:cs="Times New Roman"/>
                <w:color w:val="auto"/>
                <w:sz w:val="24"/>
                <w:szCs w:val="24"/>
                <w:lang w:val="en-US" w:eastAsia="zh-CN"/>
              </w:rPr>
              <w:t>35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w:t>
            </w:r>
          </w:p>
          <w:p w14:paraId="556361D7">
            <w:pPr>
              <w:widowControl w:val="0"/>
              <w:kinsoku/>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审批机关：淮北市人民政府；</w:t>
            </w:r>
          </w:p>
          <w:p w14:paraId="7678F4B1">
            <w:pPr>
              <w:widowControl w:val="0"/>
              <w:kinsoku/>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审批文件名称：《淮北市人民政府关于同意安徽濉溪经济开发区变更主导产业的批复》审批文号：淮政秘[2024]18号。</w:t>
            </w:r>
          </w:p>
        </w:tc>
      </w:tr>
      <w:tr w14:paraId="7CB8F6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49" w:type="dxa"/>
            <w:tcBorders>
              <w:tl2br w:val="nil"/>
              <w:tr2bl w:val="nil"/>
            </w:tcBorders>
            <w:vAlign w:val="center"/>
          </w:tcPr>
          <w:p w14:paraId="3330ABF9">
            <w:pPr>
              <w:jc w:val="center"/>
              <w:rPr>
                <w:rFonts w:ascii="Times New Roman" w:hAnsi="Times New Roman" w:cs="Times New Roman"/>
                <w:color w:val="auto"/>
                <w:sz w:val="24"/>
                <w:szCs w:val="24"/>
              </w:rPr>
            </w:pPr>
            <w:r>
              <w:rPr>
                <w:rFonts w:ascii="Times New Roman" w:hAnsi="Times New Roman" w:cs="Times New Roman"/>
                <w:color w:val="auto"/>
                <w:sz w:val="24"/>
                <w:szCs w:val="24"/>
              </w:rPr>
              <w:t>规划环境影响评价情况</w:t>
            </w:r>
          </w:p>
        </w:tc>
        <w:tc>
          <w:tcPr>
            <w:tcW w:w="8699" w:type="dxa"/>
            <w:gridSpan w:val="3"/>
            <w:tcBorders>
              <w:tl2br w:val="nil"/>
              <w:tr2bl w:val="nil"/>
            </w:tcBorders>
            <w:vAlign w:val="center"/>
          </w:tcPr>
          <w:p w14:paraId="6D4247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eastAsia="zh-CN"/>
              </w:rPr>
            </w:pPr>
            <w:r>
              <w:rPr>
                <w:rFonts w:ascii="Times New Roman" w:hAnsi="Times New Roman" w:cs="Times New Roman"/>
                <w:b w:val="0"/>
                <w:bCs w:val="0"/>
                <w:color w:val="auto"/>
                <w:sz w:val="24"/>
                <w:szCs w:val="24"/>
              </w:rPr>
              <w:t>规划环境影响评价文件名称：《</w:t>
            </w:r>
            <w:r>
              <w:rPr>
                <w:rFonts w:ascii="Times New Roman" w:hAnsi="Times New Roman" w:eastAsia="宋体" w:cs="Times New Roman"/>
                <w:b w:val="0"/>
                <w:bCs w:val="0"/>
                <w:color w:val="auto"/>
                <w:sz w:val="24"/>
                <w:szCs w:val="24"/>
                <w:lang w:eastAsia="zh-CN"/>
              </w:rPr>
              <w:t>安徽濉溪经济开发区总体发展规划（2023-2035）环境影响报告书</w:t>
            </w:r>
            <w:r>
              <w:rPr>
                <w:rFonts w:ascii="Times New Roman" w:hAnsi="Times New Roman"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w:t>
            </w:r>
          </w:p>
          <w:p w14:paraId="22CC1CB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审查机关：</w:t>
            </w:r>
            <w:r>
              <w:rPr>
                <w:rFonts w:hint="eastAsia" w:ascii="Times New Roman" w:hAnsi="Times New Roman" w:eastAsia="宋体" w:cs="Times New Roman"/>
                <w:b w:val="0"/>
                <w:bCs w:val="0"/>
                <w:color w:val="auto"/>
                <w:sz w:val="24"/>
                <w:szCs w:val="24"/>
                <w:lang w:val="en-US" w:eastAsia="zh-CN"/>
              </w:rPr>
              <w:t>淮北市生态环境局；</w:t>
            </w:r>
          </w:p>
          <w:p w14:paraId="0B7759B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color w:val="auto"/>
                <w:sz w:val="24"/>
                <w:szCs w:val="24"/>
              </w:rPr>
            </w:pPr>
            <w:r>
              <w:rPr>
                <w:rFonts w:ascii="Times New Roman" w:hAnsi="Times New Roman" w:cs="Times New Roman"/>
                <w:b w:val="0"/>
                <w:bCs w:val="0"/>
                <w:color w:val="auto"/>
                <w:sz w:val="24"/>
                <w:szCs w:val="24"/>
              </w:rPr>
              <w:t>审查文件名称及文号：《关于印送&lt;安徽濉溪经济开发区总体发展规划(2023~2035 年)环境影响报告书&gt;审查意见的函》</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val="en-US" w:eastAsia="zh-CN"/>
              </w:rPr>
              <w:t>淮北市生态环境局</w:t>
            </w:r>
            <w:r>
              <w:rPr>
                <w:rFonts w:ascii="Times New Roman" w:hAnsi="Times New Roman"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淮</w:t>
            </w:r>
            <w:r>
              <w:rPr>
                <w:rFonts w:ascii="Times New Roman" w:hAnsi="Times New Roman" w:cs="Times New Roman"/>
                <w:b w:val="0"/>
                <w:bCs w:val="0"/>
                <w:color w:val="auto"/>
                <w:sz w:val="24"/>
                <w:szCs w:val="24"/>
              </w:rPr>
              <w:t>环函【20</w:t>
            </w:r>
            <w:r>
              <w:rPr>
                <w:rFonts w:hint="eastAsia" w:ascii="Times New Roman" w:hAnsi="Times New Roman" w:eastAsia="宋体" w:cs="Times New Roman"/>
                <w:b w:val="0"/>
                <w:bCs w:val="0"/>
                <w:color w:val="auto"/>
                <w:sz w:val="24"/>
                <w:szCs w:val="24"/>
                <w:lang w:val="en-US" w:eastAsia="zh-CN"/>
              </w:rPr>
              <w:t>24</w:t>
            </w:r>
            <w:r>
              <w:rPr>
                <w:rFonts w:ascii="Times New Roman" w:hAnsi="Times New Roman" w:cs="Times New Roman"/>
                <w:b w:val="0"/>
                <w:bCs w:val="0"/>
                <w:color w:val="auto"/>
                <w:sz w:val="24"/>
                <w:szCs w:val="24"/>
              </w:rPr>
              <w:t>】</w:t>
            </w:r>
            <w:r>
              <w:rPr>
                <w:rFonts w:hint="eastAsia" w:ascii="Times New Roman" w:hAnsi="Times New Roman" w:eastAsia="宋体" w:cs="Times New Roman"/>
                <w:b w:val="0"/>
                <w:bCs w:val="0"/>
                <w:color w:val="auto"/>
                <w:sz w:val="24"/>
                <w:szCs w:val="24"/>
                <w:lang w:val="en-US" w:eastAsia="zh-CN"/>
              </w:rPr>
              <w:t>46</w:t>
            </w:r>
            <w:r>
              <w:rPr>
                <w:rFonts w:ascii="Times New Roman" w:hAnsi="Times New Roman" w:cs="Times New Roman"/>
                <w:b w:val="0"/>
                <w:bCs w:val="0"/>
                <w:color w:val="auto"/>
                <w:sz w:val="24"/>
                <w:szCs w:val="24"/>
              </w:rPr>
              <w:t>号，202</w:t>
            </w:r>
            <w:r>
              <w:rPr>
                <w:rFonts w:hint="eastAsia" w:ascii="Times New Roman" w:hAnsi="Times New Roman" w:eastAsia="宋体" w:cs="Times New Roman"/>
                <w:b w:val="0"/>
                <w:bCs w:val="0"/>
                <w:color w:val="auto"/>
                <w:sz w:val="24"/>
                <w:szCs w:val="24"/>
                <w:lang w:val="en-US" w:eastAsia="zh-CN"/>
              </w:rPr>
              <w:t>4</w:t>
            </w:r>
            <w:r>
              <w:rPr>
                <w:rFonts w:ascii="Times New Roman" w:hAnsi="Times New Roman"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3</w:t>
            </w:r>
            <w:r>
              <w:rPr>
                <w:rFonts w:ascii="Times New Roman" w:hAnsi="Times New Roman"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5</w:t>
            </w:r>
            <w:r>
              <w:rPr>
                <w:rFonts w:ascii="Times New Roman" w:hAnsi="Times New Roman" w:cs="Times New Roman"/>
                <w:b w:val="0"/>
                <w:bCs w:val="0"/>
                <w:color w:val="auto"/>
                <w:sz w:val="24"/>
                <w:szCs w:val="24"/>
              </w:rPr>
              <w:t>日</w:t>
            </w:r>
            <w:r>
              <w:rPr>
                <w:rFonts w:hint="eastAsia" w:ascii="Times New Roman" w:hAnsi="Times New Roman" w:eastAsia="宋体" w:cs="Times New Roman"/>
                <w:b w:val="0"/>
                <w:bCs w:val="0"/>
                <w:color w:val="auto"/>
                <w:sz w:val="24"/>
                <w:szCs w:val="24"/>
                <w:lang w:eastAsia="zh-CN"/>
              </w:rPr>
              <w:t>）。</w:t>
            </w:r>
          </w:p>
        </w:tc>
      </w:tr>
      <w:tr w14:paraId="601C7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49" w:type="dxa"/>
            <w:tcBorders>
              <w:tl2br w:val="nil"/>
              <w:tr2bl w:val="nil"/>
            </w:tcBorders>
            <w:vAlign w:val="center"/>
          </w:tcPr>
          <w:p w14:paraId="5EC6279F">
            <w:pPr>
              <w:jc w:val="center"/>
              <w:rPr>
                <w:rFonts w:ascii="Times New Roman" w:hAnsi="Times New Roman" w:cs="Times New Roman"/>
                <w:color w:val="auto"/>
                <w:sz w:val="24"/>
                <w:szCs w:val="24"/>
              </w:rPr>
            </w:pPr>
            <w:r>
              <w:rPr>
                <w:rFonts w:ascii="Times New Roman" w:hAnsi="Times New Roman" w:cs="Times New Roman"/>
                <w:color w:val="auto"/>
                <w:sz w:val="24"/>
                <w:szCs w:val="24"/>
              </w:rPr>
              <w:t>规划及规划环境影响评价符合性分析</w:t>
            </w:r>
          </w:p>
        </w:tc>
        <w:tc>
          <w:tcPr>
            <w:tcW w:w="8699" w:type="dxa"/>
            <w:gridSpan w:val="3"/>
            <w:tcBorders>
              <w:tl2br w:val="nil"/>
              <w:tr2bl w:val="nil"/>
            </w:tcBorders>
          </w:tcPr>
          <w:p w14:paraId="72EAF96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1、规划符合性分析</w:t>
            </w:r>
          </w:p>
          <w:p w14:paraId="3B6F64F9">
            <w:pPr>
              <w:pStyle w:val="27"/>
              <w:keepNext w:val="0"/>
              <w:keepLines w:val="0"/>
              <w:pageBreakBefore w:val="0"/>
              <w:kinsoku w:val="0"/>
              <w:wordWrap/>
              <w:overflowPunct/>
              <w:topLinePunct w:val="0"/>
              <w:autoSpaceDE w:val="0"/>
              <w:autoSpaceDN w:val="0"/>
              <w:bidi w:val="0"/>
              <w:adjustRightInd/>
              <w:snapToGrid/>
              <w:spacing w:line="360" w:lineRule="auto"/>
              <w:ind w:firstLine="480" w:firstLineChars="200"/>
              <w:textAlignment w:val="baseline"/>
              <w:rPr>
                <w:rFonts w:hint="eastAsia" w:ascii="Times New Roman" w:hAnsi="Times New Roman" w:eastAsia="宋体"/>
                <w:lang w:eastAsia="zh-CN"/>
              </w:rPr>
            </w:pPr>
            <w:r>
              <w:rPr>
                <w:rFonts w:ascii="Times New Roman" w:hAnsi="Times New Roman"/>
              </w:rPr>
              <w:t>2018年7月 20日，安徽省人民政府以皖政秘(2018)136号《关于淮北市省级以上开发区优化整合方案的批复》</w:t>
            </w:r>
            <w:r>
              <w:rPr>
                <w:rFonts w:hint="eastAsia" w:ascii="Times New Roman" w:hAnsi="Times New Roman"/>
              </w:rPr>
              <w:t>，</w:t>
            </w:r>
            <w:r>
              <w:rPr>
                <w:rFonts w:ascii="Times New Roman" w:hAnsi="Times New Roman"/>
              </w:rPr>
              <w:t>对淮北市省级以上开发区进行优化整合</w:t>
            </w:r>
            <w:r>
              <w:rPr>
                <w:rFonts w:hint="eastAsia" w:ascii="Times New Roman" w:hAnsi="Times New Roman"/>
              </w:rPr>
              <w:t>“</w:t>
            </w:r>
            <w:r>
              <w:rPr>
                <w:rFonts w:ascii="Times New Roman" w:hAnsi="Times New Roman"/>
              </w:rPr>
              <w:t>撤销安徽淮北临涣工业园(筹)、濉溪芜湖现代产业园，将其整体并入安徽濉溪经济开发区</w:t>
            </w:r>
            <w:r>
              <w:rPr>
                <w:rFonts w:hint="eastAsia" w:ascii="Times New Roman" w:hAnsi="Times New Roman"/>
              </w:rPr>
              <w:t>”</w:t>
            </w:r>
            <w:r>
              <w:rPr>
                <w:rFonts w:hint="eastAsia" w:ascii="Times New Roman" w:hAnsi="Times New Roman"/>
                <w:lang w:eastAsia="zh-CN"/>
              </w:rPr>
              <w:t>。</w:t>
            </w:r>
          </w:p>
          <w:p w14:paraId="3B817BE6">
            <w:pPr>
              <w:pStyle w:val="31"/>
              <w:keepNext w:val="0"/>
              <w:keepLines w:val="0"/>
              <w:pageBreakBefore w:val="0"/>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（1）规划范围</w:t>
            </w:r>
          </w:p>
          <w:p w14:paraId="717AFF6B">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2020年1月16日安徽省自然资源厅以《安徽省自然资源厅关于淮北市开发区有关审核意见的批复》(皖自然资用函(2020)7号)对调整后的安徽濉溪经济开发区进行了范围核定，核定总面积为2427.99公顷，各区块具体面积和四至范围如下</w:t>
            </w:r>
            <w:r>
              <w:rPr>
                <w:rFonts w:hint="eastAsia" w:ascii="Times New Roman" w:hAnsi="Times New Roman" w:cs="Times New Roman"/>
                <w:lang w:eastAsia="zh-CN"/>
              </w:rPr>
              <w:t>：</w:t>
            </w:r>
          </w:p>
          <w:p w14:paraId="16A5960C">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区块一面积为456.62公顷，四至范围为</w:t>
            </w:r>
            <w:r>
              <w:rPr>
                <w:rFonts w:hint="eastAsia" w:ascii="Times New Roman" w:hAnsi="Times New Roman" w:cs="Times New Roman"/>
                <w:lang w:eastAsia="zh-CN"/>
              </w:rPr>
              <w:t>：</w:t>
            </w:r>
            <w:r>
              <w:rPr>
                <w:rFonts w:ascii="Times New Roman" w:hAnsi="Times New Roman" w:cs="Times New Roman"/>
                <w:lang w:eastAsia="zh-CN"/>
              </w:rPr>
              <w:t>东至王引河，南至巴河北路，西至郑杨楼大沟，北至濉永路；</w:t>
            </w:r>
          </w:p>
          <w:p w14:paraId="697A0CAB">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区块二面积为500.41公顷，四至范围为</w:t>
            </w:r>
            <w:r>
              <w:rPr>
                <w:rFonts w:hint="eastAsia" w:ascii="Times New Roman" w:hAnsi="Times New Roman" w:cs="Times New Roman"/>
                <w:lang w:eastAsia="zh-CN"/>
              </w:rPr>
              <w:t>：</w:t>
            </w:r>
            <w:r>
              <w:rPr>
                <w:rFonts w:ascii="Times New Roman" w:hAnsi="Times New Roman" w:cs="Times New Roman"/>
                <w:lang w:eastAsia="zh-CN"/>
              </w:rPr>
              <w:t>东至濉临路，南至濉临沟，西至王引河，北至濉永路；</w:t>
            </w:r>
          </w:p>
          <w:p w14:paraId="0A44F2D0">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区块三面积为47.15公顷，四至范围为：东至中心沟，南至向阳沟，西至王引河，北至濉临沟；</w:t>
            </w:r>
          </w:p>
          <w:p w14:paraId="1223BE40">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区块四面积为212.16公顷，四至范围为</w:t>
            </w:r>
            <w:r>
              <w:rPr>
                <w:rFonts w:hint="eastAsia" w:ascii="Times New Roman" w:hAnsi="Times New Roman" w:cs="Times New Roman"/>
                <w:lang w:eastAsia="zh-CN"/>
              </w:rPr>
              <w:t>：</w:t>
            </w:r>
            <w:r>
              <w:rPr>
                <w:rFonts w:ascii="Times New Roman" w:hAnsi="Times New Roman" w:cs="Times New Roman"/>
                <w:lang w:eastAsia="zh-CN"/>
              </w:rPr>
              <w:t>东至黄庄东，南至朱集子南，西至濉岳路，北至老巴河；</w:t>
            </w:r>
          </w:p>
          <w:p w14:paraId="004668EF">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区块五面积为363.29公顷，四至范围为：东至溪一路，南至芜湖四路以南，西至海棠路以西，北至老巴河：</w:t>
            </w:r>
          </w:p>
          <w:p w14:paraId="28343779">
            <w:pPr>
              <w:pStyle w:val="31"/>
              <w:keepNext w:val="0"/>
              <w:keepLines w:val="0"/>
              <w:pageBreakBefore w:val="0"/>
              <w:widowControl/>
              <w:kinsoku w:val="0"/>
              <w:wordWrap/>
              <w:overflowPunct/>
              <w:topLinePunct w:val="0"/>
              <w:autoSpaceDE w:val="0"/>
              <w:autoSpaceDN w:val="0"/>
              <w:bidi w:val="0"/>
              <w:adjustRightInd/>
              <w:snapToGrid/>
              <w:textAlignment w:val="baseline"/>
              <w:rPr>
                <w:rFonts w:ascii="Times New Roman" w:hAnsi="Times New Roman" w:cs="Times New Roman"/>
                <w:lang w:eastAsia="zh-CN"/>
              </w:rPr>
            </w:pPr>
            <w:r>
              <w:rPr>
                <w:rFonts w:ascii="Times New Roman" w:hAnsi="Times New Roman" w:cs="Times New Roman"/>
                <w:lang w:eastAsia="zh-CN"/>
              </w:rPr>
              <w:t>区块六面积为 848.35公顷，四至范围为：东至淮岩路、淮岭路、淮岚南路(规划)，南至基地南路</w:t>
            </w:r>
            <w:r>
              <w:rPr>
                <w:rFonts w:hint="eastAsia" w:ascii="Times New Roman" w:hAnsi="Times New Roman" w:cs="Times New Roman"/>
                <w:lang w:eastAsia="zh-CN"/>
              </w:rPr>
              <w:t>（</w:t>
            </w:r>
            <w:r>
              <w:rPr>
                <w:rFonts w:ascii="Times New Roman" w:hAnsi="Times New Roman" w:cs="Times New Roman"/>
                <w:lang w:eastAsia="zh-CN"/>
              </w:rPr>
              <w:t>规划</w:t>
            </w:r>
            <w:r>
              <w:rPr>
                <w:rFonts w:hint="eastAsia" w:ascii="Times New Roman" w:hAnsi="Times New Roman" w:cs="Times New Roman"/>
                <w:lang w:eastAsia="zh-CN"/>
              </w:rPr>
              <w:t>）</w:t>
            </w:r>
            <w:r>
              <w:rPr>
                <w:rFonts w:ascii="Times New Roman" w:hAnsi="Times New Roman" w:cs="Times New Roman"/>
                <w:lang w:eastAsia="zh-CN"/>
              </w:rPr>
              <w:t>，西至运煤铁路专用线，北至基地北路。</w:t>
            </w:r>
          </w:p>
          <w:p w14:paraId="7640DB98">
            <w:pPr>
              <w:pStyle w:val="31"/>
              <w:keepNext w:val="0"/>
              <w:keepLines w:val="0"/>
              <w:pageBreakBefore w:val="0"/>
              <w:widowControl/>
              <w:kinsoku w:val="0"/>
              <w:wordWrap/>
              <w:overflowPunct/>
              <w:topLinePunct w:val="0"/>
              <w:autoSpaceDE w:val="0"/>
              <w:autoSpaceDN w:val="0"/>
              <w:bidi w:val="0"/>
              <w:adjustRightInd/>
              <w:snapToGrid/>
              <w:ind w:firstLine="482"/>
              <w:textAlignment w:val="baseline"/>
              <w:rPr>
                <w:rFonts w:ascii="Times New Roman" w:hAnsi="Times New Roman" w:cs="Times New Roman"/>
                <w:b/>
                <w:bCs/>
                <w:lang w:eastAsia="zh-CN"/>
              </w:rPr>
            </w:pPr>
            <w:r>
              <w:rPr>
                <w:rFonts w:ascii="Times New Roman" w:hAnsi="Times New Roman" w:cs="Times New Roman"/>
                <w:b/>
                <w:bCs/>
                <w:lang w:eastAsia="zh-CN"/>
              </w:rPr>
              <w:t>（2）产业定位</w:t>
            </w:r>
          </w:p>
          <w:p w14:paraId="31355F1D">
            <w:pPr>
              <w:pStyle w:val="31"/>
              <w:adjustRightInd/>
              <w:snapToGrid/>
              <w:rPr>
                <w:rFonts w:ascii="Times New Roman" w:hAnsi="Times New Roman" w:cs="Times New Roman"/>
                <w:lang w:eastAsia="zh-CN"/>
              </w:rPr>
            </w:pPr>
            <w:r>
              <w:rPr>
                <w:rFonts w:ascii="Times New Roman" w:hAnsi="Times New Roman" w:cs="Times New Roman"/>
                <w:lang w:eastAsia="zh-CN"/>
              </w:rPr>
              <w:t>安徽濉溪经济开发区（安徽淮北新型煤化合成材料基地、濉溪芜湖现代产业园）主导产业为新材料、高端制造和化工。其中，区块二、区块三、区块四主导产业为新材料；区块五主导产业为高端制造；区块一、区块六主导产业为化工。</w:t>
            </w:r>
          </w:p>
          <w:p w14:paraId="678EAFFA">
            <w:pPr>
              <w:pStyle w:val="31"/>
              <w:adjustRightInd/>
              <w:snapToGrid/>
              <w:rPr>
                <w:rFonts w:ascii="Times New Roman" w:hAnsi="Times New Roman" w:eastAsia="宋体" w:cs="Times New Roman"/>
                <w:color w:val="auto"/>
                <w:lang w:eastAsia="zh-CN"/>
              </w:rPr>
            </w:pPr>
            <w:r>
              <w:rPr>
                <w:rFonts w:ascii="Times New Roman" w:hAnsi="Times New Roman" w:cs="Times New Roman"/>
                <w:lang w:eastAsia="zh-CN"/>
              </w:rPr>
              <w:t>本项目位于</w:t>
            </w:r>
            <w:r>
              <w:rPr>
                <w:rFonts w:hint="eastAsia" w:ascii="Times New Roman" w:hAnsi="Times New Roman" w:cs="Times New Roman"/>
                <w:lang w:val="en-US" w:eastAsia="zh-CN"/>
              </w:rPr>
              <w:t>安徽</w:t>
            </w:r>
            <w:r>
              <w:rPr>
                <w:rFonts w:ascii="Times New Roman" w:hAnsi="Times New Roman" w:cs="Times New Roman"/>
                <w:color w:val="auto"/>
              </w:rPr>
              <w:t>濉溪经济开发区濉芜产业园区山茶路西侧安徽蓝达建材有限公司厂区</w:t>
            </w:r>
            <w:r>
              <w:rPr>
                <w:rFonts w:ascii="Times New Roman" w:hAnsi="Times New Roman" w:eastAsia="宋体" w:cs="Times New Roman"/>
                <w:color w:val="auto"/>
                <w:lang w:eastAsia="zh-CN"/>
              </w:rPr>
              <w:t>内，在区块五内。本项目属于</w:t>
            </w:r>
            <w:r>
              <w:rPr>
                <w:rFonts w:ascii="Times New Roman" w:hAnsi="Times New Roman" w:cs="Times New Roman"/>
                <w:color w:val="auto"/>
                <w:lang w:eastAsia="zh-CN"/>
              </w:rPr>
              <w:t>金属结构制造和</w:t>
            </w:r>
            <w:r>
              <w:rPr>
                <w:rFonts w:ascii="Times New Roman" w:hAnsi="Times New Roman" w:eastAsia="宋体" w:cs="Times New Roman"/>
                <w:color w:val="auto"/>
                <w:lang w:eastAsia="zh-CN"/>
              </w:rPr>
              <w:t>金属门窗制作，对照《产业结构调整指导目录》（2024年本），本项目不属于“限制类”和“禁止类”，</w:t>
            </w:r>
            <w:r>
              <w:rPr>
                <w:rFonts w:hint="default" w:ascii="Times New Roman" w:hAnsi="Times New Roman" w:eastAsia="宋体" w:cs="Times New Roman"/>
                <w:color w:val="auto"/>
                <w:sz w:val="24"/>
                <w:szCs w:val="24"/>
                <w:lang w:eastAsia="zh-CN"/>
              </w:rPr>
              <w:t>视为“允许类”</w:t>
            </w:r>
            <w:r>
              <w:rPr>
                <w:rFonts w:hint="eastAsia" w:ascii="Times New Roman" w:hAnsi="Times New Roman" w:eastAsia="宋体" w:cs="Times New Roman"/>
                <w:color w:val="auto"/>
                <w:sz w:val="24"/>
                <w:szCs w:val="24"/>
                <w:lang w:eastAsia="zh-CN"/>
              </w:rPr>
              <w:t>，</w:t>
            </w:r>
            <w:r>
              <w:rPr>
                <w:rStyle w:val="26"/>
                <w:rFonts w:hint="eastAsia" w:eastAsia="宋体"/>
                <w:sz w:val="24"/>
                <w:szCs w:val="24"/>
                <w:lang w:val="en-US" w:eastAsia="zh-CN"/>
              </w:rPr>
              <w:t>且项目已取得濉溪县发展改革委备案</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属于允许入园项目，本项目建设</w:t>
            </w:r>
            <w:r>
              <w:rPr>
                <w:rFonts w:ascii="Times New Roman" w:hAnsi="Times New Roman" w:eastAsia="宋体" w:cs="Times New Roman"/>
                <w:color w:val="auto"/>
                <w:lang w:eastAsia="zh-CN"/>
              </w:rPr>
              <w:t>符合《安徽濉溪经济开发区总体发展规划（2023-2035）环境影响报告书》表9.2.5-1安徽濉溪经济开发区生态环境准入清单一览表（近期）的要求。因此，本项目符合规划要求。</w:t>
            </w:r>
          </w:p>
          <w:p w14:paraId="6801FEDB">
            <w:pPr>
              <w:pStyle w:val="31"/>
              <w:numPr>
                <w:ilvl w:val="0"/>
                <w:numId w:val="3"/>
              </w:numPr>
              <w:adjustRightInd/>
              <w:snapToGrid/>
              <w:ind w:firstLine="482"/>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与《安徽濉溪经济开发区总体发展规划（2023-2035）环境影响报告书》审查意见符合性分析</w:t>
            </w:r>
          </w:p>
          <w:p w14:paraId="2F9B0D1F">
            <w:pPr>
              <w:pStyle w:val="31"/>
              <w:keepNext w:val="0"/>
              <w:keepLines w:val="0"/>
              <w:pageBreakBefore w:val="0"/>
              <w:widowControl/>
              <w:kinsoku w:val="0"/>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表1-</w:t>
            </w:r>
            <w:r>
              <w:rPr>
                <w:rFonts w:hint="eastAsia" w:ascii="Times New Roman" w:hAnsi="Times New Roman" w:eastAsia="宋体" w:cs="Times New Roman"/>
                <w:b/>
                <w:bCs/>
                <w:color w:val="auto"/>
                <w:lang w:eastAsia="zh-CN"/>
              </w:rPr>
              <w:t>1</w:t>
            </w:r>
            <w:r>
              <w:rPr>
                <w:rFonts w:ascii="Times New Roman" w:hAnsi="Times New Roman" w:eastAsia="宋体" w:cs="Times New Roman"/>
                <w:b/>
                <w:bCs/>
                <w:color w:val="auto"/>
                <w:lang w:eastAsia="zh-CN"/>
              </w:rPr>
              <w:t xml:space="preserve">  与《安徽濉溪经济开发区总体发展规划（2023-2035）环境影响报告书》审查意见符合性分析</w:t>
            </w:r>
          </w:p>
          <w:tbl>
            <w:tblPr>
              <w:tblStyle w:val="22"/>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11"/>
              <w:gridCol w:w="3934"/>
              <w:gridCol w:w="3172"/>
              <w:gridCol w:w="751"/>
            </w:tblGrid>
            <w:tr w14:paraId="56350B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6A5337E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序号</w:t>
                  </w:r>
                </w:p>
              </w:tc>
              <w:tc>
                <w:tcPr>
                  <w:tcW w:w="2322" w:type="pct"/>
                  <w:tcBorders>
                    <w:tl2br w:val="nil"/>
                    <w:tr2bl w:val="nil"/>
                  </w:tcBorders>
                  <w:vAlign w:val="center"/>
                </w:tcPr>
                <w:p w14:paraId="15936F8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规划环评审查意见要求</w:t>
                  </w:r>
                </w:p>
              </w:tc>
              <w:tc>
                <w:tcPr>
                  <w:tcW w:w="1872" w:type="pct"/>
                  <w:tcBorders>
                    <w:tl2br w:val="nil"/>
                    <w:tr2bl w:val="nil"/>
                  </w:tcBorders>
                  <w:vAlign w:val="center"/>
                </w:tcPr>
                <w:p w14:paraId="54298D9D">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本项目情况</w:t>
                  </w:r>
                </w:p>
              </w:tc>
              <w:tc>
                <w:tcPr>
                  <w:tcW w:w="443" w:type="pct"/>
                  <w:tcBorders>
                    <w:tl2br w:val="nil"/>
                    <w:tr2bl w:val="nil"/>
                  </w:tcBorders>
                  <w:vAlign w:val="center"/>
                </w:tcPr>
                <w:p w14:paraId="592AB38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符合性</w:t>
                  </w:r>
                </w:p>
              </w:tc>
            </w:tr>
            <w:tr w14:paraId="5D1AC3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4C13345B">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1</w:t>
                  </w:r>
                </w:p>
              </w:tc>
              <w:tc>
                <w:tcPr>
                  <w:tcW w:w="2322" w:type="pct"/>
                  <w:tcBorders>
                    <w:tl2br w:val="nil"/>
                    <w:tr2bl w:val="nil"/>
                  </w:tcBorders>
                  <w:vAlign w:val="center"/>
                </w:tcPr>
                <w:p w14:paraId="17CC6253">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一）加强《规划》引领，坚持绿色协调发展。开发区位于淮河流域、涉及化工行业，部分地块在城镇开发边界外，区域现状大气和水环境质量均不达标，应坚持生态环境质量改善、防范环境风险为核心，明确开发区存在的环境制约因素。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进一步提高土地利用效率，协调好产业发展与区域环境保护的关系。统筹开发区域减污降碳协同共治、资源集约节约及循环利用、能源智慧高效利用、环境风险防控等重大事项，引导开发区高质量发展。</w:t>
                  </w:r>
                </w:p>
              </w:tc>
              <w:tc>
                <w:tcPr>
                  <w:tcW w:w="1872" w:type="pct"/>
                  <w:tcBorders>
                    <w:tl2br w:val="nil"/>
                    <w:tr2bl w:val="nil"/>
                  </w:tcBorders>
                  <w:vAlign w:val="center"/>
                </w:tcPr>
                <w:p w14:paraId="16E4C6C6">
                  <w:pPr>
                    <w:pStyle w:val="33"/>
                    <w:widowControl w:val="0"/>
                    <w:kinsoku/>
                    <w:autoSpaceDE/>
                    <w:autoSpaceDN/>
                    <w:adjustRightInd/>
                    <w:snapToGrid/>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val="en-US" w:eastAsia="zh-CN"/>
                    </w:rPr>
                    <w:t>位于安徽濉溪经济开发区</w:t>
                  </w:r>
                  <w:r>
                    <w:rPr>
                      <w:rFonts w:ascii="Times New Roman" w:hAnsi="Times New Roman" w:cs="Times New Roman"/>
                      <w:color w:val="auto"/>
                    </w:rPr>
                    <w:t>濉芜产业园区山茶路西侧安徽蓝达建材有限公司厂区</w:t>
                  </w:r>
                  <w:r>
                    <w:rPr>
                      <w:rFonts w:ascii="Times New Roman" w:hAnsi="Times New Roman" w:eastAsia="宋体" w:cs="Times New Roman"/>
                      <w:color w:val="auto"/>
                      <w:lang w:eastAsia="zh-CN"/>
                    </w:rPr>
                    <w:t>内</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项目用地性质属于工业用地；项目运营期下料、焊接、抛光废气采取“布袋除尘器”+15m高排气筒（DA001），喷塑废气采取“滤芯除尘+布袋除尘器”+15m高排气筒（DA002），固化废气采取“风冷+二级活性炭吸附装置”+15m高排气筒（DA003）；生活污水依托已建化粪池处理后排入污水处理厂处理。项目所产生的污染物对区域影响较小，且项目在采取了以上污染防治措施能够达标排放。</w:t>
                  </w:r>
                </w:p>
              </w:tc>
              <w:tc>
                <w:tcPr>
                  <w:tcW w:w="443" w:type="pct"/>
                  <w:tcBorders>
                    <w:tl2br w:val="nil"/>
                    <w:tr2bl w:val="nil"/>
                  </w:tcBorders>
                  <w:vAlign w:val="center"/>
                </w:tcPr>
                <w:p w14:paraId="61AA4B61">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w:t>
                  </w:r>
                </w:p>
              </w:tc>
            </w:tr>
            <w:tr w14:paraId="3030D3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66DBF07B">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2</w:t>
                  </w:r>
                </w:p>
              </w:tc>
              <w:tc>
                <w:tcPr>
                  <w:tcW w:w="2322" w:type="pct"/>
                  <w:tcBorders>
                    <w:tl2br w:val="nil"/>
                    <w:tr2bl w:val="nil"/>
                  </w:tcBorders>
                  <w:vAlign w:val="center"/>
                </w:tcPr>
                <w:p w14:paraId="1EA58929">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二)严守环境质量底线，落实区域环境质量管控措施。开发区位于大气和水污染防治重点区域，区域生态环境保护要求较高。开发区应加快制定区域大气达标计划，在区域大气环境质量稳定达标前，区块一至五严格禁止“两高”项目入园。根据国家和我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优化改善，区域生态环境问题得到妥善解决。</w:t>
                  </w:r>
                </w:p>
              </w:tc>
              <w:tc>
                <w:tcPr>
                  <w:tcW w:w="1872" w:type="pct"/>
                  <w:tcBorders>
                    <w:tl2br w:val="nil"/>
                    <w:tr2bl w:val="nil"/>
                  </w:tcBorders>
                  <w:vAlign w:val="center"/>
                </w:tcPr>
                <w:p w14:paraId="4F8BA1A4">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属于金属结构制造和金属门窗制造行业，对照《关于印发&lt;安徽省“两高”项目管理目录（试行）&gt;的通知》（皖节能【2022】2号），本项目不属于“两高”项目。本项目污染物排放量较小，可实现达标排放，对区域环境质量影响较小。</w:t>
                  </w:r>
                </w:p>
              </w:tc>
              <w:tc>
                <w:tcPr>
                  <w:tcW w:w="443" w:type="pct"/>
                  <w:tcBorders>
                    <w:tl2br w:val="nil"/>
                    <w:tr2bl w:val="nil"/>
                  </w:tcBorders>
                  <w:vAlign w:val="center"/>
                </w:tcPr>
                <w:p w14:paraId="3AC4EFD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w:t>
                  </w:r>
                </w:p>
              </w:tc>
            </w:tr>
            <w:tr w14:paraId="12F4C7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27" w:hRule="atLeast"/>
                <w:jc w:val="center"/>
              </w:trPr>
              <w:tc>
                <w:tcPr>
                  <w:tcW w:w="361" w:type="pct"/>
                  <w:tcBorders>
                    <w:tl2br w:val="nil"/>
                    <w:tr2bl w:val="nil"/>
                  </w:tcBorders>
                  <w:vAlign w:val="center"/>
                </w:tcPr>
                <w:p w14:paraId="5C246203">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3</w:t>
                  </w:r>
                </w:p>
              </w:tc>
              <w:tc>
                <w:tcPr>
                  <w:tcW w:w="2322" w:type="pct"/>
                  <w:tcBorders>
                    <w:tl2br w:val="nil"/>
                    <w:tr2bl w:val="nil"/>
                  </w:tcBorders>
                  <w:vAlign w:val="center"/>
                </w:tcPr>
                <w:p w14:paraId="7AD0F649">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eastAsia="宋体" w:cs="Times New Roman"/>
                      <w:color w:val="auto"/>
                      <w:lang w:eastAsia="zh-CN"/>
                    </w:rPr>
                    <w:t>（</w:t>
                  </w:r>
                  <w:r>
                    <w:rPr>
                      <w:rFonts w:ascii="Times New Roman" w:hAnsi="Times New Roman" w:cs="Times New Roman"/>
                      <w:color w:val="auto"/>
                    </w:rPr>
                    <w:t>三</w:t>
                  </w:r>
                  <w:r>
                    <w:rPr>
                      <w:rFonts w:ascii="Times New Roman" w:hAnsi="Times New Roman" w:eastAsia="宋体" w:cs="Times New Roman"/>
                      <w:color w:val="auto"/>
                      <w:lang w:eastAsia="zh-CN"/>
                    </w:rPr>
                    <w:t>）</w:t>
                  </w:r>
                  <w:r>
                    <w:rPr>
                      <w:rFonts w:ascii="Times New Roman" w:hAnsi="Times New Roman" w:cs="Times New Roman"/>
                      <w:color w:val="auto"/>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对开发区周边王引河清水通道等生态空间的保护，确保</w:t>
                  </w:r>
                  <w:r>
                    <w:rPr>
                      <w:rFonts w:hint="eastAsia" w:ascii="Times New Roman" w:hAnsi="Times New Roman" w:eastAsia="宋体" w:cs="Times New Roman"/>
                      <w:color w:val="auto"/>
                      <w:lang w:eastAsia="zh-CN"/>
                    </w:rPr>
                    <w:t>规划</w:t>
                  </w:r>
                  <w:r>
                    <w:rPr>
                      <w:rFonts w:ascii="Times New Roman" w:hAnsi="Times New Roman" w:cs="Times New Roman"/>
                      <w:color w:val="auto"/>
                    </w:rPr>
                    <w:t>实施不降低王引河、巴河和萧濉新河等地表水体环境质量。统筹开发区建设生产、生活和商业服务空间之间及周边环境敏感目标的隔离和管控实现产业发展与区域生态环境保护相协调。</w:t>
                  </w:r>
                  <w:r>
                    <w:rPr>
                      <w:rFonts w:hint="eastAsia" w:ascii="Times New Roman" w:hAnsi="Times New Roman" w:eastAsia="宋体" w:cs="Times New Roman"/>
                      <w:color w:val="auto"/>
                      <w:lang w:eastAsia="zh-CN"/>
                    </w:rPr>
                    <w:t>划片</w:t>
                  </w:r>
                  <w:r>
                    <w:rPr>
                      <w:rFonts w:ascii="Times New Roman" w:hAnsi="Times New Roman" w:cs="Times New Roman"/>
                      <w:color w:val="auto"/>
                    </w:rPr>
                    <w:t>区周边应设置必要的规划隔离带，以居住为主的区域内的现有工业企业应制定搬迁整改方案并落实。</w:t>
                  </w:r>
                </w:p>
              </w:tc>
              <w:tc>
                <w:tcPr>
                  <w:tcW w:w="1872" w:type="pct"/>
                  <w:tcBorders>
                    <w:tl2br w:val="nil"/>
                    <w:tr2bl w:val="nil"/>
                  </w:tcBorders>
                  <w:vAlign w:val="center"/>
                </w:tcPr>
                <w:p w14:paraId="3D854F9F">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val="en-US" w:eastAsia="zh-CN"/>
                    </w:rPr>
                    <w:t>位于安徽濉溪经济开发区区块五范围内，</w:t>
                  </w:r>
                  <w:r>
                    <w:rPr>
                      <w:rFonts w:ascii="Times New Roman" w:hAnsi="Times New Roman" w:eastAsia="宋体" w:cs="Times New Roman"/>
                      <w:color w:val="auto"/>
                      <w:lang w:eastAsia="zh-CN"/>
                    </w:rPr>
                    <w:t>符合《安徽濉溪经济开发区总体发展规划（2023-2035）》的要求，</w:t>
                  </w:r>
                  <w:r>
                    <w:rPr>
                      <w:rFonts w:hint="eastAsia" w:ascii="Times New Roman" w:hAnsi="Times New Roman" w:eastAsia="宋体" w:cs="Times New Roman"/>
                      <w:color w:val="auto"/>
                      <w:lang w:val="en-US" w:eastAsia="zh-CN"/>
                    </w:rPr>
                    <w:t>且</w:t>
                  </w:r>
                  <w:r>
                    <w:rPr>
                      <w:rFonts w:ascii="Times New Roman" w:hAnsi="Times New Roman" w:eastAsia="宋体" w:cs="Times New Roman"/>
                      <w:color w:val="auto"/>
                      <w:lang w:eastAsia="zh-CN"/>
                    </w:rPr>
                    <w:t>项目周边无敏感目标，项目产生的生活污水经化粪池预处理达标后派人濉溪县第二污水处理厂处理达标后排放，废水排放量较小，不会降低周边地表水环境质量。</w:t>
                  </w:r>
                </w:p>
              </w:tc>
              <w:tc>
                <w:tcPr>
                  <w:tcW w:w="443" w:type="pct"/>
                  <w:tcBorders>
                    <w:tl2br w:val="nil"/>
                    <w:tr2bl w:val="nil"/>
                  </w:tcBorders>
                  <w:vAlign w:val="center"/>
                </w:tcPr>
                <w:p w14:paraId="3E4C5F67">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w:t>
                  </w:r>
                </w:p>
              </w:tc>
            </w:tr>
            <w:tr w14:paraId="067B94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1" w:type="pct"/>
                  <w:tcBorders>
                    <w:tl2br w:val="nil"/>
                    <w:tr2bl w:val="nil"/>
                  </w:tcBorders>
                  <w:vAlign w:val="center"/>
                </w:tcPr>
                <w:p w14:paraId="539D7989">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4</w:t>
                  </w:r>
                </w:p>
              </w:tc>
              <w:tc>
                <w:tcPr>
                  <w:tcW w:w="2322" w:type="pct"/>
                  <w:tcBorders>
                    <w:tl2br w:val="nil"/>
                    <w:tr2bl w:val="nil"/>
                  </w:tcBorders>
                  <w:vAlign w:val="center"/>
                </w:tcPr>
                <w:p w14:paraId="5B4C6B5D">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四)完善环保基础设施建设，强化环境污染防控。根据主导产业、开发时序和开发强度，进一步优化区域供水、排水、供热及中水回用等规划，明确开发区污水处理厂及配套管网和中水回用工程的建设规模和时序，濉溪县第二污水处理厂提标改造应在 2025年底前完成，有效提升中水回用水平、回用率不低于40%</w:t>
                  </w:r>
                  <w:r>
                    <w:rPr>
                      <w:rFonts w:hint="eastAsia" w:ascii="Times New Roman" w:hAnsi="Times New Roman" w:eastAsia="宋体" w:cs="Times New Roman"/>
                      <w:color w:val="auto"/>
                      <w:lang w:eastAsia="zh-CN"/>
                    </w:rPr>
                    <w:t>；</w:t>
                  </w:r>
                  <w:r>
                    <w:rPr>
                      <w:rFonts w:ascii="Times New Roman" w:hAnsi="Times New Roman" w:cs="Times New Roman"/>
                      <w:color w:val="auto"/>
                    </w:rPr>
                    <w:t>区块一化工片区应在2024年底前建设完成专业化工生产废水集中处理设施，区内化工企业生产废水应全部进入专业化工污水处理厂，化工废水严禁与开发区一般工业废水混合处理。在地表水厂建成投运后，现有地下水自各井应按照水利部门管理要求停采限采，严格落实地下水开采相关管控要求。结合区域环境质量现状，细化污染防治基础设施建设和区域大气环境防护要求。</w:t>
                  </w:r>
                </w:p>
              </w:tc>
              <w:tc>
                <w:tcPr>
                  <w:tcW w:w="1872" w:type="pct"/>
                  <w:tcBorders>
                    <w:tl2br w:val="nil"/>
                    <w:tr2bl w:val="nil"/>
                  </w:tcBorders>
                  <w:vAlign w:val="center"/>
                </w:tcPr>
                <w:p w14:paraId="1DBFAC86">
                  <w:pPr>
                    <w:pStyle w:val="33"/>
                    <w:widowControl w:val="0"/>
                    <w:kinsoku/>
                    <w:autoSpaceDE/>
                    <w:autoSpaceDN/>
                    <w:adjustRightInd/>
                    <w:snapToGrid/>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rPr>
                    <w:t>本项目运营期使用市政管网供水，不使用地下水自备井。</w:t>
                  </w:r>
                  <w:r>
                    <w:rPr>
                      <w:rFonts w:hint="eastAsia" w:ascii="Times New Roman" w:hAnsi="Times New Roman" w:eastAsia="宋体" w:cs="Times New Roman"/>
                      <w:color w:val="auto"/>
                      <w:lang w:val="en-US" w:eastAsia="zh-CN"/>
                    </w:rPr>
                    <w:t>项目产生的生活污水依托已建化粪池处理后排入濉溪县第二污水处理，对区域水环境影响较小</w:t>
                  </w:r>
                </w:p>
              </w:tc>
              <w:tc>
                <w:tcPr>
                  <w:tcW w:w="443" w:type="pct"/>
                  <w:tcBorders>
                    <w:tl2br w:val="nil"/>
                    <w:tr2bl w:val="nil"/>
                  </w:tcBorders>
                  <w:vAlign w:val="center"/>
                </w:tcPr>
                <w:p w14:paraId="5D4A4D1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w:t>
                  </w:r>
                </w:p>
              </w:tc>
            </w:tr>
            <w:tr w14:paraId="1EE182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4E08D145">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5</w:t>
                  </w:r>
                </w:p>
              </w:tc>
              <w:tc>
                <w:tcPr>
                  <w:tcW w:w="2322" w:type="pct"/>
                  <w:tcBorders>
                    <w:tl2br w:val="nil"/>
                    <w:tr2bl w:val="nil"/>
                  </w:tcBorders>
                  <w:vAlign w:val="center"/>
                </w:tcPr>
                <w:p w14:paraId="43511883">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五)细化生态环境准入清单，推动高质量发展。根据国家和区域发展战略，结合区域生态环境质量现状、生态环境分区管控、“三区三线成果等，严格落实《报告书》生态环境准入要求规划近期应严格执行国家产业政策，禁止与规划主导产业不相关且污染物排放量大的项目入区，禁止不符合长江经济带和淮河流域相关准入要求的项目入区，严格限制与规划主导产业相关且污染物排放量大的项目入区。开发区远期规划生态环境准入清单应根据区域生态环境质量改善情况和跟踪评价成果，经科学、合理、合规的论证后确定。开发区引进项目的生产工艺、设备自动化水平，以及单位产品能耗、污染物排放、碳排放等不得低于同行业清洁生产国内先进</w:t>
                  </w:r>
                  <w:r>
                    <w:rPr>
                      <w:rFonts w:hint="eastAsia" w:ascii="Times New Roman" w:hAnsi="Times New Roman" w:eastAsia="宋体" w:cs="Times New Roman"/>
                      <w:color w:val="auto"/>
                      <w:lang w:eastAsia="zh-CN"/>
                    </w:rPr>
                    <w:t>水平</w:t>
                  </w:r>
                </w:p>
              </w:tc>
              <w:tc>
                <w:tcPr>
                  <w:tcW w:w="1872" w:type="pct"/>
                  <w:tcBorders>
                    <w:tl2br w:val="nil"/>
                    <w:tr2bl w:val="nil"/>
                  </w:tcBorders>
                  <w:vAlign w:val="center"/>
                </w:tcPr>
                <w:p w14:paraId="19262844">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eastAsia="宋体" w:cs="Times New Roman"/>
                      <w:color w:val="auto"/>
                      <w:lang w:eastAsia="zh-CN"/>
                    </w:rPr>
                    <w:t>本项目属于金属结构制造和金属门窗制造行业，对照《产业结构调整指导目录》（2024年本），本项目不属于“限制类”和“禁止类”，</w:t>
                  </w:r>
                  <w:r>
                    <w:rPr>
                      <w:rFonts w:hint="eastAsia" w:ascii="Times New Roman" w:hAnsi="Times New Roman" w:eastAsia="宋体" w:cs="Times New Roman"/>
                      <w:color w:val="auto"/>
                      <w:lang w:val="en-US" w:eastAsia="zh-CN"/>
                    </w:rPr>
                    <w:t>视为“允许类”，</w:t>
                  </w:r>
                  <w:r>
                    <w:rPr>
                      <w:rFonts w:ascii="Times New Roman" w:hAnsi="Times New Roman" w:eastAsia="宋体" w:cs="Times New Roman"/>
                      <w:color w:val="auto"/>
                      <w:lang w:eastAsia="zh-CN"/>
                    </w:rPr>
                    <w:t>与濉溪经济开发区主导产业不冲突；本项目</w:t>
                  </w:r>
                  <w:r>
                    <w:rPr>
                      <w:rFonts w:hint="eastAsia" w:ascii="Times New Roman" w:hAnsi="Times New Roman" w:eastAsia="宋体" w:cs="Times New Roman"/>
                      <w:color w:val="auto"/>
                      <w:lang w:val="en-US" w:eastAsia="zh-CN"/>
                    </w:rPr>
                    <w:t>废气</w:t>
                  </w:r>
                  <w:r>
                    <w:rPr>
                      <w:rFonts w:ascii="Times New Roman" w:hAnsi="Times New Roman" w:eastAsia="宋体" w:cs="Times New Roman"/>
                      <w:color w:val="auto"/>
                      <w:lang w:eastAsia="zh-CN"/>
                    </w:rPr>
                    <w:t>污染物排放量较小，符合《安徽濉溪经济开发区总体发展规划（2023-2035）环境影响报告书》中表9.2.5-1安徽濉溪经济开发区生态环境准入清单一览表（近期）的要求。</w:t>
                  </w:r>
                </w:p>
              </w:tc>
              <w:tc>
                <w:tcPr>
                  <w:tcW w:w="443" w:type="pct"/>
                  <w:tcBorders>
                    <w:tl2br w:val="nil"/>
                    <w:tr2bl w:val="nil"/>
                  </w:tcBorders>
                  <w:vAlign w:val="center"/>
                </w:tcPr>
                <w:p w14:paraId="67E387E6">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符合</w:t>
                  </w:r>
                </w:p>
              </w:tc>
            </w:tr>
            <w:tr w14:paraId="58D1B1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361" w:type="pct"/>
                  <w:tcBorders>
                    <w:tl2br w:val="nil"/>
                    <w:tr2bl w:val="nil"/>
                  </w:tcBorders>
                  <w:vAlign w:val="center"/>
                </w:tcPr>
                <w:p w14:paraId="4C597E89">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p>
              </w:tc>
              <w:tc>
                <w:tcPr>
                  <w:tcW w:w="2322" w:type="pct"/>
                  <w:tcBorders>
                    <w:tl2br w:val="nil"/>
                    <w:tr2bl w:val="nil"/>
                  </w:tcBorders>
                  <w:vAlign w:val="center"/>
                </w:tcPr>
                <w:p w14:paraId="20583386">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六)完善环境监测体系，加强生态环境风险防控。统筹考虑区域内污染物排放、水环境保护、环境风险防范、环境管理、化工片区防护带规划管控、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落实化工区环境风险三级防控措施，区块一化工片区建立环境风险三级防控措施前严禁新(改、扩)建化工项目，健全水、气、土等各环境要素的环境监控体系。在规划实施过程中，适时开展规划环境影响的跟踪评价。结合规划环评和跟踪评价成果，同步更新“区域评估+环境标准”成果</w:t>
                  </w:r>
                  <w:r>
                    <w:rPr>
                      <w:rFonts w:ascii="Times New Roman" w:hAnsi="Times New Roman" w:eastAsia="宋体" w:cs="Times New Roman"/>
                      <w:color w:val="auto"/>
                      <w:lang w:eastAsia="zh-CN"/>
                    </w:rPr>
                    <w:t>。</w:t>
                  </w:r>
                </w:p>
              </w:tc>
              <w:tc>
                <w:tcPr>
                  <w:tcW w:w="1872" w:type="pct"/>
                  <w:tcBorders>
                    <w:tl2br w:val="nil"/>
                    <w:tr2bl w:val="nil"/>
                  </w:tcBorders>
                  <w:vAlign w:val="center"/>
                </w:tcPr>
                <w:p w14:paraId="72BD68C7">
                  <w:pPr>
                    <w:pStyle w:val="33"/>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本项目不属于化工项目，不在化工园区，且本项目运营期拟制定突发环境事件应急预案。</w:t>
                  </w:r>
                </w:p>
              </w:tc>
              <w:tc>
                <w:tcPr>
                  <w:tcW w:w="443" w:type="pct"/>
                  <w:tcBorders>
                    <w:tl2br w:val="nil"/>
                    <w:tr2bl w:val="nil"/>
                  </w:tcBorders>
                  <w:vAlign w:val="center"/>
                </w:tcPr>
                <w:p w14:paraId="676996F9">
                  <w:pPr>
                    <w:pStyle w:val="33"/>
                    <w:widowControl w:val="0"/>
                    <w:kinsoku/>
                    <w:autoSpaceDE/>
                    <w:autoSpaceDN/>
                    <w:adjustRightInd/>
                    <w:snapToGrid/>
                    <w:textAlignment w:val="auto"/>
                    <w:rPr>
                      <w:rFonts w:ascii="Times New Roman" w:hAnsi="Times New Roman" w:cs="Times New Roman"/>
                      <w:color w:val="auto"/>
                    </w:rPr>
                  </w:pPr>
                </w:p>
              </w:tc>
            </w:tr>
          </w:tbl>
          <w:p w14:paraId="1E23D7D9">
            <w:pPr>
              <w:pStyle w:val="31"/>
              <w:adjustRightInd/>
              <w:snapToGrid/>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本项目属于【</w:t>
            </w:r>
            <w:r>
              <w:rPr>
                <w:rFonts w:ascii="Times New Roman" w:hAnsi="Times New Roman" w:cs="Times New Roman"/>
                <w:color w:val="auto"/>
              </w:rPr>
              <w:t>C</w:t>
            </w:r>
            <w:r>
              <w:rPr>
                <w:rFonts w:ascii="Times New Roman" w:hAnsi="Times New Roman" w:cs="Times New Roman"/>
                <w:color w:val="auto"/>
                <w:lang w:eastAsia="zh-CN"/>
              </w:rPr>
              <w:t>3311</w:t>
            </w:r>
            <w:r>
              <w:rPr>
                <w:rFonts w:ascii="Times New Roman" w:hAnsi="Times New Roman" w:eastAsia="宋体" w:cs="Times New Roman"/>
                <w:color w:val="auto"/>
                <w:lang w:eastAsia="zh-CN"/>
              </w:rPr>
              <w:t>】</w:t>
            </w:r>
            <w:r>
              <w:rPr>
                <w:rFonts w:ascii="Times New Roman" w:hAnsi="Times New Roman" w:cs="Times New Roman"/>
                <w:color w:val="auto"/>
                <w:lang w:eastAsia="zh-CN"/>
              </w:rPr>
              <w:t>金属结构制造；</w:t>
            </w:r>
            <w:r>
              <w:rPr>
                <w:rFonts w:ascii="Times New Roman" w:hAnsi="Times New Roman" w:eastAsia="宋体" w:cs="Times New Roman"/>
                <w:color w:val="auto"/>
                <w:lang w:eastAsia="zh-CN"/>
              </w:rPr>
              <w:t>【</w:t>
            </w:r>
            <w:r>
              <w:rPr>
                <w:rFonts w:ascii="Times New Roman" w:hAnsi="Times New Roman" w:cs="Times New Roman"/>
                <w:color w:val="auto"/>
              </w:rPr>
              <w:t>C</w:t>
            </w:r>
            <w:r>
              <w:rPr>
                <w:rFonts w:ascii="Times New Roman" w:hAnsi="Times New Roman" w:cs="Times New Roman"/>
                <w:color w:val="auto"/>
                <w:lang w:eastAsia="zh-CN"/>
              </w:rPr>
              <w:t>3312</w:t>
            </w:r>
            <w:r>
              <w:rPr>
                <w:rFonts w:ascii="Times New Roman" w:hAnsi="Times New Roman" w:eastAsia="宋体" w:cs="Times New Roman"/>
                <w:color w:val="auto"/>
                <w:lang w:eastAsia="zh-CN"/>
              </w:rPr>
              <w:t>】金属门窗制作，符合国家产业政策要求，符合安徽濉溪经济开发区总体发展规划要求。项目运营期严格落实相关治理措施，对区域环境质量影响较小，故本项目符合《安徽濉溪经济开发区总体发展规划（2023-2035）规划环境影响报告书》及其审查意见的要求</w:t>
            </w:r>
            <w:r>
              <w:rPr>
                <w:rFonts w:hint="eastAsia" w:ascii="Times New Roman" w:hAnsi="Times New Roman" w:eastAsia="宋体" w:cs="Times New Roman"/>
                <w:color w:val="auto"/>
                <w:lang w:eastAsia="zh-CN"/>
              </w:rPr>
              <w:t>。</w:t>
            </w:r>
          </w:p>
        </w:tc>
      </w:tr>
      <w:tr w14:paraId="7B9615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349" w:type="dxa"/>
            <w:tcBorders>
              <w:tl2br w:val="nil"/>
              <w:tr2bl w:val="nil"/>
            </w:tcBorders>
            <w:vAlign w:val="center"/>
          </w:tcPr>
          <w:p w14:paraId="0281D7C1">
            <w:pPr>
              <w:jc w:val="center"/>
              <w:rPr>
                <w:rFonts w:ascii="Times New Roman" w:hAnsi="Times New Roman" w:cs="Times New Roman"/>
                <w:color w:val="auto"/>
                <w:sz w:val="24"/>
                <w:szCs w:val="24"/>
              </w:rPr>
            </w:pPr>
            <w:r>
              <w:rPr>
                <w:rFonts w:ascii="Times New Roman" w:hAnsi="Times New Roman" w:cs="Times New Roman"/>
                <w:color w:val="auto"/>
                <w:sz w:val="24"/>
                <w:szCs w:val="24"/>
              </w:rPr>
              <w:t>其他符合性分析</w:t>
            </w:r>
          </w:p>
        </w:tc>
        <w:tc>
          <w:tcPr>
            <w:tcW w:w="8699" w:type="dxa"/>
            <w:gridSpan w:val="3"/>
            <w:tcBorders>
              <w:tl2br w:val="nil"/>
              <w:tr2bl w:val="nil"/>
            </w:tcBorders>
            <w:vAlign w:val="center"/>
          </w:tcPr>
          <w:p w14:paraId="2C8D8BA5">
            <w:pPr>
              <w:widowControl w:val="0"/>
              <w:kinsoku/>
              <w:autoSpaceDE/>
              <w:autoSpaceDN/>
              <w:adjustRightInd/>
              <w:snapToGrid/>
              <w:spacing w:line="360" w:lineRule="auto"/>
              <w:textAlignment w:val="auto"/>
              <w:rPr>
                <w:rFonts w:ascii="Times New Roman" w:hAnsi="Times New Roman" w:cs="Times New Roman"/>
                <w:b/>
                <w:bCs/>
                <w:color w:val="auto"/>
                <w:sz w:val="24"/>
                <w:szCs w:val="24"/>
              </w:rPr>
            </w:pPr>
            <w:r>
              <w:rPr>
                <w:rFonts w:ascii="Times New Roman" w:hAnsi="Times New Roman" w:cs="Times New Roman"/>
                <w:b/>
                <w:bCs/>
                <w:color w:val="auto"/>
                <w:sz w:val="24"/>
                <w:szCs w:val="24"/>
              </w:rPr>
              <w:t>1、产业相符性分析</w:t>
            </w:r>
          </w:p>
          <w:p w14:paraId="48D8007C">
            <w:pPr>
              <w:kinsoku/>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根据《产业结构调整指导目录（2024年本）》，本项目不属于鼓励类、限制类和淘汰类，属于允许类项目。</w:t>
            </w:r>
          </w:p>
          <w:p w14:paraId="63660FE5">
            <w:pPr>
              <w:adjustRightInd/>
              <w:snapToGrid/>
              <w:spacing w:line="360" w:lineRule="auto"/>
              <w:ind w:firstLine="480" w:firstLineChars="200"/>
              <w:jc w:val="both"/>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本项目已于</w:t>
            </w:r>
            <w:r>
              <w:rPr>
                <w:rFonts w:ascii="Times New Roman" w:hAnsi="Times New Roman" w:eastAsia="宋体" w:cs="Times New Roman"/>
                <w:color w:val="auto"/>
                <w:sz w:val="24"/>
                <w:szCs w:val="24"/>
              </w:rPr>
              <w:t>202</w:t>
            </w:r>
            <w:r>
              <w:rPr>
                <w:rFonts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rPr>
              <w:t>年</w:t>
            </w:r>
            <w:r>
              <w:rPr>
                <w:rFonts w:ascii="Times New Roman" w:hAnsi="Times New Roman" w:eastAsia="宋体" w:cs="Times New Roman"/>
                <w:color w:val="auto"/>
                <w:sz w:val="24"/>
                <w:szCs w:val="24"/>
                <w:lang w:eastAsia="zh-CN"/>
              </w:rPr>
              <w:t>05</w:t>
            </w:r>
            <w:r>
              <w:rPr>
                <w:rFonts w:ascii="Times New Roman" w:hAnsi="Times New Roman" w:eastAsia="宋体" w:cs="Times New Roman"/>
                <w:color w:val="auto"/>
                <w:sz w:val="24"/>
                <w:szCs w:val="24"/>
              </w:rPr>
              <w:t>月</w:t>
            </w:r>
            <w:r>
              <w:rPr>
                <w:rFonts w:ascii="Times New Roman" w:hAnsi="Times New Roman" w:eastAsia="宋体" w:cs="Times New Roman"/>
                <w:color w:val="auto"/>
                <w:sz w:val="24"/>
                <w:szCs w:val="24"/>
                <w:lang w:eastAsia="zh-CN"/>
              </w:rPr>
              <w:t>20</w:t>
            </w:r>
            <w:r>
              <w:rPr>
                <w:rFonts w:ascii="Times New Roman" w:hAnsi="Times New Roman" w:eastAsia="宋体" w:cs="Times New Roman"/>
                <w:color w:val="auto"/>
                <w:sz w:val="24"/>
                <w:szCs w:val="24"/>
              </w:rPr>
              <w:t>日</w:t>
            </w:r>
            <w:r>
              <w:rPr>
                <w:rFonts w:ascii="Times New Roman" w:hAnsi="Times New Roman" w:eastAsia="宋体" w:cs="Times New Roman"/>
                <w:color w:val="auto"/>
                <w:sz w:val="24"/>
                <w:szCs w:val="24"/>
                <w:lang w:eastAsia="zh-CN" w:bidi="ar"/>
              </w:rPr>
              <w:t>由</w:t>
            </w:r>
            <w:r>
              <w:rPr>
                <w:rFonts w:ascii="Times New Roman" w:hAnsi="Times New Roman" w:eastAsia="宋体" w:cs="Times New Roman"/>
                <w:color w:val="auto"/>
                <w:sz w:val="24"/>
                <w:szCs w:val="24"/>
                <w:lang w:eastAsia="zh-CN"/>
              </w:rPr>
              <w:t>濉溪县发展改革委</w:t>
            </w:r>
            <w:r>
              <w:rPr>
                <w:rFonts w:ascii="Times New Roman" w:hAnsi="Times New Roman" w:eastAsia="宋体" w:cs="Times New Roman"/>
                <w:color w:val="auto"/>
                <w:sz w:val="24"/>
                <w:szCs w:val="24"/>
                <w:lang w:eastAsia="zh-CN" w:bidi="ar"/>
              </w:rPr>
              <w:t>予以备案。项目代码为</w:t>
            </w:r>
            <w:r>
              <w:rPr>
                <w:rFonts w:ascii="Times New Roman" w:hAnsi="Times New Roman" w:eastAsia="新宋体" w:cs="Times New Roman"/>
                <w:sz w:val="24"/>
                <w:szCs w:val="24"/>
                <w:lang w:eastAsia="zh-CN" w:bidi="ar"/>
              </w:rPr>
              <w:t>2505-340621-04-01-715664</w:t>
            </w:r>
            <w:r>
              <w:rPr>
                <w:rFonts w:ascii="Times New Roman" w:hAnsi="Times New Roman" w:eastAsia="宋体" w:cs="Times New Roman"/>
                <w:color w:val="auto"/>
                <w:sz w:val="24"/>
                <w:szCs w:val="24"/>
                <w:lang w:eastAsia="zh-CN" w:bidi="ar"/>
              </w:rPr>
              <w:t>。</w:t>
            </w:r>
          </w:p>
          <w:p w14:paraId="53977B4C">
            <w:pPr>
              <w:pStyle w:val="19"/>
              <w:widowControl w:val="0"/>
              <w:kinsoku/>
              <w:adjustRightInd/>
              <w:snapToGrid/>
              <w:spacing w:before="0" w:beforeAutospacing="0" w:after="0" w:afterAutospacing="0" w:line="360" w:lineRule="auto"/>
              <w:ind w:firstLine="480" w:firstLineChars="200"/>
              <w:jc w:val="both"/>
              <w:rPr>
                <w:rFonts w:ascii="Times New Roman" w:hAnsi="Times New Roman" w:eastAsia="宋体" w:cs="Times New Roman"/>
                <w:b/>
                <w:bCs/>
                <w:color w:val="auto"/>
                <w:kern w:val="2"/>
                <w:szCs w:val="24"/>
                <w:lang w:eastAsia="zh-CN" w:bidi="ar"/>
              </w:rPr>
            </w:pPr>
            <w:r>
              <w:rPr>
                <w:rFonts w:ascii="Times New Roman" w:hAnsi="Times New Roman" w:eastAsia="宋体" w:cs="Times New Roman"/>
                <w:color w:val="auto"/>
                <w:szCs w:val="24"/>
                <w:lang w:eastAsia="zh-CN" w:bidi="ar"/>
              </w:rPr>
              <w:t>因此，本项目的建设符合国家和地方产业政策要求。</w:t>
            </w:r>
          </w:p>
          <w:p w14:paraId="52FF7625">
            <w:pPr>
              <w:pStyle w:val="19"/>
              <w:widowControl w:val="0"/>
              <w:kinsoku/>
              <w:adjustRightInd/>
              <w:snapToGrid/>
              <w:spacing w:before="0" w:beforeAutospacing="0" w:after="0" w:afterAutospacing="0" w:line="360" w:lineRule="auto"/>
              <w:jc w:val="both"/>
              <w:rPr>
                <w:rFonts w:ascii="Times New Roman" w:hAnsi="Times New Roman" w:cs="Times New Roman"/>
                <w:color w:val="auto"/>
                <w:szCs w:val="24"/>
              </w:rPr>
            </w:pPr>
            <w:r>
              <w:rPr>
                <w:rFonts w:ascii="Times New Roman" w:hAnsi="Times New Roman" w:eastAsia="宋体" w:cs="Times New Roman"/>
                <w:b/>
                <w:bCs/>
                <w:color w:val="auto"/>
                <w:kern w:val="2"/>
                <w:szCs w:val="24"/>
                <w:lang w:eastAsia="zh-CN" w:bidi="ar"/>
              </w:rPr>
              <w:t>2、</w:t>
            </w:r>
            <w:r>
              <w:rPr>
                <w:rFonts w:ascii="Times New Roman" w:hAnsi="Times New Roman" w:eastAsia="宋体" w:cs="Times New Roman"/>
                <w:b/>
                <w:color w:val="auto"/>
                <w:szCs w:val="24"/>
                <w:lang w:eastAsia="zh-CN"/>
              </w:rPr>
              <w:t>项目选址合理性及周边环境相容性分析</w:t>
            </w:r>
          </w:p>
          <w:p w14:paraId="359D90E1">
            <w:pPr>
              <w:kinsoku/>
              <w:adjustRightInd/>
              <w:snapToGrid/>
              <w:spacing w:line="360" w:lineRule="auto"/>
              <w:ind w:firstLine="480" w:firstLineChars="200"/>
              <w:rPr>
                <w:rFonts w:hint="default" w:ascii="Times New Roman" w:hAnsi="Times New Roman" w:eastAsia="宋体" w:cs="Times New Roman"/>
                <w:sz w:val="24"/>
                <w:lang w:val="en-US" w:eastAsia="zh-CN"/>
              </w:rPr>
            </w:pPr>
            <w:r>
              <w:rPr>
                <w:rFonts w:ascii="Times New Roman" w:hAnsi="Times New Roman" w:cs="Times New Roman"/>
                <w:sz w:val="24"/>
              </w:rPr>
              <w:t>（1）</w:t>
            </w:r>
            <w:r>
              <w:rPr>
                <w:rFonts w:hint="eastAsia" w:ascii="Times New Roman" w:hAnsi="Times New Roman" w:eastAsia="宋体" w:cs="Times New Roman"/>
                <w:sz w:val="24"/>
                <w:lang w:val="en-US" w:eastAsia="zh-CN"/>
              </w:rPr>
              <w:t>选址合理性</w:t>
            </w:r>
          </w:p>
          <w:p w14:paraId="06B4CD6C">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本项目租赁</w:t>
            </w:r>
            <w:r>
              <w:rPr>
                <w:rFonts w:ascii="Times New Roman" w:hAnsi="Times New Roman" w:eastAsia="宋体" w:cs="Times New Roman"/>
                <w:color w:val="auto"/>
                <w:sz w:val="24"/>
                <w:szCs w:val="24"/>
                <w:lang w:eastAsia="zh-CN"/>
              </w:rPr>
              <w:t>安徽蓝达建材有限公司已建厂房</w:t>
            </w:r>
            <w:r>
              <w:rPr>
                <w:rFonts w:ascii="Times New Roman" w:hAnsi="Times New Roman" w:eastAsia="宋体" w:cs="Times New Roman"/>
                <w:color w:val="auto"/>
                <w:sz w:val="24"/>
                <w:szCs w:val="24"/>
              </w:rPr>
              <w:t>进行生产运营，用地性质为工业用地，符合</w:t>
            </w:r>
            <w:r>
              <w:rPr>
                <w:rFonts w:ascii="Times New Roman" w:hAnsi="Times New Roman" w:eastAsia="宋体" w:cs="Times New Roman"/>
                <w:color w:val="auto"/>
                <w:sz w:val="24"/>
                <w:szCs w:val="24"/>
                <w:lang w:eastAsia="zh-CN"/>
              </w:rPr>
              <w:t>安徽濉溪经济开发区</w:t>
            </w:r>
            <w:r>
              <w:rPr>
                <w:rFonts w:ascii="Times New Roman" w:hAnsi="Times New Roman" w:eastAsia="宋体" w:cs="Times New Roman"/>
                <w:color w:val="auto"/>
                <w:sz w:val="24"/>
                <w:szCs w:val="24"/>
              </w:rPr>
              <w:t>相关规划。</w:t>
            </w:r>
          </w:p>
          <w:p w14:paraId="70A193C8">
            <w:pPr>
              <w:kinsoku/>
              <w:adjustRightInd/>
              <w:snapToGrid/>
              <w:spacing w:line="360" w:lineRule="auto"/>
              <w:ind w:firstLine="480" w:firstLineChars="200"/>
              <w:rPr>
                <w:rFonts w:ascii="Times New Roman" w:hAnsi="Times New Roman" w:cs="Times New Roman"/>
                <w:sz w:val="24"/>
              </w:rPr>
            </w:pPr>
            <w:r>
              <w:rPr>
                <w:rFonts w:ascii="Times New Roman" w:hAnsi="Times New Roman" w:eastAsia="宋体" w:cs="Times New Roman"/>
                <w:color w:val="auto"/>
                <w:sz w:val="24"/>
                <w:szCs w:val="24"/>
              </w:rPr>
              <w:t>项目不侵占基本农田，项目周边无风景名胜区及自然保护区，</w:t>
            </w:r>
            <w:r>
              <w:rPr>
                <w:rFonts w:hint="eastAsia" w:ascii="Times New Roman" w:hAnsi="Times New Roman" w:eastAsia="宋体" w:cs="Times New Roman"/>
                <w:color w:val="auto"/>
                <w:sz w:val="24"/>
                <w:szCs w:val="24"/>
                <w:lang w:val="en-US" w:eastAsia="zh-CN"/>
              </w:rPr>
              <w:t>项目500m范围内保护目标为位于本项目东南侧218m的</w:t>
            </w:r>
            <w:r>
              <w:rPr>
                <w:rFonts w:ascii="Times New Roman" w:hAnsi="Times New Roman" w:eastAsia="宋体" w:cs="Times New Roman"/>
                <w:color w:val="auto"/>
                <w:sz w:val="24"/>
                <w:szCs w:val="24"/>
                <w:lang w:eastAsia="zh-CN"/>
              </w:rPr>
              <w:t>濉溪开发区双创人才公寓</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项目工艺较为简单，排放污染物在采取本报告提出的措施后，</w:t>
            </w:r>
            <w:r>
              <w:rPr>
                <w:rFonts w:hint="eastAsia" w:ascii="Times New Roman" w:hAnsi="Times New Roman" w:eastAsia="宋体" w:cs="Times New Roman"/>
                <w:color w:val="auto"/>
                <w:sz w:val="24"/>
                <w:szCs w:val="24"/>
                <w:lang w:val="en-US" w:eastAsia="zh-CN"/>
              </w:rPr>
              <w:t>对周边环境影响较小</w:t>
            </w:r>
            <w:r>
              <w:rPr>
                <w:rFonts w:ascii="Times New Roman" w:hAnsi="Times New Roman" w:eastAsia="宋体" w:cs="Times New Roman"/>
                <w:color w:val="auto"/>
                <w:sz w:val="24"/>
                <w:szCs w:val="24"/>
              </w:rPr>
              <w:t>，不会改变环境功能。因此从选址的敏感性、产业政策及环境影响可接受性等分析结果综合来看，其选址及建设具有环境可行性。</w:t>
            </w:r>
            <w:r>
              <w:rPr>
                <w:rFonts w:ascii="Times New Roman" w:hAnsi="Times New Roman" w:cs="Times New Roman"/>
                <w:sz w:val="24"/>
              </w:rPr>
              <w:t>厂区布局合理，交通方便，水电供应可靠，因此项目选址合理。</w:t>
            </w:r>
          </w:p>
          <w:p w14:paraId="24731D15">
            <w:pPr>
              <w:kinsoku/>
              <w:adjustRightInd/>
              <w:snapToGrid/>
              <w:spacing w:line="360" w:lineRule="auto"/>
              <w:ind w:firstLine="480" w:firstLineChars="200"/>
              <w:rPr>
                <w:rFonts w:ascii="Times New Roman" w:hAnsi="Times New Roman" w:cs="Times New Roman"/>
                <w:color w:val="auto"/>
                <w:sz w:val="24"/>
                <w:szCs w:val="24"/>
              </w:rPr>
            </w:pPr>
            <w:r>
              <w:rPr>
                <w:rFonts w:ascii="Times New Roman" w:hAnsi="Times New Roman" w:cs="Times New Roman"/>
                <w:sz w:val="24"/>
              </w:rPr>
              <w:t>（</w:t>
            </w:r>
            <w:r>
              <w:rPr>
                <w:rFonts w:hint="eastAsia" w:ascii="Times New Roman" w:hAnsi="Times New Roman" w:eastAsia="宋体" w:cs="Times New Roman"/>
                <w:sz w:val="24"/>
                <w:lang w:val="en-US" w:eastAsia="zh-CN"/>
              </w:rPr>
              <w:t>2</w:t>
            </w:r>
            <w:r>
              <w:rPr>
                <w:rFonts w:ascii="Times New Roman" w:hAnsi="Times New Roman" w:cs="Times New Roman"/>
                <w:sz w:val="24"/>
              </w:rPr>
              <w:t>）环境相容性</w:t>
            </w:r>
          </w:p>
          <w:p w14:paraId="0E967B4D">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eastAsia="宋体" w:cs="Times New Roman"/>
                <w:color w:val="auto"/>
                <w:sz w:val="24"/>
                <w:szCs w:val="24"/>
              </w:rPr>
              <w:t>本项目租赁</w:t>
            </w:r>
            <w:r>
              <w:rPr>
                <w:rFonts w:ascii="Times New Roman" w:hAnsi="Times New Roman" w:eastAsia="宋体" w:cs="Times New Roman"/>
                <w:color w:val="auto"/>
                <w:sz w:val="24"/>
                <w:szCs w:val="24"/>
                <w:lang w:eastAsia="zh-CN"/>
              </w:rPr>
              <w:t>安徽蓝达建材有限公司已建厂房</w:t>
            </w:r>
            <w:r>
              <w:rPr>
                <w:rFonts w:ascii="Times New Roman" w:hAnsi="Times New Roman" w:eastAsia="宋体" w:cs="Times New Roman"/>
                <w:color w:val="auto"/>
                <w:sz w:val="24"/>
                <w:szCs w:val="24"/>
              </w:rPr>
              <w:t>进行生产运营</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用地</w:t>
            </w:r>
            <w:r>
              <w:rPr>
                <w:rFonts w:ascii="Times New Roman" w:hAnsi="Times New Roman" w:cs="Times New Roman"/>
                <w:color w:val="auto"/>
                <w:sz w:val="24"/>
                <w:szCs w:val="24"/>
                <w:lang w:eastAsia="zh-CN"/>
              </w:rPr>
              <w:t>性质</w:t>
            </w:r>
            <w:r>
              <w:rPr>
                <w:rFonts w:ascii="Times New Roman" w:hAnsi="Times New Roman" w:cs="Times New Roman"/>
                <w:color w:val="auto"/>
                <w:sz w:val="24"/>
                <w:szCs w:val="24"/>
              </w:rPr>
              <w:t>为工业用地，</w:t>
            </w:r>
            <w:r>
              <w:rPr>
                <w:rFonts w:ascii="Times New Roman" w:hAnsi="Times New Roman" w:cs="Times New Roman"/>
                <w:color w:val="auto"/>
                <w:sz w:val="24"/>
                <w:szCs w:val="24"/>
                <w:lang w:eastAsia="zh-CN"/>
              </w:rPr>
              <w:t>项目东侧为</w:t>
            </w:r>
            <w:r>
              <w:rPr>
                <w:rFonts w:hint="eastAsia" w:ascii="Times New Roman" w:hAnsi="Times New Roman" w:cs="Times New Roman"/>
                <w:color w:val="auto"/>
                <w:sz w:val="24"/>
                <w:szCs w:val="24"/>
                <w:lang w:eastAsia="zh-CN"/>
              </w:rPr>
              <w:t>山茶路</w:t>
            </w:r>
            <w:r>
              <w:rPr>
                <w:rFonts w:ascii="Times New Roman" w:hAnsi="Times New Roman" w:cs="Times New Roman"/>
                <w:color w:val="auto"/>
                <w:sz w:val="24"/>
                <w:szCs w:val="24"/>
                <w:lang w:eastAsia="zh-CN"/>
              </w:rPr>
              <w:t>，南侧为</w:t>
            </w:r>
            <w:r>
              <w:rPr>
                <w:rFonts w:hint="eastAsia" w:ascii="Times New Roman" w:hAnsi="Times New Roman" w:cs="Times New Roman"/>
                <w:color w:val="auto"/>
                <w:sz w:val="24"/>
                <w:szCs w:val="24"/>
                <w:lang w:eastAsia="zh-CN"/>
              </w:rPr>
              <w:t>厂区空置厂房</w:t>
            </w:r>
            <w:r>
              <w:rPr>
                <w:rFonts w:ascii="Times New Roman" w:hAnsi="Times New Roman" w:cs="Times New Roman"/>
                <w:color w:val="auto"/>
                <w:sz w:val="24"/>
                <w:szCs w:val="24"/>
                <w:lang w:eastAsia="zh-CN"/>
              </w:rPr>
              <w:t>，北侧</w:t>
            </w:r>
            <w:r>
              <w:rPr>
                <w:rFonts w:hint="eastAsia" w:ascii="Times New Roman" w:hAnsi="Times New Roman" w:cs="Times New Roman"/>
                <w:color w:val="auto"/>
                <w:sz w:val="24"/>
                <w:szCs w:val="24"/>
                <w:lang w:eastAsia="zh-CN"/>
              </w:rPr>
              <w:t>为安徽斯瓦克汽车配件有限公司</w:t>
            </w:r>
            <w:r>
              <w:rPr>
                <w:rFonts w:ascii="Times New Roman" w:hAnsi="Times New Roman" w:cs="Times New Roman"/>
                <w:color w:val="auto"/>
                <w:sz w:val="24"/>
                <w:szCs w:val="24"/>
                <w:lang w:eastAsia="zh-CN"/>
              </w:rPr>
              <w:t>，西侧为</w:t>
            </w:r>
            <w:r>
              <w:rPr>
                <w:rFonts w:hint="eastAsia" w:ascii="Times New Roman" w:hAnsi="Times New Roman" w:cs="Times New Roman"/>
                <w:color w:val="auto"/>
                <w:sz w:val="24"/>
                <w:szCs w:val="24"/>
                <w:lang w:eastAsia="zh-CN"/>
              </w:rPr>
              <w:t>安徽艾瑞库车业有限公司和安徽一灯能源建设有限公司</w:t>
            </w:r>
            <w:r>
              <w:rPr>
                <w:rFonts w:ascii="Times New Roman" w:hAnsi="Times New Roman" w:cs="Times New Roman"/>
                <w:color w:val="auto"/>
                <w:sz w:val="24"/>
                <w:szCs w:val="24"/>
              </w:rPr>
              <w:t>。项目周边无对环境敏感企业，无自然保护区、风景名胜区及文物保护区等敏感目标。项目在严格落实本评价要求的各项污染防治措施且正常运行后，各项污染达标排放情况下，对周围环境影响较小，因此项目与周边环境相容，选址符合要求。通过采取相应的环保措施，项目的运营对周边环境影响较小。</w:t>
            </w:r>
          </w:p>
          <w:p w14:paraId="07D91976">
            <w:pPr>
              <w:kinsoku/>
              <w:adjustRightInd/>
              <w:snapToGrid/>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综上所述，本项目的选址符合区域土地利用总体规划，项目各项污染物在各项处理措施建设实施后，能够达标排放，与周边环境相容；项目投入运行后对周围环境影响在可接受范围内，不会改变当地的环境功能。因此本项目选址是可行的。</w:t>
            </w:r>
          </w:p>
          <w:p w14:paraId="00BADD66">
            <w:pPr>
              <w:rPr>
                <w:rFonts w:ascii="Times New Roman" w:hAnsi="Times New Roman" w:cs="Times New Roman"/>
                <w:b/>
                <w:bCs/>
                <w:color w:val="auto"/>
                <w:sz w:val="24"/>
                <w:szCs w:val="32"/>
              </w:rPr>
            </w:pPr>
            <w:r>
              <w:rPr>
                <w:rFonts w:ascii="Times New Roman" w:hAnsi="Times New Roman" w:cs="Times New Roman"/>
                <w:b/>
                <w:bCs/>
                <w:color w:val="auto"/>
                <w:sz w:val="24"/>
                <w:szCs w:val="32"/>
                <w:lang w:eastAsia="zh-CN"/>
              </w:rPr>
              <w:t>3</w:t>
            </w:r>
            <w:r>
              <w:rPr>
                <w:rFonts w:ascii="Times New Roman" w:hAnsi="Times New Roman" w:cs="Times New Roman"/>
                <w:b/>
                <w:bCs/>
                <w:color w:val="auto"/>
                <w:sz w:val="24"/>
                <w:szCs w:val="32"/>
              </w:rPr>
              <w:t>、“三线一单”</w:t>
            </w:r>
            <w:r>
              <w:rPr>
                <w:rFonts w:ascii="Times New Roman" w:hAnsi="Times New Roman" w:eastAsia="宋体" w:cs="Times New Roman"/>
                <w:b/>
                <w:bCs/>
                <w:color w:val="auto"/>
                <w:sz w:val="24"/>
                <w:szCs w:val="24"/>
                <w:lang w:eastAsia="zh-CN"/>
              </w:rPr>
              <w:t>及分区管控符合性分析</w:t>
            </w:r>
          </w:p>
          <w:p w14:paraId="1D503572">
            <w:pPr>
              <w:pStyle w:val="2"/>
              <w:kinsoku/>
              <w:autoSpaceDE/>
              <w:autoSpaceDN/>
              <w:adjustRightInd/>
              <w:snapToGrid/>
              <w:spacing w:before="0" w:after="0" w:line="360" w:lineRule="auto"/>
              <w:ind w:right="0" w:firstLine="480" w:firstLineChars="200"/>
              <w:textAlignment w:val="auto"/>
              <w:rPr>
                <w:rFonts w:ascii="Times New Roman" w:hAnsi="Times New Roman" w:eastAsia="宋体" w:cs="Times New Roman"/>
                <w:bCs/>
                <w:color w:val="auto"/>
                <w:kern w:val="2"/>
                <w:sz w:val="24"/>
                <w:szCs w:val="24"/>
                <w:lang w:eastAsia="zh-CN"/>
              </w:rPr>
            </w:pPr>
            <w:r>
              <w:rPr>
                <w:rFonts w:ascii="Times New Roman" w:hAnsi="Times New Roman" w:eastAsia="宋体" w:cs="Times New Roman"/>
                <w:bCs/>
                <w:color w:val="auto"/>
                <w:kern w:val="2"/>
                <w:sz w:val="24"/>
                <w:szCs w:val="24"/>
                <w:lang w:eastAsia="zh-CN"/>
              </w:rPr>
              <w:t>（1）生态红线</w:t>
            </w:r>
          </w:p>
          <w:p w14:paraId="3FB1C60E">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本项目选址位于</w:t>
            </w:r>
            <w:r>
              <w:rPr>
                <w:rFonts w:hint="eastAsia" w:ascii="Times New Roman" w:hAnsi="Times New Roman" w:eastAsia="宋体" w:cs="Times New Roman"/>
                <w:color w:val="auto"/>
                <w:sz w:val="24"/>
                <w:szCs w:val="24"/>
                <w:lang w:eastAsia="zh-CN"/>
              </w:rPr>
              <w:t>安徽</w:t>
            </w:r>
            <w:r>
              <w:rPr>
                <w:rFonts w:ascii="Times New Roman" w:hAnsi="Times New Roman" w:cs="Times New Roman"/>
                <w:color w:val="auto"/>
                <w:sz w:val="24"/>
                <w:szCs w:val="24"/>
              </w:rPr>
              <w:t>濉溪经济开发区濉芜产业园区山茶路西侧安徽蓝达建材有限公司厂区内</w:t>
            </w:r>
            <w:r>
              <w:rPr>
                <w:rFonts w:ascii="Times New Roman" w:hAnsi="Times New Roman" w:eastAsia="宋体" w:cs="Times New Roman"/>
                <w:color w:val="auto"/>
                <w:sz w:val="24"/>
                <w:szCs w:val="24"/>
                <w:lang w:eastAsia="zh-CN"/>
              </w:rPr>
              <w:t>，根据调查，建设项目影响范围内无重要生态影响功能区域，根据《安徽省生态功能区划》内容，本项目属于淮北平原北部农业生态亚区中的“滩宿煤炭开采、塌陷恢复与生态保护生态功能区”。主要包括淮北市及萧县南部及濉溪县地区，面积573.9km²。本区位于淮北平原的北部，属黄淮平原的一部分，以冲积平原为主，在东北部和北部有低山丘陵分布。</w:t>
            </w:r>
          </w:p>
          <w:p w14:paraId="0595ABC4">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对照淮北市生态空间图，本项目不涉及生态保护红线。</w:t>
            </w:r>
          </w:p>
          <w:p w14:paraId="5E607174">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（2）环境质量底线</w:t>
            </w:r>
          </w:p>
          <w:p w14:paraId="24B4218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rPr>
              <w:t xml:space="preserve">① </w:t>
            </w:r>
            <w:r>
              <w:rPr>
                <w:rFonts w:ascii="Times New Roman" w:hAnsi="Times New Roman" w:cs="Times New Roman"/>
                <w:color w:val="auto"/>
                <w:sz w:val="24"/>
                <w:szCs w:val="24"/>
                <w:lang w:eastAsia="zh-CN"/>
              </w:rPr>
              <w:t>大气环境质量底线</w:t>
            </w:r>
          </w:p>
          <w:p w14:paraId="5CB5AA5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根据《202</w:t>
            </w:r>
            <w:r>
              <w:rPr>
                <w:rFonts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rPr>
              <w:t>年度淮北市生态环境状况公报》显示</w:t>
            </w:r>
            <w:r>
              <w:rPr>
                <w:rStyle w:val="26"/>
                <w:rFonts w:ascii="Times New Roman" w:hAnsi="Times New Roman" w:eastAsia="宋体" w:cs="Times New Roman"/>
                <w:color w:val="auto"/>
                <w:sz w:val="24"/>
                <w:szCs w:val="24"/>
              </w:rPr>
              <w:t>，</w:t>
            </w:r>
            <w:r>
              <w:rPr>
                <w:rFonts w:ascii="Times New Roman" w:hAnsi="Times New Roman" w:eastAsia="宋体" w:cs="Times New Roman"/>
                <w:color w:val="auto"/>
                <w:sz w:val="24"/>
                <w:szCs w:val="24"/>
              </w:rPr>
              <w:t>项目区域</w:t>
            </w:r>
            <w:r>
              <w:rPr>
                <w:rFonts w:ascii="Times New Roman" w:hAnsi="Times New Roman" w:eastAsia="宋体" w:cs="Times New Roman"/>
                <w:color w:val="auto"/>
                <w:sz w:val="24"/>
                <w:szCs w:val="24"/>
                <w:lang w:eastAsia="zh-CN"/>
              </w:rPr>
              <w:t>SO</w:t>
            </w:r>
            <w:r>
              <w:rPr>
                <w:rFonts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rPr>
              <w:t>、</w:t>
            </w:r>
            <w:r>
              <w:rPr>
                <w:rFonts w:ascii="Times New Roman" w:hAnsi="Times New Roman" w:eastAsia="宋体" w:cs="Times New Roman"/>
                <w:color w:val="auto"/>
                <w:sz w:val="24"/>
                <w:szCs w:val="24"/>
                <w:lang w:eastAsia="zh-CN"/>
              </w:rPr>
              <w:t>NO</w:t>
            </w:r>
            <w:r>
              <w:rPr>
                <w:rFonts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rPr>
              <w:t>、PM</w:t>
            </w:r>
            <w:r>
              <w:rPr>
                <w:rFonts w:ascii="Times New Roman" w:hAnsi="Times New Roman" w:eastAsia="宋体" w:cs="Times New Roman"/>
                <w:color w:val="auto"/>
                <w:sz w:val="24"/>
                <w:szCs w:val="24"/>
                <w:vertAlign w:val="subscript"/>
              </w:rPr>
              <w:t>10</w:t>
            </w:r>
            <w:r>
              <w:rPr>
                <w:rFonts w:ascii="Times New Roman" w:hAnsi="Times New Roman" w:eastAsia="宋体" w:cs="Times New Roman"/>
                <w:color w:val="auto"/>
                <w:sz w:val="24"/>
                <w:szCs w:val="24"/>
              </w:rPr>
              <w:t>年平均浓度及</w:t>
            </w:r>
            <w:r>
              <w:rPr>
                <w:rFonts w:ascii="Times New Roman" w:hAnsi="Times New Roman" w:eastAsia="宋体" w:cs="Times New Roman"/>
                <w:color w:val="auto"/>
                <w:sz w:val="24"/>
                <w:szCs w:val="24"/>
                <w:lang w:eastAsia="zh-CN"/>
              </w:rPr>
              <w:t>CO</w:t>
            </w:r>
            <w:r>
              <w:rPr>
                <w:rFonts w:ascii="Times New Roman" w:hAnsi="Times New Roman" w:eastAsia="宋体" w:cs="Times New Roman"/>
                <w:color w:val="auto"/>
                <w:sz w:val="24"/>
                <w:szCs w:val="24"/>
              </w:rPr>
              <w:t>日均值第95百分位数均达到《环境空气质量标准》（GB3095-2012）二级标准要求；PM</w:t>
            </w:r>
            <w:r>
              <w:rPr>
                <w:rFonts w:ascii="Times New Roman" w:hAnsi="Times New Roman" w:eastAsia="宋体" w:cs="Times New Roman"/>
                <w:color w:val="auto"/>
                <w:sz w:val="24"/>
                <w:szCs w:val="24"/>
                <w:vertAlign w:val="subscript"/>
                <w:lang w:eastAsia="zh-CN"/>
              </w:rPr>
              <w:t>2.5</w:t>
            </w:r>
            <w:r>
              <w:rPr>
                <w:rFonts w:ascii="Times New Roman" w:hAnsi="Times New Roman" w:eastAsia="宋体" w:cs="Times New Roman"/>
                <w:color w:val="auto"/>
                <w:sz w:val="24"/>
                <w:szCs w:val="24"/>
              </w:rPr>
              <w:t>年均浓度和</w:t>
            </w:r>
            <w:r>
              <w:rPr>
                <w:rFonts w:ascii="Times New Roman" w:hAnsi="Times New Roman" w:eastAsia="宋体" w:cs="Times New Roman"/>
                <w:color w:val="auto"/>
                <w:sz w:val="24"/>
                <w:szCs w:val="24"/>
                <w:lang w:eastAsia="zh-CN"/>
              </w:rPr>
              <w:t>O</w:t>
            </w:r>
            <w:r>
              <w:rPr>
                <w:rFonts w:ascii="Times New Roman" w:hAnsi="Times New Roman" w:eastAsia="宋体" w:cs="Times New Roman"/>
                <w:color w:val="auto"/>
                <w:sz w:val="24"/>
                <w:szCs w:val="24"/>
                <w:vertAlign w:val="subscript"/>
                <w:lang w:eastAsia="zh-CN"/>
              </w:rPr>
              <w:t>3</w:t>
            </w:r>
            <w:r>
              <w:rPr>
                <w:rFonts w:ascii="Times New Roman" w:hAnsi="Times New Roman" w:eastAsia="宋体" w:cs="Times New Roman"/>
                <w:color w:val="auto"/>
                <w:sz w:val="24"/>
                <w:szCs w:val="24"/>
              </w:rPr>
              <w:t>日最大8小时平均值第90百分位数均超过二级标准要求。因此，项目所在区域属于环境空气属于不达标区。</w:t>
            </w:r>
          </w:p>
          <w:p w14:paraId="10131206">
            <w:pPr>
              <w:widowControl w:val="0"/>
              <w:kinsoku/>
              <w:autoSpaceDE/>
              <w:autoSpaceDN/>
              <w:adjustRightInd/>
              <w:snapToGrid/>
              <w:spacing w:line="360" w:lineRule="auto"/>
              <w:ind w:firstLine="480" w:firstLineChars="200"/>
              <w:textAlignment w:val="auto"/>
              <w:rPr>
                <w:rFonts w:ascii="Times New Roman" w:hAnsi="Times New Roman" w:cs="Times New Roman"/>
                <w:color w:val="auto"/>
                <w:lang w:eastAsia="zh-CN"/>
              </w:rPr>
            </w:pPr>
            <w:r>
              <w:rPr>
                <w:rFonts w:ascii="Times New Roman" w:hAnsi="Times New Roman" w:eastAsia="宋体" w:cs="Times New Roman"/>
                <w:color w:val="auto"/>
                <w:sz w:val="24"/>
                <w:szCs w:val="24"/>
                <w:lang w:eastAsia="zh-CN"/>
              </w:rPr>
              <w:t>本项目下料、焊接</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抛光</w:t>
            </w:r>
            <w:r>
              <w:rPr>
                <w:rFonts w:ascii="Times New Roman" w:hAnsi="Times New Roman" w:eastAsia="宋体" w:cs="Times New Roman"/>
                <w:color w:val="auto"/>
                <w:sz w:val="24"/>
                <w:szCs w:val="24"/>
                <w:lang w:eastAsia="zh-CN"/>
              </w:rPr>
              <w:t>产生的颗粒物采用集气罩收集后通过“布袋除尘器”处理后通过15m高排气筒排放（DA001）；喷塑产生的颗粒物密闭负压收集后通过“滤芯除尘+布袋除尘器”处理后通过15m高排气筒排放（DA002）；固化产生的非甲烷总烃密闭负压收集后通过“二级活性炭吸附装置”处理后通过15m高排气筒排放</w:t>
            </w:r>
            <w:r>
              <w:rPr>
                <w:rFonts w:hint="eastAsia" w:ascii="Times New Roman" w:hAnsi="Times New Roman" w:eastAsia="宋体" w:cs="Times New Roman"/>
                <w:color w:val="auto"/>
                <w:sz w:val="24"/>
                <w:szCs w:val="24"/>
                <w:lang w:eastAsia="zh-CN"/>
              </w:rPr>
              <w:t>（DA003）</w:t>
            </w:r>
            <w:r>
              <w:rPr>
                <w:rFonts w:ascii="Times New Roman" w:hAnsi="Times New Roman" w:eastAsia="宋体" w:cs="Times New Roman"/>
                <w:color w:val="auto"/>
                <w:sz w:val="24"/>
                <w:szCs w:val="24"/>
                <w:lang w:eastAsia="zh-CN"/>
              </w:rPr>
              <w:t>。因此，本项目废气采取以上措施，污染物能够实现达标排放。</w:t>
            </w:r>
          </w:p>
          <w:p w14:paraId="6FB973E1">
            <w:pPr>
              <w:pStyle w:val="34"/>
              <w:kinsoku/>
              <w:snapToGrid/>
              <w:spacing w:line="360" w:lineRule="auto"/>
              <w:rPr>
                <w:rFonts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szCs w:val="24"/>
                <w:lang w:eastAsia="zh-CN"/>
              </w:rPr>
              <w:t>②</w:t>
            </w:r>
            <w:r>
              <w:rPr>
                <w:rFonts w:ascii="Times New Roman" w:hAnsi="Times New Roman" w:cs="Times New Roman"/>
                <w:color w:val="auto"/>
                <w:kern w:val="2"/>
                <w:sz w:val="24"/>
                <w:szCs w:val="24"/>
                <w:lang w:eastAsia="zh-CN"/>
              </w:rPr>
              <w:t>水环境质量底线</w:t>
            </w:r>
          </w:p>
          <w:p w14:paraId="1A958A6E">
            <w:pPr>
              <w:pStyle w:val="19"/>
              <w:adjustRightInd/>
              <w:snapToGrid/>
              <w:spacing w:before="0" w:beforeAutospacing="0" w:after="0" w:afterAutospacing="0" w:line="360" w:lineRule="auto"/>
              <w:ind w:firstLine="480" w:firstLineChars="200"/>
              <w:rPr>
                <w:rFonts w:ascii="Times New Roman" w:hAnsi="Times New Roman" w:eastAsia="宋体" w:cs="Times New Roman"/>
                <w:color w:val="auto"/>
                <w:szCs w:val="24"/>
                <w:lang w:eastAsia="zh-CN"/>
              </w:rPr>
            </w:pPr>
            <w:r>
              <w:rPr>
                <w:rFonts w:ascii="Times New Roman" w:hAnsi="Times New Roman" w:cs="Times New Roman"/>
                <w:color w:val="auto"/>
                <w:kern w:val="2"/>
                <w:szCs w:val="24"/>
                <w:lang w:eastAsia="zh-CN"/>
              </w:rPr>
              <w:t>根据</w:t>
            </w:r>
            <w:r>
              <w:rPr>
                <w:rFonts w:ascii="Times New Roman" w:hAnsi="Times New Roman" w:cs="Times New Roman"/>
                <w:color w:val="auto"/>
              </w:rPr>
              <w:t>安徽濉溪经济开发区总体发展规划（2023</w:t>
            </w:r>
            <w:r>
              <w:rPr>
                <w:rFonts w:ascii="Times New Roman" w:hAnsi="Times New Roman" w:eastAsia="宋体" w:cs="Times New Roman"/>
                <w:color w:val="auto"/>
                <w:lang w:eastAsia="zh-CN"/>
              </w:rPr>
              <w:t>-</w:t>
            </w:r>
            <w:r>
              <w:rPr>
                <w:rFonts w:ascii="Times New Roman" w:hAnsi="Times New Roman" w:cs="Times New Roman"/>
                <w:color w:val="auto"/>
              </w:rPr>
              <w:t>2035）环境影响报告书</w:t>
            </w:r>
            <w:r>
              <w:rPr>
                <w:rFonts w:ascii="Times New Roman" w:hAnsi="Times New Roman" w:eastAsia="宋体" w:cs="Times New Roman"/>
                <w:color w:val="auto"/>
                <w:lang w:eastAsia="zh-CN"/>
              </w:rPr>
              <w:t>，项目区域</w:t>
            </w:r>
            <w:r>
              <w:rPr>
                <w:rFonts w:hint="eastAsia" w:ascii="Times New Roman" w:hAnsi="Times New Roman" w:eastAsia="宋体" w:cs="Times New Roman"/>
                <w:color w:val="auto"/>
                <w:lang w:val="en-US" w:eastAsia="zh-CN"/>
              </w:rPr>
              <w:t>巴河</w:t>
            </w:r>
            <w:r>
              <w:rPr>
                <w:rFonts w:ascii="Times New Roman" w:hAnsi="Times New Roman" w:eastAsia="宋体" w:cs="Times New Roman"/>
                <w:color w:val="auto"/>
                <w:lang w:eastAsia="zh-CN"/>
              </w:rPr>
              <w:t>水质</w:t>
            </w:r>
            <w:r>
              <w:rPr>
                <w:rFonts w:hint="eastAsia" w:ascii="Times New Roman" w:hAnsi="Times New Roman" w:eastAsia="宋体" w:cs="Times New Roman"/>
                <w:color w:val="auto"/>
                <w:lang w:val="en-US" w:eastAsia="zh-CN"/>
              </w:rPr>
              <w:t>不</w:t>
            </w:r>
            <w:r>
              <w:rPr>
                <w:rFonts w:ascii="Times New Roman" w:hAnsi="Times New Roman" w:eastAsia="宋体" w:cs="Times New Roman"/>
                <w:color w:val="auto"/>
                <w:lang w:eastAsia="zh-CN"/>
              </w:rPr>
              <w:t>满足</w:t>
            </w:r>
            <w:r>
              <w:rPr>
                <w:rFonts w:ascii="Times New Roman" w:hAnsi="Times New Roman" w:cs="Times New Roman"/>
                <w:color w:val="auto"/>
                <w:szCs w:val="24"/>
              </w:rPr>
              <w:t>《地表水环境质量标准》（GB3838-2002</w:t>
            </w:r>
            <w:r>
              <w:rPr>
                <w:rFonts w:hint="eastAsia" w:ascii="Times New Roman" w:hAnsi="Times New Roman" w:eastAsia="宋体" w:cs="Times New Roman"/>
                <w:color w:val="auto"/>
                <w:szCs w:val="24"/>
                <w:lang w:eastAsia="zh-CN"/>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IV</w:t>
            </w:r>
            <w:r>
              <w:rPr>
                <w:rFonts w:hint="default" w:ascii="Times New Roman" w:hAnsi="Times New Roman" w:cs="Times New Roman"/>
                <w:color w:val="auto"/>
                <w:highlight w:val="none"/>
              </w:rPr>
              <w:fldChar w:fldCharType="end"/>
            </w:r>
            <w:r>
              <w:rPr>
                <w:rFonts w:ascii="Times New Roman" w:hAnsi="Times New Roman" w:cs="Times New Roman"/>
                <w:color w:val="auto"/>
                <w:szCs w:val="24"/>
              </w:rPr>
              <w:t>标准要求</w:t>
            </w:r>
            <w:r>
              <w:rPr>
                <w:rFonts w:ascii="Times New Roman" w:hAnsi="Times New Roman" w:eastAsia="宋体" w:cs="Times New Roman"/>
                <w:color w:val="auto"/>
                <w:szCs w:val="24"/>
                <w:lang w:eastAsia="zh-CN"/>
              </w:rPr>
              <w:t>。</w:t>
            </w:r>
          </w:p>
          <w:p w14:paraId="01140AE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项目实现雨污分流；生活污水依托厂区已建“化粪池”预处理后满足《污水综合排放标准》（GB8978-1996）表4中三级标准及濉溪县第二污水处理厂接管限制。因此，</w:t>
            </w:r>
            <w:r>
              <w:rPr>
                <w:rFonts w:ascii="Times New Roman" w:hAnsi="Times New Roman" w:cs="Times New Roman"/>
                <w:color w:val="auto"/>
                <w:sz w:val="24"/>
                <w:szCs w:val="24"/>
              </w:rPr>
              <w:t>本项目建成后对区域地表水体影响小。</w:t>
            </w:r>
          </w:p>
          <w:p w14:paraId="0DA25A1C">
            <w:pPr>
              <w:pStyle w:val="19"/>
              <w:adjustRightInd/>
              <w:snapToGrid/>
              <w:spacing w:before="0" w:beforeAutospacing="0" w:after="0" w:afterAutospacing="0" w:line="360" w:lineRule="auto"/>
              <w:ind w:firstLine="480" w:firstLineChars="200"/>
              <w:rPr>
                <w:rFonts w:ascii="Times New Roman" w:hAnsi="Times New Roman" w:eastAsia="宋体" w:cs="Times New Roman"/>
                <w:lang w:eastAsia="zh-CN"/>
              </w:rPr>
            </w:pPr>
            <w:r>
              <w:rPr>
                <w:rFonts w:ascii="Times New Roman" w:hAnsi="Times New Roman" w:cs="Times New Roman"/>
              </w:rPr>
              <w:t xml:space="preserve"> </w:t>
            </w:r>
            <w:r>
              <w:rPr>
                <w:rFonts w:ascii="Times New Roman" w:hAnsi="Times New Roman" w:eastAsia="宋体" w:cs="Times New Roman"/>
                <w:lang w:eastAsia="zh-CN"/>
              </w:rPr>
              <w:t>③土壤环境风险防控底线</w:t>
            </w:r>
          </w:p>
          <w:p w14:paraId="1076FB6B">
            <w:pPr>
              <w:pStyle w:val="19"/>
              <w:adjustRightInd/>
              <w:snapToGrid/>
              <w:spacing w:before="0" w:beforeAutospacing="0" w:after="0" w:afterAutospacing="0" w:line="360" w:lineRule="auto"/>
              <w:ind w:firstLine="480" w:firstLineChars="200"/>
              <w:rPr>
                <w:rFonts w:ascii="Times New Roman" w:hAnsi="Times New Roman" w:eastAsia="宋体" w:cs="Times New Roman"/>
                <w:lang w:eastAsia="zh-CN"/>
              </w:rPr>
            </w:pPr>
            <w:r>
              <w:rPr>
                <w:rFonts w:ascii="Times New Roman" w:hAnsi="Times New Roman" w:eastAsia="宋体" w:cs="Times New Roman"/>
                <w:lang w:eastAsia="zh-CN"/>
              </w:rPr>
              <w:t>根据《淮北市“三线一单”文本》中土壤环境风险防控底线要求，到2030年，受污染耕地安全利用率达到95%以上，污染地块安全利用率达到95%以上。</w:t>
            </w:r>
          </w:p>
          <w:p w14:paraId="2154D379">
            <w:pPr>
              <w:kinsoku/>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szCs w:val="24"/>
                <w:lang w:eastAsia="zh-CN"/>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综上所述，本项目运营过程中排放的污染物对周边环境影响很小，符合环境质量底线要求。</w:t>
            </w:r>
          </w:p>
          <w:p w14:paraId="46E8B98A">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（3）资源利用上线</w:t>
            </w:r>
          </w:p>
          <w:p w14:paraId="6F984118">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资源是环境的载体，资源利用上线是各地区能源、水、土地等资源消耗不得突破的“天花板”。项目用水由市自来水公司进行统一供水；用电由园区供电管网所供给；用地为工业用地，符合当地土地规划要求。项目对当地资源利用的影响较小。</w:t>
            </w:r>
          </w:p>
          <w:p w14:paraId="619338C1">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32"/>
              </w:rPr>
              <w:t>（4）</w:t>
            </w:r>
            <w:r>
              <w:rPr>
                <w:rFonts w:ascii="Times New Roman" w:hAnsi="Times New Roman" w:cs="Times New Roman"/>
                <w:color w:val="auto"/>
                <w:sz w:val="24"/>
                <w:szCs w:val="24"/>
              </w:rPr>
              <w:t>与生态环境准入清单相符性</w:t>
            </w:r>
          </w:p>
          <w:p w14:paraId="758CDFA0">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lang w:eastAsia="zh-CN"/>
              </w:rPr>
            </w:pPr>
            <w:r>
              <w:rPr>
                <w:rFonts w:ascii="Times New Roman" w:hAnsi="Times New Roman" w:eastAsia="宋体" w:cs="Times New Roman"/>
                <w:color w:val="auto"/>
                <w:sz w:val="24"/>
                <w:szCs w:val="24"/>
                <w:lang w:eastAsia="zh-CN"/>
              </w:rPr>
              <w:t>本项目属于【</w:t>
            </w:r>
            <w:r>
              <w:rPr>
                <w:rFonts w:ascii="Times New Roman" w:hAnsi="Times New Roman" w:eastAsia="宋体" w:cs="Times New Roman"/>
                <w:color w:val="auto"/>
                <w:sz w:val="24"/>
                <w:szCs w:val="24"/>
              </w:rPr>
              <w:t>C</w:t>
            </w:r>
            <w:r>
              <w:rPr>
                <w:rFonts w:ascii="Times New Roman" w:hAnsi="Times New Roman" w:eastAsia="宋体" w:cs="Times New Roman"/>
                <w:color w:val="auto"/>
                <w:sz w:val="24"/>
                <w:szCs w:val="24"/>
                <w:lang w:eastAsia="zh-CN"/>
              </w:rPr>
              <w:t>3311】金属结构制造；【</w:t>
            </w:r>
            <w:r>
              <w:rPr>
                <w:rFonts w:ascii="Times New Roman" w:hAnsi="Times New Roman" w:eastAsia="宋体" w:cs="Times New Roman"/>
                <w:color w:val="auto"/>
                <w:sz w:val="24"/>
                <w:szCs w:val="24"/>
              </w:rPr>
              <w:t>C</w:t>
            </w:r>
            <w:r>
              <w:rPr>
                <w:rFonts w:ascii="Times New Roman" w:hAnsi="Times New Roman" w:eastAsia="宋体" w:cs="Times New Roman"/>
                <w:color w:val="auto"/>
                <w:sz w:val="24"/>
                <w:szCs w:val="24"/>
                <w:lang w:eastAsia="zh-CN"/>
              </w:rPr>
              <w:t>3312】金属门窗制造，对照《安徽濉溪经济开发区</w:t>
            </w:r>
            <w:r>
              <w:rPr>
                <w:rFonts w:hint="eastAsia" w:ascii="Times New Roman" w:hAnsi="Times New Roman" w:eastAsia="宋体" w:cs="Times New Roman"/>
                <w:color w:val="auto"/>
                <w:sz w:val="24"/>
                <w:szCs w:val="24"/>
                <w:lang w:eastAsia="zh-CN"/>
              </w:rPr>
              <w:t>总</w:t>
            </w:r>
            <w:r>
              <w:rPr>
                <w:rFonts w:ascii="Times New Roman" w:hAnsi="Times New Roman" w:eastAsia="宋体" w:cs="Times New Roman"/>
                <w:color w:val="auto"/>
                <w:sz w:val="24"/>
                <w:szCs w:val="24"/>
                <w:lang w:eastAsia="zh-CN"/>
              </w:rPr>
              <w:t>体发展规划(2023-2035)环境影响报告书》中安徽濉溪经济开发区生态环境</w:t>
            </w:r>
            <w:r>
              <w:rPr>
                <w:rFonts w:hint="eastAsia" w:ascii="Times New Roman" w:hAnsi="Times New Roman" w:eastAsia="宋体" w:cs="Times New Roman"/>
                <w:color w:val="auto"/>
                <w:sz w:val="24"/>
                <w:szCs w:val="24"/>
                <w:lang w:eastAsia="zh-CN"/>
              </w:rPr>
              <w:t>准</w:t>
            </w:r>
            <w:r>
              <w:rPr>
                <w:rFonts w:ascii="Times New Roman" w:hAnsi="Times New Roman" w:eastAsia="宋体" w:cs="Times New Roman"/>
                <w:color w:val="auto"/>
                <w:sz w:val="24"/>
                <w:szCs w:val="24"/>
                <w:lang w:eastAsia="zh-CN"/>
              </w:rPr>
              <w:t>入清单一览表(近期)，本项目不属于“限制类”和“禁止类”，</w:t>
            </w:r>
            <w:r>
              <w:rPr>
                <w:rFonts w:hint="eastAsia" w:ascii="Times New Roman" w:hAnsi="Times New Roman" w:eastAsia="宋体" w:cs="Times New Roman"/>
                <w:color w:val="auto"/>
                <w:sz w:val="24"/>
                <w:szCs w:val="24"/>
                <w:lang w:val="en-US" w:eastAsia="zh-CN"/>
              </w:rPr>
              <w:t>视为“允许类”</w:t>
            </w:r>
            <w:r>
              <w:rPr>
                <w:rFonts w:ascii="Times New Roman" w:hAnsi="Times New Roman" w:eastAsia="宋体" w:cs="Times New Roman"/>
                <w:color w:val="auto"/>
                <w:sz w:val="24"/>
                <w:szCs w:val="24"/>
                <w:lang w:eastAsia="zh-CN"/>
              </w:rPr>
              <w:t>符合国家产</w:t>
            </w:r>
            <w:r>
              <w:rPr>
                <w:rFonts w:hint="eastAsia" w:ascii="Times New Roman" w:hAnsi="Times New Roman" w:eastAsia="宋体" w:cs="Times New Roman"/>
                <w:color w:val="auto"/>
                <w:sz w:val="24"/>
                <w:szCs w:val="24"/>
                <w:lang w:eastAsia="zh-CN"/>
              </w:rPr>
              <w:t>业</w:t>
            </w:r>
            <w:r>
              <w:rPr>
                <w:rFonts w:ascii="Times New Roman" w:hAnsi="Times New Roman" w:eastAsia="宋体" w:cs="Times New Roman"/>
                <w:color w:val="auto"/>
                <w:sz w:val="24"/>
                <w:szCs w:val="24"/>
                <w:lang w:eastAsia="zh-CN"/>
              </w:rPr>
              <w:t>政策要求，符合濉溪经济开发区总体发展规划的要求，项目运营期严格落实相</w:t>
            </w:r>
            <w:r>
              <w:rPr>
                <w:rFonts w:hint="eastAsia" w:ascii="Times New Roman" w:hAnsi="Times New Roman" w:eastAsia="宋体" w:cs="Times New Roman"/>
                <w:color w:val="auto"/>
                <w:sz w:val="24"/>
                <w:szCs w:val="24"/>
                <w:lang w:eastAsia="zh-CN"/>
              </w:rPr>
              <w:t>关</w:t>
            </w:r>
            <w:r>
              <w:rPr>
                <w:rFonts w:ascii="Times New Roman" w:hAnsi="Times New Roman" w:eastAsia="宋体" w:cs="Times New Roman"/>
                <w:color w:val="auto"/>
                <w:sz w:val="24"/>
                <w:szCs w:val="24"/>
                <w:lang w:eastAsia="zh-CN"/>
              </w:rPr>
              <w:t>治理措施，对</w:t>
            </w:r>
            <w:r>
              <w:rPr>
                <w:rFonts w:ascii="Times New Roman" w:hAnsi="Times New Roman" w:cs="Times New Roman"/>
                <w:color w:val="auto"/>
                <w:sz w:val="24"/>
                <w:szCs w:val="24"/>
                <w:lang w:eastAsia="zh-CN"/>
              </w:rPr>
              <w:t>区域环境质量影响较小，因此满足安徽濉溪经济开发区生态环境入清单的要求</w:t>
            </w:r>
            <w:r>
              <w:rPr>
                <w:rFonts w:hint="eastAsia" w:ascii="Times New Roman" w:hAnsi="Times New Roman" w:cs="Times New Roman"/>
                <w:color w:val="auto"/>
                <w:sz w:val="24"/>
                <w:szCs w:val="24"/>
                <w:lang w:eastAsia="zh-CN"/>
              </w:rPr>
              <w:t>。</w:t>
            </w:r>
          </w:p>
          <w:p w14:paraId="0A8FFDC6">
            <w:pPr>
              <w:widowControl w:val="0"/>
              <w:kinsoku/>
              <w:autoSpaceDE/>
              <w:autoSpaceDN/>
              <w:adjustRightInd/>
              <w:snapToGrid/>
              <w:jc w:val="center"/>
              <w:textAlignment w:val="auto"/>
              <w:rPr>
                <w:rFonts w:ascii="Times New Roman" w:hAnsi="Times New Roman" w:eastAsia="宋体" w:cs="Times New Roman"/>
                <w:color w:val="auto"/>
                <w:sz w:val="24"/>
                <w:szCs w:val="32"/>
                <w:lang w:eastAsia="zh-CN"/>
              </w:rPr>
            </w:pPr>
            <w:r>
              <w:rPr>
                <w:rFonts w:ascii="Times New Roman" w:hAnsi="Times New Roman" w:eastAsia="宋体" w:cs="Times New Roman"/>
                <w:color w:val="auto"/>
                <w:sz w:val="24"/>
                <w:szCs w:val="24"/>
                <w:lang w:eastAsia="zh-CN"/>
              </w:rPr>
              <w:t xml:space="preserve"> </w:t>
            </w:r>
            <w:r>
              <w:rPr>
                <w:rFonts w:ascii="Times New Roman" w:hAnsi="Times New Roman" w:eastAsia="宋体" w:cs="Times New Roman"/>
                <w:b/>
                <w:bCs/>
                <w:color w:val="auto"/>
                <w:sz w:val="24"/>
                <w:szCs w:val="32"/>
                <w:lang w:eastAsia="zh-CN"/>
              </w:rPr>
              <w:t>表1-</w:t>
            </w:r>
            <w:r>
              <w:rPr>
                <w:rFonts w:hint="eastAsia" w:ascii="Times New Roman" w:hAnsi="Times New Roman" w:eastAsia="宋体" w:cs="Times New Roman"/>
                <w:b/>
                <w:bCs/>
                <w:color w:val="auto"/>
                <w:sz w:val="24"/>
                <w:szCs w:val="32"/>
                <w:lang w:eastAsia="zh-CN"/>
              </w:rPr>
              <w:t>2</w:t>
            </w:r>
            <w:r>
              <w:rPr>
                <w:rFonts w:ascii="Times New Roman" w:hAnsi="Times New Roman" w:eastAsia="宋体" w:cs="Times New Roman"/>
                <w:b/>
                <w:bCs/>
                <w:color w:val="auto"/>
                <w:sz w:val="24"/>
                <w:szCs w:val="32"/>
                <w:lang w:eastAsia="zh-CN"/>
              </w:rPr>
              <w:t xml:space="preserve">  安徽濉溪经济开发区生态环境准入清单一览表（近期）</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191"/>
              <w:gridCol w:w="1081"/>
              <w:gridCol w:w="1301"/>
              <w:gridCol w:w="1561"/>
              <w:gridCol w:w="2678"/>
            </w:tblGrid>
            <w:tr w14:paraId="308B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Align w:val="center"/>
                </w:tcPr>
                <w:p w14:paraId="21D71677">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清单类型</w:t>
                  </w:r>
                </w:p>
              </w:tc>
              <w:tc>
                <w:tcPr>
                  <w:tcW w:w="703" w:type="pct"/>
                  <w:vAlign w:val="center"/>
                </w:tcPr>
                <w:p w14:paraId="244188EA">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管控类别</w:t>
                  </w:r>
                </w:p>
              </w:tc>
              <w:tc>
                <w:tcPr>
                  <w:tcW w:w="638" w:type="pct"/>
                  <w:vAlign w:val="center"/>
                </w:tcPr>
                <w:p w14:paraId="31DC1A4D">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主导产业</w:t>
                  </w:r>
                </w:p>
              </w:tc>
              <w:tc>
                <w:tcPr>
                  <w:tcW w:w="768" w:type="pct"/>
                  <w:vAlign w:val="center"/>
                </w:tcPr>
                <w:p w14:paraId="42163326">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区块</w:t>
                  </w:r>
                </w:p>
              </w:tc>
              <w:tc>
                <w:tcPr>
                  <w:tcW w:w="2502" w:type="pct"/>
                  <w:gridSpan w:val="2"/>
                  <w:vAlign w:val="center"/>
                </w:tcPr>
                <w:p w14:paraId="4DF4E083">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bidi="ar"/>
                    </w:rPr>
                    <w:t>产业准入要求</w:t>
                  </w:r>
                </w:p>
              </w:tc>
            </w:tr>
            <w:tr w14:paraId="7A03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restart"/>
                  <w:vAlign w:val="center"/>
                </w:tcPr>
                <w:p w14:paraId="766882BD">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产业准入要求</w:t>
                  </w:r>
                </w:p>
              </w:tc>
              <w:tc>
                <w:tcPr>
                  <w:tcW w:w="703" w:type="pct"/>
                  <w:vMerge w:val="restart"/>
                  <w:vAlign w:val="center"/>
                </w:tcPr>
                <w:p w14:paraId="452E232C">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鼓励类</w:t>
                  </w:r>
                </w:p>
              </w:tc>
              <w:tc>
                <w:tcPr>
                  <w:tcW w:w="638" w:type="pct"/>
                  <w:vMerge w:val="restart"/>
                  <w:vAlign w:val="center"/>
                </w:tcPr>
                <w:p w14:paraId="7DE950D6">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金属新材料</w:t>
                  </w:r>
                </w:p>
              </w:tc>
              <w:tc>
                <w:tcPr>
                  <w:tcW w:w="768" w:type="pct"/>
                  <w:vMerge w:val="restart"/>
                  <w:vAlign w:val="center"/>
                </w:tcPr>
                <w:p w14:paraId="3FFFE385">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区块一北部、区块二北部、区块四</w:t>
                  </w:r>
                </w:p>
              </w:tc>
              <w:tc>
                <w:tcPr>
                  <w:tcW w:w="922" w:type="pct"/>
                  <w:vAlign w:val="center"/>
                </w:tcPr>
                <w:p w14:paraId="30427A36">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31黑色金属冶炼和压延加工业</w:t>
                  </w:r>
                </w:p>
              </w:tc>
              <w:tc>
                <w:tcPr>
                  <w:tcW w:w="1580" w:type="pct"/>
                  <w:vAlign w:val="center"/>
                </w:tcPr>
                <w:p w14:paraId="160A28EC">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313钢压延加工相关清洁生产提标改造项目</w:t>
                  </w:r>
                </w:p>
              </w:tc>
            </w:tr>
            <w:tr w14:paraId="1F0A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31A18170">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Merge w:val="continue"/>
                  <w:vAlign w:val="center"/>
                </w:tcPr>
                <w:p w14:paraId="47BC3392">
                  <w:pPr>
                    <w:widowControl w:val="0"/>
                    <w:kinsoku/>
                    <w:autoSpaceDE/>
                    <w:autoSpaceDN/>
                    <w:adjustRightInd/>
                    <w:snapToGrid/>
                    <w:jc w:val="center"/>
                    <w:rPr>
                      <w:rFonts w:ascii="Times New Roman" w:hAnsi="Times New Roman" w:eastAsia="宋体" w:cs="Times New Roman"/>
                      <w:color w:val="auto"/>
                    </w:rPr>
                  </w:pPr>
                </w:p>
              </w:tc>
              <w:tc>
                <w:tcPr>
                  <w:tcW w:w="638" w:type="pct"/>
                  <w:vMerge w:val="continue"/>
                  <w:vAlign w:val="center"/>
                </w:tcPr>
                <w:p w14:paraId="015B006D">
                  <w:pPr>
                    <w:widowControl w:val="0"/>
                    <w:kinsoku/>
                    <w:autoSpaceDE/>
                    <w:autoSpaceDN/>
                    <w:adjustRightInd/>
                    <w:snapToGrid/>
                    <w:jc w:val="center"/>
                    <w:rPr>
                      <w:rFonts w:ascii="Times New Roman" w:hAnsi="Times New Roman" w:eastAsia="宋体" w:cs="Times New Roman"/>
                      <w:color w:val="auto"/>
                    </w:rPr>
                  </w:pPr>
                </w:p>
              </w:tc>
              <w:tc>
                <w:tcPr>
                  <w:tcW w:w="768" w:type="pct"/>
                  <w:vMerge w:val="continue"/>
                  <w:vAlign w:val="center"/>
                </w:tcPr>
                <w:p w14:paraId="30E5E078">
                  <w:pPr>
                    <w:widowControl w:val="0"/>
                    <w:kinsoku/>
                    <w:autoSpaceDE/>
                    <w:autoSpaceDN/>
                    <w:adjustRightInd/>
                    <w:snapToGrid/>
                    <w:jc w:val="center"/>
                    <w:rPr>
                      <w:rFonts w:ascii="Times New Roman" w:hAnsi="Times New Roman" w:eastAsia="宋体" w:cs="Times New Roman"/>
                      <w:color w:val="auto"/>
                    </w:rPr>
                  </w:pPr>
                </w:p>
              </w:tc>
              <w:tc>
                <w:tcPr>
                  <w:tcW w:w="922" w:type="pct"/>
                  <w:vAlign w:val="center"/>
                </w:tcPr>
                <w:p w14:paraId="038AD98F">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32有色金属冶炼和压延加工业</w:t>
                  </w:r>
                </w:p>
              </w:tc>
              <w:tc>
                <w:tcPr>
                  <w:tcW w:w="1580" w:type="pct"/>
                  <w:vAlign w:val="center"/>
                </w:tcPr>
                <w:p w14:paraId="2130A93F">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321常用有色金属冶炼相关清洁生产提标改造项目、324有色金属合金制造相关清洁生产提标改造项目、325有色金属压延加工相关清洁生产提标改造项目</w:t>
                  </w:r>
                </w:p>
              </w:tc>
            </w:tr>
            <w:tr w14:paraId="5A71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70AD08DE">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Merge w:val="continue"/>
                  <w:vAlign w:val="center"/>
                </w:tcPr>
                <w:p w14:paraId="79E3DD7C">
                  <w:pPr>
                    <w:widowControl w:val="0"/>
                    <w:kinsoku/>
                    <w:autoSpaceDE/>
                    <w:autoSpaceDN/>
                    <w:adjustRightInd/>
                    <w:snapToGrid/>
                    <w:jc w:val="center"/>
                    <w:rPr>
                      <w:rFonts w:ascii="Times New Roman" w:hAnsi="Times New Roman" w:eastAsia="宋体" w:cs="Times New Roman"/>
                      <w:color w:val="auto"/>
                    </w:rPr>
                  </w:pPr>
                </w:p>
              </w:tc>
              <w:tc>
                <w:tcPr>
                  <w:tcW w:w="638" w:type="pct"/>
                  <w:vMerge w:val="continue"/>
                  <w:vAlign w:val="center"/>
                </w:tcPr>
                <w:p w14:paraId="028F829E">
                  <w:pPr>
                    <w:widowControl w:val="0"/>
                    <w:kinsoku/>
                    <w:autoSpaceDE/>
                    <w:autoSpaceDN/>
                    <w:adjustRightInd/>
                    <w:snapToGrid/>
                    <w:jc w:val="center"/>
                    <w:rPr>
                      <w:rFonts w:ascii="Times New Roman" w:hAnsi="Times New Roman" w:eastAsia="宋体" w:cs="Times New Roman"/>
                      <w:color w:val="auto"/>
                    </w:rPr>
                  </w:pPr>
                </w:p>
              </w:tc>
              <w:tc>
                <w:tcPr>
                  <w:tcW w:w="768" w:type="pct"/>
                  <w:vMerge w:val="continue"/>
                  <w:vAlign w:val="center"/>
                </w:tcPr>
                <w:p w14:paraId="38D66731">
                  <w:pPr>
                    <w:widowControl w:val="0"/>
                    <w:kinsoku/>
                    <w:autoSpaceDE/>
                    <w:autoSpaceDN/>
                    <w:adjustRightInd/>
                    <w:snapToGrid/>
                    <w:jc w:val="center"/>
                    <w:rPr>
                      <w:rFonts w:ascii="Times New Roman" w:hAnsi="Times New Roman" w:eastAsia="宋体" w:cs="Times New Roman"/>
                      <w:color w:val="auto"/>
                    </w:rPr>
                  </w:pPr>
                </w:p>
              </w:tc>
              <w:tc>
                <w:tcPr>
                  <w:tcW w:w="922" w:type="pct"/>
                  <w:vAlign w:val="center"/>
                </w:tcPr>
                <w:p w14:paraId="0224319F">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33金属制品业</w:t>
                  </w:r>
                </w:p>
              </w:tc>
              <w:tc>
                <w:tcPr>
                  <w:tcW w:w="1580" w:type="pct"/>
                  <w:vAlign w:val="center"/>
                </w:tcPr>
                <w:p w14:paraId="6794E337">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331结构性金属制品制造、338金属制日用品制造等行业对现有项目使用低V0C替代的</w:t>
                  </w:r>
                  <w:r>
                    <w:rPr>
                      <w:rFonts w:ascii="Times New Roman" w:hAnsi="Times New Roman" w:eastAsia="宋体" w:cs="Times New Roman"/>
                      <w:color w:val="auto"/>
                      <w:lang w:eastAsia="zh-CN"/>
                    </w:rPr>
                    <w:t>，</w:t>
                  </w:r>
                  <w:r>
                    <w:rPr>
                      <w:rFonts w:ascii="Times New Roman" w:hAnsi="Times New Roman" w:eastAsia="宋体" w:cs="Times New Roman"/>
                      <w:color w:val="auto"/>
                    </w:rPr>
                    <w:t>提标改造项目</w:t>
                  </w:r>
                </w:p>
              </w:tc>
            </w:tr>
            <w:tr w14:paraId="4B52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1DD8D1D3">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Merge w:val="continue"/>
                  <w:vAlign w:val="center"/>
                </w:tcPr>
                <w:p w14:paraId="43F9DD48">
                  <w:pPr>
                    <w:widowControl w:val="0"/>
                    <w:kinsoku/>
                    <w:autoSpaceDE/>
                    <w:autoSpaceDN/>
                    <w:adjustRightInd/>
                    <w:snapToGrid/>
                    <w:jc w:val="center"/>
                    <w:rPr>
                      <w:rFonts w:ascii="Times New Roman" w:hAnsi="Times New Roman" w:eastAsia="宋体" w:cs="Times New Roman"/>
                      <w:color w:val="auto"/>
                    </w:rPr>
                  </w:pPr>
                </w:p>
              </w:tc>
              <w:tc>
                <w:tcPr>
                  <w:tcW w:w="638" w:type="pct"/>
                  <w:vAlign w:val="center"/>
                </w:tcPr>
                <w:p w14:paraId="0AB59CEF">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电气制造</w:t>
                  </w:r>
                </w:p>
              </w:tc>
              <w:tc>
                <w:tcPr>
                  <w:tcW w:w="768" w:type="pct"/>
                  <w:vAlign w:val="center"/>
                </w:tcPr>
                <w:p w14:paraId="7C8B7099">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区块二南部、区块三、区块五</w:t>
                  </w:r>
                </w:p>
              </w:tc>
              <w:tc>
                <w:tcPr>
                  <w:tcW w:w="922" w:type="pct"/>
                  <w:vAlign w:val="center"/>
                </w:tcPr>
                <w:p w14:paraId="67B18BE7">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37电气机械和器材制造业</w:t>
                  </w:r>
                </w:p>
              </w:tc>
              <w:tc>
                <w:tcPr>
                  <w:tcW w:w="1580" w:type="pct"/>
                  <w:vAlign w:val="center"/>
                </w:tcPr>
                <w:p w14:paraId="26BB69BE">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381电机制造、384电池制造385家用电力器具制造、387照明器具制造、389其他电气机械及器材制造等行业对现有项目使用低V0Cs替代的，提标改造项目</w:t>
                  </w:r>
                </w:p>
              </w:tc>
            </w:tr>
            <w:tr w14:paraId="0BBC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1CABFC37">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Merge w:val="continue"/>
                  <w:vAlign w:val="center"/>
                </w:tcPr>
                <w:p w14:paraId="57B4ADA1">
                  <w:pPr>
                    <w:widowControl w:val="0"/>
                    <w:kinsoku/>
                    <w:autoSpaceDE/>
                    <w:autoSpaceDN/>
                    <w:adjustRightInd/>
                    <w:snapToGrid/>
                    <w:jc w:val="center"/>
                    <w:rPr>
                      <w:rFonts w:ascii="Times New Roman" w:hAnsi="Times New Roman" w:eastAsia="宋体" w:cs="Times New Roman"/>
                      <w:color w:val="auto"/>
                    </w:rPr>
                  </w:pPr>
                </w:p>
              </w:tc>
              <w:tc>
                <w:tcPr>
                  <w:tcW w:w="638" w:type="pct"/>
                  <w:vMerge w:val="restart"/>
                  <w:vAlign w:val="center"/>
                </w:tcPr>
                <w:p w14:paraId="47F4BF10">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化工</w:t>
                  </w:r>
                </w:p>
              </w:tc>
              <w:tc>
                <w:tcPr>
                  <w:tcW w:w="768" w:type="pct"/>
                  <w:vAlign w:val="center"/>
                </w:tcPr>
                <w:p w14:paraId="4FFAF418">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区块六</w:t>
                  </w:r>
                </w:p>
              </w:tc>
              <w:tc>
                <w:tcPr>
                  <w:tcW w:w="922" w:type="pct"/>
                  <w:vAlign w:val="center"/>
                </w:tcPr>
                <w:p w14:paraId="3738ED3C">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26化学原料和化学制品制造业</w:t>
                  </w:r>
                </w:p>
              </w:tc>
              <w:tc>
                <w:tcPr>
                  <w:tcW w:w="1580" w:type="pct"/>
                  <w:vAlign w:val="center"/>
                </w:tcPr>
                <w:p w14:paraId="06A8D4E8">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261基础化学原料制造、262肥料制造、263农药制造、264涂料、油墨、颜料及类似产品制造、265合成材料制造、266专用化学产品制造等行业对现有项目相关清洁生产提标改造项目</w:t>
                  </w:r>
                </w:p>
              </w:tc>
            </w:tr>
            <w:tr w14:paraId="0275D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6DADAC8B">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Merge w:val="continue"/>
                  <w:vAlign w:val="center"/>
                </w:tcPr>
                <w:p w14:paraId="0D340C37">
                  <w:pPr>
                    <w:widowControl w:val="0"/>
                    <w:kinsoku/>
                    <w:autoSpaceDE/>
                    <w:autoSpaceDN/>
                    <w:adjustRightInd/>
                    <w:snapToGrid/>
                    <w:jc w:val="center"/>
                    <w:rPr>
                      <w:rFonts w:ascii="Times New Roman" w:hAnsi="Times New Roman" w:eastAsia="宋体" w:cs="Times New Roman"/>
                      <w:color w:val="auto"/>
                    </w:rPr>
                  </w:pPr>
                </w:p>
              </w:tc>
              <w:tc>
                <w:tcPr>
                  <w:tcW w:w="638" w:type="pct"/>
                  <w:vMerge w:val="continue"/>
                  <w:vAlign w:val="center"/>
                </w:tcPr>
                <w:p w14:paraId="00CD8A77">
                  <w:pPr>
                    <w:widowControl w:val="0"/>
                    <w:kinsoku/>
                    <w:autoSpaceDE/>
                    <w:autoSpaceDN/>
                    <w:adjustRightInd/>
                    <w:snapToGrid/>
                    <w:jc w:val="center"/>
                    <w:rPr>
                      <w:rFonts w:ascii="Times New Roman" w:hAnsi="Times New Roman" w:cs="Times New Roman"/>
                      <w:lang w:eastAsia="zh-CN"/>
                    </w:rPr>
                  </w:pPr>
                </w:p>
              </w:tc>
              <w:tc>
                <w:tcPr>
                  <w:tcW w:w="768" w:type="pct"/>
                  <w:vAlign w:val="center"/>
                </w:tcPr>
                <w:p w14:paraId="519D81F7">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区块一中安徽省第一批化工园区认定3.2km²濉溪经济开发区化工产业集中区</w:t>
                  </w:r>
                </w:p>
              </w:tc>
              <w:tc>
                <w:tcPr>
                  <w:tcW w:w="922" w:type="pct"/>
                  <w:vAlign w:val="center"/>
                </w:tcPr>
                <w:p w14:paraId="68E68231">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26化学原料和化学制品制造业</w:t>
                  </w:r>
                </w:p>
              </w:tc>
              <w:tc>
                <w:tcPr>
                  <w:tcW w:w="1580" w:type="pct"/>
                  <w:vAlign w:val="center"/>
                </w:tcPr>
                <w:p w14:paraId="02BC228C">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261基础化学原料制造262肥料制造263农药制造264涂料、油墨、颜料及类似产品制造265合成材料制造266专用化学产品制造等行业对现有项目相关提标改造项目，禁止引入涉危化品项目</w:t>
                  </w:r>
                </w:p>
              </w:tc>
            </w:tr>
            <w:tr w14:paraId="6D58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452FAA92">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Align w:val="center"/>
                </w:tcPr>
                <w:p w14:paraId="13EC4A70">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有条件进入类</w:t>
                  </w:r>
                </w:p>
              </w:tc>
              <w:tc>
                <w:tcPr>
                  <w:tcW w:w="3909" w:type="pct"/>
                  <w:gridSpan w:val="4"/>
                  <w:vAlign w:val="center"/>
                </w:tcPr>
                <w:p w14:paraId="3B5AE5F8">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与主导产业链配套的其他绿色低碳相关产业:</w:t>
                  </w:r>
                </w:p>
              </w:tc>
            </w:tr>
            <w:tr w14:paraId="043C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36DD147F">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Align w:val="center"/>
                </w:tcPr>
                <w:p w14:paraId="0C39F178">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限制类</w:t>
                  </w:r>
                </w:p>
              </w:tc>
              <w:tc>
                <w:tcPr>
                  <w:tcW w:w="3909" w:type="pct"/>
                  <w:gridSpan w:val="4"/>
                  <w:vAlign w:val="center"/>
                </w:tcPr>
                <w:p w14:paraId="047F15CF">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①《淮北市危险化学品禁止、限制和控制性目录》附件2“淮北市限制和控制生产的危险化学品目录(试行)”所列危险化学品，主要原因是涉及高风险工艺，包括:光气化、氟化工艺、氯化工艺、过氧化工艺、重氮化工艺、硝化工艺、与高毒高残留化学品、有机硫、磷、氟、氯、溴、碘化物，含大部分易制爆化学品和高安全风险、高生态环境风险的化学品;②限制现有与主导产业不符的且污染物排放量大的企业新增产能;③严格限制在淮河流域新建印染、制革、化工、电镀、酿造等大中型项目或者其他污染严重的项目;建设该类项目的，应当事前征得省人民政府生态环境行政主管部门的同意，并按照规定办理有关手续:4两高行业需满足《生态环境部关于加强高耗能、高排放建设项目生态环境源头防控的指导意见》《安徽省节能减排及应对气候变化工作领导小组关于进一步加强新上“两高”项目管理的通知》等两高文件要求，且不得新增区域污染物排放总量，远期根据区域环境质量现状，确保区域环境质量有所改善，且经过充分的环境影响论证;⑤现状濉溪第二污水厂已接近满负荷且区域地表水不能全面达标，建议在濉溪第二污水厂改扩建完成前(2025年5月前)限制水排放量大的项目进入;⑥2018年~2022年淮北市PM持续不达标，且PM、0在2022年有反弹趋势，在环境质量持续改善前，限制高污染高排放项目引</w:t>
                  </w:r>
                  <w:r>
                    <w:rPr>
                      <w:rFonts w:ascii="Times New Roman" w:hAnsi="Times New Roman" w:eastAsia="宋体" w:cs="Times New Roman"/>
                      <w:color w:val="auto"/>
                      <w:lang w:eastAsia="zh-CN"/>
                    </w:rPr>
                    <w:t>入</w:t>
                  </w:r>
                </w:p>
              </w:tc>
            </w:tr>
            <w:tr w14:paraId="139D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vMerge w:val="continue"/>
                  <w:vAlign w:val="center"/>
                </w:tcPr>
                <w:p w14:paraId="5807BA3A">
                  <w:pPr>
                    <w:widowControl w:val="0"/>
                    <w:kinsoku/>
                    <w:autoSpaceDE/>
                    <w:autoSpaceDN/>
                    <w:adjustRightInd/>
                    <w:snapToGrid/>
                    <w:jc w:val="center"/>
                    <w:rPr>
                      <w:rFonts w:ascii="Times New Roman" w:hAnsi="Times New Roman" w:eastAsia="宋体" w:cs="Times New Roman"/>
                      <w:color w:val="auto"/>
                      <w:lang w:eastAsia="zh-CN"/>
                    </w:rPr>
                  </w:pPr>
                </w:p>
              </w:tc>
              <w:tc>
                <w:tcPr>
                  <w:tcW w:w="703" w:type="pct"/>
                  <w:vAlign w:val="center"/>
                </w:tcPr>
                <w:p w14:paraId="1ED15A42">
                  <w:pPr>
                    <w:widowControl w:val="0"/>
                    <w:kinsoku/>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禁止类</w:t>
                  </w:r>
                </w:p>
              </w:tc>
              <w:tc>
                <w:tcPr>
                  <w:tcW w:w="3909" w:type="pct"/>
                  <w:gridSpan w:val="4"/>
                  <w:vAlign w:val="center"/>
                </w:tcPr>
                <w:p w14:paraId="30DA57E5">
                  <w:pPr>
                    <w:widowControl w:val="0"/>
                    <w:kinsoku/>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①禁止引入列入《产业结构调整指导目录(2019年本)》(2021年修改)《市场准入负面清单(2022年版)》、《长江经济带发展负面清单指南(试行，2022年版)》等相关产业政策中禁止或淘汰类项目、产品、工艺、设备;②禁止新建、扩建法律法规和相关政策明令禁止的落后产能项目;③禁止新建、扩建不符合国家产能置换要求的严重过剩产能行业的项目;④禁止新建、扩建不符合要求的高耗能高排放项目;⑤禁止新增钢铁、焦化、电解铝、水泥和平板玻璃等产能;⑥禁止新建《淮北市危险化学品禁止、限制和控制性目录》在附件1“淮北市禁止生产的危险化学品目录(试行)所列危险化学品，主要包括剧毒化学品、监控化学品以及国家明令淘汰的高毒高残留化学品;⑦禁止引入尚需自行锅炉的企业入区，引进项目必须使用清洁能源或实施集中供热;⑧禁止在淮河流域新建化学制浆造纸企业和印染、制革、化工、电镀、酿造等污染严重的小型企业;⑨考虑到区块一化工区距濉溪县主城区较近，禁止引入污染物排放量大，环境风险高的项目，在区块一化工区三级防控建设完成前，禁止新建化工项目。</w:t>
                  </w:r>
                </w:p>
              </w:tc>
            </w:tr>
          </w:tbl>
          <w:p w14:paraId="6DC18273">
            <w:pPr>
              <w:pStyle w:val="37"/>
              <w:adjustRightInd/>
              <w:spacing w:line="360" w:lineRule="auto"/>
              <w:ind w:firstLine="480" w:firstLineChars="200"/>
              <w:rPr>
                <w:bCs/>
                <w:color w:val="auto"/>
              </w:rPr>
            </w:pPr>
            <w:r>
              <w:rPr>
                <w:rFonts w:hint="eastAsia"/>
                <w:bCs/>
                <w:color w:val="auto"/>
              </w:rPr>
              <w:t>（5）环境分区管控</w:t>
            </w:r>
          </w:p>
          <w:p w14:paraId="27B45ECF">
            <w:pPr>
              <w:pStyle w:val="34"/>
              <w:kinsoku/>
              <w:snapToGrid/>
              <w:spacing w:line="360" w:lineRule="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对照安徽省“三线一单”公众服务平台，本项目位于安徽省淮北市濉溪县环境综合管控单元工业重点管控单元（管控单元编号：ZH34062120225），根据安徽省三线一单符合性分析查询，本项目涉及的环境管控单元见下表。</w:t>
            </w:r>
          </w:p>
          <w:p w14:paraId="6E382364">
            <w:pPr>
              <w:pStyle w:val="3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b/>
                <w:bCs/>
                <w:color w:val="auto"/>
                <w:kern w:val="2"/>
                <w:szCs w:val="24"/>
                <w:lang w:eastAsia="zh-CN" w:bidi="ar"/>
              </w:rPr>
            </w:pPr>
            <w:r>
              <w:rPr>
                <w:rFonts w:eastAsia="宋体" w:cs="Times New Roman"/>
                <w:b/>
                <w:bCs/>
                <w:color w:val="auto"/>
                <w:kern w:val="2"/>
                <w:szCs w:val="24"/>
                <w:lang w:eastAsia="zh-CN" w:bidi="ar"/>
              </w:rPr>
              <w:t>表1-</w:t>
            </w:r>
            <w:r>
              <w:rPr>
                <w:rFonts w:hint="eastAsia" w:eastAsia="宋体" w:cs="Times New Roman"/>
                <w:b/>
                <w:bCs/>
                <w:color w:val="auto"/>
                <w:kern w:val="2"/>
                <w:szCs w:val="24"/>
                <w:lang w:eastAsia="zh-CN" w:bidi="ar"/>
              </w:rPr>
              <w:t>3</w:t>
            </w:r>
            <w:r>
              <w:rPr>
                <w:rFonts w:eastAsia="宋体" w:cs="Times New Roman"/>
                <w:b/>
                <w:bCs/>
                <w:color w:val="auto"/>
                <w:kern w:val="2"/>
                <w:szCs w:val="24"/>
                <w:lang w:eastAsia="zh-CN" w:bidi="ar"/>
              </w:rPr>
              <w:t xml:space="preserve">  项目分区管控单元基本信息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4710"/>
              <w:gridCol w:w="2826"/>
            </w:tblGrid>
            <w:tr w14:paraId="5D93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3EAF1E85">
                  <w:pPr>
                    <w:widowControl w:val="0"/>
                    <w:kinsoku/>
                    <w:adjustRightInd/>
                    <w:snapToGrid/>
                    <w:jc w:val="center"/>
                    <w:textAlignment w:val="auto"/>
                    <w:rPr>
                      <w:rFonts w:ascii="Times New Roman" w:hAnsi="Times New Roman" w:eastAsia="宋体" w:cs="Times New Roman"/>
                      <w:bCs/>
                      <w:color w:val="auto"/>
                      <w:lang w:eastAsia="zh-CN"/>
                    </w:rPr>
                  </w:pPr>
                  <w:r>
                    <w:rPr>
                      <w:rFonts w:ascii="Times New Roman" w:hAnsi="Times New Roman" w:cs="Times New Roman"/>
                      <w:bCs/>
                      <w:color w:val="auto"/>
                      <w:lang w:eastAsia="zh-CN"/>
                    </w:rPr>
                    <w:t>序号</w:t>
                  </w:r>
                </w:p>
              </w:tc>
              <w:tc>
                <w:tcPr>
                  <w:tcW w:w="2779" w:type="pct"/>
                  <w:vAlign w:val="center"/>
                </w:tcPr>
                <w:p w14:paraId="12B43F3B">
                  <w:pPr>
                    <w:widowControl w:val="0"/>
                    <w:kinsoku/>
                    <w:adjustRightInd/>
                    <w:snapToGrid/>
                    <w:jc w:val="center"/>
                    <w:textAlignment w:val="auto"/>
                    <w:rPr>
                      <w:rFonts w:ascii="Times New Roman" w:hAnsi="Times New Roman" w:eastAsia="宋体" w:cs="Times New Roman"/>
                      <w:bCs/>
                      <w:color w:val="auto"/>
                      <w:lang w:eastAsia="zh-CN"/>
                    </w:rPr>
                  </w:pPr>
                  <w:r>
                    <w:rPr>
                      <w:rFonts w:ascii="Times New Roman" w:hAnsi="Times New Roman" w:cs="Times New Roman"/>
                      <w:bCs/>
                      <w:color w:val="auto"/>
                      <w:lang w:eastAsia="zh-CN"/>
                    </w:rPr>
                    <w:t>类别</w:t>
                  </w:r>
                </w:p>
              </w:tc>
              <w:tc>
                <w:tcPr>
                  <w:tcW w:w="1667" w:type="pct"/>
                  <w:vAlign w:val="center"/>
                </w:tcPr>
                <w:p w14:paraId="7188B485">
                  <w:pPr>
                    <w:widowControl w:val="0"/>
                    <w:kinsoku/>
                    <w:adjustRightInd/>
                    <w:snapToGrid/>
                    <w:jc w:val="center"/>
                    <w:textAlignment w:val="auto"/>
                    <w:rPr>
                      <w:rFonts w:ascii="Times New Roman" w:hAnsi="Times New Roman" w:eastAsia="宋体" w:cs="Times New Roman"/>
                      <w:bCs/>
                      <w:color w:val="auto"/>
                      <w:lang w:eastAsia="zh-CN"/>
                    </w:rPr>
                  </w:pPr>
                  <w:r>
                    <w:rPr>
                      <w:rFonts w:ascii="Times New Roman" w:hAnsi="Times New Roman" w:cs="Times New Roman"/>
                      <w:bCs/>
                      <w:color w:val="auto"/>
                      <w:lang w:eastAsia="zh-CN"/>
                    </w:rPr>
                    <w:t>本项目</w:t>
                  </w:r>
                </w:p>
              </w:tc>
            </w:tr>
            <w:tr w14:paraId="4A00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3281A970">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1</w:t>
                  </w:r>
                </w:p>
              </w:tc>
              <w:tc>
                <w:tcPr>
                  <w:tcW w:w="2779" w:type="pct"/>
                  <w:vAlign w:val="center"/>
                </w:tcPr>
                <w:p w14:paraId="301C3A36">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环境管控单元编码</w:t>
                  </w:r>
                </w:p>
              </w:tc>
              <w:tc>
                <w:tcPr>
                  <w:tcW w:w="1667" w:type="pct"/>
                  <w:vAlign w:val="center"/>
                </w:tcPr>
                <w:p w14:paraId="7F5C3648">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eastAsia="宋体" w:cs="Times New Roman"/>
                      <w:color w:val="auto"/>
                      <w:sz w:val="24"/>
                      <w:szCs w:val="24"/>
                      <w:lang w:eastAsia="zh-CN"/>
                    </w:rPr>
                    <w:t>ZH34062120225</w:t>
                  </w:r>
                </w:p>
              </w:tc>
            </w:tr>
            <w:tr w14:paraId="6892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54D5121B">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2</w:t>
                  </w:r>
                </w:p>
              </w:tc>
              <w:tc>
                <w:tcPr>
                  <w:tcW w:w="2779" w:type="pct"/>
                  <w:vAlign w:val="center"/>
                </w:tcPr>
                <w:p w14:paraId="25D04667">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管控单元分类</w:t>
                  </w:r>
                </w:p>
              </w:tc>
              <w:tc>
                <w:tcPr>
                  <w:tcW w:w="1667" w:type="pct"/>
                  <w:vAlign w:val="center"/>
                </w:tcPr>
                <w:p w14:paraId="287AEE1B">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重点管控单元</w:t>
                  </w:r>
                </w:p>
              </w:tc>
            </w:tr>
            <w:tr w14:paraId="3000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10ECFD27">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3</w:t>
                  </w:r>
                </w:p>
              </w:tc>
              <w:tc>
                <w:tcPr>
                  <w:tcW w:w="2779" w:type="pct"/>
                  <w:vAlign w:val="center"/>
                </w:tcPr>
                <w:p w14:paraId="5F256484">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行政区</w:t>
                  </w:r>
                </w:p>
              </w:tc>
              <w:tc>
                <w:tcPr>
                  <w:tcW w:w="1667" w:type="pct"/>
                  <w:vAlign w:val="center"/>
                </w:tcPr>
                <w:p w14:paraId="04FA71ED">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淮北市濉溪县</w:t>
                  </w:r>
                </w:p>
              </w:tc>
            </w:tr>
            <w:tr w14:paraId="32C1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3" w:type="pct"/>
                  <w:vAlign w:val="center"/>
                </w:tcPr>
                <w:p w14:paraId="57F439B7">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4</w:t>
                  </w:r>
                </w:p>
              </w:tc>
              <w:tc>
                <w:tcPr>
                  <w:tcW w:w="2779" w:type="pct"/>
                  <w:vAlign w:val="center"/>
                </w:tcPr>
                <w:p w14:paraId="5D4C0191">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管控单元细分类</w:t>
                  </w:r>
                </w:p>
              </w:tc>
              <w:tc>
                <w:tcPr>
                  <w:tcW w:w="1667" w:type="pct"/>
                  <w:vAlign w:val="center"/>
                </w:tcPr>
                <w:p w14:paraId="0AE570F3">
                  <w:pPr>
                    <w:widowControl w:val="0"/>
                    <w:kinsoku/>
                    <w:adjustRightInd/>
                    <w:snapToGrid/>
                    <w:jc w:val="center"/>
                    <w:textAlignment w:val="auto"/>
                    <w:rPr>
                      <w:rFonts w:ascii="Times New Roman" w:hAnsi="Times New Roman" w:cs="Times New Roman"/>
                      <w:bCs/>
                      <w:color w:val="auto"/>
                      <w:lang w:eastAsia="zh-CN"/>
                    </w:rPr>
                  </w:pPr>
                  <w:r>
                    <w:rPr>
                      <w:rFonts w:ascii="Times New Roman" w:hAnsi="Times New Roman" w:cs="Times New Roman"/>
                      <w:bCs/>
                      <w:color w:val="auto"/>
                      <w:lang w:eastAsia="zh-CN"/>
                    </w:rPr>
                    <w:t>水重点/大气重点</w:t>
                  </w:r>
                </w:p>
              </w:tc>
            </w:tr>
          </w:tbl>
          <w:p w14:paraId="37D25B38">
            <w:pPr>
              <w:pStyle w:val="34"/>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 xml:space="preserve">4  </w:t>
            </w:r>
            <w:r>
              <w:rPr>
                <w:rFonts w:ascii="Times New Roman" w:hAnsi="Times New Roman" w:eastAsia="宋体" w:cs="Times New Roman"/>
                <w:b/>
                <w:bCs/>
                <w:color w:val="auto"/>
                <w:sz w:val="24"/>
                <w:szCs w:val="24"/>
                <w:lang w:eastAsia="zh-CN"/>
              </w:rPr>
              <w:t>项目与管控单元符合性分析一览表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22"/>
              <w:gridCol w:w="3942"/>
              <w:gridCol w:w="2311"/>
              <w:gridCol w:w="612"/>
            </w:tblGrid>
            <w:tr w14:paraId="0BCF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Align w:val="center"/>
                </w:tcPr>
                <w:p w14:paraId="4C868E48">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管控单元分类</w:t>
                  </w:r>
                </w:p>
              </w:tc>
              <w:tc>
                <w:tcPr>
                  <w:tcW w:w="2812" w:type="pct"/>
                  <w:gridSpan w:val="2"/>
                  <w:vAlign w:val="center"/>
                </w:tcPr>
                <w:p w14:paraId="0F097F98">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管控要求（节选相关内容）</w:t>
                  </w:r>
                </w:p>
              </w:tc>
              <w:tc>
                <w:tcPr>
                  <w:tcW w:w="1364" w:type="pct"/>
                  <w:vAlign w:val="center"/>
                </w:tcPr>
                <w:p w14:paraId="551282F1">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本项目情况</w:t>
                  </w:r>
                </w:p>
              </w:tc>
              <w:tc>
                <w:tcPr>
                  <w:tcW w:w="361" w:type="pct"/>
                  <w:vAlign w:val="center"/>
                </w:tcPr>
                <w:p w14:paraId="6AE374F7">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相符性分析</w:t>
                  </w:r>
                </w:p>
              </w:tc>
            </w:tr>
            <w:tr w14:paraId="7B60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restart"/>
                  <w:vAlign w:val="center"/>
                </w:tcPr>
                <w:p w14:paraId="0CBD3B71">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重点管控单元</w:t>
                  </w:r>
                </w:p>
              </w:tc>
              <w:tc>
                <w:tcPr>
                  <w:tcW w:w="485" w:type="pct"/>
                  <w:vAlign w:val="center"/>
                </w:tcPr>
                <w:p w14:paraId="6E692559">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空间布局约束</w:t>
                  </w:r>
                </w:p>
              </w:tc>
              <w:tc>
                <w:tcPr>
                  <w:tcW w:w="2326" w:type="pct"/>
                  <w:vAlign w:val="center"/>
                </w:tcPr>
                <w:p w14:paraId="064D0921">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严禁新增钢铁、焦化、电解铝、铸造、水泥和平板玻璃等产能;严格执行钢铁、水泥、平板玻璃等行业产能置换实施办法。严格执行国家关于“两高”产业准入目录和产能总量控制政策措施。严禁 新增钢铁、焦化、电解铝、铸造、水泥和平板玻璃等产能:新、改、扩建涉及大宗物料运输的建设项目，原则上不得采用公路运输。禁止建设生产和使用高VOCs含量的溶剂型涂料、油墨、胶粘剂等项目，禁止新增化工园区。</w:t>
                  </w:r>
                </w:p>
              </w:tc>
              <w:tc>
                <w:tcPr>
                  <w:tcW w:w="1364" w:type="pct"/>
                  <w:vAlign w:val="center"/>
                </w:tcPr>
                <w:p w14:paraId="695B0718">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本项目不属于“两高”项目，本项目符合产业政策及“三线一单”等要求；本项目建设生产时使用的塑粉属于低VOCs原辅材料，项目不使用高VOCs含量的溶剂型涂料、油墨、胶粘剂等。</w:t>
                  </w:r>
                </w:p>
              </w:tc>
              <w:tc>
                <w:tcPr>
                  <w:tcW w:w="361" w:type="pct"/>
                  <w:vAlign w:val="center"/>
                </w:tcPr>
                <w:p w14:paraId="6046047D">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符合</w:t>
                  </w:r>
                </w:p>
              </w:tc>
            </w:tr>
            <w:tr w14:paraId="578E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vAlign w:val="center"/>
                </w:tcPr>
                <w:p w14:paraId="3398539C">
                  <w:pPr>
                    <w:pStyle w:val="27"/>
                    <w:kinsoku/>
                    <w:adjustRightInd/>
                    <w:snapToGrid/>
                    <w:jc w:val="both"/>
                    <w:textAlignment w:val="auto"/>
                    <w:rPr>
                      <w:rFonts w:ascii="Times New Roman" w:hAnsi="Times New Roman"/>
                      <w:bCs/>
                      <w:snapToGrid/>
                      <w:color w:val="auto"/>
                      <w:kern w:val="21"/>
                      <w:sz w:val="21"/>
                    </w:rPr>
                  </w:pPr>
                </w:p>
              </w:tc>
              <w:tc>
                <w:tcPr>
                  <w:tcW w:w="485" w:type="pct"/>
                  <w:vAlign w:val="center"/>
                </w:tcPr>
                <w:p w14:paraId="7EE98659">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污染物排放管控</w:t>
                  </w:r>
                </w:p>
              </w:tc>
              <w:tc>
                <w:tcPr>
                  <w:tcW w:w="2326" w:type="pct"/>
                  <w:vAlign w:val="center"/>
                </w:tcPr>
                <w:p w14:paraId="21802108">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对国家级新区、工业园区、高新区等进行集中整治，限期进行达标改造。按《挥发性有机物无组织排放控制标准》(GB37822-2019)要求,做好 VOCs 物料储存、物料转移和输送、工艺过程、设备与管线组件、敞开液面VOCs排放,以及VOC</w:t>
                  </w:r>
                  <w:r>
                    <w:rPr>
                      <w:rFonts w:hint="eastAsia" w:ascii="Times New Roman" w:hAnsi="Times New Roman"/>
                      <w:bCs/>
                      <w:snapToGrid/>
                      <w:color w:val="auto"/>
                      <w:kern w:val="21"/>
                      <w:sz w:val="21"/>
                      <w:lang w:val="en-US" w:eastAsia="zh-CN"/>
                    </w:rPr>
                    <w:t>s</w:t>
                  </w:r>
                  <w:r>
                    <w:rPr>
                      <w:rFonts w:ascii="Times New Roman" w:hAnsi="Times New Roman"/>
                      <w:bCs/>
                      <w:snapToGrid/>
                      <w:color w:val="auto"/>
                      <w:kern w:val="21"/>
                      <w:sz w:val="21"/>
                    </w:rPr>
                    <w:t>无组织排放废气收集处理系统要求。</w:t>
                  </w:r>
                </w:p>
              </w:tc>
              <w:tc>
                <w:tcPr>
                  <w:tcW w:w="1364" w:type="pct"/>
                  <w:vAlign w:val="center"/>
                </w:tcPr>
                <w:p w14:paraId="5CFE59E9">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本项目固化废气经密闭收集后通过“二级活性炭吸附装置”处理达标后经15m高排气筒排放，项目VOCs物料常温下不挥发，满足《挥发性有机物无组织排放控制标准》（GB37822-2019）要求</w:t>
                  </w:r>
                </w:p>
              </w:tc>
              <w:tc>
                <w:tcPr>
                  <w:tcW w:w="361" w:type="pct"/>
                  <w:vAlign w:val="center"/>
                </w:tcPr>
                <w:p w14:paraId="47A8EA1E">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符合</w:t>
                  </w:r>
                </w:p>
              </w:tc>
            </w:tr>
            <w:tr w14:paraId="6231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 w:type="pct"/>
                  <w:vMerge w:val="continue"/>
                  <w:vAlign w:val="center"/>
                </w:tcPr>
                <w:p w14:paraId="25326760">
                  <w:pPr>
                    <w:pStyle w:val="27"/>
                    <w:kinsoku/>
                    <w:adjustRightInd/>
                    <w:snapToGrid/>
                    <w:jc w:val="both"/>
                    <w:textAlignment w:val="auto"/>
                    <w:rPr>
                      <w:rFonts w:ascii="Times New Roman" w:hAnsi="Times New Roman"/>
                      <w:bCs/>
                      <w:snapToGrid/>
                      <w:color w:val="auto"/>
                      <w:kern w:val="21"/>
                      <w:sz w:val="21"/>
                    </w:rPr>
                  </w:pPr>
                </w:p>
              </w:tc>
              <w:tc>
                <w:tcPr>
                  <w:tcW w:w="485" w:type="pct"/>
                  <w:vAlign w:val="center"/>
                </w:tcPr>
                <w:p w14:paraId="530B89D8">
                  <w:pPr>
                    <w:pStyle w:val="27"/>
                    <w:numPr>
                      <w:ilvl w:val="1"/>
                      <w:numId w:val="0"/>
                    </w:numPr>
                    <w:kinsoku/>
                    <w:adjustRightInd/>
                    <w:snapToGrid/>
                    <w:jc w:val="center"/>
                    <w:textAlignment w:val="auto"/>
                    <w:rPr>
                      <w:rFonts w:ascii="Times New Roman" w:hAnsi="Times New Roman"/>
                      <w:bCs/>
                      <w:snapToGrid/>
                      <w:color w:val="auto"/>
                      <w:kern w:val="21"/>
                      <w:sz w:val="21"/>
                    </w:rPr>
                  </w:pPr>
                  <w:r>
                    <w:rPr>
                      <w:rFonts w:ascii="Times New Roman" w:hAnsi="Times New Roman"/>
                      <w:bCs/>
                      <w:snapToGrid/>
                      <w:color w:val="auto"/>
                      <w:kern w:val="21"/>
                      <w:sz w:val="21"/>
                    </w:rPr>
                    <w:t>资源开发效率要求</w:t>
                  </w:r>
                </w:p>
              </w:tc>
              <w:tc>
                <w:tcPr>
                  <w:tcW w:w="2326" w:type="pct"/>
                  <w:vAlign w:val="center"/>
                </w:tcPr>
                <w:p w14:paraId="48219BD8">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产生、收集、贮存、运输、利用、处置固体废物的单位和个人，应当采取措施，防止或者减少</w:t>
                  </w:r>
                  <w:r>
                    <w:rPr>
                      <w:rFonts w:hint="eastAsia" w:ascii="Times New Roman" w:hAnsi="Times New Roman"/>
                      <w:bCs/>
                      <w:snapToGrid/>
                      <w:color w:val="auto"/>
                      <w:kern w:val="21"/>
                      <w:sz w:val="21"/>
                    </w:rPr>
                    <w:t>固体废物</w:t>
                  </w:r>
                  <w:r>
                    <w:rPr>
                      <w:rFonts w:ascii="Times New Roman" w:hAnsi="Times New Roman"/>
                      <w:bCs/>
                      <w:snapToGrid/>
                      <w:color w:val="auto"/>
                      <w:kern w:val="21"/>
                      <w:sz w:val="21"/>
                    </w:rPr>
                    <w:t>对环境的污染，对所造成的环境污染依法承担责任。</w:t>
                  </w:r>
                </w:p>
              </w:tc>
              <w:tc>
                <w:tcPr>
                  <w:tcW w:w="1364" w:type="pct"/>
                  <w:vAlign w:val="center"/>
                </w:tcPr>
                <w:p w14:paraId="0B927F72">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本项目产生一般固废暂存间定期外售；</w:t>
                  </w:r>
                  <w:r>
                    <w:rPr>
                      <w:rFonts w:hint="eastAsia" w:ascii="Times New Roman" w:hAnsi="Times New Roman"/>
                      <w:bCs/>
                      <w:snapToGrid/>
                      <w:color w:val="auto"/>
                      <w:kern w:val="21"/>
                      <w:sz w:val="21"/>
                    </w:rPr>
                    <w:t>危险废物暂存</w:t>
                  </w:r>
                  <w:r>
                    <w:rPr>
                      <w:rFonts w:ascii="Times New Roman" w:hAnsi="Times New Roman"/>
                      <w:bCs/>
                      <w:snapToGrid/>
                      <w:color w:val="auto"/>
                      <w:kern w:val="21"/>
                      <w:sz w:val="21"/>
                    </w:rPr>
                    <w:t>间委托有资质单位进行处置。采取以上措施，减少对环境的污染</w:t>
                  </w:r>
                </w:p>
              </w:tc>
              <w:tc>
                <w:tcPr>
                  <w:tcW w:w="361" w:type="pct"/>
                  <w:vAlign w:val="center"/>
                </w:tcPr>
                <w:p w14:paraId="3314CE79">
                  <w:pPr>
                    <w:pStyle w:val="27"/>
                    <w:numPr>
                      <w:ilvl w:val="1"/>
                      <w:numId w:val="0"/>
                    </w:numPr>
                    <w:kinsoku/>
                    <w:adjustRightInd/>
                    <w:snapToGrid/>
                    <w:jc w:val="both"/>
                    <w:textAlignment w:val="auto"/>
                    <w:rPr>
                      <w:rFonts w:ascii="Times New Roman" w:hAnsi="Times New Roman"/>
                      <w:bCs/>
                      <w:snapToGrid/>
                      <w:color w:val="auto"/>
                      <w:kern w:val="21"/>
                      <w:sz w:val="21"/>
                    </w:rPr>
                  </w:pPr>
                  <w:r>
                    <w:rPr>
                      <w:rFonts w:ascii="Times New Roman" w:hAnsi="Times New Roman"/>
                      <w:bCs/>
                      <w:snapToGrid/>
                      <w:color w:val="auto"/>
                      <w:kern w:val="21"/>
                      <w:sz w:val="21"/>
                    </w:rPr>
                    <w:t>符合</w:t>
                  </w:r>
                </w:p>
              </w:tc>
            </w:tr>
          </w:tbl>
          <w:p w14:paraId="282E5A0E">
            <w:pPr>
              <w:pStyle w:val="37"/>
              <w:adjustRightInd/>
              <w:spacing w:line="360" w:lineRule="auto"/>
              <w:rPr>
                <w:b/>
                <w:bCs/>
                <w:color w:val="auto"/>
              </w:rPr>
            </w:pPr>
            <w:r>
              <w:rPr>
                <w:b/>
                <w:color w:val="auto"/>
              </w:rPr>
              <w:t>4、项目与其他相关法规政策相符性分析</w:t>
            </w:r>
          </w:p>
          <w:p w14:paraId="69745401">
            <w:pPr>
              <w:widowControl w:val="0"/>
              <w:kinsoku/>
              <w:autoSpaceDE/>
              <w:autoSpaceDN/>
              <w:adjustRightInd/>
              <w:snapToGrid/>
              <w:spacing w:line="360" w:lineRule="auto"/>
              <w:ind w:firstLine="482" w:firstLineChars="200"/>
              <w:textAlignment w:val="auto"/>
              <w:rPr>
                <w:rFonts w:ascii="Times New Roman" w:hAnsi="Times New Roman" w:eastAsia="宋体" w:cs="Times New Roman"/>
                <w:b/>
                <w:bCs/>
                <w:color w:val="auto"/>
                <w:sz w:val="24"/>
                <w:szCs w:val="32"/>
                <w:lang w:eastAsia="zh-CN"/>
              </w:rPr>
            </w:pPr>
            <w:r>
              <w:rPr>
                <w:rFonts w:ascii="Times New Roman" w:hAnsi="Times New Roman" w:eastAsia="宋体" w:cs="Times New Roman"/>
                <w:b/>
                <w:bCs/>
                <w:color w:val="auto"/>
                <w:sz w:val="24"/>
                <w:szCs w:val="32"/>
                <w:lang w:eastAsia="zh-CN"/>
              </w:rPr>
              <w:t>（1）与</w:t>
            </w:r>
            <w:r>
              <w:rPr>
                <w:rFonts w:ascii="Times New Roman" w:hAnsi="Times New Roman" w:eastAsia="宋体" w:cs="Times New Roman"/>
                <w:b/>
                <w:bCs/>
                <w:color w:val="auto"/>
                <w:sz w:val="24"/>
                <w:szCs w:val="32"/>
              </w:rPr>
              <w:t>《</w:t>
            </w:r>
            <w:r>
              <w:rPr>
                <w:rFonts w:ascii="Times New Roman" w:hAnsi="Times New Roman" w:eastAsia="宋体" w:cs="Times New Roman"/>
                <w:b/>
                <w:bCs/>
                <w:color w:val="auto"/>
                <w:sz w:val="24"/>
                <w:szCs w:val="32"/>
                <w:lang w:eastAsia="zh-CN"/>
              </w:rPr>
              <w:t>安徽省生态环境厅关于强化2024-2025秋冬季大气污染防治攻坚工作的通知</w:t>
            </w:r>
            <w:r>
              <w:rPr>
                <w:rFonts w:ascii="Times New Roman" w:hAnsi="Times New Roman" w:eastAsia="宋体" w:cs="Times New Roman"/>
                <w:b/>
                <w:bCs/>
                <w:color w:val="auto"/>
                <w:sz w:val="24"/>
                <w:szCs w:val="32"/>
              </w:rPr>
              <w:t>》的</w:t>
            </w:r>
            <w:r>
              <w:rPr>
                <w:rFonts w:ascii="Times New Roman" w:hAnsi="Times New Roman" w:eastAsia="宋体" w:cs="Times New Roman"/>
                <w:b/>
                <w:bCs/>
                <w:color w:val="auto"/>
                <w:sz w:val="24"/>
                <w:szCs w:val="32"/>
                <w:lang w:eastAsia="zh-CN"/>
              </w:rPr>
              <w:t>相符性分析</w:t>
            </w:r>
          </w:p>
          <w:p w14:paraId="04035776">
            <w:pPr>
              <w:pStyle w:val="32"/>
              <w:widowControl w:val="0"/>
              <w:kinsoku/>
              <w:autoSpaceDE/>
              <w:autoSpaceDN/>
              <w:adjustRightInd/>
              <w:snapToGrid/>
              <w:textAlignment w:val="auto"/>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t>表1-1 与</w:t>
            </w:r>
            <w:r>
              <w:rPr>
                <w:rFonts w:hint="default" w:ascii="Times New Roman" w:hAnsi="Times New Roman" w:eastAsia="宋体" w:cs="Times New Roman"/>
                <w:color w:val="auto"/>
                <w:sz w:val="24"/>
                <w:szCs w:val="32"/>
              </w:rPr>
              <w:t>《</w:t>
            </w:r>
            <w:r>
              <w:rPr>
                <w:rFonts w:hint="default" w:ascii="Times New Roman" w:hAnsi="Times New Roman" w:eastAsia="宋体" w:cs="Times New Roman"/>
                <w:bCs/>
                <w:color w:val="auto"/>
                <w:sz w:val="24"/>
                <w:szCs w:val="32"/>
                <w:lang w:eastAsia="zh-CN"/>
              </w:rPr>
              <w:t>安徽省生态环境厅关于强化2024-2025秋冬季大气污染防治攻坚工作的通知</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32"/>
                <w:lang w:eastAsia="zh-CN"/>
              </w:rPr>
              <w:t>相符性分析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3"/>
              <w:gridCol w:w="1773"/>
              <w:gridCol w:w="1095"/>
            </w:tblGrid>
            <w:tr w14:paraId="41ED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306" w:type="pct"/>
                  <w:vAlign w:val="center"/>
                </w:tcPr>
                <w:p w14:paraId="02A207E7">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与本项目相关的要求</w:t>
                  </w:r>
                </w:p>
              </w:tc>
              <w:tc>
                <w:tcPr>
                  <w:tcW w:w="1046" w:type="pct"/>
                  <w:vAlign w:val="center"/>
                </w:tcPr>
                <w:p w14:paraId="5153C283">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本项目情况</w:t>
                  </w:r>
                </w:p>
              </w:tc>
              <w:tc>
                <w:tcPr>
                  <w:tcW w:w="646" w:type="pct"/>
                  <w:vAlign w:val="center"/>
                </w:tcPr>
                <w:p w14:paraId="3A2414AE">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相符性</w:t>
                  </w:r>
                </w:p>
              </w:tc>
            </w:tr>
            <w:tr w14:paraId="3ED0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7C2ACE22">
                  <w:pPr>
                    <w:widowControl w:val="0"/>
                    <w:numPr>
                      <w:ilvl w:val="0"/>
                      <w:numId w:val="4"/>
                    </w:numPr>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加快淘汰燃煤小锅炉等高污染设施。对应当淘汰的燃煤小锅炉、燃煤热风炉和种植业、养殖业散煤等抓紧淘汰，依据淘汰的组织“回头看”防止死灰复燃。</w:t>
                  </w:r>
                </w:p>
              </w:tc>
              <w:tc>
                <w:tcPr>
                  <w:tcW w:w="1046" w:type="pct"/>
                  <w:vAlign w:val="center"/>
                </w:tcPr>
                <w:p w14:paraId="7B4751F8">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本项目使用天然气固化炉，不涉及燃煤</w:t>
                  </w:r>
                </w:p>
              </w:tc>
              <w:tc>
                <w:tcPr>
                  <w:tcW w:w="646" w:type="pct"/>
                  <w:vAlign w:val="center"/>
                </w:tcPr>
                <w:p w14:paraId="09E1F9A6">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相符</w:t>
                  </w:r>
                </w:p>
              </w:tc>
            </w:tr>
            <w:tr w14:paraId="47FD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6" w:type="pct"/>
                  <w:vAlign w:val="center"/>
                </w:tcPr>
                <w:p w14:paraId="0BB206C4">
                  <w:pPr>
                    <w:widowControl w:val="0"/>
                    <w:kinsoku/>
                    <w:autoSpaceDE/>
                    <w:autoSpaceDN/>
                    <w:adjustRightInd/>
                    <w:snapToGrid/>
                    <w:jc w:val="both"/>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2、加强挥发性有机物管控。积极督促指导VOCs年排量1吨及以上企业对照挥发性有机物综合治理“一企一策”方案，对原辅材料替代、过程控制、末端治理及环境监管等环节逐一梳理，及时排查整治跑冒滴漏问题</w:t>
                  </w:r>
                </w:p>
              </w:tc>
              <w:tc>
                <w:tcPr>
                  <w:tcW w:w="1046" w:type="pct"/>
                  <w:vAlign w:val="center"/>
                </w:tcPr>
                <w:p w14:paraId="1304A077">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本项目使用的塑粉为低VOCs含量原辅材料，且VOCs年排放量低于1吨的要求</w:t>
                  </w:r>
                </w:p>
              </w:tc>
              <w:tc>
                <w:tcPr>
                  <w:tcW w:w="646" w:type="pct"/>
                  <w:vAlign w:val="center"/>
                </w:tcPr>
                <w:p w14:paraId="2AF06D7C">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相符</w:t>
                  </w:r>
                </w:p>
              </w:tc>
            </w:tr>
          </w:tbl>
          <w:p w14:paraId="0C55BD0B">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b/>
                <w:bCs/>
                <w:color w:val="auto"/>
                <w:sz w:val="24"/>
                <w:szCs w:val="24"/>
                <w:lang w:eastAsia="zh-CN"/>
              </w:rPr>
              <w:t>（2）</w:t>
            </w:r>
            <w:r>
              <w:rPr>
                <w:rFonts w:ascii="Times New Roman" w:hAnsi="Times New Roman" w:eastAsia="宋体" w:cs="Times New Roman"/>
                <w:b/>
                <w:bCs/>
                <w:color w:val="auto"/>
                <w:sz w:val="24"/>
                <w:szCs w:val="24"/>
              </w:rPr>
              <w:t>本项目与《淮北市生态环境保护“十四五”规划》（2022年1月，淮环〔2022〕1号）的相符性分析</w:t>
            </w:r>
          </w:p>
          <w:p w14:paraId="16C1EC39">
            <w:pPr>
              <w:pStyle w:val="3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表1-</w:t>
            </w:r>
            <w:r>
              <w:rPr>
                <w:rFonts w:hint="default" w:ascii="Times New Roman" w:hAnsi="Times New Roman" w:cs="Times New Roman"/>
                <w:color w:val="auto"/>
                <w:sz w:val="24"/>
                <w:szCs w:val="24"/>
                <w:lang w:eastAsia="zh-CN"/>
              </w:rPr>
              <w:t>2</w:t>
            </w:r>
            <w:r>
              <w:rPr>
                <w:rFonts w:hint="default" w:ascii="Times New Roman" w:hAnsi="Times New Roman" w:cs="Times New Roman"/>
                <w:color w:val="auto"/>
                <w:sz w:val="24"/>
                <w:szCs w:val="24"/>
              </w:rPr>
              <w:t xml:space="preserve">  项目与《淮北市生态环境保护“十四五”规划》相符性分析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4470"/>
              <w:gridCol w:w="2742"/>
              <w:gridCol w:w="824"/>
            </w:tblGrid>
            <w:tr w14:paraId="2CFC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Align w:val="center"/>
                </w:tcPr>
                <w:p w14:paraId="09CF5DA2">
                  <w:pPr>
                    <w:pStyle w:val="33"/>
                    <w:rPr>
                      <w:rFonts w:ascii="Times New Roman" w:hAnsi="Times New Roman" w:cs="Times New Roman"/>
                      <w:color w:val="auto"/>
                    </w:rPr>
                  </w:pPr>
                  <w:r>
                    <w:rPr>
                      <w:rFonts w:ascii="Times New Roman" w:hAnsi="Times New Roman" w:cs="Times New Roman"/>
                      <w:color w:val="auto"/>
                    </w:rPr>
                    <w:t>序号</w:t>
                  </w:r>
                </w:p>
              </w:tc>
              <w:tc>
                <w:tcPr>
                  <w:tcW w:w="2638" w:type="pct"/>
                  <w:vAlign w:val="center"/>
                </w:tcPr>
                <w:p w14:paraId="016F634F">
                  <w:pPr>
                    <w:pStyle w:val="33"/>
                    <w:rPr>
                      <w:rFonts w:ascii="Times New Roman" w:hAnsi="Times New Roman" w:cs="Times New Roman"/>
                      <w:color w:val="auto"/>
                    </w:rPr>
                  </w:pPr>
                  <w:r>
                    <w:rPr>
                      <w:rFonts w:ascii="Times New Roman" w:hAnsi="Times New Roman" w:cs="Times New Roman"/>
                      <w:color w:val="auto"/>
                    </w:rPr>
                    <w:t>规划要求</w:t>
                  </w:r>
                </w:p>
              </w:tc>
              <w:tc>
                <w:tcPr>
                  <w:tcW w:w="1618" w:type="pct"/>
                  <w:vAlign w:val="center"/>
                </w:tcPr>
                <w:p w14:paraId="5239A9ED">
                  <w:pPr>
                    <w:pStyle w:val="33"/>
                    <w:rPr>
                      <w:rFonts w:ascii="Times New Roman" w:hAnsi="Times New Roman" w:cs="Times New Roman"/>
                      <w:color w:val="auto"/>
                    </w:rPr>
                  </w:pPr>
                  <w:r>
                    <w:rPr>
                      <w:rFonts w:ascii="Times New Roman" w:hAnsi="Times New Roman" w:cs="Times New Roman"/>
                      <w:color w:val="auto"/>
                    </w:rPr>
                    <w:t>本项目情况</w:t>
                  </w:r>
                </w:p>
              </w:tc>
              <w:tc>
                <w:tcPr>
                  <w:tcW w:w="486" w:type="pct"/>
                  <w:vAlign w:val="center"/>
                </w:tcPr>
                <w:p w14:paraId="2EB83C90">
                  <w:pPr>
                    <w:pStyle w:val="33"/>
                    <w:rPr>
                      <w:rFonts w:ascii="Times New Roman" w:hAnsi="Times New Roman" w:cs="Times New Roman"/>
                      <w:color w:val="auto"/>
                    </w:rPr>
                  </w:pPr>
                  <w:r>
                    <w:rPr>
                      <w:rFonts w:ascii="Times New Roman" w:hAnsi="Times New Roman" w:cs="Times New Roman"/>
                      <w:color w:val="auto"/>
                    </w:rPr>
                    <w:t>是否符合</w:t>
                  </w:r>
                </w:p>
              </w:tc>
            </w:tr>
            <w:tr w14:paraId="3DD6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Align w:val="center"/>
                </w:tcPr>
                <w:p w14:paraId="4FC3A9B5">
                  <w:pPr>
                    <w:pStyle w:val="33"/>
                    <w:rPr>
                      <w:rFonts w:ascii="Times New Roman" w:hAnsi="Times New Roman" w:cs="Times New Roman"/>
                      <w:color w:val="auto"/>
                    </w:rPr>
                  </w:pPr>
                  <w:r>
                    <w:rPr>
                      <w:rFonts w:ascii="Times New Roman" w:hAnsi="Times New Roman" w:cs="Times New Roman"/>
                      <w:color w:val="auto"/>
                    </w:rPr>
                    <w:t>1</w:t>
                  </w:r>
                </w:p>
              </w:tc>
              <w:tc>
                <w:tcPr>
                  <w:tcW w:w="2638" w:type="pct"/>
                  <w:vAlign w:val="center"/>
                </w:tcPr>
                <w:p w14:paraId="1E9A6DBF">
                  <w:pPr>
                    <w:pStyle w:val="33"/>
                    <w:rPr>
                      <w:rFonts w:ascii="Times New Roman" w:hAnsi="Times New Roman" w:cs="Times New Roman"/>
                      <w:color w:val="auto"/>
                    </w:rPr>
                  </w:pPr>
                  <w:r>
                    <w:rPr>
                      <w:rFonts w:ascii="Times New Roman" w:hAnsi="Times New Roman" w:cs="Times New Roman"/>
                      <w:color w:val="auto"/>
                    </w:rPr>
                    <w:t>协同推进，持续改善环境空气质量。以降低PM</w:t>
                  </w:r>
                  <w:r>
                    <w:rPr>
                      <w:rFonts w:ascii="Times New Roman" w:hAnsi="Times New Roman" w:cs="Times New Roman"/>
                      <w:color w:val="auto"/>
                      <w:vertAlign w:val="subscript"/>
                    </w:rPr>
                    <w:t>2.5</w:t>
                  </w:r>
                  <w:r>
                    <w:rPr>
                      <w:rFonts w:ascii="Times New Roman" w:hAnsi="Times New Roman" w:cs="Times New Roman"/>
                      <w:color w:val="auto"/>
                    </w:rPr>
                    <w:t>污染为环境空气质量改善的核心目标，推动O</w:t>
                  </w:r>
                  <w:r>
                    <w:rPr>
                      <w:rFonts w:ascii="Times New Roman" w:hAnsi="Times New Roman" w:cs="Times New Roman"/>
                      <w:color w:val="auto"/>
                      <w:vertAlign w:val="subscript"/>
                    </w:rPr>
                    <w:t>3</w:t>
                  </w:r>
                  <w:r>
                    <w:rPr>
                      <w:rFonts w:ascii="Times New Roman" w:hAnsi="Times New Roman" w:cs="Times New Roman"/>
                      <w:color w:val="auto"/>
                    </w:rPr>
                    <w:t>污染的协同控制，以质量改善目标引领大气污染防治布局，采取多种手段推动环境空气质量持续改善。</w:t>
                  </w:r>
                </w:p>
              </w:tc>
              <w:tc>
                <w:tcPr>
                  <w:tcW w:w="1618" w:type="pct"/>
                  <w:vAlign w:val="center"/>
                </w:tcPr>
                <w:p w14:paraId="55906280">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项目生产过程产生的废气均采取有效措施并有组织排放</w:t>
                  </w:r>
                </w:p>
              </w:tc>
              <w:tc>
                <w:tcPr>
                  <w:tcW w:w="486" w:type="pct"/>
                  <w:vAlign w:val="center"/>
                </w:tcPr>
                <w:p w14:paraId="0A4F5F76">
                  <w:pPr>
                    <w:pStyle w:val="33"/>
                    <w:rPr>
                      <w:rFonts w:ascii="Times New Roman" w:hAnsi="Times New Roman" w:cs="Times New Roman"/>
                      <w:color w:val="auto"/>
                    </w:rPr>
                  </w:pPr>
                  <w:r>
                    <w:rPr>
                      <w:rFonts w:ascii="Times New Roman" w:hAnsi="Times New Roman" w:cs="Times New Roman"/>
                      <w:color w:val="auto"/>
                    </w:rPr>
                    <w:t>相符</w:t>
                  </w:r>
                </w:p>
              </w:tc>
            </w:tr>
            <w:tr w14:paraId="23E5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Align w:val="center"/>
                </w:tcPr>
                <w:p w14:paraId="1255659A">
                  <w:pPr>
                    <w:pStyle w:val="33"/>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2638" w:type="pct"/>
                  <w:vAlign w:val="center"/>
                </w:tcPr>
                <w:p w14:paraId="78EEC4BF">
                  <w:pPr>
                    <w:pStyle w:val="33"/>
                    <w:rPr>
                      <w:rFonts w:ascii="Times New Roman" w:hAnsi="Times New Roman" w:cs="Times New Roman"/>
                      <w:color w:val="auto"/>
                    </w:rPr>
                  </w:pPr>
                  <w:r>
                    <w:rPr>
                      <w:rFonts w:ascii="Times New Roman" w:hAnsi="Times New Roman" w:cs="Times New Roman"/>
                      <w:color w:val="auto"/>
                    </w:rPr>
                    <w:t>强化面源污染治理。加强施工扬尘综合治理，严格落实“六个百分之百”扬尘防控长效机制。</w:t>
                  </w:r>
                </w:p>
              </w:tc>
              <w:tc>
                <w:tcPr>
                  <w:tcW w:w="1618" w:type="pct"/>
                  <w:vAlign w:val="center"/>
                </w:tcPr>
                <w:p w14:paraId="3179876E">
                  <w:pPr>
                    <w:pStyle w:val="33"/>
                    <w:rPr>
                      <w:rFonts w:ascii="Times New Roman" w:hAnsi="Times New Roman" w:eastAsia="宋体" w:cs="Times New Roman"/>
                      <w:color w:val="auto"/>
                      <w:lang w:eastAsia="zh-CN"/>
                    </w:rPr>
                  </w:pPr>
                  <w:r>
                    <w:rPr>
                      <w:rFonts w:ascii="Times New Roman" w:hAnsi="Times New Roman" w:cs="Times New Roman"/>
                      <w:color w:val="auto"/>
                    </w:rPr>
                    <w:t>本项目租赁已建厂房建设，仅</w:t>
                  </w:r>
                  <w:r>
                    <w:rPr>
                      <w:rFonts w:ascii="Times New Roman" w:hAnsi="Times New Roman" w:eastAsia="宋体" w:cs="Times New Roman"/>
                      <w:color w:val="auto"/>
                      <w:lang w:eastAsia="zh-CN"/>
                    </w:rPr>
                    <w:t>涉及</w:t>
                  </w:r>
                  <w:r>
                    <w:rPr>
                      <w:rFonts w:ascii="Times New Roman" w:hAnsi="Times New Roman" w:cs="Times New Roman"/>
                      <w:color w:val="auto"/>
                    </w:rPr>
                    <w:t>安装设备</w:t>
                  </w:r>
                  <w:r>
                    <w:rPr>
                      <w:rFonts w:ascii="Times New Roman" w:hAnsi="Times New Roman" w:eastAsia="宋体" w:cs="Times New Roman"/>
                      <w:color w:val="auto"/>
                      <w:lang w:eastAsia="zh-CN"/>
                    </w:rPr>
                    <w:t>，不涉及土建</w:t>
                  </w:r>
                </w:p>
              </w:tc>
              <w:tc>
                <w:tcPr>
                  <w:tcW w:w="486" w:type="pct"/>
                  <w:vAlign w:val="center"/>
                </w:tcPr>
                <w:p w14:paraId="03F57C73">
                  <w:pPr>
                    <w:pStyle w:val="33"/>
                    <w:rPr>
                      <w:rFonts w:ascii="Times New Roman" w:hAnsi="Times New Roman" w:cs="Times New Roman"/>
                      <w:color w:val="auto"/>
                    </w:rPr>
                  </w:pPr>
                  <w:r>
                    <w:rPr>
                      <w:rFonts w:ascii="Times New Roman" w:hAnsi="Times New Roman" w:cs="Times New Roman"/>
                      <w:color w:val="auto"/>
                    </w:rPr>
                    <w:t>相符</w:t>
                  </w:r>
                </w:p>
              </w:tc>
            </w:tr>
            <w:tr w14:paraId="2A06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Align w:val="center"/>
                </w:tcPr>
                <w:p w14:paraId="2C58B575">
                  <w:pPr>
                    <w:pStyle w:val="33"/>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p>
              </w:tc>
              <w:tc>
                <w:tcPr>
                  <w:tcW w:w="2638" w:type="pct"/>
                  <w:vAlign w:val="center"/>
                </w:tcPr>
                <w:p w14:paraId="60CE4E81">
                  <w:pPr>
                    <w:pStyle w:val="33"/>
                    <w:rPr>
                      <w:rFonts w:ascii="Times New Roman" w:hAnsi="Times New Roman" w:cs="Times New Roman"/>
                      <w:color w:val="auto"/>
                    </w:rPr>
                  </w:pPr>
                  <w:r>
                    <w:rPr>
                      <w:rFonts w:ascii="Times New Roman" w:hAnsi="Times New Roman" w:cs="Times New Roman"/>
                      <w:color w:val="auto"/>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1618" w:type="pct"/>
                  <w:vAlign w:val="center"/>
                </w:tcPr>
                <w:p w14:paraId="3BC14834">
                  <w:pPr>
                    <w:pStyle w:val="33"/>
                    <w:rPr>
                      <w:rFonts w:ascii="Times New Roman" w:hAnsi="Times New Roman" w:cs="Times New Roman"/>
                      <w:color w:val="auto"/>
                    </w:rPr>
                  </w:pPr>
                  <w:r>
                    <w:rPr>
                      <w:rFonts w:ascii="Times New Roman" w:hAnsi="Times New Roman" w:cs="Times New Roman"/>
                      <w:color w:val="auto"/>
                    </w:rPr>
                    <w:t>项目使用园区</w:t>
                  </w:r>
                  <w:r>
                    <w:rPr>
                      <w:rFonts w:ascii="Times New Roman" w:hAnsi="Times New Roman" w:cs="Times New Roman"/>
                      <w:color w:val="auto"/>
                      <w:lang w:eastAsia="zh-CN"/>
                    </w:rPr>
                    <w:t>天然气</w:t>
                  </w:r>
                  <w:r>
                    <w:rPr>
                      <w:rFonts w:ascii="Times New Roman" w:hAnsi="Times New Roman" w:cs="Times New Roman"/>
                      <w:color w:val="auto"/>
                    </w:rPr>
                    <w:t>，不使用燃煤。</w:t>
                  </w:r>
                </w:p>
              </w:tc>
              <w:tc>
                <w:tcPr>
                  <w:tcW w:w="486" w:type="pct"/>
                  <w:vAlign w:val="center"/>
                </w:tcPr>
                <w:p w14:paraId="28EB5B72">
                  <w:pPr>
                    <w:pStyle w:val="33"/>
                    <w:rPr>
                      <w:rFonts w:ascii="Times New Roman" w:hAnsi="Times New Roman" w:cs="Times New Roman"/>
                      <w:color w:val="auto"/>
                    </w:rPr>
                  </w:pPr>
                  <w:r>
                    <w:rPr>
                      <w:rFonts w:ascii="Times New Roman" w:hAnsi="Times New Roman" w:cs="Times New Roman"/>
                      <w:color w:val="auto"/>
                    </w:rPr>
                    <w:t>相符</w:t>
                  </w:r>
                </w:p>
              </w:tc>
            </w:tr>
          </w:tbl>
          <w:p w14:paraId="1830C7CA">
            <w:pPr>
              <w:kinsoku/>
              <w:adjustRightInd/>
              <w:snapToGrid/>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cs="Times New Roman"/>
                <w:b/>
                <w:bCs/>
                <w:color w:val="auto"/>
                <w:sz w:val="24"/>
                <w:szCs w:val="24"/>
                <w:lang w:eastAsia="zh-CN"/>
              </w:rPr>
              <w:t>（3）</w:t>
            </w:r>
            <w:r>
              <w:rPr>
                <w:rFonts w:ascii="Times New Roman" w:hAnsi="Times New Roman" w:eastAsia="宋体" w:cs="Times New Roman"/>
                <w:b/>
                <w:bCs/>
                <w:color w:val="auto"/>
                <w:sz w:val="24"/>
                <w:szCs w:val="24"/>
                <w:lang w:eastAsia="zh-CN"/>
              </w:rPr>
              <w:t>《安徽省低挥发性有机物含量原辅材料替代工作方案》(皖环发[2024]1号)相符性分析</w:t>
            </w:r>
          </w:p>
          <w:p w14:paraId="5DE874DE">
            <w:pPr>
              <w:kinsoku/>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ascii="Times New Roman" w:hAnsi="Times New Roman" w:cs="Times New Roman"/>
                <w:b/>
                <w:bCs/>
                <w:color w:val="auto"/>
                <w:sz w:val="24"/>
                <w:szCs w:val="24"/>
                <w:lang w:eastAsia="zh-CN"/>
              </w:rPr>
              <w:t xml:space="preserve">3  </w:t>
            </w:r>
            <w:r>
              <w:rPr>
                <w:rFonts w:ascii="Times New Roman" w:hAnsi="Times New Roman" w:eastAsia="宋体" w:cs="Times New Roman"/>
                <w:b/>
                <w:bCs/>
                <w:color w:val="auto"/>
                <w:sz w:val="24"/>
                <w:szCs w:val="24"/>
                <w:lang w:eastAsia="zh-CN"/>
              </w:rPr>
              <w:t>与《安徽省低挥发性有机物含量原辅材料替代工作方案》(皖环发[2024]1号)相符性分析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7"/>
              <w:gridCol w:w="1922"/>
              <w:gridCol w:w="774"/>
            </w:tblGrid>
            <w:tr w14:paraId="72E8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08" w:type="pct"/>
                  <w:tcBorders>
                    <w:top w:val="single" w:color="auto" w:sz="4" w:space="0"/>
                    <w:left w:val="single" w:color="auto" w:sz="4" w:space="0"/>
                    <w:right w:val="single" w:color="auto" w:sz="4" w:space="0"/>
                  </w:tcBorders>
                  <w:vAlign w:val="center"/>
                </w:tcPr>
                <w:p w14:paraId="0D542650">
                  <w:pPr>
                    <w:kinsoku/>
                    <w:adjustRightInd/>
                    <w:snapToGrid/>
                    <w:jc w:val="center"/>
                    <w:rPr>
                      <w:rFonts w:ascii="Times New Roman" w:hAnsi="Times New Roman" w:cs="Times New Roman"/>
                      <w:color w:val="auto"/>
                    </w:rPr>
                  </w:pPr>
                  <w:r>
                    <w:rPr>
                      <w:rFonts w:ascii="Times New Roman" w:hAnsi="Times New Roman" w:cs="Times New Roman"/>
                      <w:color w:val="auto"/>
                    </w:rPr>
                    <w:t>政策要求</w:t>
                  </w:r>
                </w:p>
              </w:tc>
              <w:tc>
                <w:tcPr>
                  <w:tcW w:w="1134" w:type="pct"/>
                  <w:tcBorders>
                    <w:top w:val="single" w:color="auto" w:sz="4" w:space="0"/>
                    <w:left w:val="nil"/>
                    <w:bottom w:val="single" w:color="auto" w:sz="4" w:space="0"/>
                    <w:right w:val="single" w:color="auto" w:sz="4" w:space="0"/>
                  </w:tcBorders>
                  <w:vAlign w:val="center"/>
                </w:tcPr>
                <w:p w14:paraId="3CCA623E">
                  <w:pPr>
                    <w:kinsoku/>
                    <w:adjustRightInd/>
                    <w:snapToGrid/>
                    <w:jc w:val="center"/>
                    <w:rPr>
                      <w:rFonts w:ascii="Times New Roman" w:hAnsi="Times New Roman" w:cs="Times New Roman"/>
                      <w:color w:val="auto"/>
                    </w:rPr>
                  </w:pPr>
                  <w:r>
                    <w:rPr>
                      <w:rFonts w:ascii="Times New Roman" w:hAnsi="Times New Roman" w:cs="Times New Roman"/>
                      <w:color w:val="auto"/>
                    </w:rPr>
                    <w:t>本项目</w:t>
                  </w:r>
                </w:p>
              </w:tc>
              <w:tc>
                <w:tcPr>
                  <w:tcW w:w="456" w:type="pct"/>
                  <w:tcBorders>
                    <w:top w:val="single" w:color="auto" w:sz="4" w:space="0"/>
                    <w:left w:val="nil"/>
                    <w:bottom w:val="single" w:color="auto" w:sz="4" w:space="0"/>
                    <w:right w:val="single" w:color="auto" w:sz="4" w:space="0"/>
                  </w:tcBorders>
                  <w:vAlign w:val="center"/>
                </w:tcPr>
                <w:p w14:paraId="70003F14">
                  <w:pPr>
                    <w:kinsoku/>
                    <w:adjustRightInd/>
                    <w:snapToGrid/>
                    <w:jc w:val="center"/>
                    <w:rPr>
                      <w:rFonts w:ascii="Times New Roman" w:hAnsi="Times New Roman" w:cs="Times New Roman"/>
                      <w:color w:val="auto"/>
                    </w:rPr>
                  </w:pPr>
                  <w:r>
                    <w:rPr>
                      <w:rFonts w:ascii="Times New Roman" w:hAnsi="Times New Roman" w:cs="Times New Roman"/>
                      <w:color w:val="auto"/>
                    </w:rPr>
                    <w:t>符合性</w:t>
                  </w:r>
                </w:p>
              </w:tc>
            </w:tr>
            <w:tr w14:paraId="6C47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181EB757">
                  <w:pPr>
                    <w:pStyle w:val="19"/>
                    <w:kinsoku/>
                    <w:adjustRightInd/>
                    <w:snapToGrid/>
                    <w:spacing w:before="0" w:beforeAutospacing="0" w:after="0" w:afterAutospacing="0"/>
                    <w:jc w:val="center"/>
                    <w:rPr>
                      <w:rFonts w:ascii="Times New Roman" w:hAnsi="Times New Roman" w:cs="Times New Roman" w:eastAsiaTheme="minorEastAsia"/>
                      <w:color w:val="auto"/>
                      <w:sz w:val="21"/>
                      <w:szCs w:val="21"/>
                      <w:lang w:eastAsia="zh-CN"/>
                    </w:rPr>
                  </w:pPr>
                  <w:r>
                    <w:rPr>
                      <w:rFonts w:ascii="Times New Roman" w:hAnsi="Times New Roman" w:cs="Times New Roman" w:eastAsiaTheme="minorEastAsia"/>
                      <w:color w:val="auto"/>
                      <w:sz w:val="21"/>
                      <w:szCs w:val="21"/>
                      <w:lang w:eastAsia="zh-CN"/>
                    </w:rPr>
                    <w:t>(一)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1134" w:type="pct"/>
                  <w:vMerge w:val="restart"/>
                  <w:tcBorders>
                    <w:top w:val="single" w:color="auto" w:sz="4" w:space="0"/>
                    <w:left w:val="nil"/>
                    <w:right w:val="single" w:color="auto" w:sz="4" w:space="0"/>
                  </w:tcBorders>
                  <w:vAlign w:val="center"/>
                </w:tcPr>
                <w:p w14:paraId="33A6F579">
                  <w:pPr>
                    <w:pStyle w:val="6"/>
                    <w:shd w:val="clear" w:color="auto" w:fill="FFFFFF"/>
                    <w:spacing w:beforeAutospacing="0" w:afterAutospacing="0" w:line="312" w:lineRule="atLeast"/>
                    <w:jc w:val="center"/>
                    <w:rPr>
                      <w:rFonts w:hint="default" w:ascii="Times New Roman" w:hAnsi="Times New Roman"/>
                      <w:color w:val="auto"/>
                    </w:rPr>
                  </w:pPr>
                  <w:r>
                    <w:rPr>
                      <w:rFonts w:hint="default" w:ascii="Times New Roman" w:hAnsi="Times New Roman" w:eastAsiaTheme="minorEastAsia"/>
                      <w:b w:val="0"/>
                      <w:bCs w:val="0"/>
                      <w:kern w:val="2"/>
                      <w:sz w:val="21"/>
                      <w:szCs w:val="21"/>
                    </w:rPr>
                    <w:t>本项目产品使用的塑粉为低VOCs含量原辅材料，满足《低挥发性有机化合物含量涂料产品技术要求》(GB/T 38597-2020)要求。且项目固化废气采用“二级活性炭吸附装置”处理后满足安徽省《 </w:t>
                  </w:r>
                  <w:r>
                    <w:fldChar w:fldCharType="begin"/>
                  </w:r>
                  <w:r>
                    <w:instrText xml:space="preserve"> HYPERLINK "https://www.eiacloud.com/hpyzs/lawsRegulations/searchDetail?id=66c75c3b992347699b75fd829d79b816&amp;modelName=%E9%A6%96%E9%A1%B5" \t "https://www.eiacloud.com/hpyzs/lawsRegulations/_blank" </w:instrText>
                  </w:r>
                  <w:r>
                    <w:fldChar w:fldCharType="separate"/>
                  </w:r>
                  <w:r>
                    <w:rPr>
                      <w:rFonts w:hint="default" w:ascii="Times New Roman" w:hAnsi="Times New Roman" w:eastAsiaTheme="minorEastAsia"/>
                      <w:b w:val="0"/>
                      <w:bCs w:val="0"/>
                      <w:kern w:val="2"/>
                      <w:sz w:val="21"/>
                      <w:szCs w:val="21"/>
                    </w:rPr>
                    <w:t>固定源挥发性有机物综合排放标准 第6部分：其他行业</w:t>
                  </w:r>
                  <w:r>
                    <w:rPr>
                      <w:rFonts w:hint="default" w:ascii="Times New Roman" w:hAnsi="Times New Roman" w:eastAsiaTheme="minorEastAsia"/>
                      <w:b w:val="0"/>
                      <w:bCs w:val="0"/>
                      <w:kern w:val="2"/>
                      <w:sz w:val="21"/>
                      <w:szCs w:val="21"/>
                    </w:rPr>
                    <w:fldChar w:fldCharType="end"/>
                  </w:r>
                  <w:r>
                    <w:rPr>
                      <w:rFonts w:hint="default" w:ascii="Times New Roman" w:hAnsi="Times New Roman" w:eastAsiaTheme="minorEastAsia"/>
                      <w:b w:val="0"/>
                      <w:bCs w:val="0"/>
                      <w:kern w:val="2"/>
                      <w:sz w:val="21"/>
                      <w:szCs w:val="21"/>
                    </w:rPr>
                    <w:t>》排放标准</w:t>
                  </w:r>
                </w:p>
              </w:tc>
              <w:tc>
                <w:tcPr>
                  <w:tcW w:w="456" w:type="pct"/>
                  <w:tcBorders>
                    <w:top w:val="single" w:color="auto" w:sz="4" w:space="0"/>
                    <w:left w:val="nil"/>
                    <w:bottom w:val="single" w:color="auto" w:sz="4" w:space="0"/>
                    <w:right w:val="single" w:color="auto" w:sz="4" w:space="0"/>
                  </w:tcBorders>
                  <w:vAlign w:val="center"/>
                </w:tcPr>
                <w:p w14:paraId="6B06E5C7">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3986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8" w:type="pct"/>
                  <w:tcBorders>
                    <w:top w:val="single" w:color="auto" w:sz="4" w:space="0"/>
                    <w:left w:val="single" w:color="auto" w:sz="4" w:space="0"/>
                    <w:bottom w:val="single" w:color="auto" w:sz="4" w:space="0"/>
                    <w:right w:val="single" w:color="auto" w:sz="4" w:space="0"/>
                  </w:tcBorders>
                  <w:vAlign w:val="center"/>
                </w:tcPr>
                <w:p w14:paraId="5AECBB70">
                  <w:pPr>
                    <w:pStyle w:val="19"/>
                    <w:kinsoku/>
                    <w:adjustRightInd/>
                    <w:snapToGrid/>
                    <w:spacing w:before="0" w:beforeAutospacing="0" w:after="0" w:afterAutospacing="0"/>
                    <w:jc w:val="center"/>
                    <w:rPr>
                      <w:rFonts w:ascii="Times New Roman" w:hAnsi="Times New Roman" w:cs="Times New Roman" w:eastAsiaTheme="minorEastAsia"/>
                      <w:kern w:val="2"/>
                      <w:sz w:val="21"/>
                      <w:szCs w:val="21"/>
                      <w:lang w:eastAsia="zh-CN"/>
                    </w:rPr>
                  </w:pPr>
                  <w:r>
                    <w:rPr>
                      <w:rFonts w:ascii="Times New Roman" w:hAnsi="Times New Roman" w:cs="Times New Roman" w:eastAsiaTheme="minorEastAsia"/>
                      <w:kern w:val="2"/>
                      <w:sz w:val="21"/>
                      <w:szCs w:val="21"/>
                      <w:lang w:eastAsia="zh-CN"/>
                    </w:rPr>
                    <w:t>(二)严格项目准入。根据《低挥发性有机化合物含量涂料产品技术要求》(GB/T 38597-2020)要求，进一步完善VOCs排放管控地方标准建设，细化相关行业涂料分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134" w:type="pct"/>
                  <w:vMerge w:val="continue"/>
                  <w:tcBorders>
                    <w:left w:val="nil"/>
                    <w:bottom w:val="single" w:color="auto" w:sz="4" w:space="0"/>
                    <w:right w:val="single" w:color="auto" w:sz="4" w:space="0"/>
                  </w:tcBorders>
                  <w:vAlign w:val="center"/>
                </w:tcPr>
                <w:p w14:paraId="2B2D876F">
                  <w:pPr>
                    <w:kinsoku/>
                    <w:adjustRightInd/>
                    <w:snapToGrid/>
                    <w:jc w:val="center"/>
                    <w:rPr>
                      <w:rFonts w:ascii="Times New Roman" w:hAnsi="Times New Roman" w:eastAsia="宋体" w:cs="Times New Roman"/>
                      <w:color w:val="auto"/>
                      <w:lang w:eastAsia="zh-CN"/>
                    </w:rPr>
                  </w:pPr>
                </w:p>
              </w:tc>
              <w:tc>
                <w:tcPr>
                  <w:tcW w:w="456" w:type="pct"/>
                  <w:tcBorders>
                    <w:top w:val="single" w:color="auto" w:sz="4" w:space="0"/>
                    <w:left w:val="nil"/>
                    <w:bottom w:val="single" w:color="auto" w:sz="4" w:space="0"/>
                    <w:right w:val="single" w:color="auto" w:sz="4" w:space="0"/>
                  </w:tcBorders>
                  <w:vAlign w:val="center"/>
                </w:tcPr>
                <w:p w14:paraId="7A4DF0F9">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bl>
          <w:p w14:paraId="55B32177">
            <w:pPr>
              <w:kinsoku/>
              <w:adjustRightInd/>
              <w:snapToGrid/>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cs="Times New Roman"/>
                <w:b/>
                <w:bCs/>
                <w:color w:val="auto"/>
                <w:sz w:val="24"/>
                <w:szCs w:val="24"/>
                <w:lang w:eastAsia="zh-CN"/>
              </w:rPr>
              <w:t>（4）</w:t>
            </w:r>
            <w:r>
              <w:rPr>
                <w:rFonts w:ascii="Times New Roman" w:hAnsi="Times New Roman" w:eastAsia="宋体" w:cs="Times New Roman"/>
                <w:b/>
                <w:bCs/>
                <w:color w:val="auto"/>
                <w:sz w:val="24"/>
                <w:szCs w:val="24"/>
                <w:lang w:eastAsia="zh-CN"/>
              </w:rPr>
              <w:t>与《重点行业挥发性有机物治理环境管理技术规范 第一部分：通则》（DB34/T 4230.1-2022）相符性分析</w:t>
            </w:r>
          </w:p>
          <w:p w14:paraId="6B9BEEEC">
            <w:pPr>
              <w:kinsoku/>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表1-4 与《重点行业挥发性有机物治理环境管理技术规范 第一部分：通则》（DB34/T 4230.1-2022）相符性分析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9"/>
              <w:gridCol w:w="2772"/>
              <w:gridCol w:w="919"/>
            </w:tblGrid>
            <w:tr w14:paraId="32A4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3BC8B681">
                  <w:pPr>
                    <w:kinsoku/>
                    <w:adjustRightInd/>
                    <w:snapToGrid/>
                    <w:jc w:val="center"/>
                    <w:rPr>
                      <w:rFonts w:ascii="Times New Roman" w:hAnsi="Times New Roman" w:eastAsia="宋体" w:cs="Times New Roman"/>
                      <w:b w:val="0"/>
                      <w:bCs w:val="0"/>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文件要求</w:t>
                  </w:r>
                </w:p>
              </w:tc>
              <w:tc>
                <w:tcPr>
                  <w:tcW w:w="1636" w:type="pct"/>
                  <w:vAlign w:val="center"/>
                </w:tcPr>
                <w:p w14:paraId="2F04102D">
                  <w:pPr>
                    <w:kinsoku/>
                    <w:adjustRightInd/>
                    <w:snapToGrid/>
                    <w:jc w:val="center"/>
                    <w:rPr>
                      <w:rFonts w:ascii="Times New Roman" w:hAnsi="Times New Roman" w:eastAsia="宋体" w:cs="Times New Roman"/>
                      <w:b w:val="0"/>
                      <w:bCs w:val="0"/>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本项目建设内容</w:t>
                  </w:r>
                </w:p>
              </w:tc>
              <w:tc>
                <w:tcPr>
                  <w:tcW w:w="542" w:type="pct"/>
                  <w:vAlign w:val="center"/>
                </w:tcPr>
                <w:p w14:paraId="22621851">
                  <w:pPr>
                    <w:kinsoku/>
                    <w:adjustRightInd/>
                    <w:snapToGrid/>
                    <w:jc w:val="center"/>
                    <w:rPr>
                      <w:rFonts w:ascii="Times New Roman" w:hAnsi="Times New Roman" w:eastAsia="宋体" w:cs="Times New Roman"/>
                      <w:b w:val="0"/>
                      <w:bCs w:val="0"/>
                      <w:color w:val="000000" w:themeColor="text1"/>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符合性</w:t>
                  </w:r>
                </w:p>
              </w:tc>
            </w:tr>
            <w:tr w14:paraId="5B76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48747119">
                  <w:pPr>
                    <w:pStyle w:val="2"/>
                    <w:kinsoku/>
                    <w:adjustRightInd/>
                    <w:snapToGrid/>
                    <w:jc w:val="center"/>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ascii="Times New Roman" w:hAnsi="Times New Roman" w:eastAsia="宋体" w:cs="Times New Roman"/>
                      <w:color w:val="000000" w:themeColor="text1"/>
                      <w:sz w:val="21"/>
                      <w:szCs w:val="21"/>
                      <w:lang w:val="zh-CN" w:eastAsia="zh-CN"/>
                      <w14:textFill>
                        <w14:solidFill>
                          <w14:schemeClr w14:val="tx1"/>
                        </w14:solidFill>
                      </w14:textFill>
                    </w:rPr>
                    <w:t>涂料、油墨、颜料及类似产品制造业、制鞋工业、家具制造工业、汽车制造业、其他工业涂装行业、包装印刷业、印刷和记录媒介复制业等溶剂使用的，优采用源头削减替代，且溶剂使用应满足GB 19340、GB/T 30779、GB 30981、GB 33372、GB 38507和GB 38508的要求；石油化学工业、石油炼制工业、合成树脂工业、炼焦化学工业、专用化学产品制造工业、日用化学产品制造工业、橡胶制品工业、医药制造工业、农药制造工业、化学纤维制造工业等应强化过程控制；无法实施源头削减和过程控制的，宜采用吸附、焚烧等高效治理技术。</w:t>
                  </w:r>
                </w:p>
              </w:tc>
              <w:tc>
                <w:tcPr>
                  <w:tcW w:w="1636" w:type="pct"/>
                  <w:vAlign w:val="center"/>
                </w:tcPr>
                <w:p w14:paraId="089FD996">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本项目属于</w:t>
                  </w:r>
                  <w:r>
                    <w:rPr>
                      <w:rFonts w:ascii="Times New Roman" w:hAnsi="Times New Roman" w:eastAsia="宋体" w:cs="Times New Roman"/>
                    </w:rPr>
                    <w:t>C</w:t>
                  </w:r>
                  <w:r>
                    <w:rPr>
                      <w:rFonts w:ascii="Times New Roman" w:hAnsi="Times New Roman" w:eastAsia="宋体" w:cs="Times New Roman"/>
                      <w:lang w:eastAsia="zh-CN"/>
                    </w:rPr>
                    <w:t>3312金属门窗制造</w:t>
                  </w:r>
                  <w:r>
                    <w:rPr>
                      <w:rFonts w:ascii="Times New Roman" w:hAnsi="Times New Roman" w:eastAsia="宋体" w:cs="Times New Roman"/>
                      <w:color w:val="000000" w:themeColor="text1"/>
                      <w:lang w:eastAsia="zh-CN"/>
                      <w14:textFill>
                        <w14:solidFill>
                          <w14:schemeClr w14:val="tx1"/>
                        </w14:solidFill>
                      </w14:textFill>
                    </w:rPr>
                    <w:t>，项目使用的涂料满足《低挥发性有机化合物含量涂料产品技术要求》（GB/T38597-2020）、《工业防护涂料中有害物质限量》（GB30981-2020）的要求</w:t>
                  </w:r>
                </w:p>
              </w:tc>
              <w:tc>
                <w:tcPr>
                  <w:tcW w:w="542" w:type="pct"/>
                  <w:vAlign w:val="center"/>
                </w:tcPr>
                <w:p w14:paraId="4134034F">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符合</w:t>
                  </w:r>
                </w:p>
              </w:tc>
            </w:tr>
            <w:tr w14:paraId="0C97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0DB9C44D">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val="zh-CN" w:eastAsia="zh-CN"/>
                      <w14:textFill>
                        <w14:solidFill>
                          <w14:schemeClr w14:val="tx1"/>
                        </w14:solidFill>
                      </w14:textFill>
                    </w:rPr>
                    <w:t>含VOCs物料（包括含VOCs原辅材料、产品、废料等）储存、转移和输送、设备与管线组件泄漏、敞开液面逸散以及工艺过程等五类排放源应实施有效管控。宜使用先进生产工艺，采用全密闭、连续化、自动化等生产技术以及高效工艺与设备等，减少工艺过程无组织排放。</w:t>
                  </w:r>
                </w:p>
              </w:tc>
              <w:tc>
                <w:tcPr>
                  <w:tcW w:w="1636" w:type="pct"/>
                  <w:vAlign w:val="center"/>
                </w:tcPr>
                <w:p w14:paraId="4111A8F4">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本项目采用先进生产工艺，</w:t>
                  </w:r>
                  <w:r>
                    <w:rPr>
                      <w:rFonts w:ascii="Times New Roman" w:hAnsi="Times New Roman" w:eastAsia="宋体" w:cs="Times New Roman"/>
                      <w:color w:val="000000" w:themeColor="text1"/>
                      <w:lang w:val="zh-CN" w:eastAsia="zh-CN"/>
                      <w14:textFill>
                        <w14:solidFill>
                          <w14:schemeClr w14:val="tx1"/>
                        </w14:solidFill>
                      </w14:textFill>
                    </w:rPr>
                    <w:t>含VOCs物料密闭储存，</w:t>
                  </w:r>
                  <w:r>
                    <w:rPr>
                      <w:rFonts w:hint="eastAsia" w:ascii="Times New Roman" w:hAnsi="Times New Roman" w:eastAsia="宋体" w:cs="Times New Roman"/>
                      <w:color w:val="000000" w:themeColor="text1"/>
                      <w:lang w:val="en-US" w:eastAsia="zh-CN"/>
                      <w14:textFill>
                        <w14:solidFill>
                          <w14:schemeClr w14:val="tx1"/>
                        </w14:solidFill>
                      </w14:textFill>
                    </w:rPr>
                    <w:t>喷塑/固化</w:t>
                  </w:r>
                  <w:r>
                    <w:rPr>
                      <w:rFonts w:ascii="Times New Roman" w:hAnsi="Times New Roman" w:eastAsia="宋体" w:cs="Times New Roman"/>
                      <w:color w:val="000000" w:themeColor="text1"/>
                      <w:lang w:val="zh-CN" w:eastAsia="zh-CN"/>
                      <w14:textFill>
                        <w14:solidFill>
                          <w14:schemeClr w14:val="tx1"/>
                        </w14:solidFill>
                      </w14:textFill>
                    </w:rPr>
                    <w:t>均在</w:t>
                  </w:r>
                  <w:r>
                    <w:rPr>
                      <w:rFonts w:hint="eastAsia" w:ascii="Times New Roman" w:hAnsi="Times New Roman" w:eastAsia="宋体" w:cs="Times New Roman"/>
                      <w:color w:val="000000" w:themeColor="text1"/>
                      <w:lang w:val="en-US" w:eastAsia="zh-CN"/>
                      <w14:textFill>
                        <w14:solidFill>
                          <w14:schemeClr w14:val="tx1"/>
                        </w14:solidFill>
                      </w14:textFill>
                    </w:rPr>
                    <w:t>密闭房间</w:t>
                  </w:r>
                  <w:r>
                    <w:rPr>
                      <w:rFonts w:ascii="Times New Roman" w:hAnsi="Times New Roman" w:eastAsia="宋体" w:cs="Times New Roman"/>
                      <w:color w:val="000000" w:themeColor="text1"/>
                      <w:lang w:val="zh-CN" w:eastAsia="zh-CN"/>
                      <w14:textFill>
                        <w14:solidFill>
                          <w14:schemeClr w14:val="tx1"/>
                        </w14:solidFill>
                      </w14:textFill>
                    </w:rPr>
                    <w:t>内进行，废气能够有效收集</w:t>
                  </w:r>
                </w:p>
              </w:tc>
              <w:tc>
                <w:tcPr>
                  <w:tcW w:w="542" w:type="pct"/>
                  <w:vAlign w:val="center"/>
                </w:tcPr>
                <w:p w14:paraId="1962354F">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符合</w:t>
                  </w:r>
                </w:p>
              </w:tc>
            </w:tr>
            <w:tr w14:paraId="4E62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41ECFC82">
                  <w:pPr>
                    <w:kinsoku/>
                    <w:adjustRightInd/>
                    <w:snapToGrid/>
                    <w:jc w:val="center"/>
                    <w:rPr>
                      <w:rFonts w:ascii="Times New Roman" w:hAnsi="Times New Roman" w:eastAsia="宋体" w:cs="Times New Roman"/>
                      <w:color w:val="000000" w:themeColor="text1"/>
                      <w:lang w:val="zh-CN" w:eastAsia="zh-CN"/>
                      <w14:textFill>
                        <w14:solidFill>
                          <w14:schemeClr w14:val="tx1"/>
                        </w14:solidFill>
                      </w14:textFill>
                    </w:rPr>
                  </w:pPr>
                  <w:r>
                    <w:rPr>
                      <w:rFonts w:ascii="Times New Roman" w:hAnsi="Times New Roman" w:eastAsia="宋体" w:cs="Times New Roman"/>
                      <w:color w:val="000000" w:themeColor="text1"/>
                      <w:lang w:val="zh-CN" w:eastAsia="zh-CN"/>
                      <w14:textFill>
                        <w14:solidFill>
                          <w14:schemeClr w14:val="tx1"/>
                        </w14:solidFill>
                      </w14:textFill>
                    </w:rPr>
                    <w:t>提高VOCs收集效率，科学设计废气收集系统，将无组织排放转变为有组织排放进行控制。</w:t>
                  </w:r>
                </w:p>
              </w:tc>
              <w:tc>
                <w:tcPr>
                  <w:tcW w:w="1636" w:type="pct"/>
                  <w:vAlign w:val="center"/>
                </w:tcPr>
                <w:p w14:paraId="4DE84A57">
                  <w:pPr>
                    <w:pStyle w:val="38"/>
                    <w:kinsoku/>
                    <w:adjustRightInd/>
                    <w:snapToGrid/>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本项目有机废气</w:t>
                  </w:r>
                  <w:r>
                    <w:rPr>
                      <w:rFonts w:ascii="Times New Roman" w:hAnsi="Times New Roman" w:eastAsia="宋体" w:cs="Times New Roman"/>
                      <w:color w:val="000000" w:themeColor="text1"/>
                      <w:lang w:val="zh-CN" w:eastAsia="zh-CN"/>
                      <w14:textFill>
                        <w14:solidFill>
                          <w14:schemeClr w14:val="tx1"/>
                        </w14:solidFill>
                      </w14:textFill>
                    </w:rPr>
                    <w:t>收集效率达</w:t>
                  </w:r>
                  <w:r>
                    <w:rPr>
                      <w:rFonts w:ascii="Times New Roman" w:hAnsi="Times New Roman" w:eastAsia="宋体" w:cs="Times New Roman"/>
                      <w:color w:val="000000" w:themeColor="text1"/>
                      <w:lang w:eastAsia="zh-CN"/>
                      <w14:textFill>
                        <w14:solidFill>
                          <w14:schemeClr w14:val="tx1"/>
                        </w14:solidFill>
                      </w14:textFill>
                    </w:rPr>
                    <w:t>90%以上。</w:t>
                  </w:r>
                </w:p>
              </w:tc>
              <w:tc>
                <w:tcPr>
                  <w:tcW w:w="542" w:type="pct"/>
                  <w:vAlign w:val="center"/>
                </w:tcPr>
                <w:p w14:paraId="4A617DFA">
                  <w:pPr>
                    <w:kinsoku/>
                    <w:adjustRightInd/>
                    <w:snapToGrid/>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符合</w:t>
                  </w:r>
                </w:p>
              </w:tc>
            </w:tr>
            <w:tr w14:paraId="22AD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20" w:type="pct"/>
                  <w:vAlign w:val="center"/>
                </w:tcPr>
                <w:p w14:paraId="79D912B5">
                  <w:pPr>
                    <w:kinsoku/>
                    <w:adjustRightInd/>
                    <w:snapToGrid/>
                    <w:jc w:val="center"/>
                    <w:rPr>
                      <w:rFonts w:ascii="Times New Roman" w:hAnsi="Times New Roman" w:eastAsia="宋体" w:cs="Times New Roman"/>
                      <w:color w:val="000000" w:themeColor="text1"/>
                      <w:lang w:val="zh-CN" w:eastAsia="zh-CN"/>
                      <w14:textFill>
                        <w14:solidFill>
                          <w14:schemeClr w14:val="tx1"/>
                        </w14:solidFill>
                      </w14:textFill>
                    </w:rPr>
                  </w:pPr>
                  <w:r>
                    <w:rPr>
                      <w:rFonts w:ascii="Times New Roman" w:hAnsi="Times New Roman" w:eastAsia="宋体" w:cs="Times New Roman"/>
                      <w:color w:val="000000" w:themeColor="text1"/>
                      <w:lang w:val="zh-CN" w:eastAsia="zh-CN"/>
                      <w14:textFill>
                        <w14:solidFill>
                          <w14:schemeClr w14:val="tx1"/>
                        </w14:solidFill>
                      </w14:textFill>
                    </w:rPr>
                    <w:t>高浓度VOCs优先进行溶剂回收，难以回收的，宜采用高温焚烧、催化燃烧等技术；低浓度大风量VOCs宜采用沸石转轮吸附、活性炭吸附、减风增浓等浓缩技术，提高V0Cs浓度后再净化处理；油气（溶剂）回收宜采用吸附、冷凝+吸附、吸附+吸收、膜分离+吸附等技术。</w:t>
                  </w:r>
                </w:p>
              </w:tc>
              <w:tc>
                <w:tcPr>
                  <w:tcW w:w="1636" w:type="pct"/>
                  <w:vAlign w:val="center"/>
                </w:tcPr>
                <w:p w14:paraId="6AAC63CF">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本项目产生的有机废气较少，</w:t>
                  </w:r>
                  <w:r>
                    <w:rPr>
                      <w:rFonts w:ascii="Times New Roman" w:hAnsi="Times New Roman" w:eastAsia="宋体" w:cs="Times New Roman"/>
                      <w:lang w:eastAsia="zh-CN" w:bidi="ar"/>
                    </w:rPr>
                    <w:t>固化废气经“密闭收集+二级活性炭吸附装置处理”</w:t>
                  </w:r>
                </w:p>
              </w:tc>
              <w:tc>
                <w:tcPr>
                  <w:tcW w:w="542" w:type="pct"/>
                  <w:vAlign w:val="center"/>
                </w:tcPr>
                <w:p w14:paraId="213FC672">
                  <w:pPr>
                    <w:kinsoku/>
                    <w:adjustRightInd/>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符合</w:t>
                  </w:r>
                </w:p>
              </w:tc>
            </w:tr>
          </w:tbl>
          <w:p w14:paraId="30017E1A">
            <w:pPr>
              <w:kinsoku/>
              <w:adjustRightInd/>
              <w:snapToGrid/>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cs="Times New Roman"/>
                <w:b/>
                <w:bCs/>
                <w:color w:val="auto"/>
                <w:sz w:val="24"/>
                <w:szCs w:val="24"/>
                <w:lang w:eastAsia="zh-CN"/>
              </w:rPr>
              <w:t>（5）</w:t>
            </w:r>
            <w:r>
              <w:rPr>
                <w:rFonts w:ascii="Times New Roman" w:hAnsi="Times New Roman" w:eastAsia="宋体" w:cs="Times New Roman"/>
                <w:b/>
                <w:bCs/>
                <w:color w:val="auto"/>
                <w:sz w:val="24"/>
                <w:szCs w:val="24"/>
                <w:lang w:eastAsia="zh-CN"/>
              </w:rPr>
              <w:t>与《重点行业挥发性有机物治理环境管理技术规范 第11部分：其他工业涂装行业》（DB34/T 4230.11-2022）相符性分析</w:t>
            </w:r>
          </w:p>
          <w:p w14:paraId="7C9494DE">
            <w:pPr>
              <w:widowControl w:val="0"/>
              <w:kinsoku/>
              <w:autoSpaceDE/>
              <w:autoSpaceDN/>
              <w:adjustRightInd/>
              <w:snapToGrid/>
              <w:jc w:val="center"/>
              <w:textAlignment w:val="auto"/>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表1-5 《重点行业挥发性有机物治理环境管理技术规范 第11部分：其他工业涂装行业》（DB34/T 4230.11-2022）相符性分析</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5"/>
              <w:gridCol w:w="3710"/>
              <w:gridCol w:w="2552"/>
              <w:gridCol w:w="913"/>
            </w:tblGrid>
            <w:tr w14:paraId="587F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51" w:type="pct"/>
                  <w:gridSpan w:val="3"/>
                  <w:vAlign w:val="center"/>
                </w:tcPr>
                <w:p w14:paraId="01F7E256">
                  <w:pPr>
                    <w:kinsoku/>
                    <w:adjustRightInd/>
                    <w:snapToGrid/>
                    <w:jc w:val="center"/>
                    <w:rPr>
                      <w:rFonts w:ascii="Times New Roman" w:hAnsi="Times New Roman" w:cs="Times New Roman"/>
                      <w:color w:val="auto"/>
                    </w:rPr>
                  </w:pPr>
                  <w:r>
                    <w:rPr>
                      <w:rFonts w:ascii="Times New Roman" w:hAnsi="Times New Roman" w:cs="Times New Roman"/>
                      <w:color w:val="auto"/>
                    </w:rPr>
                    <w:t>文件要求</w:t>
                  </w:r>
                </w:p>
              </w:tc>
              <w:tc>
                <w:tcPr>
                  <w:tcW w:w="1508" w:type="pct"/>
                  <w:vAlign w:val="center"/>
                </w:tcPr>
                <w:p w14:paraId="4D998990">
                  <w:pPr>
                    <w:kinsoku/>
                    <w:adjustRightInd/>
                    <w:snapToGrid/>
                    <w:jc w:val="center"/>
                    <w:rPr>
                      <w:rFonts w:ascii="Times New Roman" w:hAnsi="Times New Roman" w:cs="Times New Roman"/>
                      <w:color w:val="auto"/>
                    </w:rPr>
                  </w:pPr>
                  <w:r>
                    <w:rPr>
                      <w:rFonts w:ascii="Times New Roman" w:hAnsi="Times New Roman" w:cs="Times New Roman"/>
                      <w:color w:val="auto"/>
                    </w:rPr>
                    <w:t>本项目建设内容</w:t>
                  </w:r>
                </w:p>
              </w:tc>
              <w:tc>
                <w:tcPr>
                  <w:tcW w:w="540" w:type="pct"/>
                  <w:vAlign w:val="center"/>
                </w:tcPr>
                <w:p w14:paraId="2DF00707">
                  <w:pPr>
                    <w:kinsoku/>
                    <w:adjustRightInd/>
                    <w:snapToGrid/>
                    <w:jc w:val="center"/>
                    <w:rPr>
                      <w:rFonts w:ascii="Times New Roman" w:hAnsi="Times New Roman" w:cs="Times New Roman"/>
                      <w:color w:val="auto"/>
                    </w:rPr>
                  </w:pPr>
                  <w:r>
                    <w:rPr>
                      <w:rFonts w:ascii="Times New Roman" w:hAnsi="Times New Roman" w:cs="Times New Roman"/>
                      <w:color w:val="auto"/>
                    </w:rPr>
                    <w:t>符合性</w:t>
                  </w:r>
                </w:p>
              </w:tc>
            </w:tr>
            <w:tr w14:paraId="695F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restart"/>
                  <w:vAlign w:val="center"/>
                </w:tcPr>
                <w:p w14:paraId="16511C8C">
                  <w:pPr>
                    <w:kinsoku/>
                    <w:adjustRightInd/>
                    <w:snapToGrid/>
                    <w:jc w:val="center"/>
                    <w:rPr>
                      <w:rFonts w:ascii="Times New Roman" w:hAnsi="Times New Roman" w:cs="Times New Roman"/>
                      <w:color w:val="auto"/>
                      <w:lang w:val="zh-CN"/>
                    </w:rPr>
                  </w:pPr>
                  <w:r>
                    <w:rPr>
                      <w:rFonts w:ascii="Times New Roman" w:hAnsi="Times New Roman" w:cs="Times New Roman"/>
                      <w:color w:val="auto"/>
                    </w:rPr>
                    <w:t>源头削减</w:t>
                  </w:r>
                </w:p>
              </w:tc>
              <w:tc>
                <w:tcPr>
                  <w:tcW w:w="2703" w:type="pct"/>
                  <w:gridSpan w:val="2"/>
                  <w:vAlign w:val="center"/>
                </w:tcPr>
                <w:p w14:paraId="2A646A06">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涂料、胶粘剂、清洗剂中VOCs含量限值应符合GB18581、GB24409、GB30981、GB33372、GB38469和GB38508的要求</w:t>
                  </w:r>
                </w:p>
              </w:tc>
              <w:tc>
                <w:tcPr>
                  <w:tcW w:w="1508" w:type="pct"/>
                  <w:vAlign w:val="center"/>
                </w:tcPr>
                <w:p w14:paraId="79E1E5D0">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项目使用的</w:t>
                  </w:r>
                  <w:r>
                    <w:rPr>
                      <w:rFonts w:hint="eastAsia" w:ascii="Times New Roman" w:hAnsi="Times New Roman" w:cs="Times New Roman"/>
                      <w:color w:val="auto"/>
                      <w:lang w:eastAsia="zh-CN"/>
                    </w:rPr>
                    <w:t>塑粉</w:t>
                  </w:r>
                  <w:r>
                    <w:rPr>
                      <w:rFonts w:ascii="Times New Roman" w:hAnsi="Times New Roman" w:cs="Times New Roman"/>
                      <w:color w:val="auto"/>
                      <w:lang w:eastAsia="zh-CN"/>
                    </w:rPr>
                    <w:t>满足《低挥发性有机化合物含量涂料产品技术要求》（GB/T38597-2020）、《工业防护涂料中有害物质限量》（GB30981-2020）的要求</w:t>
                  </w:r>
                </w:p>
              </w:tc>
              <w:tc>
                <w:tcPr>
                  <w:tcW w:w="540" w:type="pct"/>
                  <w:vAlign w:val="center"/>
                </w:tcPr>
                <w:p w14:paraId="736E44E7">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47C2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continue"/>
                  <w:vAlign w:val="center"/>
                </w:tcPr>
                <w:p w14:paraId="5E461D93">
                  <w:pPr>
                    <w:kinsoku/>
                    <w:adjustRightInd/>
                    <w:snapToGrid/>
                    <w:jc w:val="center"/>
                    <w:rPr>
                      <w:rFonts w:ascii="Times New Roman" w:hAnsi="Times New Roman" w:cs="Times New Roman"/>
                      <w:color w:val="auto"/>
                      <w:lang w:val="zh-CN"/>
                    </w:rPr>
                  </w:pPr>
                </w:p>
              </w:tc>
              <w:tc>
                <w:tcPr>
                  <w:tcW w:w="2703" w:type="pct"/>
                  <w:gridSpan w:val="2"/>
                  <w:vAlign w:val="center"/>
                </w:tcPr>
                <w:p w14:paraId="20D663D2">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在同一个工序内，同时使用符合GB/T38597规定的粉末、水性、无溶剂、辐射固化涂料产品，符合GB38508规定的水基、半水基清洗剂产品，符合GB33372规定的水基型、本体型胶粘剂产品时，排放浓度稳定达标的，相应生产工序可不执行末端治理设施处理效率不应低于80%的要求。</w:t>
                  </w:r>
                </w:p>
              </w:tc>
              <w:tc>
                <w:tcPr>
                  <w:tcW w:w="1508" w:type="pct"/>
                  <w:vAlign w:val="center"/>
                </w:tcPr>
                <w:p w14:paraId="474E858D">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本项目使用的塑粉满足《低挥发性有机化合物含量涂料产品技术要求》（GB/T38597-2020），且产生的废气经“二级活性炭吸附装置”处理后处理效率不低于90%</w:t>
                  </w:r>
                </w:p>
              </w:tc>
              <w:tc>
                <w:tcPr>
                  <w:tcW w:w="540" w:type="pct"/>
                  <w:vAlign w:val="center"/>
                </w:tcPr>
                <w:p w14:paraId="3B342966">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0469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47" w:type="pct"/>
                  <w:vMerge w:val="continue"/>
                  <w:vAlign w:val="center"/>
                </w:tcPr>
                <w:p w14:paraId="63361B17">
                  <w:pPr>
                    <w:kinsoku/>
                    <w:adjustRightInd/>
                    <w:snapToGrid/>
                    <w:jc w:val="center"/>
                    <w:rPr>
                      <w:rFonts w:ascii="Times New Roman" w:hAnsi="Times New Roman" w:cs="Times New Roman"/>
                      <w:color w:val="auto"/>
                      <w:lang w:val="zh-CN"/>
                    </w:rPr>
                  </w:pPr>
                </w:p>
              </w:tc>
              <w:tc>
                <w:tcPr>
                  <w:tcW w:w="2703" w:type="pct"/>
                  <w:gridSpan w:val="2"/>
                  <w:vAlign w:val="center"/>
                </w:tcPr>
                <w:p w14:paraId="0F1A0FFD">
                  <w:pPr>
                    <w:kinsoku/>
                    <w:adjustRightInd/>
                    <w:snapToGrid/>
                    <w:jc w:val="center"/>
                    <w:rPr>
                      <w:rFonts w:ascii="Times New Roman" w:hAnsi="Times New Roman" w:cs="Times New Roman"/>
                      <w:color w:val="auto"/>
                      <w:lang w:val="zh-CN" w:eastAsia="zh-CN"/>
                    </w:rPr>
                  </w:pPr>
                  <w:r>
                    <w:rPr>
                      <w:rFonts w:ascii="Times New Roman" w:hAnsi="Times New Roman" w:cs="Times New Roman"/>
                      <w:color w:val="auto"/>
                      <w:lang w:eastAsia="zh-CN"/>
                    </w:rPr>
                    <w:t>除大型工件特殊作业（例如，船舶制造行业的分段总组、船台、船坞、造船码头等涂装工序）外，禁止敞开式喷涂、晾（风）干作业。</w:t>
                  </w:r>
                </w:p>
              </w:tc>
              <w:tc>
                <w:tcPr>
                  <w:tcW w:w="1508" w:type="pct"/>
                  <w:vAlign w:val="center"/>
                </w:tcPr>
                <w:p w14:paraId="6C3C78A2">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本项目喷塑/固化工序均在密闭空间内进行</w:t>
                  </w:r>
                </w:p>
              </w:tc>
              <w:tc>
                <w:tcPr>
                  <w:tcW w:w="540" w:type="pct"/>
                  <w:vAlign w:val="center"/>
                </w:tcPr>
                <w:p w14:paraId="67A01DB5">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696E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continue"/>
                  <w:vAlign w:val="center"/>
                </w:tcPr>
                <w:p w14:paraId="7ED2861F">
                  <w:pPr>
                    <w:kinsoku/>
                    <w:adjustRightInd/>
                    <w:snapToGrid/>
                    <w:jc w:val="center"/>
                    <w:rPr>
                      <w:rFonts w:ascii="Times New Roman" w:hAnsi="Times New Roman" w:cs="Times New Roman"/>
                      <w:color w:val="auto"/>
                      <w:lang w:val="zh-CN"/>
                    </w:rPr>
                  </w:pPr>
                </w:p>
              </w:tc>
              <w:tc>
                <w:tcPr>
                  <w:tcW w:w="2703" w:type="pct"/>
                  <w:gridSpan w:val="2"/>
                  <w:vAlign w:val="center"/>
                </w:tcPr>
                <w:p w14:paraId="31A876E4">
                  <w:pPr>
                    <w:kinsoku/>
                    <w:adjustRightInd/>
                    <w:snapToGrid/>
                    <w:jc w:val="center"/>
                    <w:rPr>
                      <w:rFonts w:ascii="Times New Roman" w:hAnsi="Times New Roman" w:cs="Times New Roman"/>
                      <w:color w:val="auto"/>
                      <w:lang w:val="zh-CN" w:eastAsia="zh-CN"/>
                    </w:rPr>
                  </w:pPr>
                  <w:r>
                    <w:rPr>
                      <w:rFonts w:ascii="Times New Roman" w:hAnsi="Times New Roman" w:cs="Times New Roman"/>
                      <w:color w:val="auto"/>
                      <w:lang w:eastAsia="zh-CN"/>
                    </w:rPr>
                    <w:t>大件喷涂可采用组件拆分、分段喷涂方式，兼用滑轨运输、可移动喷涂房等装备。</w:t>
                  </w:r>
                </w:p>
              </w:tc>
              <w:tc>
                <w:tcPr>
                  <w:tcW w:w="1508" w:type="pct"/>
                  <w:vAlign w:val="center"/>
                </w:tcPr>
                <w:p w14:paraId="5609D0B3">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本项目喷涂构件均在密闭喷塑房内进行</w:t>
                  </w:r>
                </w:p>
              </w:tc>
              <w:tc>
                <w:tcPr>
                  <w:tcW w:w="540" w:type="pct"/>
                  <w:vAlign w:val="center"/>
                </w:tcPr>
                <w:p w14:paraId="47DEE77B">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19E9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restart"/>
                  <w:vAlign w:val="center"/>
                </w:tcPr>
                <w:p w14:paraId="7C2C8312">
                  <w:pPr>
                    <w:kinsoku/>
                    <w:adjustRightInd/>
                    <w:snapToGrid/>
                    <w:jc w:val="center"/>
                    <w:rPr>
                      <w:rFonts w:ascii="Times New Roman" w:hAnsi="Times New Roman" w:cs="Times New Roman"/>
                      <w:color w:val="auto"/>
                      <w:lang w:val="zh-CN"/>
                    </w:rPr>
                  </w:pPr>
                  <w:r>
                    <w:rPr>
                      <w:rFonts w:ascii="Times New Roman" w:hAnsi="Times New Roman" w:cs="Times New Roman"/>
                      <w:color w:val="auto"/>
                      <w:lang w:eastAsia="zh-CN"/>
                    </w:rPr>
                    <w:t>过程控制</w:t>
                  </w:r>
                </w:p>
              </w:tc>
              <w:tc>
                <w:tcPr>
                  <w:tcW w:w="512" w:type="pct"/>
                  <w:vAlign w:val="center"/>
                </w:tcPr>
                <w:p w14:paraId="0C2E17A7">
                  <w:pPr>
                    <w:kinsoku/>
                    <w:adjustRightInd/>
                    <w:snapToGrid/>
                    <w:jc w:val="center"/>
                    <w:rPr>
                      <w:rFonts w:ascii="Times New Roman" w:hAnsi="Times New Roman" w:cs="Times New Roman"/>
                      <w:color w:val="auto"/>
                    </w:rPr>
                  </w:pPr>
                  <w:r>
                    <w:rPr>
                      <w:rFonts w:ascii="Times New Roman" w:hAnsi="Times New Roman" w:cs="Times New Roman"/>
                      <w:color w:val="auto"/>
                      <w:lang w:eastAsia="zh-CN"/>
                    </w:rPr>
                    <w:t>储存</w:t>
                  </w:r>
                </w:p>
              </w:tc>
              <w:tc>
                <w:tcPr>
                  <w:tcW w:w="2191" w:type="pct"/>
                  <w:vAlign w:val="center"/>
                </w:tcPr>
                <w:p w14:paraId="63C29B37">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涂料、稀释剂、清洗剂、固化剂、胶粘剂、密封胶等VOCs物料密闭储存。盛装VOCs物料的容器或包装袋应存放于室内，或存放于设置有雨棚、遮阳和防渗设施的专用场地。盛装VOCs物料的容器或包装袋在非取用状态时应加盖、封口，保持密闭。废涂料、废稀释剂、废清洗剂、废活性炭等含VOCs废料（渣、液）以及VOCs物料废包装物等危险废物密封储存于危废储存间。</w:t>
                  </w:r>
                </w:p>
              </w:tc>
              <w:tc>
                <w:tcPr>
                  <w:tcW w:w="1508" w:type="pct"/>
                  <w:vAlign w:val="center"/>
                </w:tcPr>
                <w:p w14:paraId="183C31F6">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本项目使用的塑粉，固态状态下属于不易挥发原</w:t>
                  </w:r>
                  <w:r>
                    <w:rPr>
                      <w:rFonts w:hint="eastAsia" w:ascii="Times New Roman" w:hAnsi="Times New Roman" w:cs="Times New Roman"/>
                      <w:color w:val="auto"/>
                      <w:lang w:eastAsia="zh-CN"/>
                    </w:rPr>
                    <w:t>辅</w:t>
                  </w:r>
                  <w:r>
                    <w:rPr>
                      <w:rFonts w:ascii="Times New Roman" w:hAnsi="Times New Roman" w:cs="Times New Roman"/>
                      <w:color w:val="auto"/>
                      <w:lang w:eastAsia="zh-CN"/>
                    </w:rPr>
                    <w:t>材料，所使用的塑粉暂存包装袋存放纸箱内。</w:t>
                  </w:r>
                </w:p>
              </w:tc>
              <w:tc>
                <w:tcPr>
                  <w:tcW w:w="540" w:type="pct"/>
                  <w:vAlign w:val="center"/>
                </w:tcPr>
                <w:p w14:paraId="497068D2">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7523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247" w:type="pct"/>
                  <w:vMerge w:val="continue"/>
                  <w:vAlign w:val="center"/>
                </w:tcPr>
                <w:p w14:paraId="0DE83D22">
                  <w:pPr>
                    <w:kinsoku/>
                    <w:adjustRightInd/>
                    <w:snapToGrid/>
                    <w:jc w:val="center"/>
                    <w:rPr>
                      <w:rFonts w:ascii="Times New Roman" w:hAnsi="Times New Roman" w:cs="Times New Roman"/>
                      <w:color w:val="auto"/>
                      <w:lang w:val="zh-CN"/>
                    </w:rPr>
                  </w:pPr>
                </w:p>
              </w:tc>
              <w:tc>
                <w:tcPr>
                  <w:tcW w:w="512" w:type="pct"/>
                  <w:vAlign w:val="center"/>
                </w:tcPr>
                <w:p w14:paraId="65BAA44A">
                  <w:pPr>
                    <w:kinsoku/>
                    <w:adjustRightInd/>
                    <w:snapToGrid/>
                    <w:jc w:val="center"/>
                    <w:rPr>
                      <w:rFonts w:ascii="Times New Roman" w:hAnsi="Times New Roman" w:cs="Times New Roman"/>
                      <w:color w:val="auto"/>
                    </w:rPr>
                  </w:pPr>
                  <w:r>
                    <w:rPr>
                      <w:rFonts w:ascii="Times New Roman" w:hAnsi="Times New Roman" w:cs="Times New Roman"/>
                      <w:color w:val="auto"/>
                      <w:lang w:eastAsia="zh-CN"/>
                    </w:rPr>
                    <w:t>调配</w:t>
                  </w:r>
                </w:p>
              </w:tc>
              <w:tc>
                <w:tcPr>
                  <w:tcW w:w="2191" w:type="pct"/>
                  <w:vAlign w:val="center"/>
                </w:tcPr>
                <w:p w14:paraId="547DB6F7">
                  <w:pPr>
                    <w:kinsoku/>
                    <w:adjustRightInd/>
                    <w:snapToGrid/>
                    <w:jc w:val="center"/>
                    <w:rPr>
                      <w:rFonts w:ascii="Times New Roman" w:hAnsi="Times New Roman" w:cs="Times New Roman"/>
                      <w:color w:val="auto"/>
                    </w:rPr>
                  </w:pPr>
                  <w:r>
                    <w:rPr>
                      <w:rFonts w:ascii="Times New Roman" w:hAnsi="Times New Roman" w:cs="Times New Roman"/>
                      <w:color w:val="auto"/>
                      <w:lang w:eastAsia="zh-CN"/>
                    </w:rPr>
                    <w:t>涂料、稀释剂等VOCs物料的调配过程应采用密闭设备或在密闭空间内操作，废气应排至VOCs废气收集处理系统；无法密闭的，应采取局部气体收集措施，废气应排至VOCs废气收集处理系统。宜设置专门的密闭调配间。</w:t>
                  </w:r>
                </w:p>
              </w:tc>
              <w:tc>
                <w:tcPr>
                  <w:tcW w:w="1508" w:type="pct"/>
                  <w:vMerge w:val="restart"/>
                  <w:vAlign w:val="center"/>
                </w:tcPr>
                <w:p w14:paraId="2BD94B9C">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本项目喷塑/固化工序</w:t>
                  </w:r>
                  <w:r>
                    <w:rPr>
                      <w:rFonts w:ascii="Times New Roman" w:hAnsi="Times New Roman" w:cs="Times New Roman"/>
                      <w:color w:val="auto"/>
                      <w:lang w:val="zh-CN" w:eastAsia="zh-CN"/>
                    </w:rPr>
                    <w:t>均在密闭</w:t>
                  </w:r>
                  <w:r>
                    <w:rPr>
                      <w:rFonts w:ascii="Times New Roman" w:hAnsi="Times New Roman" w:cs="Times New Roman"/>
                      <w:color w:val="auto"/>
                      <w:lang w:eastAsia="zh-CN"/>
                    </w:rPr>
                    <w:t>的空间内进行</w:t>
                  </w:r>
                  <w:r>
                    <w:rPr>
                      <w:rFonts w:ascii="Times New Roman" w:hAnsi="Times New Roman" w:cs="Times New Roman"/>
                      <w:color w:val="auto"/>
                      <w:lang w:val="zh-CN" w:eastAsia="zh-CN"/>
                    </w:rPr>
                    <w:t>，有机废气</w:t>
                  </w:r>
                  <w:r>
                    <w:rPr>
                      <w:rFonts w:ascii="Times New Roman" w:hAnsi="Times New Roman" w:cs="Times New Roman"/>
                      <w:color w:val="auto"/>
                      <w:lang w:eastAsia="zh-CN"/>
                    </w:rPr>
                    <w:t>负压收集后经二级活性炭吸附装置处理</w:t>
                  </w:r>
                </w:p>
              </w:tc>
              <w:tc>
                <w:tcPr>
                  <w:tcW w:w="540" w:type="pct"/>
                  <w:vMerge w:val="restart"/>
                  <w:vAlign w:val="center"/>
                </w:tcPr>
                <w:p w14:paraId="0FDD05D3">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5E67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continue"/>
                  <w:vAlign w:val="center"/>
                </w:tcPr>
                <w:p w14:paraId="6F3AD6A3">
                  <w:pPr>
                    <w:kinsoku/>
                    <w:adjustRightInd/>
                    <w:snapToGrid/>
                    <w:jc w:val="center"/>
                    <w:rPr>
                      <w:rFonts w:ascii="Times New Roman" w:hAnsi="Times New Roman" w:cs="Times New Roman"/>
                      <w:color w:val="auto"/>
                      <w:lang w:val="zh-CN"/>
                    </w:rPr>
                  </w:pPr>
                </w:p>
              </w:tc>
              <w:tc>
                <w:tcPr>
                  <w:tcW w:w="512" w:type="pct"/>
                  <w:vAlign w:val="center"/>
                </w:tcPr>
                <w:p w14:paraId="4CECAFFA">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喷涂</w:t>
                  </w:r>
                </w:p>
                <w:p w14:paraId="0A70840B">
                  <w:pPr>
                    <w:kinsoku/>
                    <w:adjustRightInd/>
                    <w:snapToGrid/>
                    <w:jc w:val="center"/>
                    <w:rPr>
                      <w:rFonts w:ascii="Times New Roman" w:hAnsi="Times New Roman" w:cs="Times New Roman"/>
                      <w:color w:val="auto"/>
                    </w:rPr>
                  </w:pPr>
                </w:p>
              </w:tc>
              <w:tc>
                <w:tcPr>
                  <w:tcW w:w="2191" w:type="pct"/>
                  <w:vAlign w:val="center"/>
                </w:tcPr>
                <w:p w14:paraId="02DB74FA">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喷涂过程应采用密闭设备或在密闭空间内操作，废气应排至VOCs废气收集处理系统；无法密闭的，应采取局部气体收集措施，废气应排至VOCs废气收集处理系统他用途</w:t>
                  </w:r>
                </w:p>
                <w:p w14:paraId="60CA7704">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宜建设干式喷漆房，优先使用全自动喷漆和循环风工艺；使用湿式喷漆房时，循环水泵间和刮渣间应密闭，废气应排至VOCs废气收集处理系统。涂装车间应根据相应的技术规范设计送排风速率，禁止通过加大送排风量或其他通风措施稀释排放。</w:t>
                  </w:r>
                </w:p>
              </w:tc>
              <w:tc>
                <w:tcPr>
                  <w:tcW w:w="1508" w:type="pct"/>
                  <w:vMerge w:val="continue"/>
                  <w:vAlign w:val="center"/>
                </w:tcPr>
                <w:p w14:paraId="07BCA1A5">
                  <w:pPr>
                    <w:kinsoku/>
                    <w:adjustRightInd/>
                    <w:snapToGrid/>
                    <w:jc w:val="center"/>
                    <w:rPr>
                      <w:rFonts w:ascii="Times New Roman" w:hAnsi="Times New Roman" w:cs="Times New Roman"/>
                      <w:color w:val="auto"/>
                      <w:lang w:val="zh-CN" w:eastAsia="zh-CN"/>
                    </w:rPr>
                  </w:pPr>
                </w:p>
              </w:tc>
              <w:tc>
                <w:tcPr>
                  <w:tcW w:w="540" w:type="pct"/>
                  <w:vMerge w:val="continue"/>
                  <w:vAlign w:val="center"/>
                </w:tcPr>
                <w:p w14:paraId="12E2332C">
                  <w:pPr>
                    <w:kinsoku/>
                    <w:adjustRightInd/>
                    <w:snapToGrid/>
                    <w:jc w:val="center"/>
                    <w:rPr>
                      <w:rFonts w:ascii="Times New Roman" w:hAnsi="Times New Roman" w:cs="Times New Roman"/>
                      <w:color w:val="auto"/>
                      <w:lang w:eastAsia="zh-CN"/>
                    </w:rPr>
                  </w:pPr>
                </w:p>
              </w:tc>
            </w:tr>
            <w:tr w14:paraId="1DE9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continue"/>
                  <w:vAlign w:val="center"/>
                </w:tcPr>
                <w:p w14:paraId="2BCA68AB">
                  <w:pPr>
                    <w:kinsoku/>
                    <w:adjustRightInd/>
                    <w:snapToGrid/>
                    <w:jc w:val="center"/>
                    <w:rPr>
                      <w:rFonts w:ascii="Times New Roman" w:hAnsi="Times New Roman" w:cs="Times New Roman"/>
                      <w:color w:val="auto"/>
                      <w:lang w:val="zh-CN" w:eastAsia="zh-CN"/>
                    </w:rPr>
                  </w:pPr>
                </w:p>
              </w:tc>
              <w:tc>
                <w:tcPr>
                  <w:tcW w:w="512" w:type="pct"/>
                  <w:vAlign w:val="center"/>
                </w:tcPr>
                <w:p w14:paraId="1DC7129C">
                  <w:pPr>
                    <w:kinsoku/>
                    <w:adjustRightInd/>
                    <w:snapToGrid/>
                    <w:jc w:val="center"/>
                    <w:rPr>
                      <w:rFonts w:ascii="Times New Roman" w:hAnsi="Times New Roman" w:cs="Times New Roman"/>
                      <w:color w:val="auto"/>
                    </w:rPr>
                  </w:pPr>
                  <w:r>
                    <w:rPr>
                      <w:rFonts w:ascii="Times New Roman" w:hAnsi="Times New Roman" w:cs="Times New Roman"/>
                      <w:color w:val="auto"/>
                      <w:lang w:eastAsia="zh-CN"/>
                    </w:rPr>
                    <w:t>干燥</w:t>
                  </w:r>
                </w:p>
              </w:tc>
              <w:tc>
                <w:tcPr>
                  <w:tcW w:w="2191" w:type="pct"/>
                  <w:vAlign w:val="center"/>
                </w:tcPr>
                <w:p w14:paraId="09BF4EA1">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干燥(烘干、风干、晾干等)过程应在密闭空间内操作，废气应排至VOCs废气收集处理系统；无法密闭的，应采取局部气体收集措施，废气应排至VOCs废气收集处理系统。</w:t>
                  </w:r>
                </w:p>
                <w:p w14:paraId="0BF0D4BD">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温度较高的烘干废气不宜与喷涂、流平废气混合收集处理。</w:t>
                  </w:r>
                </w:p>
              </w:tc>
              <w:tc>
                <w:tcPr>
                  <w:tcW w:w="1508" w:type="pct"/>
                  <w:vMerge w:val="continue"/>
                  <w:vAlign w:val="center"/>
                </w:tcPr>
                <w:p w14:paraId="7789457F">
                  <w:pPr>
                    <w:kinsoku/>
                    <w:adjustRightInd/>
                    <w:snapToGrid/>
                    <w:jc w:val="center"/>
                    <w:rPr>
                      <w:rFonts w:ascii="Times New Roman" w:hAnsi="Times New Roman" w:cs="Times New Roman"/>
                      <w:color w:val="auto"/>
                      <w:lang w:val="zh-CN" w:eastAsia="zh-CN"/>
                    </w:rPr>
                  </w:pPr>
                </w:p>
              </w:tc>
              <w:tc>
                <w:tcPr>
                  <w:tcW w:w="540" w:type="pct"/>
                  <w:vMerge w:val="continue"/>
                  <w:vAlign w:val="center"/>
                </w:tcPr>
                <w:p w14:paraId="5D97E0B0">
                  <w:pPr>
                    <w:kinsoku/>
                    <w:adjustRightInd/>
                    <w:snapToGrid/>
                    <w:jc w:val="center"/>
                    <w:rPr>
                      <w:rFonts w:ascii="Times New Roman" w:hAnsi="Times New Roman" w:cs="Times New Roman"/>
                      <w:color w:val="auto"/>
                      <w:lang w:eastAsia="zh-CN"/>
                    </w:rPr>
                  </w:pPr>
                </w:p>
              </w:tc>
            </w:tr>
            <w:tr w14:paraId="57EC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7" w:type="pct"/>
                  <w:vMerge w:val="continue"/>
                  <w:vAlign w:val="center"/>
                </w:tcPr>
                <w:p w14:paraId="56488E06">
                  <w:pPr>
                    <w:kinsoku/>
                    <w:adjustRightInd/>
                    <w:snapToGrid/>
                    <w:jc w:val="center"/>
                    <w:rPr>
                      <w:rFonts w:ascii="Times New Roman" w:hAnsi="Times New Roman" w:cs="Times New Roman"/>
                      <w:color w:val="auto"/>
                      <w:lang w:val="zh-CN" w:eastAsia="zh-CN"/>
                    </w:rPr>
                  </w:pPr>
                </w:p>
              </w:tc>
              <w:tc>
                <w:tcPr>
                  <w:tcW w:w="512" w:type="pct"/>
                  <w:vAlign w:val="center"/>
                </w:tcPr>
                <w:p w14:paraId="4DEFC034">
                  <w:pPr>
                    <w:kinsoku/>
                    <w:adjustRightInd/>
                    <w:snapToGrid/>
                    <w:jc w:val="center"/>
                    <w:rPr>
                      <w:rFonts w:ascii="Times New Roman" w:hAnsi="Times New Roman" w:cs="Times New Roman"/>
                      <w:color w:val="auto"/>
                    </w:rPr>
                  </w:pPr>
                  <w:r>
                    <w:rPr>
                      <w:rFonts w:ascii="Times New Roman" w:hAnsi="Times New Roman" w:cs="Times New Roman"/>
                      <w:color w:val="auto"/>
                      <w:lang w:eastAsia="zh-CN"/>
                    </w:rPr>
                    <w:t>回收</w:t>
                  </w:r>
                </w:p>
              </w:tc>
              <w:tc>
                <w:tcPr>
                  <w:tcW w:w="2191" w:type="pct"/>
                  <w:vAlign w:val="center"/>
                </w:tcPr>
                <w:p w14:paraId="7DF82770">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涂装作业结束时，除集中供漆外，应将所有剩余的VOCs物料密闭储存，送回至调配间或储存间。</w:t>
                  </w:r>
                </w:p>
              </w:tc>
              <w:tc>
                <w:tcPr>
                  <w:tcW w:w="1508" w:type="pct"/>
                  <w:vAlign w:val="center"/>
                </w:tcPr>
                <w:p w14:paraId="44758254">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项目喷塑过程中产生的塑粉经滤芯除尘回收后直接回用</w:t>
                  </w:r>
                </w:p>
              </w:tc>
              <w:tc>
                <w:tcPr>
                  <w:tcW w:w="540" w:type="pct"/>
                  <w:vAlign w:val="center"/>
                </w:tcPr>
                <w:p w14:paraId="612EECB1">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r w14:paraId="370C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47" w:type="pct"/>
                  <w:vAlign w:val="center"/>
                </w:tcPr>
                <w:p w14:paraId="4CF0F767">
                  <w:pPr>
                    <w:kinsoku/>
                    <w:adjustRightInd/>
                    <w:snapToGrid/>
                    <w:jc w:val="center"/>
                    <w:rPr>
                      <w:rFonts w:ascii="Times New Roman" w:hAnsi="Times New Roman" w:cs="Times New Roman"/>
                      <w:color w:val="auto"/>
                      <w:lang w:val="zh-CN"/>
                    </w:rPr>
                  </w:pPr>
                  <w:r>
                    <w:rPr>
                      <w:rFonts w:ascii="Times New Roman" w:hAnsi="Times New Roman" w:cs="Times New Roman"/>
                      <w:color w:val="auto"/>
                      <w:lang w:val="zh-CN"/>
                    </w:rPr>
                    <w:t>末端治理</w:t>
                  </w:r>
                </w:p>
              </w:tc>
              <w:tc>
                <w:tcPr>
                  <w:tcW w:w="512" w:type="pct"/>
                  <w:vAlign w:val="center"/>
                </w:tcPr>
                <w:p w14:paraId="1F342886">
                  <w:pPr>
                    <w:kinsoku/>
                    <w:adjustRightInd/>
                    <w:snapToGrid/>
                    <w:jc w:val="center"/>
                    <w:rPr>
                      <w:rFonts w:ascii="Times New Roman" w:hAnsi="Times New Roman" w:cs="Times New Roman"/>
                      <w:color w:val="auto"/>
                      <w:lang w:eastAsia="zh-CN"/>
                    </w:rPr>
                  </w:pPr>
                  <w:r>
                    <w:rPr>
                      <w:rFonts w:ascii="Times New Roman" w:hAnsi="Times New Roman" w:cs="Times New Roman"/>
                      <w:color w:val="auto"/>
                    </w:rPr>
                    <w:t>烘干</w:t>
                  </w:r>
                </w:p>
              </w:tc>
              <w:tc>
                <w:tcPr>
                  <w:tcW w:w="2191" w:type="pct"/>
                  <w:vAlign w:val="center"/>
                </w:tcPr>
                <w:p w14:paraId="2B882C26">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烘干废气宜采用热炉焚烧/催化燃烧或其他等效方式处理。溶剂型涂料生产线，烘干废气宜单独处理。</w:t>
                  </w:r>
                </w:p>
              </w:tc>
              <w:tc>
                <w:tcPr>
                  <w:tcW w:w="1508" w:type="pct"/>
                  <w:vAlign w:val="center"/>
                </w:tcPr>
                <w:p w14:paraId="412B0754">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固化工序</w:t>
                  </w:r>
                  <w:r>
                    <w:rPr>
                      <w:rFonts w:ascii="Times New Roman" w:hAnsi="Times New Roman" w:cs="Times New Roman"/>
                      <w:color w:val="auto"/>
                      <w:lang w:val="zh-CN" w:eastAsia="zh-CN"/>
                    </w:rPr>
                    <w:t>均在密闭的</w:t>
                  </w:r>
                  <w:r>
                    <w:rPr>
                      <w:rFonts w:ascii="Times New Roman" w:hAnsi="Times New Roman" w:cs="Times New Roman"/>
                      <w:color w:val="auto"/>
                      <w:lang w:eastAsia="zh-CN"/>
                    </w:rPr>
                    <w:t>空间内进行</w:t>
                  </w:r>
                  <w:r>
                    <w:rPr>
                      <w:rFonts w:ascii="Times New Roman" w:hAnsi="Times New Roman" w:cs="Times New Roman"/>
                      <w:color w:val="auto"/>
                      <w:lang w:val="zh-CN" w:eastAsia="zh-CN"/>
                    </w:rPr>
                    <w:t>，并负压收集废气</w:t>
                  </w:r>
                  <w:r>
                    <w:rPr>
                      <w:rFonts w:ascii="Times New Roman" w:hAnsi="Times New Roman" w:cs="Times New Roman"/>
                      <w:color w:val="auto"/>
                      <w:lang w:eastAsia="zh-CN"/>
                    </w:rPr>
                    <w:t>，废气经“二级活性炭吸附”处理设施处理</w:t>
                  </w:r>
                </w:p>
              </w:tc>
              <w:tc>
                <w:tcPr>
                  <w:tcW w:w="540" w:type="pct"/>
                  <w:vAlign w:val="center"/>
                </w:tcPr>
                <w:p w14:paraId="28E1C094">
                  <w:pPr>
                    <w:kinsoku/>
                    <w:adjustRightInd/>
                    <w:snapToGrid/>
                    <w:jc w:val="center"/>
                    <w:rPr>
                      <w:rFonts w:ascii="Times New Roman" w:hAnsi="Times New Roman" w:cs="Times New Roman"/>
                      <w:color w:val="auto"/>
                    </w:rPr>
                  </w:pPr>
                  <w:r>
                    <w:rPr>
                      <w:rFonts w:ascii="Times New Roman" w:hAnsi="Times New Roman" w:cs="Times New Roman"/>
                      <w:color w:val="auto"/>
                    </w:rPr>
                    <w:t>符合</w:t>
                  </w:r>
                </w:p>
              </w:tc>
            </w:tr>
          </w:tbl>
          <w:p w14:paraId="7933537F">
            <w:pPr>
              <w:kinsoku/>
              <w:adjustRightInd/>
              <w:snapToGrid/>
              <w:spacing w:line="360" w:lineRule="auto"/>
              <w:ind w:firstLine="240" w:firstLineChars="100"/>
              <w:rPr>
                <w:rFonts w:ascii="Times New Roman" w:hAnsi="Times New Roman" w:cs="Times New Roman"/>
                <w:b/>
                <w:bCs/>
                <w:sz w:val="24"/>
                <w:szCs w:val="32"/>
              </w:rPr>
            </w:pPr>
            <w:r>
              <w:rPr>
                <w:rFonts w:ascii="Times New Roman" w:hAnsi="Times New Roman" w:cs="Times New Roman"/>
                <w:b/>
                <w:bCs/>
                <w:sz w:val="24"/>
                <w:szCs w:val="32"/>
                <w:lang w:eastAsia="zh-CN"/>
              </w:rPr>
              <w:t>（6）</w:t>
            </w:r>
            <w:r>
              <w:rPr>
                <w:rFonts w:ascii="Times New Roman" w:hAnsi="Times New Roman" w:cs="Times New Roman"/>
                <w:b/>
                <w:bCs/>
                <w:sz w:val="24"/>
                <w:szCs w:val="32"/>
              </w:rPr>
              <w:t>项目与《工业炉窑大气污染综合治理方案》（环大气〔2019〕56号）符合性分析</w:t>
            </w:r>
          </w:p>
          <w:p w14:paraId="5272A6AE">
            <w:pPr>
              <w:kinsoku/>
              <w:adjustRightInd/>
              <w:snapToGrid/>
              <w:jc w:val="center"/>
              <w:rPr>
                <w:rFonts w:ascii="Times New Roman" w:hAnsi="Times New Roman" w:cs="Times New Roman"/>
                <w:b/>
                <w:bCs/>
                <w:sz w:val="24"/>
                <w:szCs w:val="32"/>
              </w:rPr>
            </w:pPr>
            <w:r>
              <w:rPr>
                <w:rFonts w:ascii="Times New Roman" w:hAnsi="Times New Roman" w:cs="Times New Roman"/>
                <w:b/>
                <w:bCs/>
                <w:sz w:val="24"/>
                <w:szCs w:val="32"/>
              </w:rPr>
              <w:t>表1</w:t>
            </w:r>
            <w:r>
              <w:rPr>
                <w:rFonts w:ascii="Times New Roman" w:hAnsi="Times New Roman" w:eastAsia="宋体" w:cs="Times New Roman"/>
                <w:b/>
                <w:bCs/>
                <w:sz w:val="24"/>
                <w:szCs w:val="32"/>
                <w:lang w:eastAsia="zh-CN"/>
              </w:rPr>
              <w:t>-6</w:t>
            </w:r>
            <w:r>
              <w:rPr>
                <w:rFonts w:ascii="Times New Roman" w:hAnsi="Times New Roman" w:cs="Times New Roman"/>
                <w:b/>
                <w:bCs/>
                <w:sz w:val="24"/>
                <w:szCs w:val="32"/>
                <w:lang w:eastAsia="zh-CN"/>
              </w:rPr>
              <w:t xml:space="preserve"> </w:t>
            </w:r>
            <w:r>
              <w:rPr>
                <w:rFonts w:ascii="Times New Roman" w:hAnsi="Times New Roman" w:cs="Times New Roman"/>
                <w:b/>
                <w:bCs/>
                <w:sz w:val="24"/>
                <w:szCs w:val="32"/>
              </w:rPr>
              <w:t xml:space="preserve"> 与《工业炉窑大气污染综合治理方案》符合性判定</w:t>
            </w:r>
          </w:p>
          <w:tbl>
            <w:tblPr>
              <w:tblStyle w:val="22"/>
              <w:tblW w:w="4995"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4329"/>
              <w:gridCol w:w="2600"/>
              <w:gridCol w:w="908"/>
            </w:tblGrid>
            <w:tr w14:paraId="04C8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1" w:type="pct"/>
                  <w:tcBorders>
                    <w:top w:val="single" w:color="auto" w:sz="4" w:space="0"/>
                    <w:left w:val="single" w:color="auto" w:sz="4" w:space="0"/>
                    <w:bottom w:val="single" w:color="auto" w:sz="4" w:space="0"/>
                    <w:right w:val="single" w:color="auto" w:sz="4" w:space="0"/>
                  </w:tcBorders>
                  <w:vAlign w:val="center"/>
                </w:tcPr>
                <w:p w14:paraId="3902D207">
                  <w:pPr>
                    <w:kinsoku/>
                    <w:adjustRightInd/>
                    <w:snapToGrid/>
                    <w:jc w:val="center"/>
                    <w:rPr>
                      <w:rFonts w:ascii="Times New Roman" w:hAnsi="Times New Roman" w:cs="Times New Roman"/>
                    </w:rPr>
                  </w:pPr>
                  <w:r>
                    <w:rPr>
                      <w:rFonts w:ascii="Times New Roman" w:hAnsi="Times New Roman" w:cs="Times New Roman"/>
                    </w:rPr>
                    <w:t>序号</w:t>
                  </w:r>
                </w:p>
              </w:tc>
              <w:tc>
                <w:tcPr>
                  <w:tcW w:w="2556" w:type="pct"/>
                  <w:tcBorders>
                    <w:top w:val="single" w:color="auto" w:sz="4" w:space="0"/>
                    <w:left w:val="single" w:color="auto" w:sz="4" w:space="0"/>
                    <w:bottom w:val="single" w:color="auto" w:sz="4" w:space="0"/>
                    <w:right w:val="single" w:color="auto" w:sz="4" w:space="0"/>
                  </w:tcBorders>
                  <w:vAlign w:val="center"/>
                </w:tcPr>
                <w:p w14:paraId="5EC21B3D">
                  <w:pPr>
                    <w:kinsoku/>
                    <w:adjustRightInd/>
                    <w:snapToGrid/>
                    <w:jc w:val="center"/>
                    <w:rPr>
                      <w:rFonts w:ascii="Times New Roman" w:hAnsi="Times New Roman" w:cs="Times New Roman"/>
                    </w:rPr>
                  </w:pPr>
                  <w:r>
                    <w:rPr>
                      <w:rFonts w:ascii="Times New Roman" w:hAnsi="Times New Roman" w:cs="Times New Roman"/>
                    </w:rPr>
                    <w:t>《工业炉窑大气污染综合治理方案》要求内容</w:t>
                  </w:r>
                </w:p>
              </w:tc>
              <w:tc>
                <w:tcPr>
                  <w:tcW w:w="1535" w:type="pct"/>
                  <w:tcBorders>
                    <w:top w:val="single" w:color="auto" w:sz="4" w:space="0"/>
                    <w:left w:val="single" w:color="auto" w:sz="4" w:space="0"/>
                    <w:bottom w:val="single" w:color="auto" w:sz="4" w:space="0"/>
                    <w:right w:val="single" w:color="auto" w:sz="4" w:space="0"/>
                  </w:tcBorders>
                  <w:vAlign w:val="center"/>
                </w:tcPr>
                <w:p w14:paraId="3E8B9863">
                  <w:pPr>
                    <w:kinsoku/>
                    <w:adjustRightInd/>
                    <w:snapToGrid/>
                    <w:jc w:val="center"/>
                    <w:rPr>
                      <w:rFonts w:ascii="Times New Roman" w:hAnsi="Times New Roman" w:cs="Times New Roman"/>
                    </w:rPr>
                  </w:pPr>
                  <w:r>
                    <w:rPr>
                      <w:rFonts w:ascii="Times New Roman" w:hAnsi="Times New Roman" w:cs="Times New Roman"/>
                    </w:rPr>
                    <w:t>本项目</w:t>
                  </w:r>
                </w:p>
              </w:tc>
              <w:tc>
                <w:tcPr>
                  <w:tcW w:w="536" w:type="pct"/>
                  <w:tcBorders>
                    <w:top w:val="single" w:color="auto" w:sz="4" w:space="0"/>
                    <w:left w:val="single" w:color="auto" w:sz="4" w:space="0"/>
                    <w:bottom w:val="single" w:color="auto" w:sz="4" w:space="0"/>
                    <w:right w:val="single" w:color="auto" w:sz="4" w:space="0"/>
                  </w:tcBorders>
                  <w:vAlign w:val="center"/>
                </w:tcPr>
                <w:p w14:paraId="017C8A38">
                  <w:pPr>
                    <w:kinsoku/>
                    <w:adjustRightInd/>
                    <w:snapToGrid/>
                    <w:jc w:val="center"/>
                    <w:rPr>
                      <w:rFonts w:ascii="Times New Roman" w:hAnsi="Times New Roman" w:cs="Times New Roman"/>
                    </w:rPr>
                  </w:pPr>
                  <w:r>
                    <w:rPr>
                      <w:rFonts w:ascii="Times New Roman" w:hAnsi="Times New Roman" w:cs="Times New Roman"/>
                    </w:rPr>
                    <w:t>相符性</w:t>
                  </w:r>
                </w:p>
              </w:tc>
            </w:tr>
            <w:tr w14:paraId="3FDE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5CDDBA4E">
                  <w:pPr>
                    <w:kinsoku/>
                    <w:adjustRightInd/>
                    <w:snapToGrid/>
                    <w:jc w:val="center"/>
                    <w:rPr>
                      <w:rFonts w:ascii="Times New Roman" w:hAnsi="Times New Roman" w:cs="Times New Roman"/>
                    </w:rPr>
                  </w:pPr>
                  <w:r>
                    <w:rPr>
                      <w:rFonts w:ascii="Times New Roman" w:hAnsi="Times New Roman" w:cs="Times New Roman"/>
                    </w:rPr>
                    <w:t>1</w:t>
                  </w:r>
                </w:p>
              </w:tc>
              <w:tc>
                <w:tcPr>
                  <w:tcW w:w="2556" w:type="pct"/>
                  <w:tcBorders>
                    <w:top w:val="single" w:color="auto" w:sz="4" w:space="0"/>
                    <w:left w:val="single" w:color="auto" w:sz="4" w:space="0"/>
                    <w:bottom w:val="single" w:color="auto" w:sz="4" w:space="0"/>
                    <w:right w:val="single" w:color="auto" w:sz="4" w:space="0"/>
                  </w:tcBorders>
                  <w:vAlign w:val="center"/>
                </w:tcPr>
                <w:p w14:paraId="303F7EBA">
                  <w:pPr>
                    <w:kinsoku/>
                    <w:adjustRightInd/>
                    <w:snapToGrid/>
                    <w:jc w:val="center"/>
                    <w:rPr>
                      <w:rFonts w:ascii="Times New Roman" w:hAnsi="Times New Roman" w:cs="Times New Roman"/>
                    </w:rPr>
                  </w:pPr>
                  <w:r>
                    <w:rPr>
                      <w:rFonts w:ascii="Times New Roman" w:hAnsi="Times New Roman" w:cs="Times New Roman"/>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鼓励各地制定更加严格的环保标准，进一步促进产业结构调整。</w:t>
                  </w:r>
                </w:p>
              </w:tc>
              <w:tc>
                <w:tcPr>
                  <w:tcW w:w="1535" w:type="pct"/>
                  <w:tcBorders>
                    <w:top w:val="single" w:color="auto" w:sz="4" w:space="0"/>
                    <w:left w:val="single" w:color="auto" w:sz="4" w:space="0"/>
                    <w:bottom w:val="single" w:color="auto" w:sz="4" w:space="0"/>
                    <w:right w:val="single" w:color="auto" w:sz="4" w:space="0"/>
                  </w:tcBorders>
                  <w:vAlign w:val="center"/>
                </w:tcPr>
                <w:p w14:paraId="012F6E51">
                  <w:pPr>
                    <w:kinsoku/>
                    <w:adjustRightInd/>
                    <w:snapToGrid/>
                    <w:jc w:val="center"/>
                    <w:rPr>
                      <w:rFonts w:ascii="Times New Roman" w:hAnsi="Times New Roman" w:eastAsia="宋体" w:cs="Times New Roman"/>
                      <w:lang w:eastAsia="zh-CN"/>
                    </w:rPr>
                  </w:pPr>
                  <w:r>
                    <w:rPr>
                      <w:rFonts w:ascii="Times New Roman" w:hAnsi="Times New Roman" w:eastAsia="宋体" w:cs="Times New Roman"/>
                    </w:rPr>
                    <w:t>本项目</w:t>
                  </w:r>
                  <w:r>
                    <w:rPr>
                      <w:rFonts w:ascii="Times New Roman" w:hAnsi="Times New Roman" w:eastAsia="宋体" w:cs="Times New Roman"/>
                      <w:lang w:eastAsia="zh-CN"/>
                    </w:rPr>
                    <w:t>【</w:t>
                  </w:r>
                  <w:r>
                    <w:rPr>
                      <w:rFonts w:ascii="Times New Roman" w:hAnsi="Times New Roman" w:eastAsia="宋体" w:cs="Times New Roman"/>
                    </w:rPr>
                    <w:t>C</w:t>
                  </w:r>
                  <w:r>
                    <w:rPr>
                      <w:rFonts w:ascii="Times New Roman" w:hAnsi="Times New Roman" w:eastAsia="宋体" w:cs="Times New Roman"/>
                      <w:lang w:eastAsia="zh-CN"/>
                    </w:rPr>
                    <w:t>3311】金属结构制造，</w:t>
                  </w:r>
                  <w:r>
                    <w:rPr>
                      <w:rFonts w:ascii="Times New Roman" w:hAnsi="Times New Roman" w:eastAsia="宋体" w:cs="Times New Roman"/>
                    </w:rPr>
                    <w:t>C</w:t>
                  </w:r>
                  <w:r>
                    <w:rPr>
                      <w:rFonts w:ascii="Times New Roman" w:hAnsi="Times New Roman" w:eastAsia="宋体" w:cs="Times New Roman"/>
                      <w:lang w:eastAsia="zh-CN"/>
                    </w:rPr>
                    <w:t>3312金属门窗制造</w:t>
                  </w:r>
                  <w:r>
                    <w:rPr>
                      <w:rFonts w:ascii="Times New Roman" w:hAnsi="Times New Roman" w:eastAsia="宋体" w:cs="Times New Roman"/>
                    </w:rPr>
                    <w:t>。不属于钢铁、焦化、电解铝、铸造、水泥和平板玻璃等产业</w:t>
                  </w:r>
                  <w:r>
                    <w:rPr>
                      <w:rFonts w:ascii="Times New Roman" w:hAnsi="Times New Roman" w:eastAsia="宋体" w:cs="Times New Roman"/>
                      <w:lang w:eastAsia="zh-CN"/>
                    </w:rPr>
                    <w:t>。且本项目所在地隶属于</w:t>
                  </w:r>
                  <w:r>
                    <w:rPr>
                      <w:rFonts w:hint="eastAsia" w:ascii="Times New Roman" w:hAnsi="Times New Roman" w:eastAsia="宋体" w:cs="Times New Roman"/>
                      <w:lang w:val="en-US" w:eastAsia="zh-CN"/>
                    </w:rPr>
                    <w:t>安徽</w:t>
                  </w:r>
                  <w:r>
                    <w:rPr>
                      <w:rFonts w:ascii="Times New Roman" w:hAnsi="Times New Roman" w:eastAsia="宋体" w:cs="Times New Roman"/>
                      <w:lang w:eastAsia="zh-CN"/>
                    </w:rPr>
                    <w:t>濉溪经济开发区园区内</w:t>
                  </w:r>
                </w:p>
              </w:tc>
              <w:tc>
                <w:tcPr>
                  <w:tcW w:w="536" w:type="pct"/>
                  <w:tcBorders>
                    <w:top w:val="single" w:color="auto" w:sz="4" w:space="0"/>
                    <w:left w:val="single" w:color="auto" w:sz="4" w:space="0"/>
                    <w:bottom w:val="single" w:color="auto" w:sz="4" w:space="0"/>
                    <w:right w:val="single" w:color="auto" w:sz="4" w:space="0"/>
                  </w:tcBorders>
                  <w:vAlign w:val="center"/>
                </w:tcPr>
                <w:p w14:paraId="6F3A0E7B">
                  <w:pPr>
                    <w:kinsoku/>
                    <w:adjustRightInd/>
                    <w:snapToGrid/>
                    <w:jc w:val="center"/>
                    <w:rPr>
                      <w:rFonts w:ascii="Times New Roman" w:hAnsi="Times New Roman" w:cs="Times New Roman"/>
                    </w:rPr>
                  </w:pPr>
                  <w:r>
                    <w:rPr>
                      <w:rFonts w:ascii="Times New Roman" w:hAnsi="Times New Roman" w:cs="Times New Roman"/>
                    </w:rPr>
                    <w:t>符合</w:t>
                  </w:r>
                </w:p>
              </w:tc>
            </w:tr>
            <w:tr w14:paraId="25CF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11E805A8">
                  <w:pPr>
                    <w:kinsoku/>
                    <w:adjustRightInd/>
                    <w:snapToGrid/>
                    <w:jc w:val="center"/>
                    <w:rPr>
                      <w:rFonts w:ascii="Times New Roman" w:hAnsi="Times New Roman" w:cs="Times New Roman"/>
                    </w:rPr>
                  </w:pPr>
                  <w:r>
                    <w:rPr>
                      <w:rFonts w:ascii="Times New Roman" w:hAnsi="Times New Roman" w:cs="Times New Roman"/>
                    </w:rPr>
                    <w:t>2</w:t>
                  </w:r>
                </w:p>
              </w:tc>
              <w:tc>
                <w:tcPr>
                  <w:tcW w:w="2556" w:type="pct"/>
                  <w:tcBorders>
                    <w:top w:val="single" w:color="auto" w:sz="4" w:space="0"/>
                    <w:left w:val="single" w:color="auto" w:sz="4" w:space="0"/>
                    <w:bottom w:val="single" w:color="auto" w:sz="4" w:space="0"/>
                    <w:right w:val="single" w:color="auto" w:sz="4" w:space="0"/>
                  </w:tcBorders>
                  <w:vAlign w:val="center"/>
                </w:tcPr>
                <w:p w14:paraId="1B4E8343">
                  <w:pPr>
                    <w:kinsoku/>
                    <w:adjustRightInd/>
                    <w:snapToGrid/>
                    <w:jc w:val="center"/>
                    <w:rPr>
                      <w:rFonts w:ascii="Times New Roman" w:hAnsi="Times New Roman" w:cs="Times New Roman"/>
                    </w:rPr>
                  </w:pPr>
                  <w:r>
                    <w:rPr>
                      <w:rFonts w:ascii="Times New Roman" w:hAnsi="Times New Roman" w:cs="Times New Roman"/>
                    </w:rPr>
                    <w:t>（二）加快燃料清洁低预氧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tc>
              <w:tc>
                <w:tcPr>
                  <w:tcW w:w="1535" w:type="pct"/>
                  <w:tcBorders>
                    <w:top w:val="single" w:color="auto" w:sz="4" w:space="0"/>
                    <w:left w:val="single" w:color="auto" w:sz="4" w:space="0"/>
                    <w:bottom w:val="single" w:color="auto" w:sz="4" w:space="0"/>
                    <w:right w:val="single" w:color="auto" w:sz="4" w:space="0"/>
                  </w:tcBorders>
                  <w:vAlign w:val="center"/>
                </w:tcPr>
                <w:p w14:paraId="19BBA497">
                  <w:pPr>
                    <w:pStyle w:val="9"/>
                    <w:kinsoku/>
                    <w:adjustRightInd/>
                    <w:snapToGrid/>
                    <w:jc w:val="center"/>
                    <w:rPr>
                      <w:rFonts w:ascii="Times New Roman" w:hAnsi="Times New Roman" w:eastAsia="宋体" w:cs="Times New Roman"/>
                      <w:lang w:eastAsia="zh-CN"/>
                    </w:rPr>
                  </w:pPr>
                  <w:r>
                    <w:rPr>
                      <w:rFonts w:ascii="Times New Roman" w:hAnsi="Times New Roman" w:cs="Times New Roman"/>
                    </w:rPr>
                    <w:t>本项目固化过程中使用天然气，天然气为清洁能源</w:t>
                  </w:r>
                  <w:r>
                    <w:rPr>
                      <w:rFonts w:ascii="Times New Roman" w:hAnsi="Times New Roman" w:cs="Times New Roman"/>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37BC2B84">
                  <w:pPr>
                    <w:kinsoku/>
                    <w:adjustRightInd/>
                    <w:snapToGrid/>
                    <w:jc w:val="center"/>
                    <w:rPr>
                      <w:rFonts w:ascii="Times New Roman" w:hAnsi="Times New Roman" w:cs="Times New Roman"/>
                    </w:rPr>
                  </w:pPr>
                  <w:r>
                    <w:rPr>
                      <w:rFonts w:ascii="Times New Roman" w:hAnsi="Times New Roman" w:cs="Times New Roman"/>
                    </w:rPr>
                    <w:t>符合</w:t>
                  </w:r>
                </w:p>
              </w:tc>
            </w:tr>
            <w:tr w14:paraId="2137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op w:val="single" w:color="auto" w:sz="4" w:space="0"/>
                    <w:left w:val="single" w:color="auto" w:sz="4" w:space="0"/>
                    <w:bottom w:val="single" w:color="auto" w:sz="4" w:space="0"/>
                    <w:right w:val="single" w:color="auto" w:sz="4" w:space="0"/>
                  </w:tcBorders>
                  <w:vAlign w:val="center"/>
                </w:tcPr>
                <w:p w14:paraId="252B4C88">
                  <w:pPr>
                    <w:kinsoku/>
                    <w:adjustRightInd/>
                    <w:snapToGrid/>
                    <w:jc w:val="center"/>
                    <w:rPr>
                      <w:rFonts w:ascii="Times New Roman" w:hAnsi="Times New Roman" w:cs="Times New Roman"/>
                    </w:rPr>
                  </w:pPr>
                  <w:r>
                    <w:rPr>
                      <w:rFonts w:ascii="Times New Roman" w:hAnsi="Times New Roman" w:cs="Times New Roman"/>
                    </w:rPr>
                    <w:t>3</w:t>
                  </w:r>
                </w:p>
              </w:tc>
              <w:tc>
                <w:tcPr>
                  <w:tcW w:w="2556" w:type="pct"/>
                  <w:tcBorders>
                    <w:top w:val="single" w:color="auto" w:sz="4" w:space="0"/>
                    <w:left w:val="single" w:color="auto" w:sz="4" w:space="0"/>
                    <w:bottom w:val="single" w:color="auto" w:sz="4" w:space="0"/>
                    <w:right w:val="single" w:color="auto" w:sz="4" w:space="0"/>
                  </w:tcBorders>
                  <w:vAlign w:val="center"/>
                </w:tcPr>
                <w:p w14:paraId="621B31E9">
                  <w:pPr>
                    <w:kinsoku/>
                    <w:adjustRightInd/>
                    <w:snapToGrid/>
                    <w:jc w:val="center"/>
                    <w:rPr>
                      <w:rFonts w:ascii="Times New Roman" w:hAnsi="Times New Roman" w:cs="Times New Roman"/>
                    </w:rPr>
                  </w:pPr>
                  <w:r>
                    <w:rPr>
                      <w:rFonts w:ascii="Times New Roman" w:hAnsi="Times New Roman" w:cs="Times New Roma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w:t>
                  </w:r>
                </w:p>
              </w:tc>
              <w:tc>
                <w:tcPr>
                  <w:tcW w:w="1535" w:type="pct"/>
                  <w:tcBorders>
                    <w:top w:val="single" w:color="auto" w:sz="4" w:space="0"/>
                    <w:left w:val="single" w:color="auto" w:sz="4" w:space="0"/>
                    <w:bottom w:val="single" w:color="auto" w:sz="4" w:space="0"/>
                    <w:right w:val="single" w:color="auto" w:sz="4" w:space="0"/>
                  </w:tcBorders>
                  <w:vAlign w:val="center"/>
                </w:tcPr>
                <w:p w14:paraId="247DB51C">
                  <w:pPr>
                    <w:pStyle w:val="9"/>
                    <w:widowControl w:val="0"/>
                    <w:kinsoku/>
                    <w:autoSpaceDE/>
                    <w:autoSpaceDN/>
                    <w:adjustRightInd/>
                    <w:snapToGrid/>
                    <w:jc w:val="center"/>
                    <w:textAlignment w:val="auto"/>
                    <w:rPr>
                      <w:rFonts w:ascii="Times New Roman" w:hAnsi="Times New Roman" w:cs="Times New Roman"/>
                    </w:rPr>
                  </w:pPr>
                  <w:r>
                    <w:rPr>
                      <w:rFonts w:ascii="Times New Roman" w:hAnsi="Times New Roman" w:eastAsia="宋体" w:cs="Times New Roman"/>
                    </w:rPr>
                    <w:t>本项目</w:t>
                  </w:r>
                  <w:r>
                    <w:rPr>
                      <w:rFonts w:ascii="Times New Roman" w:hAnsi="Times New Roman" w:cs="Times New Roman"/>
                      <w:lang w:eastAsia="zh-CN"/>
                    </w:rPr>
                    <w:t>产品主要为护栏、门窗、铝板</w:t>
                  </w:r>
                  <w:r>
                    <w:rPr>
                      <w:rFonts w:ascii="Times New Roman" w:hAnsi="Times New Roman" w:eastAsia="宋体" w:cs="Times New Roman"/>
                      <w:lang w:eastAsia="zh-CN"/>
                    </w:rPr>
                    <w:t>等</w:t>
                  </w:r>
                  <w:r>
                    <w:rPr>
                      <w:rFonts w:ascii="Times New Roman" w:hAnsi="Times New Roman" w:eastAsia="宋体" w:cs="Times New Roman"/>
                    </w:rPr>
                    <w:t>，属于“</w:t>
                  </w:r>
                  <w:r>
                    <w:rPr>
                      <w:rFonts w:ascii="Times New Roman" w:hAnsi="Times New Roman" w:eastAsia="宋体" w:cs="Times New Roman"/>
                      <w:lang w:eastAsia="zh-CN"/>
                    </w:rPr>
                    <w:t>【</w:t>
                  </w:r>
                  <w:r>
                    <w:rPr>
                      <w:rFonts w:ascii="Times New Roman" w:hAnsi="Times New Roman" w:eastAsia="宋体" w:cs="Times New Roman"/>
                    </w:rPr>
                    <w:t>C</w:t>
                  </w:r>
                  <w:r>
                    <w:rPr>
                      <w:rFonts w:ascii="Times New Roman" w:hAnsi="Times New Roman" w:eastAsia="宋体" w:cs="Times New Roman"/>
                      <w:lang w:eastAsia="zh-CN"/>
                    </w:rPr>
                    <w:t>3311】金属结构制造，</w:t>
                  </w:r>
                  <w:r>
                    <w:rPr>
                      <w:rFonts w:ascii="Times New Roman" w:hAnsi="Times New Roman" w:eastAsia="宋体" w:cs="Times New Roman"/>
                    </w:rPr>
                    <w:t>C</w:t>
                  </w:r>
                  <w:r>
                    <w:rPr>
                      <w:rFonts w:ascii="Times New Roman" w:hAnsi="Times New Roman" w:eastAsia="宋体" w:cs="Times New Roman"/>
                      <w:lang w:eastAsia="zh-CN"/>
                    </w:rPr>
                    <w:t>3312金属门窗制造</w:t>
                  </w:r>
                  <w:r>
                    <w:rPr>
                      <w:rFonts w:ascii="Times New Roman" w:hAnsi="Times New Roman" w:eastAsia="宋体" w:cs="Times New Roman"/>
                    </w:rPr>
                    <w:t>”，不属于钢铁、水泥、焦化、石</w:t>
                  </w:r>
                  <w:r>
                    <w:rPr>
                      <w:rFonts w:ascii="Times New Roman" w:hAnsi="Times New Roman" w:cs="Times New Roman"/>
                    </w:rPr>
                    <w:t>化、化工、有色等行业。</w:t>
                  </w:r>
                </w:p>
                <w:p w14:paraId="1BBF66C2">
                  <w:pPr>
                    <w:pStyle w:val="9"/>
                    <w:widowControl w:val="0"/>
                    <w:kinsoku/>
                    <w:autoSpaceDE/>
                    <w:autoSpaceDN/>
                    <w:adjustRightInd/>
                    <w:snapToGrid/>
                    <w:jc w:val="center"/>
                    <w:textAlignment w:val="auto"/>
                    <w:rPr>
                      <w:rFonts w:ascii="Times New Roman" w:hAnsi="Times New Roman" w:eastAsia="宋体" w:cs="Times New Roman"/>
                      <w:lang w:eastAsia="zh-CN"/>
                    </w:rPr>
                  </w:pPr>
                  <w:r>
                    <w:rPr>
                      <w:rFonts w:ascii="Times New Roman" w:hAnsi="Times New Roman" w:cs="Times New Roman"/>
                    </w:rPr>
                    <w:t>固化过程中天然气燃烧产生的废气满足颗粒物、二氧化硫、氮氧化物排放限值分别不高于30、200、300毫克/立方米的要求</w:t>
                  </w:r>
                  <w:r>
                    <w:rPr>
                      <w:rFonts w:ascii="Times New Roman" w:hAnsi="Times New Roman" w:cs="Times New Roman"/>
                      <w:lang w:eastAsia="zh-CN"/>
                    </w:rPr>
                    <w:t>。</w:t>
                  </w:r>
                </w:p>
              </w:tc>
              <w:tc>
                <w:tcPr>
                  <w:tcW w:w="536" w:type="pct"/>
                  <w:tcBorders>
                    <w:top w:val="single" w:color="auto" w:sz="4" w:space="0"/>
                    <w:left w:val="single" w:color="auto" w:sz="4" w:space="0"/>
                    <w:bottom w:val="single" w:color="auto" w:sz="4" w:space="0"/>
                    <w:right w:val="single" w:color="auto" w:sz="4" w:space="0"/>
                  </w:tcBorders>
                  <w:vAlign w:val="center"/>
                </w:tcPr>
                <w:p w14:paraId="4E9BDFB7">
                  <w:pPr>
                    <w:kinsoku/>
                    <w:adjustRightInd/>
                    <w:snapToGrid/>
                    <w:jc w:val="center"/>
                    <w:rPr>
                      <w:rFonts w:ascii="Times New Roman" w:hAnsi="Times New Roman" w:cs="Times New Roman"/>
                    </w:rPr>
                  </w:pPr>
                  <w:r>
                    <w:rPr>
                      <w:rFonts w:ascii="Times New Roman" w:hAnsi="Times New Roman" w:cs="Times New Roman"/>
                    </w:rPr>
                    <w:t>符合</w:t>
                  </w:r>
                </w:p>
              </w:tc>
            </w:tr>
          </w:tbl>
          <w:p w14:paraId="0F24F6C2">
            <w:pPr>
              <w:pStyle w:val="7"/>
              <w:kinsoku/>
              <w:adjustRightInd/>
              <w:snapToGrid/>
              <w:spacing w:line="360" w:lineRule="auto"/>
              <w:ind w:left="0" w:firstLine="482" w:firstLineChars="200"/>
              <w:rPr>
                <w:rFonts w:ascii="Times New Roman" w:hAnsi="Times New Roman" w:eastAsia="宋体" w:cs="Times New Roman"/>
                <w:b/>
                <w:bCs/>
                <w:color w:val="auto"/>
                <w:szCs w:val="24"/>
                <w:lang w:eastAsia="zh-CN"/>
              </w:rPr>
            </w:pPr>
            <w:r>
              <w:rPr>
                <w:rFonts w:ascii="Times New Roman" w:hAnsi="Times New Roman" w:eastAsia="宋体" w:cs="Times New Roman"/>
                <w:b/>
                <w:bCs/>
                <w:color w:val="auto"/>
                <w:szCs w:val="24"/>
                <w:lang w:eastAsia="zh-CN"/>
              </w:rPr>
              <w:t>（7）与《安徽省生态环境厅关于全面推进挥发性有机物综合治理工作的通知》相符性分析</w:t>
            </w:r>
          </w:p>
          <w:p w14:paraId="21D8B9DE">
            <w:pPr>
              <w:pStyle w:val="7"/>
              <w:kinsoku/>
              <w:adjustRightInd/>
              <w:snapToGrid/>
              <w:spacing w:line="240" w:lineRule="auto"/>
              <w:ind w:left="0" w:firstLine="0"/>
              <w:jc w:val="center"/>
              <w:rPr>
                <w:rFonts w:ascii="Times New Roman" w:hAnsi="Times New Roman" w:cs="Times New Roman"/>
                <w:b/>
                <w:bCs/>
                <w:lang w:eastAsia="zh-CN"/>
              </w:rPr>
            </w:pPr>
            <w:r>
              <w:rPr>
                <w:rFonts w:ascii="Times New Roman" w:hAnsi="Times New Roman" w:cs="Times New Roman"/>
                <w:b/>
                <w:bCs/>
                <w:lang w:eastAsia="zh-CN"/>
              </w:rPr>
              <w:t xml:space="preserve">表1-7  </w:t>
            </w:r>
            <w:r>
              <w:rPr>
                <w:rFonts w:ascii="Times New Roman" w:hAnsi="Times New Roman" w:eastAsia="宋体" w:cs="Times New Roman"/>
                <w:b/>
                <w:bCs/>
                <w:color w:val="auto"/>
                <w:szCs w:val="24"/>
                <w:lang w:eastAsia="zh-CN"/>
              </w:rPr>
              <w:t>与《安徽省生态环境厅关于全面推进挥发性有机物综合治理工作的通知》相符性分析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4"/>
              <w:gridCol w:w="2340"/>
              <w:gridCol w:w="646"/>
            </w:tblGrid>
            <w:tr w14:paraId="540E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7" w:type="pct"/>
                  <w:vAlign w:val="center"/>
                </w:tcPr>
                <w:p w14:paraId="49E51785">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val="0"/>
                      <w:bCs w:val="0"/>
                      <w:color w:val="000000" w:themeColor="text1"/>
                      <w:sz w:val="21"/>
                      <w14:textFill>
                        <w14:solidFill>
                          <w14:schemeClr w14:val="tx1"/>
                        </w14:solidFill>
                      </w14:textFill>
                    </w:rPr>
                  </w:pPr>
                  <w:r>
                    <w:rPr>
                      <w:rFonts w:ascii="Times New Roman" w:hAnsi="Times New Roman" w:eastAsia="宋体" w:cs="Times New Roman"/>
                      <w:b w:val="0"/>
                      <w:bCs w:val="0"/>
                      <w:color w:val="000000" w:themeColor="text1"/>
                      <w:sz w:val="21"/>
                      <w14:textFill>
                        <w14:solidFill>
                          <w14:schemeClr w14:val="tx1"/>
                        </w14:solidFill>
                      </w14:textFill>
                    </w:rPr>
                    <w:t>文件要求</w:t>
                  </w:r>
                </w:p>
              </w:tc>
              <w:tc>
                <w:tcPr>
                  <w:tcW w:w="1060" w:type="pct"/>
                  <w:vAlign w:val="center"/>
                </w:tcPr>
                <w:p w14:paraId="7E1AEEF8">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val="0"/>
                      <w:bCs w:val="0"/>
                      <w:color w:val="000000" w:themeColor="text1"/>
                      <w:sz w:val="21"/>
                      <w14:textFill>
                        <w14:solidFill>
                          <w14:schemeClr w14:val="tx1"/>
                        </w14:solidFill>
                      </w14:textFill>
                    </w:rPr>
                  </w:pPr>
                  <w:r>
                    <w:rPr>
                      <w:rFonts w:ascii="Times New Roman" w:hAnsi="Times New Roman" w:eastAsia="宋体" w:cs="Times New Roman"/>
                      <w:b w:val="0"/>
                      <w:bCs w:val="0"/>
                      <w:color w:val="000000" w:themeColor="text1"/>
                      <w:sz w:val="21"/>
                      <w14:textFill>
                        <w14:solidFill>
                          <w14:schemeClr w14:val="tx1"/>
                        </w14:solidFill>
                      </w14:textFill>
                    </w:rPr>
                    <w:t>本项目建设内容</w:t>
                  </w:r>
                </w:p>
              </w:tc>
              <w:tc>
                <w:tcPr>
                  <w:tcW w:w="542" w:type="pct"/>
                  <w:vAlign w:val="center"/>
                </w:tcPr>
                <w:p w14:paraId="24A38C8B">
                  <w:pPr>
                    <w:keepNext w:val="0"/>
                    <w:keepLines w:val="0"/>
                    <w:pageBreakBefore w:val="0"/>
                    <w:widowControl/>
                    <w:kinsoku/>
                    <w:wordWrap/>
                    <w:overflowPunct/>
                    <w:topLinePunct w:val="0"/>
                    <w:autoSpaceDE w:val="0"/>
                    <w:autoSpaceDN w:val="0"/>
                    <w:bidi w:val="0"/>
                    <w:adjustRightInd/>
                    <w:snapToGrid/>
                    <w:jc w:val="center"/>
                    <w:textAlignment w:val="baseline"/>
                    <w:rPr>
                      <w:rFonts w:ascii="Times New Roman" w:hAnsi="Times New Roman" w:eastAsia="宋体" w:cs="Times New Roman"/>
                      <w:b w:val="0"/>
                      <w:bCs w:val="0"/>
                      <w:color w:val="000000" w:themeColor="text1"/>
                      <w:sz w:val="21"/>
                      <w14:textFill>
                        <w14:solidFill>
                          <w14:schemeClr w14:val="tx1"/>
                        </w14:solidFill>
                      </w14:textFill>
                    </w:rPr>
                  </w:pPr>
                  <w:r>
                    <w:rPr>
                      <w:rFonts w:ascii="Times New Roman" w:hAnsi="Times New Roman" w:eastAsia="宋体" w:cs="Times New Roman"/>
                      <w:b w:val="0"/>
                      <w:bCs w:val="0"/>
                      <w:color w:val="000000" w:themeColor="text1"/>
                      <w:sz w:val="21"/>
                      <w14:textFill>
                        <w14:solidFill>
                          <w14:schemeClr w14:val="tx1"/>
                        </w14:solidFill>
                      </w14:textFill>
                    </w:rPr>
                    <w:t>符合性</w:t>
                  </w:r>
                </w:p>
              </w:tc>
            </w:tr>
            <w:tr w14:paraId="0856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7" w:type="pct"/>
                </w:tcPr>
                <w:p w14:paraId="539B6E25">
                  <w:pPr>
                    <w:pStyle w:val="2"/>
                    <w:kinsoku/>
                    <w:snapToGrid/>
                    <w:spacing w:before="0" w:after="0" w:line="240" w:lineRule="auto"/>
                    <w:ind w:firstLine="420" w:firstLineChars="200"/>
                    <w:jc w:val="both"/>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ascii="Times New Roman" w:hAnsi="Times New Roman" w:eastAsia="宋体" w:cs="Times New Roman"/>
                      <w:color w:val="000000" w:themeColor="text1"/>
                      <w:kern w:val="2"/>
                      <w:sz w:val="21"/>
                      <w:szCs w:val="21"/>
                      <w:lang w:eastAsia="zh-CN"/>
                      <w14:textFill>
                        <w14:solidFill>
                          <w14:schemeClr w14:val="tx1"/>
                        </w14:solidFill>
                      </w14:textFill>
                    </w:rPr>
                    <w:t>二、建立健全VOCs管理体系</w:t>
                  </w:r>
                </w:p>
                <w:p w14:paraId="015C11D0">
                  <w:pPr>
                    <w:pStyle w:val="2"/>
                    <w:kinsoku/>
                    <w:snapToGrid/>
                    <w:spacing w:before="0" w:after="0" w:line="240" w:lineRule="auto"/>
                    <w:ind w:firstLine="420" w:firstLineChars="200"/>
                    <w:jc w:val="both"/>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ascii="Times New Roman" w:hAnsi="Times New Roman" w:eastAsia="宋体" w:cs="Times New Roman"/>
                      <w:color w:val="000000" w:themeColor="text1"/>
                      <w:kern w:val="2"/>
                      <w:sz w:val="21"/>
                      <w:szCs w:val="21"/>
                      <w:lang w:eastAsia="zh-CN"/>
                      <w14:textFill>
                        <w14:solidFill>
                          <w14:schemeClr w14:val="tx1"/>
                        </w14:solidFill>
                      </w14:textFill>
                    </w:rPr>
                    <w:t>（一）严格环境项目准入，严控新增VOCs排放量，各地要严格限制石化、化工、包装印刷、工业涂装等高VOCs排放建设项目，不得新建未纳入《石化产业规划布局方案》的炼化项目，新建VOCs企业应进入园区。实行区域内V0Cs排放等量、倍量削减替代，将替代方案落实到企业排污许可证中，纳入环境执法管理。新改扩建涉VOCs排放项目，应使用低VOCS含量的原辅材料。进一步推动“散乱污”企业清理整治，按照省委、省政府“三大一强”工作及省环委办《关于深入推进“散乱污”企业清理整治工作的通知》要求，继续在全省范围内清理整治涉VOC5“散乱污”企业，包括但不限于涂料、油墨、合成革、橡胶制品、塑料制品、化纤生产等化工企业以及使用溶剂型涂料、油墨、胶粘剂和其他有机溶剂的印刷、家具、钢结构、人造板、注塑等制造加工企业以及需喷漆汽车维修作业等。</w:t>
                  </w:r>
                </w:p>
              </w:tc>
              <w:tc>
                <w:tcPr>
                  <w:tcW w:w="1060" w:type="pct"/>
                  <w:vAlign w:val="center"/>
                </w:tcPr>
                <w:p w14:paraId="5BD456F9">
                  <w:pPr>
                    <w:kinsoku/>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本项目属于</w:t>
                  </w:r>
                  <w:r>
                    <w:rPr>
                      <w:rFonts w:ascii="Times New Roman" w:hAnsi="Times New Roman" w:eastAsia="宋体" w:cs="Times New Roman"/>
                      <w:lang w:eastAsia="zh-CN"/>
                    </w:rPr>
                    <w:t>【</w:t>
                  </w:r>
                  <w:r>
                    <w:rPr>
                      <w:rFonts w:ascii="Times New Roman" w:hAnsi="Times New Roman" w:eastAsia="宋体" w:cs="Times New Roman"/>
                    </w:rPr>
                    <w:t>C</w:t>
                  </w:r>
                  <w:r>
                    <w:rPr>
                      <w:rFonts w:ascii="Times New Roman" w:hAnsi="Times New Roman" w:eastAsia="宋体" w:cs="Times New Roman"/>
                      <w:lang w:eastAsia="zh-CN"/>
                    </w:rPr>
                    <w:t>3311】金属结构制造，【</w:t>
                  </w:r>
                  <w:r>
                    <w:rPr>
                      <w:rFonts w:ascii="Times New Roman" w:hAnsi="Times New Roman" w:eastAsia="宋体" w:cs="Times New Roman"/>
                    </w:rPr>
                    <w:t>C</w:t>
                  </w:r>
                  <w:r>
                    <w:rPr>
                      <w:rFonts w:ascii="Times New Roman" w:hAnsi="Times New Roman" w:eastAsia="宋体" w:cs="Times New Roman"/>
                      <w:lang w:eastAsia="zh-CN"/>
                    </w:rPr>
                    <w:t>3312】金属门窗制造</w:t>
                  </w:r>
                  <w:r>
                    <w:rPr>
                      <w:rFonts w:ascii="Times New Roman" w:hAnsi="Times New Roman" w:eastAsia="宋体" w:cs="Times New Roman"/>
                      <w:color w:val="000000" w:themeColor="text1"/>
                      <w:lang w:eastAsia="zh-CN"/>
                      <w14:textFill>
                        <w14:solidFill>
                          <w14:schemeClr w14:val="tx1"/>
                        </w14:solidFill>
                      </w14:textFill>
                    </w:rPr>
                    <w:t>，不属于石化、化工，包装印刷等行业，项目所使用的塑粉为低VOCs含量涂料，符合《低挥发性有机化合物含量涂料产品技术要求》（GB/T38597-2020）的要求；</w:t>
                  </w:r>
                  <w:r>
                    <w:rPr>
                      <w:rFonts w:ascii="Times New Roman" w:hAnsi="Times New Roman" w:eastAsia="宋体" w:cs="Times New Roman"/>
                      <w:lang w:eastAsia="zh-CN"/>
                    </w:rPr>
                    <w:t>本项目所在地隶属于濉溪经济开发区园区内</w:t>
                  </w:r>
                </w:p>
              </w:tc>
              <w:tc>
                <w:tcPr>
                  <w:tcW w:w="542" w:type="pct"/>
                  <w:vAlign w:val="center"/>
                </w:tcPr>
                <w:p w14:paraId="5A649153">
                  <w:pPr>
                    <w:kinsoku/>
                    <w:snapToGrid/>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符合</w:t>
                  </w:r>
                </w:p>
              </w:tc>
            </w:tr>
            <w:tr w14:paraId="2FA0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97" w:type="pct"/>
                  <w:vAlign w:val="center"/>
                </w:tcPr>
                <w:p w14:paraId="240553FC">
                  <w:pPr>
                    <w:pStyle w:val="19"/>
                    <w:shd w:val="clear" w:color="auto" w:fill="FFFFFF"/>
                    <w:kinsoku/>
                    <w:snapToGrid/>
                    <w:spacing w:before="0" w:beforeAutospacing="0" w:after="0" w:afterAutospacing="0"/>
                    <w:ind w:firstLine="420" w:firstLineChars="200"/>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ascii="Times New Roman" w:hAnsi="Times New Roman" w:eastAsia="宋体" w:cs="Times New Roman"/>
                      <w:color w:val="000000" w:themeColor="text1"/>
                      <w:kern w:val="2"/>
                      <w:sz w:val="21"/>
                      <w:szCs w:val="21"/>
                      <w:lang w:eastAsia="zh-CN"/>
                      <w14:textFill>
                        <w14:solidFill>
                          <w14:schemeClr w14:val="tx1"/>
                        </w14:solidFill>
                      </w14:textFill>
                    </w:rPr>
                    <w:t>三、全面推进VOCs减排</w:t>
                  </w:r>
                </w:p>
                <w:p w14:paraId="6836ACBC">
                  <w:pPr>
                    <w:pStyle w:val="19"/>
                    <w:shd w:val="clear" w:color="auto" w:fill="FFFFFF"/>
                    <w:kinsoku/>
                    <w:snapToGrid/>
                    <w:spacing w:before="0" w:beforeAutospacing="0" w:after="0" w:afterAutospacing="0"/>
                    <w:ind w:firstLine="420" w:firstLineChars="200"/>
                    <w:rPr>
                      <w:rFonts w:ascii="Times New Roman" w:hAnsi="Times New Roman" w:eastAsia="宋体" w:cs="Times New Roman"/>
                      <w:color w:val="000000" w:themeColor="text1"/>
                      <w:kern w:val="2"/>
                      <w:sz w:val="21"/>
                      <w:szCs w:val="21"/>
                      <w:lang w:eastAsia="zh-CN"/>
                      <w14:textFill>
                        <w14:solidFill>
                          <w14:schemeClr w14:val="tx1"/>
                        </w14:solidFill>
                      </w14:textFill>
                    </w:rPr>
                  </w:pPr>
                  <w:r>
                    <w:rPr>
                      <w:rFonts w:ascii="Times New Roman" w:hAnsi="Times New Roman" w:eastAsia="宋体" w:cs="Times New Roman"/>
                      <w:color w:val="000000" w:themeColor="text1"/>
                      <w:kern w:val="2"/>
                      <w:sz w:val="21"/>
                      <w:szCs w:val="21"/>
                      <w:lang w:eastAsia="zh-CN"/>
                      <w14:textFill>
                        <w14:solidFill>
                          <w14:schemeClr w14:val="tx1"/>
                        </w14:solidFill>
                      </w14:textFill>
                    </w:rPr>
                    <w:t>（一）督促工业企业落实VOCs减排主体责任</w:t>
                  </w:r>
                </w:p>
                <w:p w14:paraId="61EFAB4A">
                  <w:pPr>
                    <w:kinsoku/>
                    <w:snapToGrid/>
                    <w:ind w:firstLine="420" w:firstLineChars="200"/>
                    <w:jc w:val="both"/>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kern w:val="2"/>
                      <w:lang w:eastAsia="zh-CN"/>
                      <w14:textFill>
                        <w14:solidFill>
                          <w14:schemeClr w14:val="tx1"/>
                        </w14:solidFill>
                      </w14:textFill>
                    </w:rPr>
                    <w:t>集装箱制造行业涂装工序全面使用水性涂料；整车制造企业有机废气收集率不低于90%，其他汽车制造企业不低于80%；木质家具制造行业水性、紫外光固化涂料替代比例达到60%，全面使用水性胶粘剂，有机废气收集效率不低于80%；船舶制造行业60%以上的涂装作业实现密闭喷涂施工，有机废气收集率不低于80%；工程机械制造行业高固体分、粉末涂料使用比例不低于30%，有机废气收集率不低于80%；钢结构制造行业高固体分涂料使用比例不低于50%；卷材制造行业有机废气收集率不低于90%；包装印刷行业低VOCs含量绿色原辅材料替代比例不低于70%，塑料软包装领域无溶剂、水性胶等环境友好型复合技术替代比例不低于70%，油墨、胶粘剂等有机原辅材料调配和使用环节有机废气收集率不低于70%。</w:t>
                  </w:r>
                </w:p>
              </w:tc>
              <w:tc>
                <w:tcPr>
                  <w:tcW w:w="1060" w:type="pct"/>
                  <w:vAlign w:val="center"/>
                </w:tcPr>
                <w:p w14:paraId="4A7C2C9F">
                  <w:pPr>
                    <w:kinsoku/>
                    <w:snapToGrid/>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本项目生产过程中使用的塑粉符合《低挥发性有机化合物含量涂料产品技术要求》（GB/T38597-2020）、的要求；项目产生的有机废气由“二级活性炭吸附装置处理”收集效率不低于90%，处理效率不低于90%</w:t>
                  </w:r>
                </w:p>
              </w:tc>
              <w:tc>
                <w:tcPr>
                  <w:tcW w:w="542" w:type="pct"/>
                  <w:vAlign w:val="center"/>
                </w:tcPr>
                <w:p w14:paraId="0381331D">
                  <w:pPr>
                    <w:kinsoku/>
                    <w:snapToGrid/>
                    <w:jc w:val="both"/>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符合</w:t>
                  </w:r>
                </w:p>
              </w:tc>
            </w:tr>
          </w:tbl>
          <w:p w14:paraId="61025336">
            <w:pPr>
              <w:spacing w:line="360" w:lineRule="auto"/>
              <w:ind w:firstLine="482" w:firstLineChars="200"/>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lang w:eastAsia="zh-CN"/>
              </w:rPr>
              <w:t>（8）与《安徽省空气质量持续改善行动方案》的通知皖政【2024】36号</w:t>
            </w:r>
            <w:r>
              <w:rPr>
                <w:rFonts w:ascii="Times New Roman" w:hAnsi="Times New Roman" w:eastAsia="宋体" w:cs="Times New Roman"/>
                <w:b/>
                <w:bCs/>
                <w:color w:val="auto"/>
                <w:sz w:val="24"/>
                <w:szCs w:val="32"/>
              </w:rPr>
              <w:t>相符性分析</w:t>
            </w:r>
          </w:p>
          <w:p w14:paraId="52390DDD">
            <w:pPr>
              <w:pStyle w:val="4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表1-</w:t>
            </w:r>
            <w:r>
              <w:rPr>
                <w:rFonts w:hint="default" w:ascii="Times New Roman" w:hAnsi="Times New Roman" w:eastAsia="宋体" w:cs="Times New Roman"/>
                <w:color w:val="auto"/>
                <w:sz w:val="24"/>
                <w:szCs w:val="32"/>
                <w:lang w:eastAsia="zh-CN"/>
              </w:rPr>
              <w:t>8</w:t>
            </w:r>
            <w:r>
              <w:rPr>
                <w:rFonts w:hint="default" w:ascii="Times New Roman" w:hAnsi="Times New Roman" w:eastAsia="宋体" w:cs="Times New Roman"/>
                <w:color w:val="auto"/>
                <w:sz w:val="24"/>
                <w:szCs w:val="32"/>
              </w:rPr>
              <w:t xml:space="preserve">  与《空气质量持续改善行动计划》相符性分析一览表</w:t>
            </w:r>
          </w:p>
          <w:tbl>
            <w:tblPr>
              <w:tblStyle w:val="22"/>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5241"/>
              <w:gridCol w:w="2138"/>
              <w:gridCol w:w="665"/>
            </w:tblGrid>
            <w:tr w14:paraId="59ECD8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249" w:type="pct"/>
                  <w:tcMar>
                    <w:top w:w="0" w:type="dxa"/>
                    <w:left w:w="0" w:type="dxa"/>
                    <w:bottom w:w="0" w:type="dxa"/>
                    <w:right w:w="0" w:type="dxa"/>
                  </w:tcMar>
                  <w:vAlign w:val="center"/>
                </w:tcPr>
                <w:p w14:paraId="1478B5E4">
                  <w:pPr>
                    <w:pStyle w:val="41"/>
                    <w:widowControl w:val="0"/>
                    <w:kinsoku/>
                    <w:adjustRightInd/>
                    <w:snapToGrid/>
                    <w:spacing w:line="240" w:lineRule="auto"/>
                    <w:ind w:left="105" w:leftChars="50" w:right="105" w:rightChars="50"/>
                    <w:textAlignment w:val="auto"/>
                    <w:rPr>
                      <w:rFonts w:ascii="Times New Roman" w:hAnsi="Times New Roman" w:cs="Times New Roman"/>
                      <w:color w:val="auto"/>
                    </w:rPr>
                  </w:pPr>
                  <w:r>
                    <w:rPr>
                      <w:rFonts w:ascii="Times New Roman" w:hAnsi="Times New Roman" w:cs="Times New Roman"/>
                      <w:color w:val="auto"/>
                    </w:rPr>
                    <w:t>序号</w:t>
                  </w:r>
                </w:p>
              </w:tc>
              <w:tc>
                <w:tcPr>
                  <w:tcW w:w="3094" w:type="pct"/>
                  <w:tcMar>
                    <w:top w:w="0" w:type="dxa"/>
                    <w:left w:w="0" w:type="dxa"/>
                    <w:bottom w:w="0" w:type="dxa"/>
                    <w:right w:w="0" w:type="dxa"/>
                  </w:tcMar>
                  <w:vAlign w:val="center"/>
                </w:tcPr>
                <w:p w14:paraId="151E500C">
                  <w:pPr>
                    <w:pStyle w:val="41"/>
                    <w:widowControl w:val="0"/>
                    <w:kinsoku/>
                    <w:adjustRightInd/>
                    <w:snapToGrid/>
                    <w:spacing w:line="240" w:lineRule="auto"/>
                    <w:ind w:left="105" w:leftChars="50" w:right="105" w:rightChars="50"/>
                    <w:textAlignment w:val="auto"/>
                    <w:rPr>
                      <w:rFonts w:ascii="Times New Roman" w:hAnsi="Times New Roman" w:cs="Times New Roman"/>
                      <w:color w:val="auto"/>
                    </w:rPr>
                  </w:pPr>
                  <w:r>
                    <w:rPr>
                      <w:rFonts w:ascii="Times New Roman" w:hAnsi="Times New Roman" w:cs="Times New Roman"/>
                      <w:color w:val="auto"/>
                    </w:rPr>
                    <w:t>文件要求</w:t>
                  </w:r>
                </w:p>
              </w:tc>
              <w:tc>
                <w:tcPr>
                  <w:tcW w:w="1262" w:type="pct"/>
                  <w:tcMar>
                    <w:top w:w="0" w:type="dxa"/>
                    <w:left w:w="0" w:type="dxa"/>
                    <w:bottom w:w="0" w:type="dxa"/>
                    <w:right w:w="0" w:type="dxa"/>
                  </w:tcMar>
                  <w:vAlign w:val="center"/>
                </w:tcPr>
                <w:p w14:paraId="365C1493">
                  <w:pPr>
                    <w:pStyle w:val="41"/>
                    <w:widowControl w:val="0"/>
                    <w:kinsoku/>
                    <w:adjustRightInd/>
                    <w:snapToGrid/>
                    <w:spacing w:line="240" w:lineRule="auto"/>
                    <w:ind w:left="105" w:leftChars="50" w:right="105" w:rightChars="50"/>
                    <w:textAlignment w:val="auto"/>
                    <w:rPr>
                      <w:rFonts w:ascii="Times New Roman" w:hAnsi="Times New Roman" w:cs="Times New Roman"/>
                      <w:color w:val="auto"/>
                    </w:rPr>
                  </w:pPr>
                  <w:r>
                    <w:rPr>
                      <w:rFonts w:ascii="Times New Roman" w:hAnsi="Times New Roman" w:cs="Times New Roman"/>
                      <w:color w:val="auto"/>
                    </w:rPr>
                    <w:t>项目情况</w:t>
                  </w:r>
                </w:p>
              </w:tc>
              <w:tc>
                <w:tcPr>
                  <w:tcW w:w="393" w:type="pct"/>
                  <w:tcMar>
                    <w:top w:w="0" w:type="dxa"/>
                    <w:left w:w="0" w:type="dxa"/>
                    <w:bottom w:w="0" w:type="dxa"/>
                    <w:right w:w="0" w:type="dxa"/>
                  </w:tcMar>
                  <w:vAlign w:val="center"/>
                </w:tcPr>
                <w:p w14:paraId="2DCB1B26">
                  <w:pPr>
                    <w:pStyle w:val="41"/>
                    <w:widowControl w:val="0"/>
                    <w:kinsoku/>
                    <w:adjustRightInd/>
                    <w:snapToGrid/>
                    <w:spacing w:line="240" w:lineRule="auto"/>
                    <w:ind w:left="105" w:leftChars="50" w:right="105" w:rightChars="50"/>
                    <w:textAlignment w:val="auto"/>
                    <w:rPr>
                      <w:rFonts w:ascii="Times New Roman" w:hAnsi="Times New Roman" w:cs="Times New Roman"/>
                      <w:color w:val="auto"/>
                    </w:rPr>
                  </w:pPr>
                  <w:r>
                    <w:rPr>
                      <w:rFonts w:ascii="Times New Roman" w:hAnsi="Times New Roman" w:cs="Times New Roman"/>
                      <w:color w:val="auto"/>
                    </w:rPr>
                    <w:t>相符性</w:t>
                  </w:r>
                </w:p>
              </w:tc>
            </w:tr>
            <w:tr w14:paraId="25B45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2" w:hRule="atLeast"/>
                <w:jc w:val="center"/>
              </w:trPr>
              <w:tc>
                <w:tcPr>
                  <w:tcW w:w="249" w:type="pct"/>
                  <w:tcMar>
                    <w:top w:w="0" w:type="dxa"/>
                    <w:left w:w="0" w:type="dxa"/>
                    <w:bottom w:w="0" w:type="dxa"/>
                    <w:right w:w="0" w:type="dxa"/>
                  </w:tcMar>
                  <w:vAlign w:val="center"/>
                </w:tcPr>
                <w:p w14:paraId="66452C11">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1</w:t>
                  </w:r>
                </w:p>
              </w:tc>
              <w:tc>
                <w:tcPr>
                  <w:tcW w:w="3094" w:type="pct"/>
                  <w:tcMar>
                    <w:top w:w="0" w:type="dxa"/>
                    <w:left w:w="0" w:type="dxa"/>
                    <w:bottom w:w="0" w:type="dxa"/>
                    <w:right w:w="0" w:type="dxa"/>
                  </w:tcMar>
                  <w:vAlign w:val="center"/>
                </w:tcPr>
                <w:p w14:paraId="04989D3A">
                  <w:pPr>
                    <w:pStyle w:val="42"/>
                    <w:widowControl w:val="0"/>
                    <w:kinsoku/>
                    <w:adjustRightInd/>
                    <w:snapToGrid/>
                    <w:ind w:left="105" w:leftChars="50" w:right="105" w:rightChars="50" w:firstLine="420" w:firstLineChars="200"/>
                    <w:jc w:val="left"/>
                    <w:textAlignment w:val="auto"/>
                    <w:rPr>
                      <w:rFonts w:ascii="Times New Roman" w:hAnsi="Times New Roman" w:eastAsia="宋体" w:cs="Times New Roman"/>
                      <w:color w:val="auto"/>
                    </w:rPr>
                  </w:pPr>
                  <w:r>
                    <w:rPr>
                      <w:rFonts w:ascii="Times New Roman" w:hAnsi="Times New Roman" w:eastAsia="宋体" w:cs="Times New Roman"/>
                      <w:color w:val="auto"/>
                    </w:rPr>
                    <w:t>坚决遏制高耗能、高排放、低水平项目盲目上马。新改扩建项目严格落实国家产业规划、产业政策、生态环境分区管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w:t>
                  </w:r>
                  <w:r>
                    <w:rPr>
                      <w:rFonts w:hint="eastAsia" w:ascii="Times New Roman" w:hAnsi="Times New Roman" w:eastAsia="宋体" w:cs="Times New Roman"/>
                      <w:color w:val="auto"/>
                      <w:lang w:eastAsia="zh-CN"/>
                    </w:rPr>
                    <w:t>水泥</w:t>
                  </w:r>
                  <w:r>
                    <w:rPr>
                      <w:rFonts w:ascii="Times New Roman" w:hAnsi="Times New Roman" w:eastAsia="宋体" w:cs="Times New Roman"/>
                      <w:color w:val="auto"/>
                    </w:rPr>
                    <w:t>项目上马。制定实施安徽省加强生态环境分区管控方案。</w:t>
                  </w:r>
                </w:p>
              </w:tc>
              <w:tc>
                <w:tcPr>
                  <w:tcW w:w="1262" w:type="pct"/>
                  <w:tcMar>
                    <w:top w:w="0" w:type="dxa"/>
                    <w:left w:w="0" w:type="dxa"/>
                    <w:bottom w:w="0" w:type="dxa"/>
                    <w:right w:w="0" w:type="dxa"/>
                  </w:tcMar>
                  <w:vAlign w:val="center"/>
                </w:tcPr>
                <w:p w14:paraId="776B23B8">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本项目为</w:t>
                  </w:r>
                  <w:r>
                    <w:rPr>
                      <w:rFonts w:ascii="Times New Roman" w:hAnsi="Times New Roman" w:eastAsia="宋体" w:cs="Times New Roman"/>
                      <w:lang w:eastAsia="zh-CN"/>
                    </w:rPr>
                    <w:t>【</w:t>
                  </w:r>
                  <w:r>
                    <w:rPr>
                      <w:rFonts w:ascii="Times New Roman" w:hAnsi="Times New Roman" w:eastAsia="宋体" w:cs="Times New Roman"/>
                    </w:rPr>
                    <w:t>C</w:t>
                  </w:r>
                  <w:r>
                    <w:rPr>
                      <w:rFonts w:ascii="Times New Roman" w:hAnsi="Times New Roman" w:eastAsia="宋体" w:cs="Times New Roman"/>
                      <w:lang w:eastAsia="zh-CN"/>
                    </w:rPr>
                    <w:t>3311】金属结构制造，【</w:t>
                  </w:r>
                  <w:r>
                    <w:rPr>
                      <w:rFonts w:ascii="Times New Roman" w:hAnsi="Times New Roman" w:eastAsia="宋体" w:cs="Times New Roman"/>
                    </w:rPr>
                    <w:t>C</w:t>
                  </w:r>
                  <w:r>
                    <w:rPr>
                      <w:rFonts w:ascii="Times New Roman" w:hAnsi="Times New Roman" w:eastAsia="宋体" w:cs="Times New Roman"/>
                      <w:lang w:eastAsia="zh-CN"/>
                    </w:rPr>
                    <w:t>3312】金属门窗制造</w:t>
                  </w:r>
                  <w:r>
                    <w:rPr>
                      <w:rFonts w:ascii="Times New Roman" w:hAnsi="Times New Roman" w:cs="Times New Roman"/>
                      <w:color w:val="auto"/>
                    </w:rPr>
                    <w:t>，不属于“高耗能、高排放、低水平项目”</w:t>
                  </w:r>
                </w:p>
              </w:tc>
              <w:tc>
                <w:tcPr>
                  <w:tcW w:w="393" w:type="pct"/>
                  <w:tcMar>
                    <w:top w:w="0" w:type="dxa"/>
                    <w:left w:w="0" w:type="dxa"/>
                    <w:bottom w:w="0" w:type="dxa"/>
                    <w:right w:w="0" w:type="dxa"/>
                  </w:tcMar>
                  <w:vAlign w:val="center"/>
                </w:tcPr>
                <w:p w14:paraId="0BCD6D10">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符合</w:t>
                  </w:r>
                </w:p>
              </w:tc>
            </w:tr>
            <w:tr w14:paraId="629492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3" w:hRule="atLeast"/>
                <w:jc w:val="center"/>
              </w:trPr>
              <w:tc>
                <w:tcPr>
                  <w:tcW w:w="249" w:type="pct"/>
                  <w:tcMar>
                    <w:top w:w="0" w:type="dxa"/>
                    <w:left w:w="0" w:type="dxa"/>
                    <w:bottom w:w="0" w:type="dxa"/>
                    <w:right w:w="0" w:type="dxa"/>
                  </w:tcMar>
                  <w:vAlign w:val="center"/>
                </w:tcPr>
                <w:p w14:paraId="2E777F93">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2</w:t>
                  </w:r>
                </w:p>
              </w:tc>
              <w:tc>
                <w:tcPr>
                  <w:tcW w:w="3094" w:type="pct"/>
                  <w:tcMar>
                    <w:top w:w="0" w:type="dxa"/>
                    <w:left w:w="0" w:type="dxa"/>
                    <w:bottom w:w="0" w:type="dxa"/>
                    <w:right w:w="0" w:type="dxa"/>
                  </w:tcMar>
                  <w:vAlign w:val="center"/>
                </w:tcPr>
                <w:p w14:paraId="5184F6DB">
                  <w:pPr>
                    <w:pStyle w:val="42"/>
                    <w:widowControl w:val="0"/>
                    <w:kinsoku/>
                    <w:adjustRightInd/>
                    <w:snapToGrid/>
                    <w:ind w:left="105" w:leftChars="50" w:right="105" w:rightChars="50" w:firstLine="420" w:firstLineChars="200"/>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w:t>
                  </w:r>
                </w:p>
              </w:tc>
              <w:tc>
                <w:tcPr>
                  <w:tcW w:w="1262" w:type="pct"/>
                  <w:tcMar>
                    <w:top w:w="0" w:type="dxa"/>
                    <w:left w:w="0" w:type="dxa"/>
                    <w:bottom w:w="0" w:type="dxa"/>
                    <w:right w:w="0" w:type="dxa"/>
                  </w:tcMar>
                  <w:vAlign w:val="center"/>
                </w:tcPr>
                <w:p w14:paraId="25589B6B">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本项目生产过程中使用</w:t>
                  </w:r>
                  <w:r>
                    <w:rPr>
                      <w:rFonts w:ascii="Times New Roman" w:hAnsi="Times New Roman" w:eastAsia="宋体" w:cs="Times New Roman"/>
                      <w:color w:val="auto"/>
                      <w:lang w:eastAsia="zh-CN"/>
                    </w:rPr>
                    <w:t>塑粉</w:t>
                  </w:r>
                  <w:r>
                    <w:rPr>
                      <w:rFonts w:ascii="Times New Roman" w:hAnsi="Times New Roman" w:cs="Times New Roman"/>
                      <w:color w:val="auto"/>
                    </w:rPr>
                    <w:t>为低VOCs含量的物料，</w:t>
                  </w:r>
                  <w:r>
                    <w:rPr>
                      <w:rFonts w:ascii="Times New Roman" w:hAnsi="Times New Roman" w:cs="Times New Roman"/>
                      <w:color w:val="auto"/>
                      <w:lang w:eastAsia="zh-CN"/>
                    </w:rPr>
                    <w:t>符合《</w:t>
                  </w:r>
                  <w:r>
                    <w:rPr>
                      <w:rFonts w:ascii="Times New Roman" w:hAnsi="Times New Roman" w:eastAsia="宋体" w:cs="Times New Roman"/>
                      <w:color w:val="auto"/>
                      <w:lang w:eastAsia="zh-CN"/>
                    </w:rPr>
                    <w:t>低挥发性有机化合物含量涂料产品技术要求》（GB/T38597-2020）</w:t>
                  </w:r>
                  <w:r>
                    <w:rPr>
                      <w:rFonts w:ascii="Times New Roman" w:hAnsi="Times New Roman" w:cs="Times New Roman"/>
                      <w:color w:val="auto"/>
                    </w:rPr>
                    <w:t>且有机废气经过活性炭吸附处理后排放。</w:t>
                  </w:r>
                </w:p>
              </w:tc>
              <w:tc>
                <w:tcPr>
                  <w:tcW w:w="393" w:type="pct"/>
                  <w:tcMar>
                    <w:top w:w="0" w:type="dxa"/>
                    <w:left w:w="0" w:type="dxa"/>
                    <w:bottom w:w="0" w:type="dxa"/>
                    <w:right w:w="0" w:type="dxa"/>
                  </w:tcMar>
                  <w:vAlign w:val="center"/>
                </w:tcPr>
                <w:p w14:paraId="7E13ABCE">
                  <w:pPr>
                    <w:pStyle w:val="42"/>
                    <w:widowControl w:val="0"/>
                    <w:kinsoku/>
                    <w:adjustRightInd/>
                    <w:snapToGrid/>
                    <w:ind w:left="105" w:leftChars="50" w:right="105" w:rightChars="50" w:firstLine="0" w:firstLineChars="0"/>
                    <w:textAlignment w:val="auto"/>
                    <w:rPr>
                      <w:rFonts w:ascii="Times New Roman" w:hAnsi="Times New Roman" w:cs="Times New Roman"/>
                      <w:color w:val="auto"/>
                    </w:rPr>
                  </w:pPr>
                  <w:r>
                    <w:rPr>
                      <w:rFonts w:ascii="Times New Roman" w:hAnsi="Times New Roman" w:cs="Times New Roman"/>
                      <w:color w:val="auto"/>
                    </w:rPr>
                    <w:t>符合</w:t>
                  </w:r>
                </w:p>
              </w:tc>
            </w:tr>
          </w:tbl>
          <w:p w14:paraId="1E7D1776">
            <w:pPr>
              <w:pStyle w:val="7"/>
              <w:kinsoku/>
              <w:adjustRightInd/>
              <w:snapToGrid/>
              <w:spacing w:line="360" w:lineRule="auto"/>
              <w:ind w:left="0" w:firstLine="482" w:firstLineChars="200"/>
              <w:rPr>
                <w:rFonts w:ascii="Times New Roman" w:hAnsi="Times New Roman" w:eastAsia="宋体" w:cs="Times New Roman"/>
                <w:b/>
                <w:bCs/>
                <w:szCs w:val="32"/>
              </w:rPr>
            </w:pPr>
            <w:r>
              <w:rPr>
                <w:rFonts w:ascii="Times New Roman" w:hAnsi="Times New Roman" w:eastAsia="宋体" w:cs="Times New Roman"/>
                <w:b/>
                <w:bCs/>
                <w:szCs w:val="32"/>
              </w:rPr>
              <w:t>（</w:t>
            </w:r>
            <w:r>
              <w:rPr>
                <w:rFonts w:ascii="Times New Roman" w:hAnsi="Times New Roman" w:eastAsia="宋体" w:cs="Times New Roman"/>
                <w:b/>
                <w:bCs/>
                <w:szCs w:val="32"/>
                <w:lang w:eastAsia="zh-CN"/>
              </w:rPr>
              <w:t>9</w:t>
            </w:r>
            <w:r>
              <w:rPr>
                <w:rFonts w:ascii="Times New Roman" w:hAnsi="Times New Roman" w:eastAsia="宋体" w:cs="Times New Roman"/>
                <w:b/>
                <w:bCs/>
                <w:szCs w:val="32"/>
              </w:rPr>
              <w:t>）与环境空气细颗粒物污染综合防治技术政策相符性</w:t>
            </w:r>
          </w:p>
          <w:p w14:paraId="72A868C8">
            <w:pPr>
              <w:kinsoku/>
              <w:adjustRightInd/>
              <w:snapToGrid/>
              <w:jc w:val="center"/>
              <w:rPr>
                <w:rFonts w:ascii="Times New Roman" w:hAnsi="Times New Roman" w:eastAsia="宋体" w:cs="Times New Roman"/>
                <w:b/>
                <w:bCs/>
                <w:sz w:val="24"/>
                <w:szCs w:val="32"/>
              </w:rPr>
            </w:pPr>
            <w:r>
              <w:rPr>
                <w:rFonts w:ascii="Times New Roman" w:hAnsi="Times New Roman" w:eastAsia="宋体" w:cs="Times New Roman"/>
                <w:b/>
                <w:bCs/>
                <w:sz w:val="24"/>
                <w:szCs w:val="32"/>
              </w:rPr>
              <w:t>表1-</w:t>
            </w:r>
            <w:r>
              <w:rPr>
                <w:rFonts w:ascii="Times New Roman" w:hAnsi="Times New Roman" w:eastAsia="宋体" w:cs="Times New Roman"/>
                <w:b/>
                <w:bCs/>
                <w:sz w:val="24"/>
                <w:szCs w:val="32"/>
                <w:lang w:eastAsia="zh-CN"/>
              </w:rPr>
              <w:t>9</w:t>
            </w:r>
            <w:r>
              <w:rPr>
                <w:rFonts w:ascii="Times New Roman" w:hAnsi="Times New Roman" w:eastAsia="宋体" w:cs="Times New Roman"/>
                <w:b/>
                <w:bCs/>
                <w:sz w:val="24"/>
                <w:szCs w:val="32"/>
              </w:rPr>
              <w:t xml:space="preserve">  与《环境空气细颗粒物污染综合防治技术政策》相符性分析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3855"/>
              <w:gridCol w:w="2976"/>
              <w:gridCol w:w="912"/>
            </w:tblGrid>
            <w:tr w14:paraId="0E15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39A7CE9E">
                  <w:pPr>
                    <w:kinsoku/>
                    <w:adjustRightInd/>
                    <w:snapToGrid/>
                    <w:jc w:val="center"/>
                    <w:rPr>
                      <w:rFonts w:ascii="Times New Roman" w:hAnsi="Times New Roman" w:eastAsia="宋体" w:cs="Times New Roman"/>
                    </w:rPr>
                  </w:pPr>
                  <w:r>
                    <w:rPr>
                      <w:rFonts w:ascii="Times New Roman" w:hAnsi="Times New Roman" w:eastAsia="宋体" w:cs="Times New Roman"/>
                    </w:rPr>
                    <w:t>序号</w:t>
                  </w:r>
                </w:p>
              </w:tc>
              <w:tc>
                <w:tcPr>
                  <w:tcW w:w="2275" w:type="pct"/>
                  <w:tcBorders>
                    <w:top w:val="single" w:color="auto" w:sz="4" w:space="0"/>
                    <w:left w:val="single" w:color="auto" w:sz="4" w:space="0"/>
                    <w:bottom w:val="single" w:color="auto" w:sz="4" w:space="0"/>
                    <w:right w:val="single" w:color="auto" w:sz="4" w:space="0"/>
                  </w:tcBorders>
                  <w:vAlign w:val="center"/>
                </w:tcPr>
                <w:p w14:paraId="78099B94">
                  <w:pPr>
                    <w:kinsoku/>
                    <w:adjustRightInd/>
                    <w:snapToGrid/>
                    <w:jc w:val="center"/>
                    <w:rPr>
                      <w:rFonts w:ascii="Times New Roman" w:hAnsi="Times New Roman" w:eastAsia="宋体" w:cs="Times New Roman"/>
                    </w:rPr>
                  </w:pPr>
                  <w:r>
                    <w:rPr>
                      <w:rFonts w:ascii="Times New Roman" w:hAnsi="Times New Roman" w:eastAsia="宋体" w:cs="Times New Roman"/>
                    </w:rPr>
                    <w:t>环境空气细颗粒物污染综合防治技术政策</w:t>
                  </w:r>
                </w:p>
              </w:tc>
              <w:tc>
                <w:tcPr>
                  <w:tcW w:w="1756" w:type="pct"/>
                  <w:tcBorders>
                    <w:top w:val="single" w:color="auto" w:sz="4" w:space="0"/>
                    <w:left w:val="single" w:color="auto" w:sz="4" w:space="0"/>
                    <w:bottom w:val="single" w:color="auto" w:sz="4" w:space="0"/>
                    <w:right w:val="single" w:color="auto" w:sz="4" w:space="0"/>
                  </w:tcBorders>
                  <w:vAlign w:val="center"/>
                </w:tcPr>
                <w:p w14:paraId="3EE19231">
                  <w:pPr>
                    <w:kinsoku/>
                    <w:adjustRightInd/>
                    <w:snapToGrid/>
                    <w:jc w:val="center"/>
                    <w:rPr>
                      <w:rFonts w:ascii="Times New Roman" w:hAnsi="Times New Roman" w:eastAsia="宋体" w:cs="Times New Roman"/>
                    </w:rPr>
                  </w:pPr>
                  <w:r>
                    <w:rPr>
                      <w:rFonts w:ascii="Times New Roman" w:hAnsi="Times New Roman" w:eastAsia="宋体" w:cs="Times New Roman"/>
                    </w:rPr>
                    <w:t>项目情况</w:t>
                  </w:r>
                </w:p>
              </w:tc>
              <w:tc>
                <w:tcPr>
                  <w:tcW w:w="538" w:type="pct"/>
                  <w:tcBorders>
                    <w:top w:val="single" w:color="auto" w:sz="4" w:space="0"/>
                    <w:left w:val="single" w:color="auto" w:sz="4" w:space="0"/>
                    <w:bottom w:val="single" w:color="auto" w:sz="4" w:space="0"/>
                    <w:right w:val="single" w:color="auto" w:sz="4" w:space="0"/>
                  </w:tcBorders>
                  <w:vAlign w:val="center"/>
                </w:tcPr>
                <w:p w14:paraId="39D7FD53">
                  <w:pPr>
                    <w:kinsoku/>
                    <w:adjustRightInd/>
                    <w:snapToGrid/>
                    <w:jc w:val="center"/>
                    <w:rPr>
                      <w:rFonts w:ascii="Times New Roman" w:hAnsi="Times New Roman" w:eastAsia="宋体" w:cs="Times New Roman"/>
                    </w:rPr>
                  </w:pPr>
                  <w:r>
                    <w:rPr>
                      <w:rFonts w:ascii="Times New Roman" w:hAnsi="Times New Roman" w:eastAsia="宋体" w:cs="Times New Roman"/>
                    </w:rPr>
                    <w:t>相符性</w:t>
                  </w:r>
                </w:p>
              </w:tc>
            </w:tr>
            <w:tr w14:paraId="140D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44BBD7D1">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275" w:type="pct"/>
                  <w:tcBorders>
                    <w:top w:val="single" w:color="auto" w:sz="4" w:space="0"/>
                    <w:left w:val="single" w:color="auto" w:sz="4" w:space="0"/>
                    <w:bottom w:val="single" w:color="auto" w:sz="4" w:space="0"/>
                    <w:right w:val="single" w:color="auto" w:sz="4" w:space="0"/>
                  </w:tcBorders>
                  <w:vAlign w:val="center"/>
                </w:tcPr>
                <w:p w14:paraId="773FF261">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十）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tc>
              <w:tc>
                <w:tcPr>
                  <w:tcW w:w="1756" w:type="pct"/>
                  <w:tcBorders>
                    <w:top w:val="single" w:color="auto" w:sz="4" w:space="0"/>
                    <w:left w:val="single" w:color="auto" w:sz="4" w:space="0"/>
                    <w:bottom w:val="single" w:color="auto" w:sz="4" w:space="0"/>
                    <w:right w:val="single" w:color="auto" w:sz="4" w:space="0"/>
                  </w:tcBorders>
                  <w:vAlign w:val="center"/>
                </w:tcPr>
                <w:p w14:paraId="46937969">
                  <w:pPr>
                    <w:pStyle w:val="7"/>
                    <w:keepNext w:val="0"/>
                    <w:keepLines w:val="0"/>
                    <w:pageBreakBefore w:val="0"/>
                    <w:widowControl/>
                    <w:kinsoku/>
                    <w:wordWrap/>
                    <w:overflowPunct/>
                    <w:topLinePunct w:val="0"/>
                    <w:autoSpaceDE w:val="0"/>
                    <w:autoSpaceDN w:val="0"/>
                    <w:bidi w:val="0"/>
                    <w:adjustRightInd/>
                    <w:snapToGrid/>
                    <w:spacing w:line="240" w:lineRule="auto"/>
                    <w:ind w:left="0" w:firstLine="0"/>
                    <w:jc w:val="center"/>
                    <w:textAlignment w:val="baseline"/>
                    <w:rPr>
                      <w:rFonts w:ascii="Times New Roman" w:hAnsi="Times New Roman" w:eastAsia="宋体" w:cs="Times New Roman"/>
                      <w:sz w:val="21"/>
                      <w:szCs w:val="21"/>
                      <w:lang w:eastAsia="zh-CN"/>
                    </w:rPr>
                  </w:pPr>
                  <w:r>
                    <w:rPr>
                      <w:rFonts w:ascii="Times New Roman" w:hAnsi="Times New Roman" w:eastAsia="宋体" w:cs="Times New Roman"/>
                      <w:sz w:val="21"/>
                      <w:szCs w:val="21"/>
                    </w:rPr>
                    <w:t>本项目属于“</w:t>
                  </w:r>
                  <w:r>
                    <w:rPr>
                      <w:rFonts w:ascii="Times New Roman" w:hAnsi="Times New Roman" w:eastAsia="宋体" w:cs="Times New Roman"/>
                      <w:sz w:val="21"/>
                      <w:szCs w:val="21"/>
                      <w:lang w:eastAsia="zh-CN"/>
                    </w:rPr>
                    <w:t>【</w:t>
                  </w:r>
                  <w:r>
                    <w:rPr>
                      <w:rFonts w:ascii="Times New Roman" w:hAnsi="Times New Roman" w:eastAsia="宋体" w:cs="Times New Roman"/>
                      <w:sz w:val="21"/>
                      <w:szCs w:val="21"/>
                    </w:rPr>
                    <w:t>C</w:t>
                  </w:r>
                  <w:r>
                    <w:rPr>
                      <w:rFonts w:ascii="Times New Roman" w:hAnsi="Times New Roman" w:eastAsia="宋体" w:cs="Times New Roman"/>
                      <w:sz w:val="21"/>
                      <w:szCs w:val="21"/>
                      <w:lang w:eastAsia="zh-CN"/>
                    </w:rPr>
                    <w:t>3311】金属结构制造，【</w:t>
                  </w:r>
                  <w:r>
                    <w:rPr>
                      <w:rFonts w:ascii="Times New Roman" w:hAnsi="Times New Roman" w:eastAsia="宋体" w:cs="Times New Roman"/>
                      <w:sz w:val="21"/>
                      <w:szCs w:val="21"/>
                    </w:rPr>
                    <w:t>C</w:t>
                  </w:r>
                  <w:r>
                    <w:rPr>
                      <w:rFonts w:ascii="Times New Roman" w:hAnsi="Times New Roman" w:eastAsia="宋体" w:cs="Times New Roman"/>
                      <w:sz w:val="21"/>
                      <w:szCs w:val="21"/>
                      <w:lang w:eastAsia="zh-CN"/>
                    </w:rPr>
                    <w:t>3312】金属门窗制造</w:t>
                  </w:r>
                  <w:r>
                    <w:rPr>
                      <w:rFonts w:ascii="Times New Roman" w:hAnsi="Times New Roman" w:eastAsia="宋体" w:cs="Times New Roman"/>
                      <w:sz w:val="21"/>
                      <w:szCs w:val="21"/>
                    </w:rPr>
                    <w:t>”，项目喷塑颗粒物经密闭收集后通过滤芯</w:t>
                  </w:r>
                  <w:r>
                    <w:rPr>
                      <w:rFonts w:ascii="Times New Roman" w:hAnsi="Times New Roman" w:eastAsia="宋体" w:cs="Times New Roman"/>
                      <w:sz w:val="21"/>
                      <w:szCs w:val="21"/>
                      <w:lang w:eastAsia="zh-CN"/>
                    </w:rPr>
                    <w:t>除尘+布袋除尘器</w:t>
                  </w:r>
                  <w:r>
                    <w:rPr>
                      <w:rFonts w:ascii="Times New Roman" w:hAnsi="Times New Roman" w:eastAsia="宋体" w:cs="Times New Roman"/>
                      <w:sz w:val="21"/>
                      <w:szCs w:val="21"/>
                    </w:rPr>
                    <w:t>+15m高排气筒排放</w:t>
                  </w:r>
                  <w:r>
                    <w:rPr>
                      <w:rFonts w:ascii="Times New Roman" w:hAnsi="Times New Roman" w:eastAsia="宋体" w:cs="Times New Roman"/>
                      <w:sz w:val="21"/>
                      <w:szCs w:val="21"/>
                      <w:lang w:eastAsia="zh-CN"/>
                    </w:rPr>
                    <w:t>。</w:t>
                  </w:r>
                </w:p>
              </w:tc>
              <w:tc>
                <w:tcPr>
                  <w:tcW w:w="538" w:type="pct"/>
                  <w:tcBorders>
                    <w:top w:val="single" w:color="auto" w:sz="4" w:space="0"/>
                    <w:left w:val="single" w:color="auto" w:sz="4" w:space="0"/>
                    <w:bottom w:val="single" w:color="auto" w:sz="4" w:space="0"/>
                    <w:right w:val="single" w:color="auto" w:sz="4" w:space="0"/>
                  </w:tcBorders>
                  <w:vAlign w:val="center"/>
                </w:tcPr>
                <w:p w14:paraId="01C857B6">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r w14:paraId="1BB9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56679950">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275" w:type="pct"/>
                  <w:tcBorders>
                    <w:top w:val="single" w:color="auto" w:sz="4" w:space="0"/>
                    <w:left w:val="single" w:color="auto" w:sz="4" w:space="0"/>
                    <w:bottom w:val="single" w:color="auto" w:sz="4" w:space="0"/>
                    <w:right w:val="single" w:color="auto" w:sz="4" w:space="0"/>
                  </w:tcBorders>
                  <w:vAlign w:val="center"/>
                </w:tcPr>
                <w:p w14:paraId="5BE780D2">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756" w:type="pct"/>
                  <w:tcBorders>
                    <w:top w:val="single" w:color="auto" w:sz="4" w:space="0"/>
                    <w:left w:val="single" w:color="auto" w:sz="4" w:space="0"/>
                    <w:bottom w:val="single" w:color="auto" w:sz="4" w:space="0"/>
                    <w:right w:val="single" w:color="auto" w:sz="4" w:space="0"/>
                  </w:tcBorders>
                  <w:vAlign w:val="center"/>
                </w:tcPr>
                <w:p w14:paraId="64CD416C">
                  <w:pPr>
                    <w:pStyle w:val="7"/>
                    <w:kinsoku/>
                    <w:adjustRightInd/>
                    <w:snapToGrid/>
                    <w:spacing w:before="156" w:beforeLines="50" w:line="240" w:lineRule="auto"/>
                    <w:ind w:left="0" w:firstLine="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rPr>
                    <w:t>本项目喷塑颗粒物经密闭收集后通过滤芯</w:t>
                  </w:r>
                  <w:r>
                    <w:rPr>
                      <w:rFonts w:ascii="Times New Roman" w:hAnsi="Times New Roman" w:eastAsia="宋体" w:cs="Times New Roman"/>
                      <w:sz w:val="21"/>
                      <w:szCs w:val="21"/>
                      <w:lang w:eastAsia="zh-CN"/>
                    </w:rPr>
                    <w:t>除尘+布袋除尘器</w:t>
                  </w:r>
                  <w:r>
                    <w:rPr>
                      <w:rFonts w:ascii="Times New Roman" w:hAnsi="Times New Roman" w:eastAsia="宋体" w:cs="Times New Roman"/>
                      <w:sz w:val="21"/>
                      <w:szCs w:val="21"/>
                    </w:rPr>
                    <w:t>+15m高排气筒排放</w:t>
                  </w:r>
                  <w:r>
                    <w:rPr>
                      <w:rFonts w:ascii="Times New Roman" w:hAnsi="Times New Roman" w:eastAsia="宋体" w:cs="Times New Roman"/>
                      <w:sz w:val="21"/>
                      <w:szCs w:val="21"/>
                      <w:lang w:eastAsia="zh-CN"/>
                    </w:rPr>
                    <w:t>。</w:t>
                  </w:r>
                </w:p>
              </w:tc>
              <w:tc>
                <w:tcPr>
                  <w:tcW w:w="538" w:type="pct"/>
                  <w:tcBorders>
                    <w:top w:val="single" w:color="auto" w:sz="4" w:space="0"/>
                    <w:left w:val="single" w:color="auto" w:sz="4" w:space="0"/>
                    <w:bottom w:val="single" w:color="auto" w:sz="4" w:space="0"/>
                    <w:right w:val="single" w:color="auto" w:sz="4" w:space="0"/>
                  </w:tcBorders>
                  <w:vAlign w:val="center"/>
                </w:tcPr>
                <w:p w14:paraId="085AC7A6">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r w14:paraId="69AE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27B62FAC">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275" w:type="pct"/>
                  <w:tcBorders>
                    <w:top w:val="single" w:color="auto" w:sz="4" w:space="0"/>
                    <w:left w:val="single" w:color="auto" w:sz="4" w:space="0"/>
                    <w:bottom w:val="single" w:color="auto" w:sz="4" w:space="0"/>
                    <w:right w:val="single" w:color="auto" w:sz="4" w:space="0"/>
                  </w:tcBorders>
                  <w:vAlign w:val="center"/>
                </w:tcPr>
                <w:p w14:paraId="56898DF4">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十四）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w:t>
                  </w:r>
                </w:p>
              </w:tc>
              <w:tc>
                <w:tcPr>
                  <w:tcW w:w="1756" w:type="pct"/>
                  <w:tcBorders>
                    <w:top w:val="single" w:color="auto" w:sz="4" w:space="0"/>
                    <w:left w:val="single" w:color="auto" w:sz="4" w:space="0"/>
                    <w:bottom w:val="single" w:color="auto" w:sz="4" w:space="0"/>
                    <w:right w:val="single" w:color="auto" w:sz="4" w:space="0"/>
                  </w:tcBorders>
                  <w:vAlign w:val="center"/>
                </w:tcPr>
                <w:p w14:paraId="5E936E97">
                  <w:pPr>
                    <w:pStyle w:val="7"/>
                    <w:kinsoku/>
                    <w:adjustRightInd/>
                    <w:snapToGrid/>
                    <w:spacing w:before="156" w:beforeLines="50" w:line="240" w:lineRule="auto"/>
                    <w:ind w:left="0" w:firstLine="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本项目天然气经低氮燃烧，固化产生的有机废气经“二级活性炭吸附装置”处理可达标排放；本项目废气污染物不涉及氨</w:t>
                  </w:r>
                </w:p>
              </w:tc>
              <w:tc>
                <w:tcPr>
                  <w:tcW w:w="538" w:type="pct"/>
                  <w:tcBorders>
                    <w:top w:val="single" w:color="auto" w:sz="4" w:space="0"/>
                    <w:left w:val="single" w:color="auto" w:sz="4" w:space="0"/>
                    <w:bottom w:val="single" w:color="auto" w:sz="4" w:space="0"/>
                    <w:right w:val="single" w:color="auto" w:sz="4" w:space="0"/>
                  </w:tcBorders>
                  <w:vAlign w:val="center"/>
                </w:tcPr>
                <w:p w14:paraId="45D9E9A7">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r w14:paraId="2136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14:paraId="052B660F">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275" w:type="pct"/>
                  <w:tcBorders>
                    <w:top w:val="single" w:color="auto" w:sz="4" w:space="0"/>
                    <w:left w:val="single" w:color="auto" w:sz="4" w:space="0"/>
                    <w:bottom w:val="single" w:color="auto" w:sz="4" w:space="0"/>
                    <w:right w:val="single" w:color="auto" w:sz="4" w:space="0"/>
                  </w:tcBorders>
                  <w:vAlign w:val="center"/>
                </w:tcPr>
                <w:p w14:paraId="634142A5">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（十五）产生大气颗粒物及其前体物污染物的生产活动应尽量采用密闭装置，避免无组织排放；无法完全密闭的，应安装集气装置收集逸散的污染物，经净化后排放。</w:t>
                  </w:r>
                </w:p>
              </w:tc>
              <w:tc>
                <w:tcPr>
                  <w:tcW w:w="1756" w:type="pct"/>
                  <w:tcBorders>
                    <w:top w:val="single" w:color="auto" w:sz="4" w:space="0"/>
                    <w:left w:val="single" w:color="auto" w:sz="4" w:space="0"/>
                    <w:bottom w:val="single" w:color="auto" w:sz="4" w:space="0"/>
                    <w:right w:val="single" w:color="auto" w:sz="4" w:space="0"/>
                  </w:tcBorders>
                  <w:vAlign w:val="center"/>
                </w:tcPr>
                <w:p w14:paraId="49E5C694">
                  <w:pPr>
                    <w:pStyle w:val="7"/>
                    <w:kinsoku/>
                    <w:adjustRightInd/>
                    <w:snapToGrid/>
                    <w:spacing w:before="156" w:beforeLines="50" w:line="240" w:lineRule="auto"/>
                    <w:ind w:left="0" w:firstLine="0"/>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rPr>
                    <w:t>本项目喷塑颗粒物经密闭收集后通过滤芯</w:t>
                  </w:r>
                  <w:r>
                    <w:rPr>
                      <w:rFonts w:hint="eastAsia" w:ascii="Times New Roman" w:hAnsi="Times New Roman" w:eastAsia="宋体" w:cs="Times New Roman"/>
                      <w:sz w:val="21"/>
                      <w:szCs w:val="21"/>
                      <w:lang w:eastAsia="zh-CN"/>
                    </w:rPr>
                    <w:t>除尘+布袋除尘器</w:t>
                  </w:r>
                  <w:r>
                    <w:rPr>
                      <w:rFonts w:ascii="Times New Roman" w:hAnsi="Times New Roman" w:eastAsia="宋体" w:cs="Times New Roman"/>
                      <w:sz w:val="21"/>
                      <w:szCs w:val="21"/>
                    </w:rPr>
                    <w:t>+15m高排气筒排放</w:t>
                  </w:r>
                  <w:r>
                    <w:rPr>
                      <w:rFonts w:ascii="Times New Roman" w:hAnsi="Times New Roman" w:eastAsia="宋体" w:cs="Times New Roman"/>
                      <w:sz w:val="21"/>
                      <w:szCs w:val="21"/>
                      <w:lang w:eastAsia="zh-CN"/>
                    </w:rPr>
                    <w:t>。</w:t>
                  </w:r>
                </w:p>
              </w:tc>
              <w:tc>
                <w:tcPr>
                  <w:tcW w:w="538" w:type="pct"/>
                  <w:tcBorders>
                    <w:top w:val="single" w:color="auto" w:sz="4" w:space="0"/>
                    <w:left w:val="single" w:color="auto" w:sz="4" w:space="0"/>
                    <w:bottom w:val="single" w:color="auto" w:sz="4" w:space="0"/>
                    <w:right w:val="single" w:color="auto" w:sz="4" w:space="0"/>
                  </w:tcBorders>
                  <w:vAlign w:val="center"/>
                </w:tcPr>
                <w:p w14:paraId="18E0AF03">
                  <w:pPr>
                    <w:pStyle w:val="7"/>
                    <w:kinsoku/>
                    <w:adjustRightInd/>
                    <w:snapToGrid/>
                    <w:spacing w:before="156" w:beforeLines="50" w:line="240" w:lineRule="auto"/>
                    <w:ind w:lef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相符</w:t>
                  </w:r>
                </w:p>
              </w:tc>
            </w:tr>
          </w:tbl>
          <w:p w14:paraId="49A3CB59">
            <w:pPr>
              <w:widowControl w:val="0"/>
              <w:kinsoku/>
              <w:autoSpaceDE/>
              <w:autoSpaceDN/>
              <w:adjustRightInd/>
              <w:snapToGrid/>
              <w:spacing w:line="360" w:lineRule="auto"/>
              <w:textAlignment w:val="auto"/>
              <w:rPr>
                <w:rFonts w:ascii="Times New Roman" w:hAnsi="Times New Roman" w:eastAsia="宋体" w:cs="Times New Roman"/>
                <w:color w:val="auto"/>
                <w:lang w:eastAsia="zh-CN"/>
              </w:rPr>
            </w:pPr>
          </w:p>
          <w:p w14:paraId="3BC3E2ED">
            <w:pPr>
              <w:pStyle w:val="2"/>
              <w:rPr>
                <w:rFonts w:ascii="Times New Roman" w:hAnsi="Times New Roman" w:eastAsia="宋体" w:cs="Times New Roman"/>
                <w:color w:val="auto"/>
                <w:lang w:eastAsia="zh-CN"/>
              </w:rPr>
            </w:pPr>
          </w:p>
          <w:p w14:paraId="2036F307">
            <w:pPr>
              <w:pStyle w:val="4"/>
              <w:rPr>
                <w:rFonts w:ascii="Times New Roman" w:hAnsi="Times New Roman" w:eastAsia="宋体" w:cs="Times New Roman"/>
                <w:color w:val="auto"/>
                <w:lang w:eastAsia="zh-CN"/>
              </w:rPr>
            </w:pPr>
          </w:p>
          <w:p w14:paraId="790D9D85">
            <w:pPr>
              <w:pStyle w:val="4"/>
              <w:rPr>
                <w:rFonts w:ascii="Times New Roman" w:hAnsi="Times New Roman" w:eastAsia="宋体" w:cs="Times New Roman"/>
                <w:color w:val="auto"/>
                <w:lang w:eastAsia="zh-CN"/>
              </w:rPr>
            </w:pPr>
          </w:p>
          <w:p w14:paraId="645D6C53">
            <w:pPr>
              <w:pStyle w:val="4"/>
              <w:rPr>
                <w:rFonts w:ascii="Times New Roman" w:hAnsi="Times New Roman" w:eastAsia="宋体" w:cs="Times New Roman"/>
                <w:color w:val="auto"/>
                <w:lang w:eastAsia="zh-CN"/>
              </w:rPr>
            </w:pPr>
          </w:p>
          <w:p w14:paraId="27557E19">
            <w:pPr>
              <w:pStyle w:val="4"/>
              <w:rPr>
                <w:rFonts w:ascii="Times New Roman" w:hAnsi="Times New Roman" w:eastAsia="宋体" w:cs="Times New Roman"/>
                <w:color w:val="auto"/>
                <w:lang w:eastAsia="zh-CN"/>
              </w:rPr>
            </w:pPr>
          </w:p>
          <w:p w14:paraId="54DE69B2">
            <w:pPr>
              <w:pStyle w:val="4"/>
              <w:rPr>
                <w:rFonts w:ascii="Times New Roman" w:hAnsi="Times New Roman" w:eastAsia="宋体" w:cs="Times New Roman"/>
                <w:color w:val="auto"/>
                <w:lang w:eastAsia="zh-CN"/>
              </w:rPr>
            </w:pPr>
          </w:p>
          <w:p w14:paraId="4C6B0C04">
            <w:pPr>
              <w:pStyle w:val="4"/>
              <w:rPr>
                <w:rFonts w:ascii="Times New Roman" w:hAnsi="Times New Roman" w:eastAsia="宋体" w:cs="Times New Roman"/>
                <w:color w:val="auto"/>
                <w:lang w:eastAsia="zh-CN"/>
              </w:rPr>
            </w:pPr>
          </w:p>
          <w:p w14:paraId="5149F21F">
            <w:pPr>
              <w:pStyle w:val="4"/>
              <w:rPr>
                <w:rFonts w:ascii="Times New Roman" w:hAnsi="Times New Roman" w:eastAsia="宋体" w:cs="Times New Roman"/>
                <w:color w:val="auto"/>
                <w:lang w:eastAsia="zh-CN"/>
              </w:rPr>
            </w:pPr>
          </w:p>
          <w:p w14:paraId="45E0EFC8">
            <w:pPr>
              <w:pStyle w:val="4"/>
              <w:rPr>
                <w:rFonts w:ascii="Times New Roman" w:hAnsi="Times New Roman" w:eastAsia="宋体" w:cs="Times New Roman"/>
                <w:color w:val="auto"/>
                <w:lang w:eastAsia="zh-CN"/>
              </w:rPr>
            </w:pPr>
          </w:p>
          <w:p w14:paraId="68A2A8CA">
            <w:pPr>
              <w:pStyle w:val="4"/>
              <w:rPr>
                <w:rFonts w:ascii="Times New Roman" w:hAnsi="Times New Roman" w:eastAsia="宋体" w:cs="Times New Roman"/>
                <w:color w:val="auto"/>
                <w:lang w:eastAsia="zh-CN"/>
              </w:rPr>
            </w:pPr>
          </w:p>
          <w:p w14:paraId="50BE389C">
            <w:pPr>
              <w:pStyle w:val="4"/>
              <w:rPr>
                <w:rFonts w:ascii="Times New Roman" w:hAnsi="Times New Roman" w:eastAsia="宋体" w:cs="Times New Roman"/>
                <w:color w:val="auto"/>
                <w:lang w:eastAsia="zh-CN"/>
              </w:rPr>
            </w:pPr>
          </w:p>
          <w:p w14:paraId="404F757F">
            <w:pPr>
              <w:pStyle w:val="4"/>
              <w:rPr>
                <w:rFonts w:ascii="Times New Roman" w:hAnsi="Times New Roman" w:eastAsia="宋体" w:cs="Times New Roman"/>
                <w:color w:val="auto"/>
                <w:lang w:eastAsia="zh-CN"/>
              </w:rPr>
            </w:pPr>
          </w:p>
          <w:p w14:paraId="71AB4A23">
            <w:pPr>
              <w:pStyle w:val="4"/>
              <w:rPr>
                <w:rFonts w:ascii="Times New Roman" w:hAnsi="Times New Roman" w:eastAsia="宋体" w:cs="Times New Roman"/>
                <w:color w:val="auto"/>
                <w:lang w:eastAsia="zh-CN"/>
              </w:rPr>
            </w:pPr>
          </w:p>
          <w:p w14:paraId="4475893E">
            <w:pPr>
              <w:pStyle w:val="4"/>
              <w:rPr>
                <w:rFonts w:ascii="Times New Roman" w:hAnsi="Times New Roman" w:eastAsia="宋体" w:cs="Times New Roman"/>
                <w:color w:val="auto"/>
                <w:lang w:eastAsia="zh-CN"/>
              </w:rPr>
            </w:pPr>
          </w:p>
          <w:p w14:paraId="736A1E3C">
            <w:pPr>
              <w:pStyle w:val="4"/>
              <w:rPr>
                <w:rFonts w:ascii="Times New Roman" w:hAnsi="Times New Roman" w:eastAsia="宋体" w:cs="Times New Roman"/>
                <w:color w:val="auto"/>
                <w:lang w:eastAsia="zh-CN"/>
              </w:rPr>
            </w:pPr>
          </w:p>
          <w:p w14:paraId="014C49FF">
            <w:pPr>
              <w:pStyle w:val="4"/>
              <w:rPr>
                <w:rFonts w:ascii="Times New Roman" w:hAnsi="Times New Roman" w:eastAsia="宋体" w:cs="Times New Roman"/>
                <w:color w:val="auto"/>
                <w:lang w:eastAsia="zh-CN"/>
              </w:rPr>
            </w:pPr>
          </w:p>
          <w:p w14:paraId="59F2F5FA">
            <w:pPr>
              <w:pStyle w:val="4"/>
              <w:rPr>
                <w:rFonts w:ascii="Times New Roman" w:hAnsi="Times New Roman" w:eastAsia="宋体" w:cs="Times New Roman"/>
                <w:color w:val="auto"/>
                <w:lang w:eastAsia="zh-CN"/>
              </w:rPr>
            </w:pPr>
          </w:p>
          <w:p w14:paraId="0FDDDEEB">
            <w:pPr>
              <w:pStyle w:val="4"/>
              <w:rPr>
                <w:rFonts w:ascii="Times New Roman" w:hAnsi="Times New Roman" w:eastAsia="宋体" w:cs="Times New Roman"/>
                <w:color w:val="auto"/>
                <w:lang w:eastAsia="zh-CN"/>
              </w:rPr>
            </w:pPr>
          </w:p>
          <w:p w14:paraId="12437E5D">
            <w:pPr>
              <w:pStyle w:val="4"/>
              <w:rPr>
                <w:rFonts w:ascii="Times New Roman" w:hAnsi="Times New Roman" w:eastAsia="宋体" w:cs="Times New Roman"/>
                <w:color w:val="auto"/>
                <w:lang w:eastAsia="zh-CN"/>
              </w:rPr>
            </w:pPr>
          </w:p>
          <w:p w14:paraId="59B887F7">
            <w:pPr>
              <w:pStyle w:val="4"/>
              <w:rPr>
                <w:rFonts w:ascii="Times New Roman" w:hAnsi="Times New Roman" w:eastAsia="宋体" w:cs="Times New Roman"/>
                <w:color w:val="auto"/>
                <w:lang w:eastAsia="zh-CN"/>
              </w:rPr>
            </w:pPr>
          </w:p>
          <w:p w14:paraId="2EE82258">
            <w:pPr>
              <w:pStyle w:val="4"/>
              <w:rPr>
                <w:rFonts w:ascii="Times New Roman" w:hAnsi="Times New Roman" w:eastAsia="宋体" w:cs="Times New Roman"/>
                <w:color w:val="auto"/>
                <w:lang w:eastAsia="zh-CN"/>
              </w:rPr>
            </w:pPr>
          </w:p>
          <w:p w14:paraId="4764F68E">
            <w:pPr>
              <w:pStyle w:val="4"/>
              <w:rPr>
                <w:rFonts w:ascii="Times New Roman" w:hAnsi="Times New Roman" w:eastAsia="宋体" w:cs="Times New Roman"/>
                <w:color w:val="auto"/>
                <w:lang w:eastAsia="zh-CN"/>
              </w:rPr>
            </w:pPr>
          </w:p>
          <w:p w14:paraId="7C06F36E">
            <w:pPr>
              <w:pStyle w:val="4"/>
              <w:rPr>
                <w:rFonts w:ascii="Times New Roman" w:hAnsi="Times New Roman" w:eastAsia="宋体" w:cs="Times New Roman"/>
                <w:color w:val="auto"/>
                <w:lang w:eastAsia="zh-CN"/>
              </w:rPr>
            </w:pPr>
          </w:p>
          <w:p w14:paraId="1313F99E">
            <w:pPr>
              <w:pStyle w:val="4"/>
              <w:rPr>
                <w:rFonts w:ascii="Times New Roman" w:hAnsi="Times New Roman" w:eastAsia="宋体" w:cs="Times New Roman"/>
                <w:color w:val="auto"/>
                <w:lang w:eastAsia="zh-CN"/>
              </w:rPr>
            </w:pPr>
          </w:p>
          <w:p w14:paraId="0046A0AB">
            <w:pPr>
              <w:pStyle w:val="4"/>
              <w:rPr>
                <w:rFonts w:ascii="Times New Roman" w:hAnsi="Times New Roman" w:eastAsia="宋体" w:cs="Times New Roman"/>
                <w:color w:val="auto"/>
                <w:lang w:eastAsia="zh-CN"/>
              </w:rPr>
            </w:pPr>
          </w:p>
        </w:tc>
      </w:tr>
    </w:tbl>
    <w:p w14:paraId="1C7B9980">
      <w:pPr>
        <w:rPr>
          <w:rFonts w:ascii="Times New Roman" w:hAnsi="Times New Roman" w:cs="Times New Roman"/>
        </w:rPr>
        <w:sectPr>
          <w:footerReference r:id="rId3" w:type="default"/>
          <w:pgSz w:w="11906" w:h="16838"/>
          <w:pgMar w:top="1440" w:right="1689" w:bottom="1440" w:left="1689" w:header="851" w:footer="992" w:gutter="0"/>
          <w:pgNumType w:start="1"/>
          <w:cols w:space="425" w:num="1"/>
          <w:docGrid w:type="lines" w:linePitch="312" w:charSpace="0"/>
        </w:sectPr>
      </w:pPr>
    </w:p>
    <w:p w14:paraId="382B5C05">
      <w:pPr>
        <w:pStyle w:val="19"/>
        <w:spacing w:before="0" w:beforeAutospacing="0" w:after="0" w:afterAutospacing="0"/>
        <w:jc w:val="center"/>
        <w:outlineLvl w:val="0"/>
        <w:rPr>
          <w:rFonts w:ascii="Times New Roman" w:hAnsi="Times New Roman" w:cs="Times New Roman"/>
          <w:b/>
          <w:bCs/>
          <w:sz w:val="30"/>
          <w:szCs w:val="30"/>
        </w:rPr>
      </w:pPr>
      <w:r>
        <w:rPr>
          <w:rFonts w:ascii="Times New Roman" w:hAnsi="Times New Roman" w:cs="Times New Roman"/>
          <w:b/>
          <w:bCs/>
          <w:sz w:val="30"/>
          <w:szCs w:val="30"/>
        </w:rPr>
        <w:t>二、建设项目工程分析</w:t>
      </w:r>
    </w:p>
    <w:tbl>
      <w:tblPr>
        <w:tblStyle w:val="22"/>
        <w:tblW w:w="60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9502"/>
      </w:tblGrid>
      <w:tr w14:paraId="2F1CC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26" w:type="pct"/>
            <w:vAlign w:val="center"/>
          </w:tcPr>
          <w:p w14:paraId="7275EB34">
            <w:pPr>
              <w:pStyle w:val="19"/>
              <w:spacing w:before="0" w:beforeAutospacing="0" w:after="0" w:afterAutospacing="0"/>
              <w:jc w:val="center"/>
              <w:rPr>
                <w:rFonts w:ascii="Times New Roman" w:hAnsi="Times New Roman" w:cs="Times New Roman"/>
                <w:szCs w:val="24"/>
              </w:rPr>
            </w:pPr>
            <w:r>
              <w:rPr>
                <w:rFonts w:ascii="Times New Roman" w:hAnsi="Times New Roman" w:cs="Times New Roman"/>
                <w:szCs w:val="24"/>
              </w:rPr>
              <w:t>建设内容</w:t>
            </w:r>
          </w:p>
        </w:tc>
        <w:tc>
          <w:tcPr>
            <w:tcW w:w="4573" w:type="pct"/>
          </w:tcPr>
          <w:p w14:paraId="30CD1D5B">
            <w:pPr>
              <w:adjustRightInd/>
              <w:snapToGrid/>
              <w:spacing w:line="360" w:lineRule="auto"/>
              <w:ind w:firstLine="480" w:firstLineChars="200"/>
              <w:rPr>
                <w:rFonts w:ascii="Times New Roman" w:hAnsi="Times New Roman" w:cs="Times New Roman"/>
                <w:sz w:val="24"/>
              </w:rPr>
            </w:pPr>
            <w:r>
              <w:rPr>
                <w:rFonts w:ascii="Times New Roman" w:hAnsi="Times New Roman" w:cs="Times New Roman"/>
                <w:b/>
                <w:bCs/>
                <w:sz w:val="24"/>
              </w:rPr>
              <w:t>一、项目由来</w:t>
            </w:r>
          </w:p>
          <w:p w14:paraId="47EC0273">
            <w:pPr>
              <w:keepNext w:val="0"/>
              <w:keepLines w:val="0"/>
              <w:pageBreakBefore w:val="0"/>
              <w:widowControl/>
              <w:kinsoku w:val="0"/>
              <w:wordWrap/>
              <w:overflowPunct/>
              <w:topLinePunct w:val="0"/>
              <w:autoSpaceDE w:val="0"/>
              <w:autoSpaceDN w:val="0"/>
              <w:bidi w:val="0"/>
              <w:adjustRightInd/>
              <w:snapToGrid/>
              <w:spacing w:beforeAutospacing="0" w:afterAutospacing="0" w:line="360" w:lineRule="auto"/>
              <w:ind w:firstLine="480" w:firstLineChars="200"/>
              <w:textAlignment w:val="baseline"/>
              <w:outlineLvl w:val="9"/>
              <w:rPr>
                <w:rFonts w:hint="default" w:ascii="Times New Roman" w:hAnsi="Times New Roman"/>
                <w:b w:val="0"/>
                <w:color w:val="000000" w:themeColor="text1"/>
                <w:sz w:val="24"/>
                <w14:textFill>
                  <w14:solidFill>
                    <w14:schemeClr w14:val="tx1"/>
                  </w14:solidFill>
                </w14:textFill>
              </w:rPr>
            </w:pPr>
            <w:r>
              <w:rPr>
                <w:rFonts w:hint="default" w:ascii="Times New Roman" w:hAnsi="Times New Roman"/>
                <w:b w:val="0"/>
                <w:color w:val="000000" w:themeColor="text1"/>
                <w:sz w:val="24"/>
                <w14:textFill>
                  <w14:solidFill>
                    <w14:schemeClr w14:val="tx1"/>
                  </w14:solidFill>
                </w14:textFill>
              </w:rPr>
              <w:t>安徽</w:t>
            </w:r>
            <w:r>
              <w:rPr>
                <w:rFonts w:ascii="Times New Roman" w:hAnsi="Times New Roman"/>
                <w:b w:val="0"/>
                <w:color w:val="000000" w:themeColor="text1"/>
                <w:sz w:val="24"/>
                <w14:textFill>
                  <w14:solidFill>
                    <w14:schemeClr w14:val="tx1"/>
                  </w14:solidFill>
                </w14:textFill>
              </w:rPr>
              <w:t>昶</w:t>
            </w:r>
            <w:r>
              <w:rPr>
                <w:rFonts w:hint="default" w:ascii="Times New Roman" w:hAnsi="Times New Roman"/>
                <w:b w:val="0"/>
                <w:color w:val="000000" w:themeColor="text1"/>
                <w:sz w:val="24"/>
                <w14:textFill>
                  <w14:solidFill>
                    <w14:schemeClr w14:val="tx1"/>
                  </w14:solidFill>
                </w14:textFill>
              </w:rPr>
              <w:t>合市政工程有限公司年产3000吨护栏，钣金箱体，钢结构生产项目租赁安徽蓝达建材有限公司已建1800m²厂房，购置激光切割机、折弯机、二保焊机、</w:t>
            </w:r>
            <w:r>
              <w:rPr>
                <w:rFonts w:ascii="Times New Roman" w:hAnsi="Times New Roman"/>
                <w:b w:val="0"/>
                <w:color w:val="000000" w:themeColor="text1"/>
                <w:sz w:val="24"/>
                <w14:textFill>
                  <w14:solidFill>
                    <w14:schemeClr w14:val="tx1"/>
                  </w14:solidFill>
                </w14:textFill>
              </w:rPr>
              <w:t>喷塑房</w:t>
            </w:r>
            <w:r>
              <w:rPr>
                <w:rFonts w:hint="default" w:ascii="Times New Roman" w:hAnsi="Times New Roman"/>
                <w:b w:val="0"/>
                <w:color w:val="000000" w:themeColor="text1"/>
                <w:sz w:val="24"/>
                <w14:textFill>
                  <w14:solidFill>
                    <w14:schemeClr w14:val="tx1"/>
                  </w14:solidFill>
                </w14:textFill>
              </w:rPr>
              <w:t>、</w:t>
            </w:r>
            <w:r>
              <w:rPr>
                <w:rFonts w:hint="eastAsia" w:ascii="Times New Roman" w:hAnsi="Times New Roman"/>
                <w:b w:val="0"/>
                <w:color w:val="000000" w:themeColor="text1"/>
                <w:sz w:val="24"/>
                <w:lang w:val="en-US" w:eastAsia="zh-CN"/>
                <w14:textFill>
                  <w14:solidFill>
                    <w14:schemeClr w14:val="tx1"/>
                  </w14:solidFill>
                </w14:textFill>
              </w:rPr>
              <w:t>固化房</w:t>
            </w:r>
            <w:r>
              <w:rPr>
                <w:rFonts w:hint="default" w:ascii="Times New Roman" w:hAnsi="Times New Roman"/>
                <w:b w:val="0"/>
                <w:color w:val="000000" w:themeColor="text1"/>
                <w:sz w:val="24"/>
                <w14:textFill>
                  <w14:solidFill>
                    <w14:schemeClr w14:val="tx1"/>
                  </w14:solidFill>
                </w14:textFill>
              </w:rPr>
              <w:t>等设备，生产内容包括：护栏，门窗，钢结构，铝</w:t>
            </w:r>
            <w:r>
              <w:rPr>
                <w:rFonts w:ascii="Times New Roman" w:hAnsi="Times New Roman"/>
                <w:b w:val="0"/>
                <w:color w:val="000000" w:themeColor="text1"/>
                <w:sz w:val="24"/>
                <w14:textFill>
                  <w14:solidFill>
                    <w14:schemeClr w14:val="tx1"/>
                  </w14:solidFill>
                </w14:textFill>
              </w:rPr>
              <w:t>板、钣</w:t>
            </w:r>
            <w:r>
              <w:rPr>
                <w:rFonts w:hint="default" w:ascii="Times New Roman" w:hAnsi="Times New Roman"/>
                <w:b w:val="0"/>
                <w:color w:val="000000" w:themeColor="text1"/>
                <w:sz w:val="24"/>
                <w14:textFill>
                  <w14:solidFill>
                    <w14:schemeClr w14:val="tx1"/>
                  </w14:solidFill>
                </w14:textFill>
              </w:rPr>
              <w:t>金箱体，农机设备，环保配套设备。本次评价产品内容为：护栏，门窗，钢结构，铝</w:t>
            </w:r>
            <w:r>
              <w:rPr>
                <w:rFonts w:ascii="Times New Roman" w:hAnsi="Times New Roman"/>
                <w:b w:val="0"/>
                <w:color w:val="000000" w:themeColor="text1"/>
                <w:sz w:val="24"/>
                <w14:textFill>
                  <w14:solidFill>
                    <w14:schemeClr w14:val="tx1"/>
                  </w14:solidFill>
                </w14:textFill>
              </w:rPr>
              <w:t>板、钣</w:t>
            </w:r>
            <w:r>
              <w:rPr>
                <w:rFonts w:hint="default" w:ascii="Times New Roman" w:hAnsi="Times New Roman"/>
                <w:b w:val="0"/>
                <w:color w:val="000000" w:themeColor="text1"/>
                <w:sz w:val="24"/>
                <w14:textFill>
                  <w14:solidFill>
                    <w14:schemeClr w14:val="tx1"/>
                  </w14:solidFill>
                </w14:textFill>
              </w:rPr>
              <w:t>金箱体，原料包括钢板、钢管、铝材等，配套建设给排水、变配电、环卫、消防等辅助工程。形成年产3000吨护栏，钣金箱体，钢结构生产项目规模。</w:t>
            </w:r>
          </w:p>
          <w:p w14:paraId="4426E02D">
            <w:pPr>
              <w:adjustRightInd/>
              <w:snapToGrid/>
              <w:spacing w:line="360" w:lineRule="auto"/>
              <w:ind w:firstLine="480" w:firstLineChars="200"/>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sz w:val="24"/>
                <w:lang w:eastAsia="zh-CN"/>
              </w:rPr>
              <w:t>根据</w:t>
            </w:r>
            <w:r>
              <w:rPr>
                <w:rFonts w:ascii="Times New Roman" w:hAnsi="Times New Roman" w:eastAsia="宋体" w:cs="Times New Roman"/>
                <w:sz w:val="24"/>
              </w:rPr>
              <w:t>《国民经济行业分类》（GB/T 4754-2019）</w:t>
            </w:r>
            <w:r>
              <w:rPr>
                <w:rFonts w:hint="eastAsia" w:ascii="Times New Roman" w:hAnsi="Times New Roman" w:eastAsia="宋体" w:cs="Times New Roman"/>
                <w:sz w:val="24"/>
                <w:lang w:eastAsia="zh-CN"/>
              </w:rPr>
              <w:t>，</w:t>
            </w:r>
            <w:r>
              <w:rPr>
                <w:rFonts w:ascii="Times New Roman" w:hAnsi="Times New Roman" w:eastAsia="宋体" w:cs="Times New Roman"/>
                <w:sz w:val="24"/>
                <w:lang w:eastAsia="zh-CN"/>
              </w:rPr>
              <w:t>本项目属于</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3311</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金属结构制造</w:t>
            </w:r>
            <w:r>
              <w:rPr>
                <w:rFonts w:hint="eastAsia" w:ascii="Times New Roman" w:hAnsi="Times New Roman" w:cs="Times New Roman"/>
                <w:color w:val="auto"/>
                <w:sz w:val="24"/>
                <w:szCs w:val="24"/>
                <w:lang w:eastAsia="zh-CN"/>
              </w:rPr>
              <w:t>、</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3312</w:t>
            </w:r>
            <w:r>
              <w:rPr>
                <w:rFonts w:ascii="Times New Roman" w:hAnsi="Times New Roman" w:eastAsia="宋体" w:cs="Times New Roman"/>
                <w:color w:val="auto"/>
                <w:sz w:val="24"/>
                <w:szCs w:val="24"/>
                <w:lang w:eastAsia="zh-CN"/>
              </w:rPr>
              <w:t>】金属门窗制造</w:t>
            </w:r>
            <w:r>
              <w:rPr>
                <w:rFonts w:ascii="Times New Roman" w:hAnsi="Times New Roman" w:eastAsia="宋体" w:cs="Times New Roman"/>
                <w:color w:val="000000" w:themeColor="text1"/>
                <w:sz w:val="24"/>
                <w14:textFill>
                  <w14:solidFill>
                    <w14:schemeClr w14:val="tx1"/>
                  </w14:solidFill>
                </w14:textFill>
              </w:rPr>
              <w:t>。对应于《建设项目环境影响评价分类管理名录（2021年版）》中三十、金属制品业33中</w:t>
            </w:r>
            <w:r>
              <w:rPr>
                <w:rFonts w:ascii="Times New Roman" w:hAnsi="Times New Roman" w:eastAsia="宋体" w:cs="Times New Roman"/>
                <w:color w:val="000000" w:themeColor="text1"/>
                <w:sz w:val="24"/>
                <w:lang w:eastAsia="zh-CN"/>
                <w14:textFill>
                  <w14:solidFill>
                    <w14:schemeClr w14:val="tx1"/>
                  </w14:solidFill>
                </w14:textFill>
              </w:rPr>
              <w:t>“</w:t>
            </w:r>
            <w:r>
              <w:rPr>
                <w:rFonts w:ascii="Times New Roman" w:hAnsi="Times New Roman" w:eastAsia="宋体" w:cs="Times New Roman"/>
                <w:color w:val="auto"/>
                <w:sz w:val="24"/>
                <w:szCs w:val="24"/>
                <w:lang w:eastAsia="zh-CN"/>
              </w:rPr>
              <w:t>结构性金属制品制造331</w:t>
            </w:r>
            <w:r>
              <w:rPr>
                <w:rFonts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ascii="Times New Roman" w:hAnsi="Times New Roman" w:eastAsia="宋体" w:cs="Times New Roman"/>
                <w:color w:val="auto"/>
                <w:sz w:val="24"/>
                <w:szCs w:val="24"/>
                <w:lang w:eastAsia="zh-CN"/>
              </w:rPr>
              <w:t>其他</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ascii="Times New Roman" w:hAnsi="Times New Roman" w:eastAsia="宋体" w:cs="Times New Roman"/>
                <w:color w:val="auto"/>
                <w:sz w:val="24"/>
                <w:szCs w:val="24"/>
                <w:lang w:eastAsia="zh-CN"/>
              </w:rPr>
              <w:t>（仅分割、焊接、组装的除外；年用非溶剂型低VOCs含量涂料10吨以下的除外）</w:t>
            </w:r>
            <w:r>
              <w:rPr>
                <w:rFonts w:ascii="Times New Roman" w:hAnsi="Times New Roman" w:eastAsia="宋体" w:cs="Times New Roman"/>
                <w:color w:val="000000" w:themeColor="text1"/>
                <w:sz w:val="24"/>
                <w14:textFill>
                  <w14:solidFill>
                    <w14:schemeClr w14:val="tx1"/>
                  </w14:solidFill>
                </w14:textFill>
              </w:rPr>
              <w:t>，应编制报告表。综上，本项目需编制环境影响报告表。</w:t>
            </w:r>
          </w:p>
          <w:p w14:paraId="2272F57E">
            <w:pPr>
              <w:adjustRightInd/>
              <w:snapToGrid/>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为此</w:t>
            </w:r>
            <w:r>
              <w:rPr>
                <w:rFonts w:hint="eastAsia" w:ascii="Times New Roman" w:hAnsi="Times New Roman" w:cs="Times New Roman"/>
                <w:color w:val="000000" w:themeColor="text1"/>
                <w:sz w:val="24"/>
                <w:lang w:eastAsia="zh-CN"/>
                <w14:textFill>
                  <w14:solidFill>
                    <w14:schemeClr w14:val="tx1"/>
                  </w14:solidFill>
                </w14:textFill>
              </w:rPr>
              <w:t>安徽昶合市政工程有限公司</w:t>
            </w:r>
            <w:r>
              <w:rPr>
                <w:rFonts w:ascii="Times New Roman" w:hAnsi="Times New Roman" w:eastAsia="宋体" w:cs="Times New Roman"/>
                <w:sz w:val="24"/>
              </w:rPr>
              <w:t>根据有关环保法律法规要求，委托我公司进行环境影响评价工作，我公司在接受委托后，随即组织人员到项目建设场地及其周围进行了实地勘查与调研，收集了有关的工程资料，结合该企业提供资料和项目的建设特点，依据有关环评技术规范，编制了本报告表。</w:t>
            </w:r>
          </w:p>
          <w:p w14:paraId="2F409FC4">
            <w:pPr>
              <w:adjustRightInd/>
              <w:snapToGrid/>
              <w:spacing w:line="360" w:lineRule="auto"/>
              <w:ind w:firstLine="482" w:firstLineChars="200"/>
              <w:rPr>
                <w:rFonts w:hint="eastAsia" w:ascii="宋体" w:hAnsi="宋体" w:eastAsia="宋体" w:cs="宋体"/>
                <w:b/>
                <w:sz w:val="24"/>
              </w:rPr>
            </w:pPr>
            <w:r>
              <w:rPr>
                <w:rFonts w:hint="eastAsia" w:ascii="宋体" w:hAnsi="宋体" w:eastAsia="宋体" w:cs="宋体"/>
                <w:b/>
                <w:sz w:val="24"/>
              </w:rPr>
              <w:t>二、项目建设内容</w:t>
            </w:r>
          </w:p>
          <w:p w14:paraId="5D3DF67F">
            <w:pPr>
              <w:adjustRightInd/>
              <w:snapToGrid/>
              <w:spacing w:line="360" w:lineRule="auto"/>
              <w:ind w:firstLine="480" w:firstLineChars="200"/>
              <w:rPr>
                <w:rFonts w:ascii="Times New Roman" w:hAnsi="Times New Roman" w:cs="Times New Roman"/>
                <w:bCs/>
                <w:sz w:val="24"/>
              </w:rPr>
            </w:pPr>
            <w:r>
              <w:rPr>
                <w:rFonts w:ascii="Times New Roman" w:hAnsi="Times New Roman" w:cs="Times New Roman"/>
                <w:bCs/>
                <w:sz w:val="24"/>
              </w:rPr>
              <w:t>1、项目建设主要内容</w:t>
            </w:r>
          </w:p>
          <w:p w14:paraId="2D264D3D">
            <w:pPr>
              <w:jc w:val="center"/>
              <w:rPr>
                <w:rFonts w:ascii="Times New Roman" w:hAnsi="Times New Roman" w:eastAsia="宋体" w:cs="Times New Roman"/>
                <w:b/>
                <w:bCs/>
                <w:sz w:val="24"/>
                <w:szCs w:val="32"/>
              </w:rPr>
            </w:pPr>
            <w:r>
              <w:rPr>
                <w:rFonts w:ascii="Times New Roman" w:hAnsi="Times New Roman" w:eastAsia="宋体" w:cs="Times New Roman"/>
                <w:b/>
                <w:bCs/>
                <w:sz w:val="24"/>
                <w:szCs w:val="32"/>
              </w:rPr>
              <w:t>表2-1  工程建设内容及规模一览表</w:t>
            </w:r>
          </w:p>
          <w:tbl>
            <w:tblPr>
              <w:tblStyle w:val="22"/>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5"/>
              <w:gridCol w:w="827"/>
              <w:gridCol w:w="6543"/>
              <w:gridCol w:w="1313"/>
            </w:tblGrid>
            <w:tr w14:paraId="4561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Align w:val="center"/>
                </w:tcPr>
                <w:p w14:paraId="316DF49A">
                  <w:pPr>
                    <w:jc w:val="center"/>
                    <w:rPr>
                      <w:rFonts w:ascii="Times New Roman" w:hAnsi="Times New Roman" w:cs="Times New Roman"/>
                    </w:rPr>
                  </w:pPr>
                  <w:r>
                    <w:rPr>
                      <w:rFonts w:ascii="Times New Roman" w:hAnsi="Times New Roman" w:cs="Times New Roman"/>
                    </w:rPr>
                    <w:t>工程类别</w:t>
                  </w:r>
                </w:p>
              </w:tc>
              <w:tc>
                <w:tcPr>
                  <w:tcW w:w="446" w:type="pct"/>
                  <w:vAlign w:val="center"/>
                </w:tcPr>
                <w:p w14:paraId="624D90CF">
                  <w:pPr>
                    <w:jc w:val="center"/>
                    <w:rPr>
                      <w:rFonts w:ascii="Times New Roman" w:hAnsi="Times New Roman" w:cs="Times New Roman"/>
                    </w:rPr>
                  </w:pPr>
                  <w:r>
                    <w:rPr>
                      <w:rFonts w:ascii="Times New Roman" w:hAnsi="Times New Roman" w:cs="Times New Roman"/>
                    </w:rPr>
                    <w:t>工程内容</w:t>
                  </w:r>
                </w:p>
              </w:tc>
              <w:tc>
                <w:tcPr>
                  <w:tcW w:w="3529" w:type="pct"/>
                  <w:vAlign w:val="center"/>
                </w:tcPr>
                <w:p w14:paraId="54B93F5F">
                  <w:pPr>
                    <w:jc w:val="center"/>
                    <w:rPr>
                      <w:rFonts w:ascii="Times New Roman" w:hAnsi="Times New Roman" w:cs="Times New Roman"/>
                    </w:rPr>
                  </w:pPr>
                  <w:r>
                    <w:rPr>
                      <w:rFonts w:ascii="Times New Roman" w:hAnsi="Times New Roman" w:cs="Times New Roman"/>
                    </w:rPr>
                    <w:t>工程内容及规模</w:t>
                  </w:r>
                </w:p>
              </w:tc>
              <w:tc>
                <w:tcPr>
                  <w:tcW w:w="708" w:type="pct"/>
                  <w:vAlign w:val="center"/>
                </w:tcPr>
                <w:p w14:paraId="61C1081C">
                  <w:pPr>
                    <w:jc w:val="center"/>
                    <w:rPr>
                      <w:rFonts w:ascii="Times New Roman" w:hAnsi="Times New Roman" w:cs="Times New Roman"/>
                    </w:rPr>
                  </w:pPr>
                  <w:r>
                    <w:rPr>
                      <w:rFonts w:ascii="Times New Roman" w:hAnsi="Times New Roman" w:cs="Times New Roman"/>
                    </w:rPr>
                    <w:t>备注</w:t>
                  </w:r>
                </w:p>
              </w:tc>
            </w:tr>
            <w:tr w14:paraId="7CFE6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Align w:val="center"/>
                </w:tcPr>
                <w:p w14:paraId="36C54300">
                  <w:pPr>
                    <w:pStyle w:val="33"/>
                    <w:rPr>
                      <w:rFonts w:ascii="Times New Roman" w:hAnsi="Times New Roman" w:cs="Times New Roman"/>
                    </w:rPr>
                  </w:pPr>
                  <w:r>
                    <w:rPr>
                      <w:rFonts w:ascii="Times New Roman" w:hAnsi="Times New Roman" w:cs="Times New Roman"/>
                    </w:rPr>
                    <w:t>主体工程</w:t>
                  </w:r>
                </w:p>
              </w:tc>
              <w:tc>
                <w:tcPr>
                  <w:tcW w:w="446" w:type="pct"/>
                  <w:vAlign w:val="center"/>
                </w:tcPr>
                <w:p w14:paraId="48A8224D">
                  <w:pPr>
                    <w:pStyle w:val="43"/>
                    <w:tabs>
                      <w:tab w:val="left" w:pos="7488"/>
                    </w:tabs>
                    <w:rPr>
                      <w:rFonts w:ascii="Times New Roman" w:hAnsi="Times New Roman" w:cs="Times New Roman"/>
                    </w:rPr>
                  </w:pPr>
                  <w:r>
                    <w:rPr>
                      <w:rFonts w:ascii="Times New Roman" w:hAnsi="Times New Roman" w:cs="Times New Roman"/>
                    </w:rPr>
                    <w:t>生产车间</w:t>
                  </w:r>
                </w:p>
              </w:tc>
              <w:tc>
                <w:tcPr>
                  <w:tcW w:w="3529" w:type="pct"/>
                  <w:vAlign w:val="center"/>
                </w:tcPr>
                <w:p w14:paraId="7538D2DD">
                  <w:pPr>
                    <w:pStyle w:val="6"/>
                    <w:jc w:val="center"/>
                    <w:rPr>
                      <w:rFonts w:hint="eastAsia" w:ascii="Times New Roman" w:hAnsi="Times New Roman" w:eastAsia="宋体"/>
                      <w:color w:val="auto"/>
                      <w:sz w:val="21"/>
                      <w:szCs w:val="21"/>
                      <w:lang w:val="en-US" w:eastAsia="zh-CN"/>
                    </w:rPr>
                  </w:pPr>
                  <w:r>
                    <w:rPr>
                      <w:rFonts w:hint="default" w:ascii="Times New Roman" w:hAnsi="Times New Roman"/>
                      <w:b w:val="0"/>
                      <w:color w:val="auto"/>
                      <w:sz w:val="21"/>
                      <w:szCs w:val="21"/>
                    </w:rPr>
                    <w:t>1F，建筑面积约1800m</w:t>
                  </w:r>
                  <w:r>
                    <w:rPr>
                      <w:rFonts w:hint="default" w:ascii="Times New Roman" w:hAnsi="Times New Roman"/>
                      <w:b w:val="0"/>
                      <w:color w:val="auto"/>
                      <w:sz w:val="21"/>
                      <w:szCs w:val="21"/>
                      <w:vertAlign w:val="superscript"/>
                    </w:rPr>
                    <w:t>2</w:t>
                  </w:r>
                  <w:r>
                    <w:rPr>
                      <w:rFonts w:hint="default" w:ascii="Times New Roman" w:hAnsi="Times New Roman"/>
                      <w:b w:val="0"/>
                      <w:color w:val="auto"/>
                      <w:sz w:val="21"/>
                      <w:szCs w:val="21"/>
                    </w:rPr>
                    <w:t>，厂房高约1</w:t>
                  </w:r>
                  <w:r>
                    <w:rPr>
                      <w:rFonts w:ascii="Times New Roman" w:hAnsi="Times New Roman"/>
                      <w:b w:val="0"/>
                      <w:color w:val="auto"/>
                      <w:sz w:val="21"/>
                      <w:szCs w:val="21"/>
                    </w:rPr>
                    <w:t>0</w:t>
                  </w:r>
                  <w:r>
                    <w:rPr>
                      <w:rFonts w:hint="default" w:ascii="Times New Roman" w:hAnsi="Times New Roman"/>
                      <w:b w:val="0"/>
                      <w:color w:val="auto"/>
                      <w:sz w:val="21"/>
                      <w:szCs w:val="21"/>
                    </w:rPr>
                    <w:t>m，设置成品区，焊接区、原料区、</w:t>
                  </w:r>
                  <w:r>
                    <w:rPr>
                      <w:rFonts w:hint="eastAsia" w:ascii="Times New Roman" w:hAnsi="Times New Roman"/>
                      <w:b w:val="0"/>
                      <w:color w:val="auto"/>
                      <w:sz w:val="21"/>
                      <w:szCs w:val="21"/>
                      <w:lang w:val="en-US" w:eastAsia="zh-CN"/>
                    </w:rPr>
                    <w:t>生产加工区、</w:t>
                  </w:r>
                  <w:r>
                    <w:rPr>
                      <w:rFonts w:hint="default" w:ascii="Times New Roman" w:hAnsi="Times New Roman"/>
                      <w:b w:val="0"/>
                      <w:color w:val="auto"/>
                      <w:sz w:val="21"/>
                      <w:szCs w:val="21"/>
                    </w:rPr>
                    <w:t>办公区等</w:t>
                  </w:r>
                  <w:r>
                    <w:rPr>
                      <w:rFonts w:hint="eastAsia" w:ascii="Times New Roman" w:hAnsi="Times New Roman"/>
                      <w:b w:val="0"/>
                      <w:color w:val="auto"/>
                      <w:sz w:val="21"/>
                      <w:szCs w:val="21"/>
                      <w:lang w:eastAsia="zh-CN"/>
                    </w:rPr>
                    <w:t>。</w:t>
                  </w:r>
                  <w:r>
                    <w:rPr>
                      <w:rFonts w:hint="eastAsia" w:ascii="Times New Roman" w:hAnsi="Times New Roman"/>
                      <w:b w:val="0"/>
                      <w:color w:val="auto"/>
                      <w:sz w:val="21"/>
                      <w:szCs w:val="21"/>
                      <w:lang w:val="en-US" w:eastAsia="zh-CN"/>
                    </w:rPr>
                    <w:t>生产加工区为单线生产，区域内</w:t>
                  </w:r>
                  <w:r>
                    <w:rPr>
                      <w:rFonts w:hint="default" w:ascii="Times New Roman" w:hAnsi="Times New Roman"/>
                      <w:b w:val="0"/>
                      <w:color w:val="auto"/>
                      <w:sz w:val="21"/>
                      <w:szCs w:val="21"/>
                    </w:rPr>
                    <w:t>布置折弯机、焊接机、激光切割机、喷塑</w:t>
                  </w:r>
                  <w:r>
                    <w:rPr>
                      <w:rFonts w:hint="default" w:ascii="Times New Roman" w:hAnsi="Times New Roman" w:cs="Times New Roman"/>
                      <w:b w:val="0"/>
                      <w:color w:val="auto"/>
                      <w:sz w:val="21"/>
                      <w:szCs w:val="21"/>
                    </w:rPr>
                    <w:t>房</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lang w:val="en-US" w:eastAsia="zh-CN"/>
                    </w:rPr>
                    <w:t>6m×3.8m×2.8m</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w:t>
                  </w:r>
                  <w:r>
                    <w:rPr>
                      <w:rFonts w:hint="default" w:ascii="Times New Roman" w:hAnsi="Times New Roman" w:cs="Times New Roman"/>
                      <w:b w:val="0"/>
                      <w:color w:val="auto"/>
                      <w:sz w:val="21"/>
                      <w:szCs w:val="21"/>
                      <w:lang w:val="en-US" w:eastAsia="zh-CN"/>
                    </w:rPr>
                    <w:t>固化房（6.9m×2.9m×2.8m）</w:t>
                  </w:r>
                  <w:r>
                    <w:rPr>
                      <w:rFonts w:hint="default" w:ascii="Times New Roman" w:hAnsi="Times New Roman" w:cs="Times New Roman"/>
                      <w:b w:val="0"/>
                      <w:color w:val="auto"/>
                      <w:sz w:val="21"/>
                      <w:szCs w:val="21"/>
                    </w:rPr>
                    <w:t>等生产设备</w:t>
                  </w:r>
                </w:p>
              </w:tc>
              <w:tc>
                <w:tcPr>
                  <w:tcW w:w="708" w:type="pct"/>
                  <w:vAlign w:val="center"/>
                </w:tcPr>
                <w:p w14:paraId="1FFE61E5">
                  <w:pPr>
                    <w:pStyle w:val="33"/>
                    <w:rPr>
                      <w:rFonts w:ascii="Times New Roman" w:hAnsi="Times New Roman" w:eastAsia="宋体" w:cs="Times New Roman"/>
                      <w:lang w:eastAsia="zh-CN"/>
                    </w:rPr>
                  </w:pPr>
                  <w:r>
                    <w:rPr>
                      <w:rFonts w:ascii="Times New Roman" w:hAnsi="Times New Roman" w:eastAsia="宋体" w:cs="Times New Roman"/>
                      <w:color w:val="000000" w:themeColor="text1"/>
                      <w:lang w:eastAsia="zh-CN"/>
                      <w14:textFill>
                        <w14:solidFill>
                          <w14:schemeClr w14:val="tx1"/>
                        </w14:solidFill>
                      </w14:textFill>
                    </w:rPr>
                    <w:t>厂房租赁、设备购置</w:t>
                  </w:r>
                </w:p>
              </w:tc>
            </w:tr>
            <w:tr w14:paraId="65646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Align w:val="center"/>
                </w:tcPr>
                <w:p w14:paraId="45CA5983">
                  <w:pPr>
                    <w:pStyle w:val="33"/>
                    <w:rPr>
                      <w:rFonts w:ascii="Times New Roman" w:hAnsi="Times New Roman" w:cs="Times New Roman"/>
                    </w:rPr>
                  </w:pPr>
                  <w:r>
                    <w:rPr>
                      <w:rFonts w:ascii="Times New Roman" w:hAnsi="Times New Roman" w:cs="Times New Roman"/>
                    </w:rPr>
                    <w:t>辅助工程</w:t>
                  </w:r>
                </w:p>
              </w:tc>
              <w:tc>
                <w:tcPr>
                  <w:tcW w:w="446" w:type="pct"/>
                  <w:tcBorders>
                    <w:bottom w:val="single" w:color="auto" w:sz="4" w:space="0"/>
                  </w:tcBorders>
                  <w:vAlign w:val="center"/>
                </w:tcPr>
                <w:p w14:paraId="7ED8C63C">
                  <w:pPr>
                    <w:pStyle w:val="43"/>
                    <w:tabs>
                      <w:tab w:val="left" w:pos="7488"/>
                    </w:tabs>
                    <w:rPr>
                      <w:rFonts w:ascii="Times New Roman" w:hAnsi="Times New Roman" w:cs="Times New Roman"/>
                    </w:rPr>
                  </w:pPr>
                  <w:r>
                    <w:rPr>
                      <w:rFonts w:ascii="Times New Roman" w:hAnsi="Times New Roman" w:cs="Times New Roman"/>
                    </w:rPr>
                    <w:t>办公区</w:t>
                  </w:r>
                </w:p>
              </w:tc>
              <w:tc>
                <w:tcPr>
                  <w:tcW w:w="3529" w:type="pct"/>
                  <w:tcBorders>
                    <w:bottom w:val="single" w:color="auto" w:sz="4" w:space="0"/>
                  </w:tcBorders>
                  <w:vAlign w:val="center"/>
                </w:tcPr>
                <w:p w14:paraId="5D39EF38">
                  <w:pPr>
                    <w:pStyle w:val="43"/>
                    <w:tabs>
                      <w:tab w:val="left" w:pos="7488"/>
                    </w:tabs>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集装箱搭设2</w:t>
                  </w:r>
                  <w:r>
                    <w:rPr>
                      <w:rFonts w:ascii="Times New Roman" w:hAnsi="Times New Roman" w:eastAsia="宋体" w:cs="Times New Roman"/>
                      <w:color w:val="auto"/>
                      <w:lang w:eastAsia="zh-CN"/>
                    </w:rPr>
                    <w:t>F</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位于生产车间东北角，建筑面积约50m²</w:t>
                  </w:r>
                </w:p>
              </w:tc>
              <w:tc>
                <w:tcPr>
                  <w:tcW w:w="708" w:type="pct"/>
                  <w:tcBorders>
                    <w:bottom w:val="single" w:color="auto" w:sz="4" w:space="0"/>
                  </w:tcBorders>
                  <w:vAlign w:val="center"/>
                </w:tcPr>
                <w:p w14:paraId="129B2844">
                  <w:pPr>
                    <w:pStyle w:val="43"/>
                    <w:tabs>
                      <w:tab w:val="left" w:pos="7488"/>
                    </w:tabs>
                    <w:rPr>
                      <w:rFonts w:ascii="Times New Roman" w:hAnsi="Times New Roman" w:eastAsia="宋体" w:cs="Times New Roman"/>
                      <w:lang w:eastAsia="zh-CN"/>
                    </w:rPr>
                  </w:pPr>
                  <w:r>
                    <w:rPr>
                      <w:rFonts w:ascii="Times New Roman" w:hAnsi="Times New Roman" w:cs="Times New Roman"/>
                    </w:rPr>
                    <w:t>新建</w:t>
                  </w:r>
                </w:p>
              </w:tc>
            </w:tr>
            <w:tr w14:paraId="71501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restart"/>
                  <w:vAlign w:val="center"/>
                </w:tcPr>
                <w:p w14:paraId="570D2419">
                  <w:pPr>
                    <w:pStyle w:val="33"/>
                    <w:rPr>
                      <w:rFonts w:ascii="Times New Roman" w:hAnsi="Times New Roman" w:cs="Times New Roman"/>
                    </w:rPr>
                  </w:pPr>
                  <w:r>
                    <w:rPr>
                      <w:rFonts w:ascii="Times New Roman" w:hAnsi="Times New Roman" w:cs="Times New Roman"/>
                    </w:rPr>
                    <w:t>储运工程</w:t>
                  </w:r>
                </w:p>
              </w:tc>
              <w:tc>
                <w:tcPr>
                  <w:tcW w:w="446" w:type="pct"/>
                  <w:tcBorders>
                    <w:bottom w:val="single" w:color="auto" w:sz="4" w:space="0"/>
                  </w:tcBorders>
                  <w:vAlign w:val="center"/>
                </w:tcPr>
                <w:p w14:paraId="2E2EC7F9">
                  <w:pPr>
                    <w:pStyle w:val="43"/>
                    <w:tabs>
                      <w:tab w:val="left" w:pos="7488"/>
                    </w:tabs>
                    <w:rPr>
                      <w:rFonts w:ascii="Times New Roman" w:hAnsi="Times New Roman" w:eastAsia="宋体" w:cs="Times New Roman"/>
                      <w:lang w:eastAsia="zh-CN"/>
                    </w:rPr>
                  </w:pPr>
                  <w:r>
                    <w:rPr>
                      <w:rFonts w:ascii="Times New Roman" w:hAnsi="Times New Roman" w:cs="Times New Roman"/>
                    </w:rPr>
                    <w:t>原料</w:t>
                  </w:r>
                  <w:r>
                    <w:rPr>
                      <w:rFonts w:ascii="Times New Roman" w:hAnsi="Times New Roman" w:eastAsia="宋体" w:cs="Times New Roman"/>
                      <w:lang w:eastAsia="zh-CN"/>
                    </w:rPr>
                    <w:t>堆放区</w:t>
                  </w:r>
                </w:p>
              </w:tc>
              <w:tc>
                <w:tcPr>
                  <w:tcW w:w="3529" w:type="pct"/>
                  <w:tcBorders>
                    <w:bottom w:val="single" w:color="auto" w:sz="4" w:space="0"/>
                  </w:tcBorders>
                  <w:vAlign w:val="center"/>
                </w:tcPr>
                <w:p w14:paraId="53BA5CB8">
                  <w:pPr>
                    <w:pStyle w:val="33"/>
                    <w:rPr>
                      <w:rFonts w:ascii="Times New Roman" w:hAnsi="Times New Roman" w:eastAsia="宋体" w:cs="Times New Roman"/>
                      <w:color w:val="auto"/>
                      <w:lang w:eastAsia="zh-CN"/>
                    </w:rPr>
                  </w:pPr>
                  <w:r>
                    <w:rPr>
                      <w:rFonts w:ascii="Times New Roman" w:hAnsi="Times New Roman" w:cs="Times New Roman"/>
                      <w:color w:val="auto"/>
                    </w:rPr>
                    <w:t>车间内设置原料区</w:t>
                  </w:r>
                  <w:r>
                    <w:rPr>
                      <w:rFonts w:ascii="Times New Roman" w:hAnsi="Times New Roman" w:eastAsia="宋体" w:cs="Times New Roman"/>
                      <w:color w:val="auto"/>
                      <w:lang w:eastAsia="zh-CN"/>
                    </w:rPr>
                    <w:t>，位于生产车间东部，建筑面积约120m²，用于存放钢材、钢管、铝板等原辅材料</w:t>
                  </w:r>
                </w:p>
              </w:tc>
              <w:tc>
                <w:tcPr>
                  <w:tcW w:w="708" w:type="pct"/>
                  <w:tcBorders>
                    <w:bottom w:val="single" w:color="auto" w:sz="4" w:space="0"/>
                  </w:tcBorders>
                  <w:vAlign w:val="center"/>
                </w:tcPr>
                <w:p w14:paraId="2F83E0B4">
                  <w:pPr>
                    <w:jc w:val="center"/>
                    <w:rPr>
                      <w:rFonts w:hint="default" w:ascii="Times New Roman" w:hAnsi="Times New Roman" w:eastAsia="宋体" w:cs="Times New Roman"/>
                      <w:lang w:val="en-US" w:eastAsia="zh-CN"/>
                    </w:rPr>
                  </w:pPr>
                  <w:r>
                    <w:rPr>
                      <w:rStyle w:val="26"/>
                      <w:rFonts w:hint="eastAsia" w:eastAsia="宋体"/>
                      <w:lang w:val="en-US" w:eastAsia="zh-CN"/>
                    </w:rPr>
                    <w:t>依托已建厂房</w:t>
                  </w:r>
                </w:p>
              </w:tc>
            </w:tr>
            <w:tr w14:paraId="685E7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28522394">
                  <w:pPr>
                    <w:pStyle w:val="33"/>
                    <w:rPr>
                      <w:rFonts w:ascii="Times New Roman" w:hAnsi="Times New Roman" w:cs="Times New Roman"/>
                    </w:rPr>
                  </w:pPr>
                </w:p>
              </w:tc>
              <w:tc>
                <w:tcPr>
                  <w:tcW w:w="446" w:type="pct"/>
                  <w:tcBorders>
                    <w:top w:val="single" w:color="auto" w:sz="4" w:space="0"/>
                  </w:tcBorders>
                  <w:vAlign w:val="center"/>
                </w:tcPr>
                <w:p w14:paraId="722BB4B6">
                  <w:pPr>
                    <w:pStyle w:val="43"/>
                    <w:tabs>
                      <w:tab w:val="left" w:pos="7488"/>
                    </w:tabs>
                    <w:rPr>
                      <w:rFonts w:ascii="Times New Roman" w:hAnsi="Times New Roman" w:cs="Times New Roman"/>
                    </w:rPr>
                  </w:pPr>
                  <w:r>
                    <w:rPr>
                      <w:rFonts w:ascii="Times New Roman" w:hAnsi="Times New Roman" w:cs="Times New Roman"/>
                    </w:rPr>
                    <w:t>半成品区</w:t>
                  </w:r>
                </w:p>
              </w:tc>
              <w:tc>
                <w:tcPr>
                  <w:tcW w:w="3529" w:type="pct"/>
                  <w:tcBorders>
                    <w:top w:val="single" w:color="auto" w:sz="4" w:space="0"/>
                  </w:tcBorders>
                  <w:vAlign w:val="center"/>
                </w:tcPr>
                <w:p w14:paraId="11C0A30E">
                  <w:pPr>
                    <w:pStyle w:val="33"/>
                    <w:rPr>
                      <w:rFonts w:ascii="Times New Roman" w:hAnsi="Times New Roman" w:eastAsia="宋体" w:cs="Times New Roman"/>
                      <w:color w:val="auto"/>
                      <w:lang w:eastAsia="zh-CN"/>
                    </w:rPr>
                  </w:pPr>
                  <w:r>
                    <w:rPr>
                      <w:rFonts w:ascii="Times New Roman" w:hAnsi="Times New Roman" w:eastAsia="宋体" w:cs="Times New Roman"/>
                      <w:color w:val="auto"/>
                      <w:lang w:eastAsia="zh-CN"/>
                    </w:rPr>
                    <w:t>车间内设置半成品区，位于生产车间西南部，建筑面积约200m²</w:t>
                  </w:r>
                </w:p>
              </w:tc>
              <w:tc>
                <w:tcPr>
                  <w:tcW w:w="708" w:type="pct"/>
                  <w:tcBorders>
                    <w:top w:val="single" w:color="auto" w:sz="4" w:space="0"/>
                  </w:tcBorders>
                  <w:vAlign w:val="center"/>
                </w:tcPr>
                <w:p w14:paraId="263C0A28">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依托已建厂房</w:t>
                  </w:r>
                </w:p>
              </w:tc>
            </w:tr>
            <w:tr w14:paraId="1386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0A390F51">
                  <w:pPr>
                    <w:pStyle w:val="33"/>
                    <w:rPr>
                      <w:rFonts w:ascii="Times New Roman" w:hAnsi="Times New Roman" w:cs="Times New Roman"/>
                    </w:rPr>
                  </w:pPr>
                </w:p>
              </w:tc>
              <w:tc>
                <w:tcPr>
                  <w:tcW w:w="446" w:type="pct"/>
                  <w:tcBorders>
                    <w:top w:val="single" w:color="auto" w:sz="4" w:space="0"/>
                  </w:tcBorders>
                  <w:vAlign w:val="center"/>
                </w:tcPr>
                <w:p w14:paraId="4A0D5F41">
                  <w:pPr>
                    <w:pStyle w:val="43"/>
                    <w:tabs>
                      <w:tab w:val="left" w:pos="7488"/>
                    </w:tabs>
                    <w:rPr>
                      <w:rFonts w:ascii="Times New Roman" w:hAnsi="Times New Roman" w:eastAsia="宋体" w:cs="Times New Roman"/>
                      <w:lang w:eastAsia="zh-CN"/>
                    </w:rPr>
                  </w:pPr>
                  <w:r>
                    <w:rPr>
                      <w:rFonts w:ascii="Times New Roman" w:hAnsi="Times New Roman" w:eastAsia="宋体" w:cs="Times New Roman"/>
                      <w:lang w:eastAsia="zh-CN"/>
                    </w:rPr>
                    <w:t>成品堆放区</w:t>
                  </w:r>
                </w:p>
              </w:tc>
              <w:tc>
                <w:tcPr>
                  <w:tcW w:w="3529" w:type="pct"/>
                  <w:tcBorders>
                    <w:top w:val="single" w:color="auto" w:sz="4" w:space="0"/>
                  </w:tcBorders>
                  <w:vAlign w:val="center"/>
                </w:tcPr>
                <w:p w14:paraId="7E0C2FBA">
                  <w:pPr>
                    <w:pStyle w:val="33"/>
                    <w:rPr>
                      <w:rFonts w:ascii="Times New Roman" w:hAnsi="Times New Roman" w:eastAsia="宋体" w:cs="Times New Roman"/>
                      <w:color w:val="auto"/>
                      <w:lang w:eastAsia="zh-CN"/>
                    </w:rPr>
                  </w:pPr>
                  <w:r>
                    <w:rPr>
                      <w:rFonts w:ascii="Times New Roman" w:hAnsi="Times New Roman" w:eastAsia="宋体" w:cs="Times New Roman"/>
                      <w:color w:val="auto"/>
                      <w:lang w:eastAsia="zh-CN"/>
                    </w:rPr>
                    <w:t>车间内设置成品存放区，位于生产车间北部，建筑面积约500m²</w:t>
                  </w:r>
                </w:p>
              </w:tc>
              <w:tc>
                <w:tcPr>
                  <w:tcW w:w="708" w:type="pct"/>
                  <w:tcBorders>
                    <w:top w:val="single" w:color="auto" w:sz="4" w:space="0"/>
                  </w:tcBorders>
                  <w:vAlign w:val="center"/>
                </w:tcPr>
                <w:p w14:paraId="34900116">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依托已建厂房</w:t>
                  </w:r>
                </w:p>
              </w:tc>
            </w:tr>
            <w:tr w14:paraId="11488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restart"/>
                  <w:vAlign w:val="center"/>
                </w:tcPr>
                <w:p w14:paraId="275F1932">
                  <w:pPr>
                    <w:pStyle w:val="33"/>
                    <w:rPr>
                      <w:rFonts w:ascii="Times New Roman" w:hAnsi="Times New Roman" w:cs="Times New Roman"/>
                    </w:rPr>
                  </w:pPr>
                  <w:r>
                    <w:rPr>
                      <w:rFonts w:ascii="Times New Roman" w:hAnsi="Times New Roman" w:cs="Times New Roman"/>
                    </w:rPr>
                    <w:t>公用工程</w:t>
                  </w:r>
                </w:p>
              </w:tc>
              <w:tc>
                <w:tcPr>
                  <w:tcW w:w="446" w:type="pct"/>
                  <w:vAlign w:val="center"/>
                </w:tcPr>
                <w:p w14:paraId="065653FB">
                  <w:pPr>
                    <w:pStyle w:val="33"/>
                    <w:rPr>
                      <w:rFonts w:ascii="Times New Roman" w:hAnsi="Times New Roman" w:cs="Times New Roman"/>
                    </w:rPr>
                  </w:pPr>
                  <w:r>
                    <w:rPr>
                      <w:rFonts w:ascii="Times New Roman" w:hAnsi="Times New Roman" w:cs="Times New Roman"/>
                    </w:rPr>
                    <w:t>供水工程</w:t>
                  </w:r>
                </w:p>
              </w:tc>
              <w:tc>
                <w:tcPr>
                  <w:tcW w:w="3529" w:type="pct"/>
                  <w:vAlign w:val="center"/>
                </w:tcPr>
                <w:p w14:paraId="38E07C3B">
                  <w:pPr>
                    <w:pStyle w:val="33"/>
                    <w:rPr>
                      <w:rFonts w:hint="eastAsia" w:ascii="Times New Roman" w:hAnsi="Times New Roman" w:eastAsia="宋体" w:cs="Times New Roman"/>
                      <w:lang w:eastAsia="zh-CN"/>
                    </w:rPr>
                  </w:pPr>
                  <w:r>
                    <w:rPr>
                      <w:rFonts w:ascii="Times New Roman" w:hAnsi="Times New Roman" w:cs="Times New Roman"/>
                      <w:color w:val="auto"/>
                    </w:rPr>
                    <w:t>园区供水系统，用水量为</w:t>
                  </w:r>
                  <w:r>
                    <w:rPr>
                      <w:rFonts w:hint="eastAsia" w:ascii="Times New Roman" w:hAnsi="Times New Roman" w:eastAsia="宋体" w:cs="Times New Roman"/>
                      <w:color w:val="auto"/>
                      <w:lang w:eastAsia="zh-CN"/>
                    </w:rPr>
                    <w:t>108</w:t>
                  </w:r>
                  <w:r>
                    <w:rPr>
                      <w:rFonts w:ascii="Times New Roman" w:hAnsi="Times New Roman" w:cs="Times New Roman"/>
                      <w:color w:val="auto"/>
                    </w:rPr>
                    <w:t>t/a</w:t>
                  </w:r>
                </w:p>
              </w:tc>
              <w:tc>
                <w:tcPr>
                  <w:tcW w:w="708" w:type="pct"/>
                  <w:vAlign w:val="center"/>
                </w:tcPr>
                <w:p w14:paraId="170AB82E">
                  <w:pPr>
                    <w:jc w:val="center"/>
                    <w:rPr>
                      <w:rFonts w:ascii="Times New Roman" w:hAnsi="Times New Roman" w:cs="Times New Roman"/>
                    </w:rPr>
                  </w:pPr>
                  <w:r>
                    <w:rPr>
                      <w:rFonts w:ascii="Times New Roman" w:hAnsi="Times New Roman" w:cs="Times New Roman"/>
                    </w:rPr>
                    <w:t>依托园区</w:t>
                  </w:r>
                </w:p>
              </w:tc>
            </w:tr>
            <w:tr w14:paraId="11835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2585B646">
                  <w:pPr>
                    <w:pStyle w:val="33"/>
                    <w:rPr>
                      <w:rFonts w:ascii="Times New Roman" w:hAnsi="Times New Roman" w:cs="Times New Roman"/>
                    </w:rPr>
                  </w:pPr>
                </w:p>
              </w:tc>
              <w:tc>
                <w:tcPr>
                  <w:tcW w:w="446" w:type="pct"/>
                  <w:vAlign w:val="center"/>
                </w:tcPr>
                <w:p w14:paraId="15AE502F">
                  <w:pPr>
                    <w:pStyle w:val="33"/>
                    <w:rPr>
                      <w:rFonts w:ascii="Times New Roman" w:hAnsi="Times New Roman" w:cs="Times New Roman"/>
                    </w:rPr>
                  </w:pPr>
                  <w:r>
                    <w:rPr>
                      <w:rFonts w:ascii="Times New Roman" w:hAnsi="Times New Roman" w:cs="Times New Roman"/>
                    </w:rPr>
                    <w:t>排水工程</w:t>
                  </w:r>
                </w:p>
              </w:tc>
              <w:tc>
                <w:tcPr>
                  <w:tcW w:w="3529" w:type="pct"/>
                  <w:vAlign w:val="center"/>
                </w:tcPr>
                <w:p w14:paraId="5B46C9C1">
                  <w:pPr>
                    <w:pStyle w:val="44"/>
                    <w:ind w:firstLine="0"/>
                    <w:jc w:val="center"/>
                    <w:rPr>
                      <w:rFonts w:hint="eastAsia" w:ascii="Times New Roman" w:hAnsi="Times New Roman" w:eastAsia="宋体" w:cs="Times New Roman"/>
                      <w:highlight w:val="yellow"/>
                      <w:lang w:eastAsia="zh-CN"/>
                    </w:rPr>
                  </w:pPr>
                  <w:r>
                    <w:rPr>
                      <w:rFonts w:ascii="Times New Roman" w:hAnsi="Times New Roman" w:eastAsia="宋体" w:cs="Times New Roman"/>
                      <w:w w:val="100"/>
                    </w:rPr>
                    <w:t>项目排水实行雨污分流制，雨水进入市政雨水管网。生活污水经化粪池处理后排入园区污水管网</w:t>
                  </w:r>
                </w:p>
              </w:tc>
              <w:tc>
                <w:tcPr>
                  <w:tcW w:w="708" w:type="pct"/>
                  <w:vAlign w:val="center"/>
                </w:tcPr>
                <w:p w14:paraId="45B6D12C">
                  <w:pPr>
                    <w:jc w:val="center"/>
                    <w:rPr>
                      <w:rFonts w:ascii="Times New Roman" w:hAnsi="Times New Roman" w:cs="Times New Roman"/>
                    </w:rPr>
                  </w:pPr>
                  <w:r>
                    <w:rPr>
                      <w:rFonts w:ascii="Times New Roman" w:hAnsi="Times New Roman" w:cs="Times New Roman"/>
                    </w:rPr>
                    <w:t>依托园区</w:t>
                  </w:r>
                </w:p>
              </w:tc>
            </w:tr>
            <w:tr w14:paraId="3657D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77105F60">
                  <w:pPr>
                    <w:pStyle w:val="33"/>
                    <w:rPr>
                      <w:rFonts w:ascii="Times New Roman" w:hAnsi="Times New Roman" w:cs="Times New Roman"/>
                    </w:rPr>
                  </w:pPr>
                </w:p>
              </w:tc>
              <w:tc>
                <w:tcPr>
                  <w:tcW w:w="446" w:type="pct"/>
                  <w:vAlign w:val="center"/>
                </w:tcPr>
                <w:p w14:paraId="4A27D332">
                  <w:pPr>
                    <w:pStyle w:val="33"/>
                    <w:rPr>
                      <w:rFonts w:ascii="Times New Roman" w:hAnsi="Times New Roman" w:cs="Times New Roman"/>
                    </w:rPr>
                  </w:pPr>
                  <w:r>
                    <w:rPr>
                      <w:rFonts w:ascii="Times New Roman" w:hAnsi="Times New Roman" w:cs="Times New Roman"/>
                    </w:rPr>
                    <w:t>供电工程</w:t>
                  </w:r>
                </w:p>
              </w:tc>
              <w:tc>
                <w:tcPr>
                  <w:tcW w:w="3529" w:type="pct"/>
                  <w:vAlign w:val="center"/>
                </w:tcPr>
                <w:p w14:paraId="74DDFF9A">
                  <w:pPr>
                    <w:pStyle w:val="33"/>
                    <w:rPr>
                      <w:rFonts w:hint="eastAsia" w:ascii="Times New Roman" w:hAnsi="Times New Roman" w:eastAsia="宋体" w:cs="Times New Roman"/>
                      <w:lang w:eastAsia="zh-CN"/>
                    </w:rPr>
                  </w:pPr>
                  <w:r>
                    <w:rPr>
                      <w:rFonts w:ascii="Times New Roman" w:hAnsi="Times New Roman" w:cs="Times New Roman"/>
                    </w:rPr>
                    <w:t>园区供电系统</w:t>
                  </w:r>
                </w:p>
              </w:tc>
              <w:tc>
                <w:tcPr>
                  <w:tcW w:w="708" w:type="pct"/>
                  <w:vAlign w:val="center"/>
                </w:tcPr>
                <w:p w14:paraId="03A39A01">
                  <w:pPr>
                    <w:jc w:val="center"/>
                    <w:rPr>
                      <w:rFonts w:ascii="Times New Roman" w:hAnsi="Times New Roman" w:cs="Times New Roman"/>
                    </w:rPr>
                  </w:pPr>
                  <w:r>
                    <w:rPr>
                      <w:rFonts w:ascii="Times New Roman" w:hAnsi="Times New Roman" w:cs="Times New Roman"/>
                    </w:rPr>
                    <w:t>依托园区</w:t>
                  </w:r>
                </w:p>
              </w:tc>
            </w:tr>
            <w:tr w14:paraId="04A15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16" w:type="pct"/>
                  <w:vMerge w:val="restart"/>
                  <w:vAlign w:val="center"/>
                </w:tcPr>
                <w:p w14:paraId="61F73FFB">
                  <w:pPr>
                    <w:pStyle w:val="33"/>
                    <w:rPr>
                      <w:rFonts w:ascii="Times New Roman" w:hAnsi="Times New Roman" w:cs="Times New Roman"/>
                    </w:rPr>
                  </w:pPr>
                  <w:r>
                    <w:rPr>
                      <w:rFonts w:ascii="Times New Roman" w:hAnsi="Times New Roman" w:cs="Times New Roman"/>
                    </w:rPr>
                    <w:t>环保工程</w:t>
                  </w:r>
                </w:p>
              </w:tc>
              <w:tc>
                <w:tcPr>
                  <w:tcW w:w="446" w:type="pct"/>
                  <w:vMerge w:val="restart"/>
                  <w:vAlign w:val="center"/>
                </w:tcPr>
                <w:p w14:paraId="655E743F">
                  <w:pPr>
                    <w:pStyle w:val="33"/>
                    <w:rPr>
                      <w:rFonts w:ascii="Times New Roman" w:hAnsi="Times New Roman" w:cs="Times New Roman"/>
                    </w:rPr>
                  </w:pPr>
                  <w:r>
                    <w:rPr>
                      <w:rFonts w:ascii="Times New Roman" w:hAnsi="Times New Roman" w:cs="Times New Roman"/>
                    </w:rPr>
                    <w:t>废气处理</w:t>
                  </w:r>
                </w:p>
              </w:tc>
              <w:tc>
                <w:tcPr>
                  <w:tcW w:w="3529" w:type="pct"/>
                  <w:tcBorders>
                    <w:bottom w:val="single" w:color="auto" w:sz="4" w:space="0"/>
                  </w:tcBorders>
                  <w:vAlign w:val="center"/>
                </w:tcPr>
                <w:p w14:paraId="739E7C96">
                  <w:pPr>
                    <w:pStyle w:val="33"/>
                    <w:rPr>
                      <w:rFonts w:ascii="Times New Roman" w:hAnsi="Times New Roman" w:eastAsia="宋体" w:cs="Times New Roman"/>
                      <w:lang w:eastAsia="zh-CN"/>
                    </w:rPr>
                  </w:pPr>
                  <w:r>
                    <w:rPr>
                      <w:rFonts w:ascii="Times New Roman" w:hAnsi="Times New Roman" w:eastAsia="宋体" w:cs="Times New Roman"/>
                      <w:lang w:eastAsia="zh-CN"/>
                    </w:rPr>
                    <w:t>下料、焊接</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抛光</w:t>
                  </w:r>
                  <w:r>
                    <w:rPr>
                      <w:rFonts w:ascii="Times New Roman" w:hAnsi="Times New Roman" w:eastAsia="宋体" w:cs="Times New Roman"/>
                      <w:lang w:eastAsia="zh-CN"/>
                    </w:rPr>
                    <w:t>废气经集气罩收集后经布袋除尘器处理后通过15m高排气筒排放（DA001）</w:t>
                  </w:r>
                </w:p>
              </w:tc>
              <w:tc>
                <w:tcPr>
                  <w:tcW w:w="708" w:type="pct"/>
                  <w:tcBorders>
                    <w:bottom w:val="single" w:color="auto" w:sz="4" w:space="0"/>
                  </w:tcBorders>
                  <w:vAlign w:val="center"/>
                </w:tcPr>
                <w:p w14:paraId="221E6F52">
                  <w:pPr>
                    <w:jc w:val="center"/>
                    <w:rPr>
                      <w:rFonts w:ascii="Times New Roman" w:hAnsi="Times New Roman" w:cs="Times New Roman"/>
                    </w:rPr>
                  </w:pPr>
                  <w:r>
                    <w:rPr>
                      <w:rFonts w:ascii="Times New Roman" w:hAnsi="Times New Roman" w:cs="Times New Roman"/>
                    </w:rPr>
                    <w:t>新建</w:t>
                  </w:r>
                </w:p>
              </w:tc>
            </w:tr>
            <w:tr w14:paraId="67D4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3C3D8A9E">
                  <w:pPr>
                    <w:pStyle w:val="33"/>
                    <w:rPr>
                      <w:rFonts w:ascii="Times New Roman" w:hAnsi="Times New Roman" w:cs="Times New Roman"/>
                    </w:rPr>
                  </w:pPr>
                </w:p>
              </w:tc>
              <w:tc>
                <w:tcPr>
                  <w:tcW w:w="446" w:type="pct"/>
                  <w:vMerge w:val="continue"/>
                  <w:vAlign w:val="center"/>
                </w:tcPr>
                <w:p w14:paraId="1FFB97B5">
                  <w:pPr>
                    <w:pStyle w:val="33"/>
                    <w:rPr>
                      <w:rFonts w:ascii="Times New Roman" w:hAnsi="Times New Roman" w:cs="Times New Roman"/>
                    </w:rPr>
                  </w:pPr>
                </w:p>
              </w:tc>
              <w:tc>
                <w:tcPr>
                  <w:tcW w:w="3529" w:type="pct"/>
                  <w:tcBorders>
                    <w:bottom w:val="single" w:color="auto" w:sz="4" w:space="0"/>
                  </w:tcBorders>
                  <w:vAlign w:val="center"/>
                </w:tcPr>
                <w:p w14:paraId="11F7B919">
                  <w:pPr>
                    <w:pStyle w:val="33"/>
                    <w:rPr>
                      <w:rFonts w:hint="eastAsia" w:ascii="Times New Roman" w:hAnsi="Times New Roman" w:eastAsia="宋体" w:cs="Times New Roman"/>
                      <w:b/>
                      <w:bCs/>
                      <w:lang w:eastAsia="zh-CN"/>
                    </w:rPr>
                  </w:pPr>
                  <w:r>
                    <w:rPr>
                      <w:rFonts w:ascii="Times New Roman" w:hAnsi="Times New Roman" w:cs="Times New Roman"/>
                    </w:rPr>
                    <w:t>喷塑废气通过密闭负压收集后通过滤芯</w:t>
                  </w:r>
                  <w:r>
                    <w:rPr>
                      <w:rFonts w:ascii="Times New Roman" w:hAnsi="Times New Roman" w:eastAsia="宋体" w:cs="Times New Roman"/>
                      <w:lang w:eastAsia="zh-CN"/>
                    </w:rPr>
                    <w:t>除尘+布袋除尘器</w:t>
                  </w:r>
                  <w:r>
                    <w:rPr>
                      <w:rFonts w:ascii="Times New Roman" w:hAnsi="Times New Roman" w:cs="Times New Roman"/>
                    </w:rPr>
                    <w:t>处理后经1根15m高排气筒排放（DA00</w:t>
                  </w:r>
                  <w:r>
                    <w:rPr>
                      <w:rFonts w:ascii="Times New Roman" w:hAnsi="Times New Roman" w:eastAsia="宋体" w:cs="Times New Roman"/>
                      <w:lang w:eastAsia="zh-CN"/>
                    </w:rPr>
                    <w:t>2</w:t>
                  </w:r>
                  <w:r>
                    <w:rPr>
                      <w:rFonts w:ascii="Times New Roman" w:hAnsi="Times New Roman" w:cs="Times New Roman"/>
                    </w:rPr>
                    <w:t>）</w:t>
                  </w:r>
                </w:p>
              </w:tc>
              <w:tc>
                <w:tcPr>
                  <w:tcW w:w="708" w:type="pct"/>
                  <w:tcBorders>
                    <w:bottom w:val="single" w:color="auto" w:sz="4" w:space="0"/>
                  </w:tcBorders>
                  <w:vAlign w:val="center"/>
                </w:tcPr>
                <w:p w14:paraId="6784AC5A">
                  <w:pPr>
                    <w:jc w:val="center"/>
                    <w:rPr>
                      <w:rFonts w:ascii="Times New Roman" w:hAnsi="Times New Roman" w:cs="Times New Roman"/>
                    </w:rPr>
                  </w:pPr>
                  <w:r>
                    <w:rPr>
                      <w:rFonts w:ascii="Times New Roman" w:hAnsi="Times New Roman" w:cs="Times New Roman"/>
                    </w:rPr>
                    <w:t>新建</w:t>
                  </w:r>
                </w:p>
              </w:tc>
            </w:tr>
            <w:tr w14:paraId="56669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6CFC2827">
                  <w:pPr>
                    <w:pStyle w:val="33"/>
                    <w:rPr>
                      <w:rFonts w:ascii="Times New Roman" w:hAnsi="Times New Roman" w:cs="Times New Roman"/>
                    </w:rPr>
                  </w:pPr>
                </w:p>
              </w:tc>
              <w:tc>
                <w:tcPr>
                  <w:tcW w:w="446" w:type="pct"/>
                  <w:vMerge w:val="continue"/>
                  <w:vAlign w:val="center"/>
                </w:tcPr>
                <w:p w14:paraId="209D465F">
                  <w:pPr>
                    <w:pStyle w:val="33"/>
                    <w:rPr>
                      <w:rFonts w:ascii="Times New Roman" w:hAnsi="Times New Roman" w:cs="Times New Roman"/>
                    </w:rPr>
                  </w:pPr>
                </w:p>
              </w:tc>
              <w:tc>
                <w:tcPr>
                  <w:tcW w:w="3529" w:type="pct"/>
                  <w:tcBorders>
                    <w:top w:val="single" w:color="auto" w:sz="4" w:space="0"/>
                  </w:tcBorders>
                  <w:vAlign w:val="center"/>
                </w:tcPr>
                <w:p w14:paraId="4CA17B0F">
                  <w:pPr>
                    <w:pStyle w:val="33"/>
                    <w:rPr>
                      <w:rFonts w:hint="eastAsia" w:ascii="Times New Roman" w:hAnsi="Times New Roman" w:eastAsia="宋体" w:cs="Times New Roman"/>
                      <w:lang w:eastAsia="zh-CN"/>
                    </w:rPr>
                  </w:pPr>
                  <w:r>
                    <w:rPr>
                      <w:rFonts w:ascii="Times New Roman" w:hAnsi="Times New Roman" w:cs="Times New Roman"/>
                    </w:rPr>
                    <w:t>固化废气通过</w:t>
                  </w:r>
                  <w:r>
                    <w:rPr>
                      <w:rFonts w:ascii="Times New Roman" w:hAnsi="Times New Roman" w:eastAsia="宋体" w:cs="Times New Roman"/>
                      <w:lang w:eastAsia="zh-CN"/>
                    </w:rPr>
                    <w:t>集气罩收集</w:t>
                  </w:r>
                  <w:r>
                    <w:rPr>
                      <w:rFonts w:ascii="Times New Roman" w:hAnsi="Times New Roman" w:cs="Times New Roman"/>
                      <w:lang w:eastAsia="zh-CN"/>
                    </w:rPr>
                    <w:t>+</w:t>
                  </w:r>
                  <w:r>
                    <w:rPr>
                      <w:rFonts w:ascii="Times New Roman" w:hAnsi="Times New Roman" w:cs="Times New Roman"/>
                      <w:color w:val="000000" w:themeColor="text1"/>
                      <w:lang w:eastAsia="zh-CN"/>
                      <w14:textFill>
                        <w14:solidFill>
                          <w14:schemeClr w14:val="tx1"/>
                        </w14:solidFill>
                      </w14:textFill>
                    </w:rPr>
                    <w:t>风冷</w:t>
                  </w:r>
                  <w:r>
                    <w:rPr>
                      <w:rFonts w:ascii="Times New Roman" w:hAnsi="Times New Roman" w:cs="Times New Roman"/>
                      <w:lang w:eastAsia="zh-CN"/>
                    </w:rPr>
                    <w:t>+</w:t>
                  </w:r>
                  <w:r>
                    <w:rPr>
                      <w:rFonts w:ascii="Times New Roman" w:hAnsi="Times New Roman" w:cs="Times New Roman"/>
                    </w:rPr>
                    <w:t>二级活性炭吸附装置处理后经1根15m高排气筒排放（DA00</w:t>
                  </w:r>
                  <w:r>
                    <w:rPr>
                      <w:rFonts w:ascii="Times New Roman" w:hAnsi="Times New Roman" w:eastAsia="宋体" w:cs="Times New Roman"/>
                      <w:lang w:eastAsia="zh-CN"/>
                    </w:rPr>
                    <w:t>3</w:t>
                  </w:r>
                  <w:r>
                    <w:rPr>
                      <w:rFonts w:ascii="Times New Roman" w:hAnsi="Times New Roman" w:cs="Times New Roman"/>
                    </w:rPr>
                    <w:t>）</w:t>
                  </w:r>
                </w:p>
              </w:tc>
              <w:tc>
                <w:tcPr>
                  <w:tcW w:w="708" w:type="pct"/>
                  <w:tcBorders>
                    <w:top w:val="single" w:color="auto" w:sz="4" w:space="0"/>
                  </w:tcBorders>
                  <w:vAlign w:val="center"/>
                </w:tcPr>
                <w:p w14:paraId="69FAD267">
                  <w:pPr>
                    <w:jc w:val="center"/>
                    <w:rPr>
                      <w:rFonts w:ascii="Times New Roman" w:hAnsi="Times New Roman" w:cs="Times New Roman"/>
                    </w:rPr>
                  </w:pPr>
                  <w:r>
                    <w:rPr>
                      <w:rFonts w:ascii="Times New Roman" w:hAnsi="Times New Roman" w:cs="Times New Roman"/>
                    </w:rPr>
                    <w:t>新建</w:t>
                  </w:r>
                </w:p>
              </w:tc>
            </w:tr>
            <w:tr w14:paraId="36700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39F24837">
                  <w:pPr>
                    <w:pStyle w:val="33"/>
                    <w:rPr>
                      <w:rFonts w:ascii="Times New Roman" w:hAnsi="Times New Roman" w:cs="Times New Roman"/>
                    </w:rPr>
                  </w:pPr>
                </w:p>
              </w:tc>
              <w:tc>
                <w:tcPr>
                  <w:tcW w:w="446" w:type="pct"/>
                  <w:vAlign w:val="center"/>
                </w:tcPr>
                <w:p w14:paraId="1EC9406C">
                  <w:pPr>
                    <w:pStyle w:val="33"/>
                    <w:rPr>
                      <w:rFonts w:ascii="Times New Roman" w:hAnsi="Times New Roman" w:cs="Times New Roman"/>
                    </w:rPr>
                  </w:pPr>
                  <w:r>
                    <w:rPr>
                      <w:rFonts w:ascii="Times New Roman" w:hAnsi="Times New Roman" w:cs="Times New Roman"/>
                    </w:rPr>
                    <w:t>废水处理</w:t>
                  </w:r>
                </w:p>
              </w:tc>
              <w:tc>
                <w:tcPr>
                  <w:tcW w:w="3529" w:type="pct"/>
                  <w:vAlign w:val="center"/>
                </w:tcPr>
                <w:p w14:paraId="29B92BEE">
                  <w:pPr>
                    <w:pStyle w:val="43"/>
                    <w:tabs>
                      <w:tab w:val="left" w:pos="7488"/>
                    </w:tabs>
                    <w:rPr>
                      <w:rFonts w:hint="eastAsia" w:ascii="Times New Roman" w:hAnsi="Times New Roman" w:eastAsia="宋体" w:cs="Times New Roman"/>
                      <w:lang w:eastAsia="zh-CN"/>
                    </w:rPr>
                  </w:pPr>
                  <w:r>
                    <w:rPr>
                      <w:rFonts w:ascii="Times New Roman" w:hAnsi="Times New Roman" w:cs="Times New Roman"/>
                    </w:rPr>
                    <w:t>本项目废水为生活污水，</w:t>
                  </w:r>
                  <w:r>
                    <w:rPr>
                      <w:rFonts w:hint="eastAsia" w:ascii="Times New Roman" w:hAnsi="Times New Roman" w:eastAsia="宋体" w:cs="Times New Roman"/>
                      <w:lang w:val="en-US" w:eastAsia="zh-CN"/>
                    </w:rPr>
                    <w:t>依托已建</w:t>
                  </w:r>
                  <w:r>
                    <w:rPr>
                      <w:rFonts w:ascii="Times New Roman" w:hAnsi="Times New Roman" w:cs="Times New Roman"/>
                    </w:rPr>
                    <w:t>化粪池处理后通过污水管网接到污水处理厂</w:t>
                  </w:r>
                </w:p>
              </w:tc>
              <w:tc>
                <w:tcPr>
                  <w:tcW w:w="708" w:type="pct"/>
                  <w:vAlign w:val="center"/>
                </w:tcPr>
                <w:p w14:paraId="3FD701E2">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依托</w:t>
                  </w:r>
                </w:p>
              </w:tc>
            </w:tr>
            <w:tr w14:paraId="795E4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0395A219">
                  <w:pPr>
                    <w:pStyle w:val="33"/>
                    <w:rPr>
                      <w:rFonts w:ascii="Times New Roman" w:hAnsi="Times New Roman" w:cs="Times New Roman"/>
                    </w:rPr>
                  </w:pPr>
                </w:p>
              </w:tc>
              <w:tc>
                <w:tcPr>
                  <w:tcW w:w="446" w:type="pct"/>
                  <w:vAlign w:val="center"/>
                </w:tcPr>
                <w:p w14:paraId="1E7859AC">
                  <w:pPr>
                    <w:pStyle w:val="33"/>
                    <w:rPr>
                      <w:rFonts w:ascii="Times New Roman" w:hAnsi="Times New Roman" w:cs="Times New Roman"/>
                    </w:rPr>
                  </w:pPr>
                  <w:r>
                    <w:rPr>
                      <w:rFonts w:ascii="Times New Roman" w:hAnsi="Times New Roman" w:cs="Times New Roman"/>
                    </w:rPr>
                    <w:t>固体废物</w:t>
                  </w:r>
                </w:p>
              </w:tc>
              <w:tc>
                <w:tcPr>
                  <w:tcW w:w="3529" w:type="pct"/>
                  <w:vAlign w:val="center"/>
                </w:tcPr>
                <w:p w14:paraId="0A14E4FE">
                  <w:pPr>
                    <w:pStyle w:val="43"/>
                    <w:tabs>
                      <w:tab w:val="left" w:pos="7488"/>
                    </w:tabs>
                    <w:rPr>
                      <w:rFonts w:ascii="Times New Roman" w:hAnsi="Times New Roman" w:cs="Times New Roman"/>
                    </w:rPr>
                  </w:pPr>
                  <w:r>
                    <w:rPr>
                      <w:rFonts w:ascii="Times New Roman" w:hAnsi="Times New Roman" w:cs="Times New Roman"/>
                    </w:rPr>
                    <w:t>设置一般固体废物暂存间（20m</w:t>
                  </w:r>
                  <w:r>
                    <w:rPr>
                      <w:rFonts w:ascii="Times New Roman" w:hAnsi="Times New Roman" w:cs="Times New Roman"/>
                      <w:lang w:eastAsia="zh-CN"/>
                    </w:rPr>
                    <w:t>²</w:t>
                  </w:r>
                  <w:r>
                    <w:rPr>
                      <w:rFonts w:ascii="Times New Roman" w:hAnsi="Times New Roman" w:cs="Times New Roman"/>
                    </w:rPr>
                    <w:t>）及危险废物暂存间（10m</w:t>
                  </w:r>
                  <w:r>
                    <w:rPr>
                      <w:rFonts w:ascii="Times New Roman" w:hAnsi="Times New Roman" w:cs="Times New Roman"/>
                      <w:lang w:eastAsia="zh-CN"/>
                    </w:rPr>
                    <w:t>²</w:t>
                  </w:r>
                  <w:r>
                    <w:rPr>
                      <w:rFonts w:ascii="Times New Roman" w:hAnsi="Times New Roman" w:cs="Times New Roman"/>
                    </w:rPr>
                    <w:t>），</w:t>
                  </w:r>
                  <w:r>
                    <w:rPr>
                      <w:rFonts w:hint="eastAsia" w:ascii="Times New Roman" w:hAnsi="Times New Roman" w:eastAsia="宋体" w:cs="Times New Roman"/>
                      <w:lang w:eastAsia="zh-CN"/>
                    </w:rPr>
                    <w:t>危险废物暂存间位于生产车间西部。</w:t>
                  </w:r>
                  <w:r>
                    <w:rPr>
                      <w:rFonts w:ascii="Times New Roman" w:hAnsi="Times New Roman" w:cs="Times New Roman"/>
                    </w:rPr>
                    <w:t>废金属边角料、焊接烟尘等集中收集后外售，废活性炭</w:t>
                  </w:r>
                  <w:r>
                    <w:rPr>
                      <w:rFonts w:ascii="Times New Roman" w:hAnsi="Times New Roman" w:eastAsia="宋体" w:cs="Times New Roman"/>
                      <w:lang w:eastAsia="zh-CN"/>
                    </w:rPr>
                    <w:t>、废机油、废机油桶暂存于</w:t>
                  </w:r>
                  <w:r>
                    <w:rPr>
                      <w:rFonts w:ascii="Times New Roman" w:hAnsi="Times New Roman" w:cs="Times New Roman"/>
                    </w:rPr>
                    <w:t>危废暂存间暂存后委托有资质单位处置；生活垃圾交由环卫部门处置</w:t>
                  </w:r>
                </w:p>
              </w:tc>
              <w:tc>
                <w:tcPr>
                  <w:tcW w:w="708" w:type="pct"/>
                  <w:vAlign w:val="center"/>
                </w:tcPr>
                <w:p w14:paraId="5EA19F04">
                  <w:pPr>
                    <w:jc w:val="center"/>
                    <w:rPr>
                      <w:rFonts w:ascii="Times New Roman" w:hAnsi="Times New Roman" w:cs="Times New Roman"/>
                    </w:rPr>
                  </w:pPr>
                  <w:r>
                    <w:rPr>
                      <w:rFonts w:ascii="Times New Roman" w:hAnsi="Times New Roman" w:cs="Times New Roman"/>
                    </w:rPr>
                    <w:t>新建</w:t>
                  </w:r>
                </w:p>
              </w:tc>
            </w:tr>
            <w:tr w14:paraId="351C4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16" w:type="pct"/>
                  <w:vMerge w:val="continue"/>
                  <w:vAlign w:val="center"/>
                </w:tcPr>
                <w:p w14:paraId="30AB9205">
                  <w:pPr>
                    <w:pStyle w:val="33"/>
                    <w:rPr>
                      <w:rFonts w:ascii="Times New Roman" w:hAnsi="Times New Roman" w:cs="Times New Roman"/>
                    </w:rPr>
                  </w:pPr>
                </w:p>
              </w:tc>
              <w:tc>
                <w:tcPr>
                  <w:tcW w:w="446" w:type="pct"/>
                  <w:vAlign w:val="center"/>
                </w:tcPr>
                <w:p w14:paraId="410D962B">
                  <w:pPr>
                    <w:pStyle w:val="33"/>
                    <w:rPr>
                      <w:rFonts w:ascii="Times New Roman" w:hAnsi="Times New Roman" w:cs="Times New Roman"/>
                    </w:rPr>
                  </w:pPr>
                  <w:r>
                    <w:rPr>
                      <w:rFonts w:ascii="Times New Roman" w:hAnsi="Times New Roman" w:cs="Times New Roman"/>
                    </w:rPr>
                    <w:t>噪声</w:t>
                  </w:r>
                </w:p>
              </w:tc>
              <w:tc>
                <w:tcPr>
                  <w:tcW w:w="3529" w:type="pct"/>
                  <w:vAlign w:val="center"/>
                </w:tcPr>
                <w:p w14:paraId="4146CCFB">
                  <w:pPr>
                    <w:pStyle w:val="33"/>
                    <w:rPr>
                      <w:rFonts w:ascii="Times New Roman" w:hAnsi="Times New Roman" w:eastAsia="宋体" w:cs="Times New Roman"/>
                      <w:lang w:eastAsia="zh-CN"/>
                    </w:rPr>
                  </w:pPr>
                  <w:r>
                    <w:rPr>
                      <w:rFonts w:ascii="Times New Roman" w:hAnsi="Times New Roman" w:eastAsia="宋体" w:cs="Times New Roman"/>
                      <w:lang w:eastAsia="zh-CN"/>
                    </w:rPr>
                    <w:t>选用低噪设备、采取基座减振，风机安装隔声罩等措施进行降低噪声污染</w:t>
                  </w:r>
                </w:p>
              </w:tc>
              <w:tc>
                <w:tcPr>
                  <w:tcW w:w="708" w:type="pct"/>
                  <w:vAlign w:val="center"/>
                </w:tcPr>
                <w:p w14:paraId="54329F76">
                  <w:pPr>
                    <w:pStyle w:val="33"/>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w:t>
                  </w:r>
                </w:p>
              </w:tc>
            </w:tr>
            <w:tr w14:paraId="75CAD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16" w:type="pct"/>
                  <w:vMerge w:val="continue"/>
                  <w:vAlign w:val="center"/>
                </w:tcPr>
                <w:p w14:paraId="19381470">
                  <w:pPr>
                    <w:pStyle w:val="33"/>
                    <w:rPr>
                      <w:rFonts w:ascii="Times New Roman" w:hAnsi="Times New Roman" w:cs="Times New Roman"/>
                    </w:rPr>
                  </w:pPr>
                </w:p>
              </w:tc>
              <w:tc>
                <w:tcPr>
                  <w:tcW w:w="446" w:type="pct"/>
                  <w:vAlign w:val="center"/>
                </w:tcPr>
                <w:p w14:paraId="1774CC61">
                  <w:pPr>
                    <w:pStyle w:val="33"/>
                    <w:rPr>
                      <w:rFonts w:ascii="Times New Roman" w:hAnsi="Times New Roman" w:cs="Times New Roman"/>
                    </w:rPr>
                  </w:pPr>
                  <w:r>
                    <w:rPr>
                      <w:rFonts w:ascii="Times New Roman" w:hAnsi="Times New Roman" w:cs="Times New Roman"/>
                    </w:rPr>
                    <w:t>土壤与地下水</w:t>
                  </w:r>
                </w:p>
              </w:tc>
              <w:tc>
                <w:tcPr>
                  <w:tcW w:w="3529" w:type="pct"/>
                  <w:vAlign w:val="center"/>
                </w:tcPr>
                <w:p w14:paraId="76D167D9">
                  <w:pPr>
                    <w:pStyle w:val="33"/>
                    <w:rPr>
                      <w:rFonts w:ascii="Times New Roman" w:hAnsi="Times New Roman" w:cs="Times New Roman"/>
                    </w:rPr>
                  </w:pPr>
                  <w:r>
                    <w:rPr>
                      <w:rFonts w:ascii="Times New Roman" w:hAnsi="Times New Roman" w:cs="Times New Roman"/>
                    </w:rPr>
                    <w:t>分区防渗，危废间及喷塑房为重点防渗，其他区域为一般防渗</w:t>
                  </w:r>
                </w:p>
              </w:tc>
              <w:tc>
                <w:tcPr>
                  <w:tcW w:w="708" w:type="pct"/>
                  <w:vAlign w:val="center"/>
                </w:tcPr>
                <w:p w14:paraId="5A89DC07">
                  <w:pPr>
                    <w:pStyle w:val="33"/>
                    <w:rPr>
                      <w:rFonts w:ascii="Times New Roman" w:hAnsi="Times New Roman" w:cs="Times New Roman"/>
                    </w:rPr>
                  </w:pPr>
                  <w:r>
                    <w:rPr>
                      <w:rFonts w:ascii="Times New Roman" w:hAnsi="Times New Roman" w:cs="Times New Roman"/>
                    </w:rPr>
                    <w:t>新建</w:t>
                  </w:r>
                </w:p>
              </w:tc>
            </w:tr>
            <w:tr w14:paraId="22667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16" w:type="pct"/>
                  <w:vMerge w:val="continue"/>
                  <w:vAlign w:val="center"/>
                </w:tcPr>
                <w:p w14:paraId="029F3823">
                  <w:pPr>
                    <w:pStyle w:val="33"/>
                    <w:rPr>
                      <w:rFonts w:ascii="Times New Roman" w:hAnsi="Times New Roman" w:cs="Times New Roman"/>
                    </w:rPr>
                  </w:pPr>
                </w:p>
              </w:tc>
              <w:tc>
                <w:tcPr>
                  <w:tcW w:w="446" w:type="pct"/>
                  <w:vAlign w:val="center"/>
                </w:tcPr>
                <w:p w14:paraId="31394DCA">
                  <w:pPr>
                    <w:pStyle w:val="33"/>
                    <w:rPr>
                      <w:rFonts w:ascii="Times New Roman" w:hAnsi="Times New Roman" w:cs="Times New Roman"/>
                    </w:rPr>
                  </w:pPr>
                  <w:r>
                    <w:rPr>
                      <w:rFonts w:ascii="Times New Roman" w:hAnsi="Times New Roman" w:cs="Times New Roman"/>
                    </w:rPr>
                    <w:t>环境风险防控</w:t>
                  </w:r>
                </w:p>
              </w:tc>
              <w:tc>
                <w:tcPr>
                  <w:tcW w:w="3529" w:type="pct"/>
                  <w:vAlign w:val="center"/>
                </w:tcPr>
                <w:p w14:paraId="7E6A0544">
                  <w:pPr>
                    <w:pStyle w:val="33"/>
                    <w:rPr>
                      <w:rFonts w:ascii="Times New Roman" w:hAnsi="Times New Roman" w:cs="Times New Roman"/>
                    </w:rPr>
                  </w:pPr>
                  <w:r>
                    <w:rPr>
                      <w:rFonts w:ascii="Times New Roman" w:hAnsi="Times New Roman" w:cs="Times New Roman"/>
                    </w:rPr>
                    <w:t>配备相应应急物资</w:t>
                  </w:r>
                  <w:r>
                    <w:rPr>
                      <w:rFonts w:ascii="Times New Roman" w:hAnsi="Times New Roman" w:eastAsia="宋体" w:cs="Times New Roman"/>
                      <w:lang w:eastAsia="zh-CN"/>
                    </w:rPr>
                    <w:t>（灭火器、防护服、防毒面具等）</w:t>
                  </w:r>
                  <w:r>
                    <w:rPr>
                      <w:rFonts w:ascii="Times New Roman" w:hAnsi="Times New Roman" w:cs="Times New Roman"/>
                    </w:rPr>
                    <w:t>、编制突发环境事件应急预案</w:t>
                  </w:r>
                </w:p>
              </w:tc>
              <w:tc>
                <w:tcPr>
                  <w:tcW w:w="708" w:type="pct"/>
                  <w:vAlign w:val="center"/>
                </w:tcPr>
                <w:p w14:paraId="4458EC1A">
                  <w:pPr>
                    <w:pStyle w:val="33"/>
                    <w:rPr>
                      <w:rFonts w:ascii="Times New Roman" w:hAnsi="Times New Roman" w:cs="Times New Roman"/>
                    </w:rPr>
                  </w:pPr>
                  <w:r>
                    <w:rPr>
                      <w:rFonts w:ascii="Times New Roman" w:hAnsi="Times New Roman" w:cs="Times New Roman"/>
                    </w:rPr>
                    <w:t>/</w:t>
                  </w:r>
                </w:p>
              </w:tc>
            </w:tr>
          </w:tbl>
          <w:p w14:paraId="502CF5D9">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2、产品方案</w:t>
            </w:r>
          </w:p>
          <w:p w14:paraId="67E05A20">
            <w:pPr>
              <w:jc w:val="center"/>
              <w:rPr>
                <w:rFonts w:ascii="Times New Roman" w:hAnsi="Times New Roman" w:cs="Times New Roman"/>
                <w:b/>
                <w:bCs/>
                <w:sz w:val="24"/>
                <w:szCs w:val="32"/>
              </w:rPr>
            </w:pPr>
            <w:r>
              <w:rPr>
                <w:rFonts w:ascii="Times New Roman" w:hAnsi="Times New Roman" w:eastAsia="宋体" w:cs="Times New Roman"/>
                <w:b/>
                <w:bCs/>
                <w:sz w:val="24"/>
                <w:szCs w:val="32"/>
              </w:rPr>
              <w:t>表2-2  生产规模及产品方案一览表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69"/>
              <w:gridCol w:w="1530"/>
              <w:gridCol w:w="3881"/>
              <w:gridCol w:w="2146"/>
            </w:tblGrid>
            <w:tr w14:paraId="4ED4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24EE64BA">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序号</w:t>
                  </w:r>
                </w:p>
              </w:tc>
              <w:tc>
                <w:tcPr>
                  <w:tcW w:w="1069" w:type="dxa"/>
                  <w:vAlign w:val="center"/>
                </w:tcPr>
                <w:p w14:paraId="689B0B02">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产品名称</w:t>
                  </w:r>
                </w:p>
              </w:tc>
              <w:tc>
                <w:tcPr>
                  <w:tcW w:w="1530" w:type="dxa"/>
                  <w:vAlign w:val="center"/>
                </w:tcPr>
                <w:p w14:paraId="1F024AF5">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年产量（t/a）</w:t>
                  </w:r>
                </w:p>
              </w:tc>
              <w:tc>
                <w:tcPr>
                  <w:tcW w:w="3881" w:type="dxa"/>
                  <w:vAlign w:val="center"/>
                </w:tcPr>
                <w:p w14:paraId="36025CD1">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规格用途</w:t>
                  </w:r>
                </w:p>
              </w:tc>
              <w:tc>
                <w:tcPr>
                  <w:tcW w:w="2146" w:type="dxa"/>
                  <w:vAlign w:val="center"/>
                </w:tcPr>
                <w:p w14:paraId="13AF802A">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备注</w:t>
                  </w:r>
                </w:p>
              </w:tc>
            </w:tr>
            <w:tr w14:paraId="10E6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4C561E35">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1</w:t>
                  </w:r>
                </w:p>
              </w:tc>
              <w:tc>
                <w:tcPr>
                  <w:tcW w:w="1069" w:type="dxa"/>
                  <w:vAlign w:val="center"/>
                </w:tcPr>
                <w:p w14:paraId="1ED1A28F">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护栏</w:t>
                  </w:r>
                </w:p>
              </w:tc>
              <w:tc>
                <w:tcPr>
                  <w:tcW w:w="1530" w:type="dxa"/>
                  <w:vAlign w:val="center"/>
                </w:tcPr>
                <w:p w14:paraId="6B56107A">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1800</w:t>
                  </w:r>
                </w:p>
              </w:tc>
              <w:tc>
                <w:tcPr>
                  <w:tcW w:w="3881" w:type="dxa"/>
                  <w:vAlign w:val="center"/>
                </w:tcPr>
                <w:p w14:paraId="5FC311ED">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color w:val="auto"/>
                      <w:lang w:eastAsia="zh-CN"/>
                    </w:rPr>
                    <w:t>用于围栏，窗户护栏等，由1个顶部扶手+1个横杆+4个竖杆组合成。顶部扶手尺寸约L1.2m×W0.1×H0.05m；中间横杆L1.2m×W0.05×0.05m；竖杆尺寸约L0.05m×W0.05m×H1.1m。</w:t>
                  </w:r>
                </w:p>
              </w:tc>
              <w:tc>
                <w:tcPr>
                  <w:tcW w:w="2146" w:type="dxa"/>
                  <w:vAlign w:val="center"/>
                </w:tcPr>
                <w:p w14:paraId="5993A9CE">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仅喷塑</w:t>
                  </w:r>
                </w:p>
              </w:tc>
            </w:tr>
            <w:tr w14:paraId="5E6B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6AA23E43">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2</w:t>
                  </w:r>
                </w:p>
              </w:tc>
              <w:tc>
                <w:tcPr>
                  <w:tcW w:w="1069" w:type="dxa"/>
                  <w:vAlign w:val="center"/>
                </w:tcPr>
                <w:p w14:paraId="6D3B85D3">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门窗</w:t>
                  </w:r>
                </w:p>
              </w:tc>
              <w:tc>
                <w:tcPr>
                  <w:tcW w:w="1530" w:type="dxa"/>
                  <w:vAlign w:val="center"/>
                </w:tcPr>
                <w:p w14:paraId="1F89E8AA">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600</w:t>
                  </w:r>
                </w:p>
              </w:tc>
              <w:tc>
                <w:tcPr>
                  <w:tcW w:w="3881" w:type="dxa"/>
                  <w:vAlign w:val="center"/>
                </w:tcPr>
                <w:p w14:paraId="08AF82B9">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防火门窗，门窗洞口尺寸：1.1m</w:t>
                  </w:r>
                  <w:r>
                    <w:rPr>
                      <w:rFonts w:ascii="Times New Roman" w:hAnsi="Times New Roman" w:eastAsia="宋体" w:cs="Times New Roman"/>
                      <w:bCs/>
                      <w:color w:val="auto"/>
                      <w:lang w:eastAsia="zh-CN"/>
                    </w:rPr>
                    <w:t>×2.2m；1.5m×2.2m等，窄边约0.01m</w:t>
                  </w:r>
                </w:p>
              </w:tc>
              <w:tc>
                <w:tcPr>
                  <w:tcW w:w="2146" w:type="dxa"/>
                  <w:vAlign w:val="center"/>
                </w:tcPr>
                <w:p w14:paraId="5036B930">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外购成品，不喷塑；国家标准《建筑门窗栋口尺寸系列》（GB/T30591-2014）</w:t>
                  </w:r>
                </w:p>
              </w:tc>
            </w:tr>
            <w:tr w14:paraId="167B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574DCA45">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3</w:t>
                  </w:r>
                </w:p>
              </w:tc>
              <w:tc>
                <w:tcPr>
                  <w:tcW w:w="1069" w:type="dxa"/>
                  <w:vAlign w:val="center"/>
                </w:tcPr>
                <w:p w14:paraId="5E55971A">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钣金箱体</w:t>
                  </w:r>
                </w:p>
              </w:tc>
              <w:tc>
                <w:tcPr>
                  <w:tcW w:w="1530" w:type="dxa"/>
                  <w:vAlign w:val="center"/>
                </w:tcPr>
                <w:p w14:paraId="149298B7">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300</w:t>
                  </w:r>
                </w:p>
              </w:tc>
              <w:tc>
                <w:tcPr>
                  <w:tcW w:w="3881" w:type="dxa"/>
                  <w:vAlign w:val="center"/>
                </w:tcPr>
                <w:p w14:paraId="56F956E8">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color w:val="auto"/>
                      <w:lang w:eastAsia="zh-CN"/>
                    </w:rPr>
                    <w:t>尺寸：L0.5m×W0.5×H1.8m</w:t>
                  </w:r>
                </w:p>
              </w:tc>
              <w:tc>
                <w:tcPr>
                  <w:tcW w:w="2146" w:type="dxa"/>
                  <w:vAlign w:val="center"/>
                </w:tcPr>
                <w:p w14:paraId="3687E57D">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仅喷塑</w:t>
                  </w:r>
                </w:p>
              </w:tc>
            </w:tr>
            <w:tr w14:paraId="6D2A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2285F88C">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4</w:t>
                  </w:r>
                </w:p>
              </w:tc>
              <w:tc>
                <w:tcPr>
                  <w:tcW w:w="1069" w:type="dxa"/>
                  <w:vAlign w:val="center"/>
                </w:tcPr>
                <w:p w14:paraId="089CE98E">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钢结构</w:t>
                  </w:r>
                </w:p>
              </w:tc>
              <w:tc>
                <w:tcPr>
                  <w:tcW w:w="1530" w:type="dxa"/>
                  <w:vAlign w:val="center"/>
                </w:tcPr>
                <w:p w14:paraId="06B8A622">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150</w:t>
                  </w:r>
                </w:p>
              </w:tc>
              <w:tc>
                <w:tcPr>
                  <w:tcW w:w="3881" w:type="dxa"/>
                  <w:vAlign w:val="center"/>
                </w:tcPr>
                <w:p w14:paraId="74CA2D02">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用于钢结构框架厂房建设，</w:t>
                  </w:r>
                </w:p>
              </w:tc>
              <w:tc>
                <w:tcPr>
                  <w:tcW w:w="2146" w:type="dxa"/>
                  <w:vAlign w:val="center"/>
                </w:tcPr>
                <w:p w14:paraId="0B2D8A95">
                  <w:pPr>
                    <w:widowControl w:val="0"/>
                    <w:kinsoku/>
                    <w:autoSpaceDE/>
                    <w:autoSpaceDN/>
                    <w:adjustRightInd/>
                    <w:snapToGrid/>
                    <w:jc w:val="center"/>
                    <w:textAlignment w:val="auto"/>
                    <w:rPr>
                      <w:rFonts w:ascii="Times New Roman" w:hAnsi="Times New Roman" w:eastAsia="宋体" w:cs="Times New Roman"/>
                      <w:bCs/>
                      <w:lang w:eastAsia="zh-CN"/>
                    </w:rPr>
                  </w:pPr>
                  <w:r>
                    <w:rPr>
                      <w:rStyle w:val="26"/>
                      <w:rFonts w:hint="eastAsia" w:eastAsia="宋体"/>
                      <w:lang w:val="en-US" w:eastAsia="zh-CN"/>
                    </w:rPr>
                    <w:t>制作好的成品直接外售</w:t>
                  </w:r>
                  <w:r>
                    <w:rPr>
                      <w:rFonts w:hint="eastAsia" w:ascii="Times New Roman" w:hAnsi="Times New Roman" w:eastAsia="宋体" w:cs="Times New Roman"/>
                      <w:bCs/>
                      <w:lang w:eastAsia="zh-CN"/>
                    </w:rPr>
                    <w:t>，不喷塑</w:t>
                  </w:r>
                </w:p>
              </w:tc>
            </w:tr>
            <w:tr w14:paraId="6DF4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085F5065">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5</w:t>
                  </w:r>
                </w:p>
              </w:tc>
              <w:tc>
                <w:tcPr>
                  <w:tcW w:w="1069" w:type="dxa"/>
                  <w:vAlign w:val="center"/>
                </w:tcPr>
                <w:p w14:paraId="4B9BE32B">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铝板</w:t>
                  </w:r>
                </w:p>
              </w:tc>
              <w:tc>
                <w:tcPr>
                  <w:tcW w:w="1530" w:type="dxa"/>
                  <w:vAlign w:val="center"/>
                </w:tcPr>
                <w:p w14:paraId="3666D678">
                  <w:pPr>
                    <w:widowControl w:val="0"/>
                    <w:kinsoku/>
                    <w:autoSpaceDE/>
                    <w:autoSpaceDN/>
                    <w:adjustRightInd/>
                    <w:snapToGrid/>
                    <w:jc w:val="center"/>
                    <w:textAlignment w:val="auto"/>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150</w:t>
                  </w:r>
                </w:p>
              </w:tc>
              <w:tc>
                <w:tcPr>
                  <w:tcW w:w="3881" w:type="dxa"/>
                  <w:vAlign w:val="center"/>
                </w:tcPr>
                <w:p w14:paraId="223E7803">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color w:val="auto"/>
                      <w:lang w:eastAsia="zh-CN"/>
                    </w:rPr>
                    <w:t>规格L3m×W2m×H0.0015-0.003m，用于幕墙，室内装饰等</w:t>
                  </w:r>
                </w:p>
              </w:tc>
              <w:tc>
                <w:tcPr>
                  <w:tcW w:w="2146" w:type="dxa"/>
                  <w:vAlign w:val="center"/>
                </w:tcPr>
                <w:p w14:paraId="518ECA54">
                  <w:pPr>
                    <w:widowControl w:val="0"/>
                    <w:kinsoku/>
                    <w:autoSpaceDE/>
                    <w:autoSpaceDN/>
                    <w:adjustRightInd/>
                    <w:snapToGrid/>
                    <w:jc w:val="center"/>
                    <w:textAlignment w:val="auto"/>
                    <w:rPr>
                      <w:rFonts w:ascii="Times New Roman" w:hAnsi="Times New Roman" w:eastAsia="宋体" w:cs="Times New Roman"/>
                      <w:bCs/>
                      <w:lang w:eastAsia="zh-CN"/>
                    </w:rPr>
                  </w:pPr>
                  <w:r>
                    <w:rPr>
                      <w:rFonts w:ascii="Times New Roman" w:hAnsi="Times New Roman" w:eastAsia="宋体" w:cs="Times New Roman"/>
                      <w:bCs/>
                      <w:lang w:eastAsia="zh-CN"/>
                    </w:rPr>
                    <w:t>仅喷塑</w:t>
                  </w:r>
                </w:p>
              </w:tc>
            </w:tr>
          </w:tbl>
          <w:p w14:paraId="65F72A8E">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56286C6A">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67D40EC0">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4D46B956">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2D40ED10">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2ED349F8">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1BE8606D">
            <w:pPr>
              <w:widowControl w:val="0"/>
              <w:kinsoku/>
              <w:autoSpaceDE/>
              <w:autoSpaceDN/>
              <w:adjustRightInd/>
              <w:snapToGrid/>
              <w:jc w:val="both"/>
              <w:textAlignment w:val="auto"/>
              <w:rPr>
                <w:rFonts w:ascii="Times New Roman" w:hAnsi="Times New Roman" w:cs="Times New Roman"/>
                <w:b/>
                <w:color w:val="auto"/>
                <w:kern w:val="2"/>
                <w:sz w:val="24"/>
                <w:szCs w:val="24"/>
                <w:lang w:eastAsia="zh-CN"/>
              </w:rPr>
            </w:pPr>
          </w:p>
          <w:p w14:paraId="3CC80732">
            <w:pPr>
              <w:widowControl w:val="0"/>
              <w:kinsoku/>
              <w:autoSpaceDE/>
              <w:autoSpaceDN/>
              <w:adjustRightInd/>
              <w:snapToGrid/>
              <w:jc w:val="center"/>
              <w:textAlignment w:val="auto"/>
              <w:rPr>
                <w:rFonts w:ascii="Times New Roman" w:hAnsi="Times New Roman" w:cs="Times New Roman"/>
                <w:b/>
                <w:color w:val="auto"/>
                <w:kern w:val="2"/>
                <w:sz w:val="24"/>
                <w:szCs w:val="24"/>
                <w:lang w:eastAsia="zh-CN"/>
              </w:rPr>
            </w:pPr>
            <w:r>
              <w:rPr>
                <w:rFonts w:ascii="Times New Roman" w:hAnsi="Times New Roman" w:cs="Times New Roman"/>
                <w:b/>
                <w:color w:val="auto"/>
                <w:kern w:val="2"/>
                <w:sz w:val="24"/>
                <w:szCs w:val="24"/>
                <w:lang w:eastAsia="zh-CN"/>
              </w:rPr>
              <w:t>表2-4产品照片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4143"/>
            </w:tblGrid>
            <w:tr w14:paraId="60AA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14:paraId="60C8DB95">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Times New Roman" w:hAnsi="Times New Roman" w:cs="Times New Roman"/>
                      <w:bCs/>
                      <w:color w:val="auto"/>
                      <w:kern w:val="2"/>
                      <w:sz w:val="24"/>
                      <w:szCs w:val="24"/>
                      <w:lang w:eastAsia="zh-CN"/>
                    </w:rPr>
                    <w:drawing>
                      <wp:inline distT="0" distB="0" distL="114300" distR="114300">
                        <wp:extent cx="2576195" cy="2203450"/>
                        <wp:effectExtent l="0" t="0" r="14605" b="6350"/>
                        <wp:docPr id="125" name="图片 125" descr="010512b3ae998c49ce3a1006bc7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010512b3ae998c49ce3a1006bc7d401"/>
                                <pic:cNvPicPr>
                                  <a:picLocks noChangeAspect="1"/>
                                </pic:cNvPicPr>
                              </pic:nvPicPr>
                              <pic:blipFill>
                                <a:blip r:embed="rId5"/>
                                <a:stretch>
                                  <a:fillRect/>
                                </a:stretch>
                              </pic:blipFill>
                              <pic:spPr>
                                <a:xfrm>
                                  <a:off x="0" y="0"/>
                                  <a:ext cx="2576195" cy="2203450"/>
                                </a:xfrm>
                                <a:prstGeom prst="rect">
                                  <a:avLst/>
                                </a:prstGeom>
                              </pic:spPr>
                            </pic:pic>
                          </a:graphicData>
                        </a:graphic>
                      </wp:inline>
                    </w:drawing>
                  </w:r>
                </w:p>
              </w:tc>
              <w:tc>
                <w:tcPr>
                  <w:tcW w:w="4143" w:type="dxa"/>
                </w:tcPr>
                <w:p w14:paraId="149CDBD7">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Times New Roman" w:hAnsi="Times New Roman" w:cs="Times New Roman"/>
                      <w:lang w:eastAsia="zh-CN"/>
                    </w:rPr>
                    <w:drawing>
                      <wp:inline distT="0" distB="0" distL="114300" distR="114300">
                        <wp:extent cx="1939925" cy="2224405"/>
                        <wp:effectExtent l="0" t="0" r="10795" b="635"/>
                        <wp:docPr id="129" name="图片 129" descr="b2767b0609d343066d5cda99e32f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b2767b0609d343066d5cda99e32f73d"/>
                                <pic:cNvPicPr>
                                  <a:picLocks noChangeAspect="1"/>
                                </pic:cNvPicPr>
                              </pic:nvPicPr>
                              <pic:blipFill>
                                <a:blip r:embed="rId6"/>
                                <a:stretch>
                                  <a:fillRect/>
                                </a:stretch>
                              </pic:blipFill>
                              <pic:spPr>
                                <a:xfrm>
                                  <a:off x="0" y="0"/>
                                  <a:ext cx="1939925" cy="2224405"/>
                                </a:xfrm>
                                <a:prstGeom prst="rect">
                                  <a:avLst/>
                                </a:prstGeom>
                              </pic:spPr>
                            </pic:pic>
                          </a:graphicData>
                        </a:graphic>
                      </wp:inline>
                    </w:drawing>
                  </w:r>
                </w:p>
              </w:tc>
            </w:tr>
            <w:tr w14:paraId="0A2C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14:paraId="0AC26E8D">
                  <w:pPr>
                    <w:widowControl w:val="0"/>
                    <w:kinsoku/>
                    <w:adjustRightInd/>
                    <w:snapToGrid/>
                    <w:spacing w:line="360" w:lineRule="auto"/>
                    <w:jc w:val="center"/>
                    <w:rPr>
                      <w:rFonts w:hint="eastAsia" w:ascii="宋体" w:hAnsi="宋体" w:eastAsia="宋体" w:cs="宋体"/>
                      <w:bCs/>
                      <w:color w:val="auto"/>
                      <w:kern w:val="2"/>
                      <w:lang w:eastAsia="zh-CN"/>
                    </w:rPr>
                  </w:pPr>
                  <w:r>
                    <w:rPr>
                      <w:rFonts w:hint="eastAsia" w:ascii="宋体" w:hAnsi="宋体" w:eastAsia="宋体" w:cs="宋体"/>
                      <w:bCs/>
                      <w:color w:val="auto"/>
                      <w:kern w:val="2"/>
                      <w:lang w:eastAsia="zh-CN"/>
                    </w:rPr>
                    <w:t>铝板（喷塑，仅喷外表面）</w:t>
                  </w:r>
                </w:p>
              </w:tc>
              <w:tc>
                <w:tcPr>
                  <w:tcW w:w="4143" w:type="dxa"/>
                  <w:vAlign w:val="center"/>
                </w:tcPr>
                <w:p w14:paraId="6017BFFB">
                  <w:pPr>
                    <w:pStyle w:val="31"/>
                    <w:widowControl/>
                    <w:adjustRightInd/>
                    <w:snapToGrid/>
                    <w:spacing w:line="240" w:lineRule="auto"/>
                    <w:ind w:firstLine="0" w:firstLineChars="0"/>
                    <w:jc w:val="center"/>
                    <w:rPr>
                      <w:rFonts w:hint="eastAsia" w:ascii="宋体" w:hAnsi="宋体" w:eastAsia="宋体" w:cs="宋体"/>
                      <w:bCs/>
                      <w:color w:val="auto"/>
                      <w:kern w:val="2"/>
                      <w:sz w:val="21"/>
                      <w:szCs w:val="21"/>
                      <w:lang w:eastAsia="zh-CN"/>
                    </w:rPr>
                  </w:pPr>
                  <w:r>
                    <w:rPr>
                      <w:rFonts w:hint="eastAsia" w:ascii="宋体" w:hAnsi="宋体" w:eastAsia="宋体" w:cs="宋体"/>
                      <w:sz w:val="21"/>
                      <w:szCs w:val="21"/>
                      <w:lang w:eastAsia="zh-CN"/>
                    </w:rPr>
                    <w:t>钣金箱体</w:t>
                  </w:r>
                  <w:r>
                    <w:rPr>
                      <w:rFonts w:hint="eastAsia" w:ascii="宋体" w:hAnsi="宋体" w:eastAsia="宋体" w:cs="宋体"/>
                      <w:bCs/>
                      <w:color w:val="auto"/>
                      <w:kern w:val="2"/>
                      <w:sz w:val="21"/>
                      <w:szCs w:val="21"/>
                      <w:lang w:eastAsia="zh-CN"/>
                    </w:rPr>
                    <w:t>（喷塑，仅喷外表面）</w:t>
                  </w:r>
                </w:p>
              </w:tc>
            </w:tr>
            <w:tr w14:paraId="6A56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14:paraId="7A60B40C">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Times New Roman" w:hAnsi="Times New Roman" w:cs="Times New Roman"/>
                      <w:bCs/>
                      <w:color w:val="auto"/>
                      <w:kern w:val="2"/>
                      <w:sz w:val="24"/>
                      <w:szCs w:val="24"/>
                      <w:lang w:eastAsia="zh-CN"/>
                    </w:rPr>
                    <w:drawing>
                      <wp:inline distT="0" distB="0" distL="114300" distR="114300">
                        <wp:extent cx="2541905" cy="1696085"/>
                        <wp:effectExtent l="0" t="0" r="3175" b="10795"/>
                        <wp:docPr id="127" name="图片 127" descr="3a7316cc6993dd4526d416dfb76e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a7316cc6993dd4526d416dfb76e4fe"/>
                                <pic:cNvPicPr>
                                  <a:picLocks noChangeAspect="1"/>
                                </pic:cNvPicPr>
                              </pic:nvPicPr>
                              <pic:blipFill>
                                <a:blip r:embed="rId7"/>
                                <a:stretch>
                                  <a:fillRect/>
                                </a:stretch>
                              </pic:blipFill>
                              <pic:spPr>
                                <a:xfrm>
                                  <a:off x="0" y="0"/>
                                  <a:ext cx="2541905" cy="1696085"/>
                                </a:xfrm>
                                <a:prstGeom prst="rect">
                                  <a:avLst/>
                                </a:prstGeom>
                              </pic:spPr>
                            </pic:pic>
                          </a:graphicData>
                        </a:graphic>
                      </wp:inline>
                    </w:drawing>
                  </w:r>
                </w:p>
              </w:tc>
              <w:tc>
                <w:tcPr>
                  <w:tcW w:w="4143" w:type="dxa"/>
                </w:tcPr>
                <w:p w14:paraId="6AE83C19">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Times New Roman" w:hAnsi="Times New Roman" w:cs="Times New Roman"/>
                    </w:rPr>
                    <w:drawing>
                      <wp:inline distT="0" distB="0" distL="114300" distR="114300">
                        <wp:extent cx="1684020" cy="1912620"/>
                        <wp:effectExtent l="0" t="0" r="7620" b="762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8"/>
                                <a:stretch>
                                  <a:fillRect/>
                                </a:stretch>
                              </pic:blipFill>
                              <pic:spPr>
                                <a:xfrm>
                                  <a:off x="0" y="0"/>
                                  <a:ext cx="1684020" cy="1912620"/>
                                </a:xfrm>
                                <a:prstGeom prst="rect">
                                  <a:avLst/>
                                </a:prstGeom>
                                <a:noFill/>
                                <a:ln>
                                  <a:noFill/>
                                </a:ln>
                              </pic:spPr>
                            </pic:pic>
                          </a:graphicData>
                        </a:graphic>
                      </wp:inline>
                    </w:drawing>
                  </w:r>
                </w:p>
              </w:tc>
            </w:tr>
            <w:tr w14:paraId="1BC2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14:paraId="13CB910C">
                  <w:pPr>
                    <w:widowControl w:val="0"/>
                    <w:kinsoku/>
                    <w:adjustRightInd/>
                    <w:snapToGrid/>
                    <w:spacing w:line="360" w:lineRule="auto"/>
                    <w:jc w:val="center"/>
                    <w:rPr>
                      <w:rFonts w:hint="eastAsia" w:ascii="宋体" w:hAnsi="宋体" w:eastAsia="宋体" w:cs="宋体"/>
                      <w:bCs/>
                      <w:color w:val="auto"/>
                      <w:kern w:val="2"/>
                      <w:lang w:eastAsia="zh-CN"/>
                    </w:rPr>
                  </w:pPr>
                  <w:r>
                    <w:rPr>
                      <w:rFonts w:ascii="宋体" w:hAnsi="宋体" w:eastAsia="宋体" w:cs="宋体"/>
                      <w:bCs/>
                      <w:color w:val="auto"/>
                      <w:kern w:val="2"/>
                      <w:lang w:eastAsia="zh-CN"/>
                    </w:rPr>
                    <w:t>金属护栏（喷塑）</w:t>
                  </w:r>
                </w:p>
              </w:tc>
              <w:tc>
                <w:tcPr>
                  <w:tcW w:w="4143" w:type="dxa"/>
                </w:tcPr>
                <w:p w14:paraId="03883767">
                  <w:pPr>
                    <w:widowControl w:val="0"/>
                    <w:kinsoku/>
                    <w:adjustRightInd/>
                    <w:snapToGrid/>
                    <w:spacing w:line="360" w:lineRule="auto"/>
                    <w:jc w:val="center"/>
                    <w:rPr>
                      <w:rFonts w:hint="eastAsia" w:ascii="宋体" w:hAnsi="宋体" w:eastAsia="宋体" w:cs="宋体"/>
                      <w:bCs/>
                      <w:color w:val="auto"/>
                      <w:kern w:val="2"/>
                      <w:lang w:eastAsia="zh-CN"/>
                    </w:rPr>
                  </w:pPr>
                  <w:r>
                    <w:rPr>
                      <w:rFonts w:ascii="宋体" w:hAnsi="宋体" w:eastAsia="宋体" w:cs="宋体"/>
                      <w:bCs/>
                      <w:color w:val="auto"/>
                      <w:kern w:val="2"/>
                      <w:lang w:eastAsia="zh-CN"/>
                    </w:rPr>
                    <w:t>门窗（不</w:t>
                  </w:r>
                  <w:r>
                    <w:rPr>
                      <w:rFonts w:hint="eastAsia" w:ascii="宋体" w:hAnsi="宋体" w:eastAsia="宋体" w:cs="宋体"/>
                      <w:bCs/>
                      <w:color w:val="auto"/>
                      <w:kern w:val="2"/>
                      <w:lang w:eastAsia="zh-CN"/>
                    </w:rPr>
                    <w:t>喷涂</w:t>
                  </w:r>
                  <w:r>
                    <w:rPr>
                      <w:rFonts w:ascii="宋体" w:hAnsi="宋体" w:eastAsia="宋体" w:cs="宋体"/>
                      <w:bCs/>
                      <w:color w:val="auto"/>
                      <w:kern w:val="2"/>
                      <w:lang w:eastAsia="zh-CN"/>
                    </w:rPr>
                    <w:t>）</w:t>
                  </w:r>
                </w:p>
              </w:tc>
            </w:tr>
            <w:tr w14:paraId="1847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7" w:type="dxa"/>
                  <w:gridSpan w:val="2"/>
                </w:tcPr>
                <w:p w14:paraId="034C117C">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Times New Roman" w:hAnsi="Times New Roman" w:cs="Times New Roman"/>
                    </w:rPr>
                    <w:drawing>
                      <wp:inline distT="0" distB="0" distL="114300" distR="114300">
                        <wp:extent cx="2841625" cy="1889760"/>
                        <wp:effectExtent l="0" t="0" r="8255" b="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9"/>
                                <a:stretch>
                                  <a:fillRect/>
                                </a:stretch>
                              </pic:blipFill>
                              <pic:spPr>
                                <a:xfrm>
                                  <a:off x="0" y="0"/>
                                  <a:ext cx="2841625" cy="1889760"/>
                                </a:xfrm>
                                <a:prstGeom prst="rect">
                                  <a:avLst/>
                                </a:prstGeom>
                                <a:noFill/>
                                <a:ln>
                                  <a:noFill/>
                                </a:ln>
                              </pic:spPr>
                            </pic:pic>
                          </a:graphicData>
                        </a:graphic>
                      </wp:inline>
                    </w:drawing>
                  </w:r>
                </w:p>
              </w:tc>
            </w:tr>
            <w:tr w14:paraId="5321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7" w:type="dxa"/>
                  <w:gridSpan w:val="2"/>
                </w:tcPr>
                <w:p w14:paraId="08E1A271">
                  <w:pPr>
                    <w:widowControl w:val="0"/>
                    <w:kinsoku/>
                    <w:adjustRightInd/>
                    <w:snapToGrid/>
                    <w:spacing w:line="360" w:lineRule="auto"/>
                    <w:jc w:val="center"/>
                    <w:rPr>
                      <w:rFonts w:ascii="Times New Roman" w:hAnsi="Times New Roman" w:cs="Times New Roman"/>
                      <w:bCs/>
                      <w:color w:val="auto"/>
                      <w:kern w:val="2"/>
                      <w:sz w:val="24"/>
                      <w:szCs w:val="24"/>
                      <w:lang w:eastAsia="zh-CN"/>
                    </w:rPr>
                  </w:pPr>
                  <w:r>
                    <w:rPr>
                      <w:rFonts w:ascii="宋体" w:hAnsi="宋体" w:eastAsia="宋体" w:cs="宋体"/>
                      <w:bCs/>
                      <w:color w:val="auto"/>
                      <w:kern w:val="2"/>
                      <w:lang w:eastAsia="zh-CN"/>
                    </w:rPr>
                    <w:t>钢结构（</w:t>
                  </w:r>
                  <w:r>
                    <w:rPr>
                      <w:rFonts w:hint="eastAsia" w:ascii="宋体" w:hAnsi="宋体" w:eastAsia="宋体" w:cs="宋体"/>
                      <w:bCs/>
                      <w:color w:val="auto"/>
                      <w:kern w:val="2"/>
                      <w:lang w:val="en-US" w:eastAsia="zh-CN"/>
                    </w:rPr>
                    <w:t>制造好的成品外售</w:t>
                  </w:r>
                  <w:r>
                    <w:rPr>
                      <w:rFonts w:ascii="宋体" w:hAnsi="宋体" w:eastAsia="宋体" w:cs="宋体"/>
                      <w:bCs/>
                      <w:color w:val="auto"/>
                      <w:kern w:val="2"/>
                      <w:lang w:eastAsia="zh-CN"/>
                    </w:rPr>
                    <w:t>，不喷涂）</w:t>
                  </w:r>
                </w:p>
              </w:tc>
            </w:tr>
          </w:tbl>
          <w:p w14:paraId="499B9738">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bCs/>
                <w:sz w:val="24"/>
              </w:rPr>
            </w:pPr>
            <w:r>
              <w:rPr>
                <w:rFonts w:ascii="Times New Roman" w:hAnsi="Times New Roman" w:cs="Times New Roman"/>
                <w:bCs/>
                <w:sz w:val="24"/>
              </w:rPr>
              <w:t>3、原辅材料消耗</w:t>
            </w:r>
          </w:p>
          <w:p w14:paraId="71051F8D">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cs="Times New Roman"/>
                <w:b/>
                <w:bCs/>
                <w:sz w:val="24"/>
                <w:szCs w:val="32"/>
              </w:rPr>
            </w:pPr>
            <w:r>
              <w:rPr>
                <w:rFonts w:ascii="Times New Roman" w:hAnsi="Times New Roman" w:cs="Times New Roman"/>
                <w:b/>
                <w:bCs/>
                <w:sz w:val="24"/>
                <w:szCs w:val="32"/>
              </w:rPr>
              <w:t>表2-</w:t>
            </w:r>
            <w:r>
              <w:rPr>
                <w:rFonts w:ascii="Times New Roman" w:hAnsi="Times New Roman" w:cs="Times New Roman"/>
                <w:b/>
                <w:bCs/>
                <w:sz w:val="24"/>
                <w:szCs w:val="32"/>
                <w:lang w:eastAsia="zh-CN"/>
              </w:rPr>
              <w:t>4</w:t>
            </w:r>
            <w:r>
              <w:rPr>
                <w:rFonts w:ascii="Times New Roman" w:hAnsi="Times New Roman" w:cs="Times New Roman"/>
                <w:b/>
                <w:bCs/>
                <w:sz w:val="24"/>
                <w:szCs w:val="32"/>
              </w:rPr>
              <w:t xml:space="preserve">  原辅材料一览表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687"/>
              <w:gridCol w:w="1309"/>
              <w:gridCol w:w="1020"/>
              <w:gridCol w:w="1431"/>
              <w:gridCol w:w="65"/>
              <w:gridCol w:w="1164"/>
              <w:gridCol w:w="1770"/>
            </w:tblGrid>
            <w:tr w14:paraId="1C29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6C9846C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序号</w:t>
                  </w:r>
                </w:p>
              </w:tc>
              <w:tc>
                <w:tcPr>
                  <w:tcW w:w="910" w:type="pct"/>
                  <w:vAlign w:val="center"/>
                </w:tcPr>
                <w:p w14:paraId="28DF2E8F">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名称</w:t>
                  </w:r>
                </w:p>
              </w:tc>
              <w:tc>
                <w:tcPr>
                  <w:tcW w:w="706" w:type="pct"/>
                  <w:vAlign w:val="center"/>
                </w:tcPr>
                <w:p w14:paraId="1509F2B4">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单位</w:t>
                  </w:r>
                </w:p>
              </w:tc>
              <w:tc>
                <w:tcPr>
                  <w:tcW w:w="550" w:type="pct"/>
                  <w:vAlign w:val="center"/>
                </w:tcPr>
                <w:p w14:paraId="39B09332">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年用量</w:t>
                  </w:r>
                </w:p>
              </w:tc>
              <w:tc>
                <w:tcPr>
                  <w:tcW w:w="772" w:type="pct"/>
                  <w:vAlign w:val="center"/>
                </w:tcPr>
                <w:p w14:paraId="460BBAA8">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包装、形态</w:t>
                  </w:r>
                </w:p>
              </w:tc>
              <w:tc>
                <w:tcPr>
                  <w:tcW w:w="663" w:type="pct"/>
                  <w:gridSpan w:val="2"/>
                  <w:vAlign w:val="center"/>
                </w:tcPr>
                <w:p w14:paraId="4B04A289">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最大暂存量</w:t>
                  </w:r>
                </w:p>
              </w:tc>
              <w:tc>
                <w:tcPr>
                  <w:tcW w:w="951" w:type="pct"/>
                  <w:vAlign w:val="center"/>
                </w:tcPr>
                <w:p w14:paraId="0BDC4401">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暂存地点</w:t>
                  </w:r>
                </w:p>
              </w:tc>
            </w:tr>
            <w:tr w14:paraId="32FA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01F3DA1E">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一</w:t>
                  </w:r>
                </w:p>
              </w:tc>
              <w:tc>
                <w:tcPr>
                  <w:tcW w:w="4555" w:type="pct"/>
                  <w:gridSpan w:val="7"/>
                  <w:vAlign w:val="center"/>
                </w:tcPr>
                <w:p w14:paraId="03035C5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铝板生产</w:t>
                  </w:r>
                </w:p>
              </w:tc>
            </w:tr>
            <w:tr w14:paraId="63F1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60CB10F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1</w:t>
                  </w:r>
                </w:p>
              </w:tc>
              <w:tc>
                <w:tcPr>
                  <w:tcW w:w="910" w:type="pct"/>
                  <w:vAlign w:val="center"/>
                </w:tcPr>
                <w:p w14:paraId="6955F611">
                  <w:pPr>
                    <w:pStyle w:val="49"/>
                    <w:widowControl w:val="0"/>
                    <w:kinsoku/>
                    <w:autoSpaceDE/>
                    <w:autoSpaceDN/>
                    <w:adjustRightInd/>
                    <w:snapToGrid/>
                    <w:spacing w:line="240" w:lineRule="auto"/>
                    <w:ind w:left="0"/>
                    <w:textAlignment w:val="auto"/>
                    <w:rPr>
                      <w:rFonts w:cs="Times New Roman"/>
                      <w:bCs w:val="0"/>
                      <w:color w:val="auto"/>
                      <w:szCs w:val="21"/>
                    </w:rPr>
                  </w:pPr>
                  <w:r>
                    <w:rPr>
                      <w:rFonts w:cs="Times New Roman"/>
                      <w:color w:val="auto"/>
                      <w:szCs w:val="21"/>
                      <w:lang w:val="en-US" w:eastAsia="zh-CN"/>
                    </w:rPr>
                    <w:t>铝板</w:t>
                  </w:r>
                </w:p>
              </w:tc>
              <w:tc>
                <w:tcPr>
                  <w:tcW w:w="706" w:type="pct"/>
                  <w:vAlign w:val="center"/>
                </w:tcPr>
                <w:p w14:paraId="21CDE86F">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吨</w:t>
                  </w:r>
                </w:p>
              </w:tc>
              <w:tc>
                <w:tcPr>
                  <w:tcW w:w="550" w:type="pct"/>
                  <w:vAlign w:val="center"/>
                </w:tcPr>
                <w:p w14:paraId="735AA045">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160</w:t>
                  </w:r>
                </w:p>
              </w:tc>
              <w:tc>
                <w:tcPr>
                  <w:tcW w:w="772" w:type="pct"/>
                  <w:vAlign w:val="center"/>
                </w:tcPr>
                <w:p w14:paraId="76C36EE0">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木托，捆扎</w:t>
                  </w:r>
                </w:p>
              </w:tc>
              <w:tc>
                <w:tcPr>
                  <w:tcW w:w="663" w:type="pct"/>
                  <w:gridSpan w:val="2"/>
                  <w:vAlign w:val="center"/>
                </w:tcPr>
                <w:p w14:paraId="4281724C">
                  <w:pPr>
                    <w:pStyle w:val="49"/>
                    <w:widowControl w:val="0"/>
                    <w:kinsoku/>
                    <w:autoSpaceDE/>
                    <w:autoSpaceDN/>
                    <w:adjustRightInd/>
                    <w:snapToGrid/>
                    <w:spacing w:line="240" w:lineRule="auto"/>
                    <w:ind w:left="0"/>
                    <w:textAlignment w:val="auto"/>
                    <w:outlineLvl w:val="9"/>
                    <w:rPr>
                      <w:rFonts w:cs="Times New Roman"/>
                      <w:color w:val="auto"/>
                      <w:kern w:val="2"/>
                      <w:szCs w:val="21"/>
                      <w:lang w:val="en-US" w:eastAsia="zh-CN"/>
                    </w:rPr>
                  </w:pPr>
                  <w:r>
                    <w:rPr>
                      <w:rFonts w:hint="eastAsia" w:cs="Times New Roman"/>
                      <w:color w:val="auto"/>
                      <w:lang w:val="en-US" w:eastAsia="zh-CN"/>
                    </w:rPr>
                    <w:t>30</w:t>
                  </w:r>
                </w:p>
              </w:tc>
              <w:tc>
                <w:tcPr>
                  <w:tcW w:w="951" w:type="pct"/>
                  <w:vAlign w:val="center"/>
                </w:tcPr>
                <w:p w14:paraId="7B0AAF3D">
                  <w:pPr>
                    <w:pStyle w:val="49"/>
                    <w:widowControl w:val="0"/>
                    <w:kinsoku/>
                    <w:autoSpaceDE/>
                    <w:autoSpaceDN/>
                    <w:adjustRightInd/>
                    <w:snapToGrid/>
                    <w:spacing w:line="240" w:lineRule="auto"/>
                    <w:ind w:left="0"/>
                    <w:textAlignment w:val="auto"/>
                    <w:rPr>
                      <w:rFonts w:hint="default" w:eastAsia="宋体" w:cs="Times New Roman"/>
                      <w:color w:val="auto"/>
                      <w:lang w:val="en-US" w:eastAsia="zh-CN"/>
                    </w:rPr>
                  </w:pPr>
                  <w:r>
                    <w:rPr>
                      <w:rFonts w:hint="eastAsia" w:cs="Times New Roman"/>
                      <w:color w:val="auto"/>
                      <w:lang w:val="en-US" w:eastAsia="zh-CN"/>
                    </w:rPr>
                    <w:t>原料暂存区</w:t>
                  </w:r>
                </w:p>
              </w:tc>
            </w:tr>
            <w:tr w14:paraId="2059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4939F1F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2</w:t>
                  </w:r>
                </w:p>
              </w:tc>
              <w:tc>
                <w:tcPr>
                  <w:tcW w:w="910" w:type="pct"/>
                  <w:vAlign w:val="center"/>
                </w:tcPr>
                <w:p w14:paraId="4F03ADAD">
                  <w:pPr>
                    <w:pStyle w:val="49"/>
                    <w:widowControl w:val="0"/>
                    <w:kinsoku/>
                    <w:autoSpaceDE/>
                    <w:autoSpaceDN/>
                    <w:adjustRightInd/>
                    <w:snapToGrid/>
                    <w:spacing w:line="240" w:lineRule="auto"/>
                    <w:ind w:left="0"/>
                    <w:textAlignment w:val="auto"/>
                    <w:rPr>
                      <w:rFonts w:cs="Times New Roman"/>
                      <w:bCs w:val="0"/>
                      <w:color w:val="auto"/>
                      <w:szCs w:val="21"/>
                    </w:rPr>
                  </w:pPr>
                  <w:r>
                    <w:rPr>
                      <w:rFonts w:cs="Times New Roman"/>
                      <w:bCs w:val="0"/>
                      <w:color w:val="auto"/>
                      <w:spacing w:val="8"/>
                      <w:szCs w:val="21"/>
                      <w:lang w:val="en-US" w:eastAsia="zh-CN"/>
                    </w:rPr>
                    <w:t>塑粉</w:t>
                  </w:r>
                </w:p>
              </w:tc>
              <w:tc>
                <w:tcPr>
                  <w:tcW w:w="706" w:type="pct"/>
                  <w:vAlign w:val="center"/>
                </w:tcPr>
                <w:p w14:paraId="5B2A9ABD">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0C7F3D26">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6.37</w:t>
                  </w:r>
                </w:p>
              </w:tc>
              <w:tc>
                <w:tcPr>
                  <w:tcW w:w="772" w:type="pct"/>
                  <w:vAlign w:val="center"/>
                </w:tcPr>
                <w:p w14:paraId="08599148">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纸箱</w:t>
                  </w:r>
                </w:p>
              </w:tc>
              <w:tc>
                <w:tcPr>
                  <w:tcW w:w="663" w:type="pct"/>
                  <w:gridSpan w:val="2"/>
                  <w:vAlign w:val="center"/>
                </w:tcPr>
                <w:p w14:paraId="6F272CA7">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0.5</w:t>
                  </w:r>
                </w:p>
              </w:tc>
              <w:tc>
                <w:tcPr>
                  <w:tcW w:w="951" w:type="pct"/>
                  <w:vAlign w:val="center"/>
                </w:tcPr>
                <w:p w14:paraId="4CE8F708">
                  <w:pPr>
                    <w:pStyle w:val="49"/>
                    <w:widowControl w:val="0"/>
                    <w:kinsoku/>
                    <w:autoSpaceDE/>
                    <w:autoSpaceDN/>
                    <w:adjustRightInd/>
                    <w:snapToGrid/>
                    <w:spacing w:line="240" w:lineRule="auto"/>
                    <w:ind w:left="0"/>
                    <w:textAlignment w:val="auto"/>
                    <w:rPr>
                      <w:rFonts w:cs="Times New Roman"/>
                      <w:color w:val="auto"/>
                      <w:lang w:val="en-US"/>
                    </w:rPr>
                  </w:pPr>
                  <w:r>
                    <w:rPr>
                      <w:rFonts w:hint="eastAsia" w:cs="Times New Roman"/>
                      <w:color w:val="auto"/>
                      <w:lang w:val="en-US" w:eastAsia="zh-CN"/>
                    </w:rPr>
                    <w:t>原料暂存区</w:t>
                  </w:r>
                </w:p>
              </w:tc>
            </w:tr>
            <w:tr w14:paraId="4A1E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2FD4F61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二</w:t>
                  </w:r>
                </w:p>
              </w:tc>
              <w:tc>
                <w:tcPr>
                  <w:tcW w:w="4555" w:type="pct"/>
                  <w:gridSpan w:val="7"/>
                  <w:vAlign w:val="center"/>
                </w:tcPr>
                <w:p w14:paraId="17F26BD0">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护栏生产</w:t>
                  </w:r>
                </w:p>
              </w:tc>
            </w:tr>
            <w:tr w14:paraId="666A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1944ED9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1</w:t>
                  </w:r>
                </w:p>
              </w:tc>
              <w:tc>
                <w:tcPr>
                  <w:tcW w:w="910" w:type="pct"/>
                  <w:vAlign w:val="center"/>
                </w:tcPr>
                <w:p w14:paraId="045C2A87">
                  <w:pPr>
                    <w:pStyle w:val="49"/>
                    <w:widowControl w:val="0"/>
                    <w:kinsoku/>
                    <w:autoSpaceDE/>
                    <w:autoSpaceDN/>
                    <w:adjustRightInd/>
                    <w:snapToGrid/>
                    <w:spacing w:line="240" w:lineRule="auto"/>
                    <w:ind w:left="0"/>
                    <w:textAlignment w:val="auto"/>
                    <w:rPr>
                      <w:rFonts w:cs="Times New Roman"/>
                      <w:bCs w:val="0"/>
                      <w:color w:val="auto"/>
                      <w:spacing w:val="8"/>
                      <w:szCs w:val="21"/>
                    </w:rPr>
                  </w:pPr>
                  <w:r>
                    <w:rPr>
                      <w:rFonts w:cs="Times New Roman"/>
                      <w:color w:val="auto"/>
                      <w:szCs w:val="21"/>
                      <w:lang w:val="en-US" w:eastAsia="zh-CN"/>
                    </w:rPr>
                    <w:t>不锈钢钢材</w:t>
                  </w:r>
                </w:p>
              </w:tc>
              <w:tc>
                <w:tcPr>
                  <w:tcW w:w="706" w:type="pct"/>
                  <w:vAlign w:val="center"/>
                </w:tcPr>
                <w:p w14:paraId="5ED84100">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2942938A">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1500</w:t>
                  </w:r>
                </w:p>
              </w:tc>
              <w:tc>
                <w:tcPr>
                  <w:tcW w:w="772" w:type="pct"/>
                  <w:vAlign w:val="center"/>
                </w:tcPr>
                <w:p w14:paraId="7A22D63E">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63" w:type="pct"/>
                  <w:gridSpan w:val="2"/>
                  <w:vAlign w:val="center"/>
                </w:tcPr>
                <w:p w14:paraId="258202CF">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lang w:val="en-US" w:eastAsia="zh-CN"/>
                    </w:rPr>
                    <w:t>150</w:t>
                  </w:r>
                </w:p>
              </w:tc>
              <w:tc>
                <w:tcPr>
                  <w:tcW w:w="951" w:type="pct"/>
                  <w:vAlign w:val="center"/>
                </w:tcPr>
                <w:p w14:paraId="07B28376">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38D8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0D49F738">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2</w:t>
                  </w:r>
                </w:p>
              </w:tc>
              <w:tc>
                <w:tcPr>
                  <w:tcW w:w="910" w:type="pct"/>
                  <w:vAlign w:val="center"/>
                </w:tcPr>
                <w:p w14:paraId="699DCE66">
                  <w:pPr>
                    <w:pStyle w:val="49"/>
                    <w:widowControl w:val="0"/>
                    <w:kinsoku/>
                    <w:autoSpaceDE/>
                    <w:autoSpaceDN/>
                    <w:adjustRightInd/>
                    <w:snapToGrid/>
                    <w:spacing w:line="240" w:lineRule="auto"/>
                    <w:ind w:left="0"/>
                    <w:textAlignment w:val="auto"/>
                    <w:rPr>
                      <w:rFonts w:cs="Times New Roman"/>
                      <w:bCs w:val="0"/>
                      <w:color w:val="auto"/>
                      <w:spacing w:val="8"/>
                      <w:szCs w:val="21"/>
                    </w:rPr>
                  </w:pPr>
                  <w:r>
                    <w:rPr>
                      <w:rFonts w:cs="Times New Roman"/>
                      <w:color w:val="auto"/>
                      <w:szCs w:val="21"/>
                      <w:lang w:val="en-US" w:eastAsia="zh-CN"/>
                    </w:rPr>
                    <w:t>钢管</w:t>
                  </w:r>
                </w:p>
              </w:tc>
              <w:tc>
                <w:tcPr>
                  <w:tcW w:w="706" w:type="pct"/>
                  <w:vAlign w:val="center"/>
                </w:tcPr>
                <w:p w14:paraId="6603FB97">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41D7B635">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300</w:t>
                  </w:r>
                </w:p>
              </w:tc>
              <w:tc>
                <w:tcPr>
                  <w:tcW w:w="772" w:type="pct"/>
                  <w:vAlign w:val="center"/>
                </w:tcPr>
                <w:p w14:paraId="0B75EDBE">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63" w:type="pct"/>
                  <w:gridSpan w:val="2"/>
                  <w:vAlign w:val="center"/>
                </w:tcPr>
                <w:p w14:paraId="462E475F">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lang w:val="en-US" w:eastAsia="zh-CN"/>
                    </w:rPr>
                    <w:t>3</w:t>
                  </w:r>
                </w:p>
              </w:tc>
              <w:tc>
                <w:tcPr>
                  <w:tcW w:w="951" w:type="pct"/>
                  <w:vAlign w:val="center"/>
                </w:tcPr>
                <w:p w14:paraId="7874EDF0">
                  <w:pPr>
                    <w:pStyle w:val="49"/>
                    <w:widowControl w:val="0"/>
                    <w:kinsoku/>
                    <w:autoSpaceDE/>
                    <w:autoSpaceDN/>
                    <w:adjustRightInd/>
                    <w:snapToGrid/>
                    <w:spacing w:line="240" w:lineRule="auto"/>
                    <w:ind w:left="0"/>
                    <w:textAlignment w:val="auto"/>
                    <w:rPr>
                      <w:rFonts w:cs="Times New Roman"/>
                      <w:color w:val="auto"/>
                    </w:rPr>
                  </w:pPr>
                  <w:r>
                    <w:rPr>
                      <w:rFonts w:hint="eastAsia" w:cs="Times New Roman"/>
                      <w:color w:val="auto"/>
                      <w:lang w:val="en-US" w:eastAsia="zh-CN"/>
                    </w:rPr>
                    <w:t>原料暂存区</w:t>
                  </w:r>
                </w:p>
              </w:tc>
            </w:tr>
            <w:tr w14:paraId="571E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76546C51">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3</w:t>
                  </w:r>
                </w:p>
              </w:tc>
              <w:tc>
                <w:tcPr>
                  <w:tcW w:w="910" w:type="pct"/>
                  <w:vAlign w:val="center"/>
                </w:tcPr>
                <w:p w14:paraId="1FCC542B">
                  <w:pPr>
                    <w:pStyle w:val="49"/>
                    <w:widowControl w:val="0"/>
                    <w:kinsoku/>
                    <w:autoSpaceDE/>
                    <w:autoSpaceDN/>
                    <w:adjustRightInd/>
                    <w:snapToGrid/>
                    <w:spacing w:line="240" w:lineRule="auto"/>
                    <w:ind w:left="0"/>
                    <w:textAlignment w:val="auto"/>
                    <w:rPr>
                      <w:rFonts w:cs="Times New Roman"/>
                      <w:bCs w:val="0"/>
                      <w:color w:val="auto"/>
                      <w:spacing w:val="8"/>
                      <w:szCs w:val="21"/>
                    </w:rPr>
                  </w:pPr>
                  <w:r>
                    <w:rPr>
                      <w:rFonts w:cs="Times New Roman"/>
                      <w:color w:val="auto"/>
                      <w:lang w:val="en-US" w:eastAsia="zh-CN"/>
                    </w:rPr>
                    <w:t>焊丝</w:t>
                  </w:r>
                </w:p>
              </w:tc>
              <w:tc>
                <w:tcPr>
                  <w:tcW w:w="706" w:type="pct"/>
                  <w:vAlign w:val="center"/>
                </w:tcPr>
                <w:p w14:paraId="7CC5A918">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45F4F5C1">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5</w:t>
                  </w:r>
                </w:p>
              </w:tc>
              <w:tc>
                <w:tcPr>
                  <w:tcW w:w="772" w:type="pct"/>
                  <w:vAlign w:val="center"/>
                </w:tcPr>
                <w:p w14:paraId="6184C6A7">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纸箱</w:t>
                  </w:r>
                </w:p>
              </w:tc>
              <w:tc>
                <w:tcPr>
                  <w:tcW w:w="663" w:type="pct"/>
                  <w:gridSpan w:val="2"/>
                  <w:vAlign w:val="center"/>
                </w:tcPr>
                <w:p w14:paraId="3DC5D0D5">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lang w:val="en-US" w:eastAsia="zh-CN"/>
                    </w:rPr>
                    <w:t>0.1</w:t>
                  </w:r>
                </w:p>
              </w:tc>
              <w:tc>
                <w:tcPr>
                  <w:tcW w:w="951" w:type="pct"/>
                  <w:vAlign w:val="center"/>
                </w:tcPr>
                <w:p w14:paraId="68E93EE3">
                  <w:pPr>
                    <w:widowControl w:val="0"/>
                    <w:kinsoku/>
                    <w:autoSpaceDE/>
                    <w:autoSpaceDN/>
                    <w:adjustRightInd/>
                    <w:snapToGrid/>
                    <w:jc w:val="center"/>
                    <w:textAlignment w:val="auto"/>
                    <w:rPr>
                      <w:rFonts w:ascii="Times New Roman" w:hAnsi="Times New Roman" w:cs="Times New Roman"/>
                      <w:color w:val="auto"/>
                    </w:rPr>
                  </w:pPr>
                  <w:r>
                    <w:rPr>
                      <w:rFonts w:hint="eastAsia" w:cs="Times New Roman"/>
                      <w:color w:val="auto"/>
                      <w:lang w:val="en-US" w:eastAsia="zh-CN"/>
                    </w:rPr>
                    <w:t>原料暂存区</w:t>
                  </w:r>
                </w:p>
              </w:tc>
            </w:tr>
            <w:tr w14:paraId="4032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47C38A6D">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4</w:t>
                  </w:r>
                </w:p>
              </w:tc>
              <w:tc>
                <w:tcPr>
                  <w:tcW w:w="910" w:type="pct"/>
                  <w:vAlign w:val="center"/>
                </w:tcPr>
                <w:p w14:paraId="33A24945">
                  <w:pPr>
                    <w:pStyle w:val="49"/>
                    <w:widowControl w:val="0"/>
                    <w:kinsoku/>
                    <w:autoSpaceDE/>
                    <w:autoSpaceDN/>
                    <w:adjustRightInd/>
                    <w:snapToGrid/>
                    <w:spacing w:line="240" w:lineRule="auto"/>
                    <w:ind w:left="0"/>
                    <w:textAlignment w:val="auto"/>
                    <w:rPr>
                      <w:rFonts w:cs="Times New Roman"/>
                      <w:bCs w:val="0"/>
                      <w:color w:val="auto"/>
                      <w:spacing w:val="8"/>
                      <w:szCs w:val="21"/>
                      <w:lang w:val="en-US" w:eastAsia="zh-CN"/>
                    </w:rPr>
                  </w:pPr>
                  <w:r>
                    <w:rPr>
                      <w:rFonts w:cs="Times New Roman"/>
                      <w:bCs w:val="0"/>
                      <w:color w:val="auto"/>
                      <w:spacing w:val="8"/>
                      <w:szCs w:val="21"/>
                      <w:lang w:val="en-US" w:eastAsia="zh-CN"/>
                    </w:rPr>
                    <w:t>塑粉</w:t>
                  </w:r>
                </w:p>
              </w:tc>
              <w:tc>
                <w:tcPr>
                  <w:tcW w:w="706" w:type="pct"/>
                  <w:vAlign w:val="center"/>
                </w:tcPr>
                <w:p w14:paraId="73E1B574">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34FB17BB">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24.51</w:t>
                  </w:r>
                </w:p>
              </w:tc>
              <w:tc>
                <w:tcPr>
                  <w:tcW w:w="772" w:type="pct"/>
                  <w:vAlign w:val="center"/>
                </w:tcPr>
                <w:p w14:paraId="1FCA2CB0">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纸箱</w:t>
                  </w:r>
                </w:p>
              </w:tc>
              <w:tc>
                <w:tcPr>
                  <w:tcW w:w="663" w:type="pct"/>
                  <w:gridSpan w:val="2"/>
                  <w:vAlign w:val="center"/>
                </w:tcPr>
                <w:p w14:paraId="2A2127EB">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0.5</w:t>
                  </w:r>
                </w:p>
              </w:tc>
              <w:tc>
                <w:tcPr>
                  <w:tcW w:w="951" w:type="pct"/>
                  <w:vAlign w:val="center"/>
                </w:tcPr>
                <w:p w14:paraId="55051CE4">
                  <w:pPr>
                    <w:pStyle w:val="49"/>
                    <w:widowControl w:val="0"/>
                    <w:kinsoku/>
                    <w:autoSpaceDE/>
                    <w:autoSpaceDN/>
                    <w:adjustRightInd/>
                    <w:snapToGrid/>
                    <w:spacing w:line="240" w:lineRule="auto"/>
                    <w:ind w:left="0"/>
                    <w:textAlignment w:val="auto"/>
                    <w:rPr>
                      <w:rFonts w:cs="Times New Roman"/>
                      <w:color w:val="auto"/>
                    </w:rPr>
                  </w:pPr>
                  <w:r>
                    <w:rPr>
                      <w:rFonts w:hint="eastAsia" w:cs="Times New Roman"/>
                      <w:color w:val="auto"/>
                      <w:lang w:val="en-US" w:eastAsia="zh-CN"/>
                    </w:rPr>
                    <w:t>原料暂存区</w:t>
                  </w:r>
                </w:p>
              </w:tc>
            </w:tr>
            <w:tr w14:paraId="03F4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5FB5CAF9">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三</w:t>
                  </w:r>
                </w:p>
              </w:tc>
              <w:tc>
                <w:tcPr>
                  <w:tcW w:w="4555" w:type="pct"/>
                  <w:gridSpan w:val="7"/>
                  <w:vAlign w:val="center"/>
                </w:tcPr>
                <w:p w14:paraId="5C38A3E6">
                  <w:pPr>
                    <w:pStyle w:val="33"/>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门窗生产</w:t>
                  </w:r>
                </w:p>
              </w:tc>
            </w:tr>
            <w:tr w14:paraId="1832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57271C1A">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1</w:t>
                  </w:r>
                </w:p>
              </w:tc>
              <w:tc>
                <w:tcPr>
                  <w:tcW w:w="910" w:type="pct"/>
                  <w:vAlign w:val="center"/>
                </w:tcPr>
                <w:p w14:paraId="126E08F6">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铝材</w:t>
                  </w:r>
                </w:p>
              </w:tc>
              <w:tc>
                <w:tcPr>
                  <w:tcW w:w="706" w:type="pct"/>
                  <w:vAlign w:val="center"/>
                </w:tcPr>
                <w:p w14:paraId="225A6DFB">
                  <w:pPr>
                    <w:widowControl w:val="0"/>
                    <w:kinsoku/>
                    <w:autoSpaceDE/>
                    <w:autoSpaceDN/>
                    <w:adjustRightInd/>
                    <w:snapToGrid/>
                    <w:jc w:val="center"/>
                    <w:textAlignment w:val="auto"/>
                    <w:rPr>
                      <w:rFonts w:ascii="Times New Roman" w:hAnsi="Times New Roman" w:eastAsia="宋体" w:cs="Times New Roman"/>
                      <w:color w:val="auto"/>
                      <w:kern w:val="2"/>
                      <w:lang w:eastAsia="zh-CN"/>
                    </w:rPr>
                  </w:pPr>
                  <w:r>
                    <w:rPr>
                      <w:rFonts w:ascii="Times New Roman" w:hAnsi="Times New Roman" w:cs="Times New Roman"/>
                      <w:color w:val="auto"/>
                      <w:lang w:eastAsia="zh-CN"/>
                    </w:rPr>
                    <w:t>吨</w:t>
                  </w:r>
                </w:p>
              </w:tc>
              <w:tc>
                <w:tcPr>
                  <w:tcW w:w="550" w:type="pct"/>
                  <w:vAlign w:val="center"/>
                </w:tcPr>
                <w:p w14:paraId="0239FAE6">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300</w:t>
                  </w:r>
                </w:p>
              </w:tc>
              <w:tc>
                <w:tcPr>
                  <w:tcW w:w="807" w:type="pct"/>
                  <w:gridSpan w:val="2"/>
                  <w:vAlign w:val="center"/>
                </w:tcPr>
                <w:p w14:paraId="055AEC53">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28" w:type="pct"/>
                  <w:vAlign w:val="center"/>
                </w:tcPr>
                <w:p w14:paraId="0C28EA6C">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lang w:val="en-US" w:eastAsia="zh-CN"/>
                    </w:rPr>
                    <w:t>20</w:t>
                  </w:r>
                </w:p>
              </w:tc>
              <w:tc>
                <w:tcPr>
                  <w:tcW w:w="951" w:type="pct"/>
                  <w:vAlign w:val="center"/>
                </w:tcPr>
                <w:p w14:paraId="18B5F989">
                  <w:pPr>
                    <w:widowControl w:val="0"/>
                    <w:kinsoku/>
                    <w:autoSpaceDE/>
                    <w:autoSpaceDN/>
                    <w:adjustRightInd/>
                    <w:snapToGrid/>
                    <w:jc w:val="center"/>
                    <w:textAlignment w:val="auto"/>
                    <w:rPr>
                      <w:rFonts w:ascii="Times New Roman" w:hAnsi="Times New Roman" w:eastAsia="宋体" w:cs="Times New Roman"/>
                      <w:color w:val="auto"/>
                      <w:kern w:val="2"/>
                      <w:lang w:eastAsia="zh-CN"/>
                    </w:rPr>
                  </w:pPr>
                  <w:r>
                    <w:rPr>
                      <w:rFonts w:hint="eastAsia" w:cs="Times New Roman"/>
                      <w:color w:val="auto"/>
                      <w:lang w:val="en-US" w:eastAsia="zh-CN"/>
                    </w:rPr>
                    <w:t>原料暂存区</w:t>
                  </w:r>
                </w:p>
              </w:tc>
            </w:tr>
            <w:tr w14:paraId="5F09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6AF7AE26">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2</w:t>
                  </w:r>
                </w:p>
              </w:tc>
              <w:tc>
                <w:tcPr>
                  <w:tcW w:w="910" w:type="pct"/>
                  <w:vAlign w:val="center"/>
                </w:tcPr>
                <w:p w14:paraId="3AE0CD7C">
                  <w:pPr>
                    <w:pStyle w:val="49"/>
                    <w:widowControl w:val="0"/>
                    <w:kinsoku/>
                    <w:autoSpaceDE/>
                    <w:autoSpaceDN/>
                    <w:adjustRightInd/>
                    <w:snapToGrid/>
                    <w:spacing w:line="240" w:lineRule="auto"/>
                    <w:ind w:left="0"/>
                    <w:textAlignment w:val="auto"/>
                    <w:rPr>
                      <w:rFonts w:cs="Times New Roman"/>
                      <w:bCs w:val="0"/>
                      <w:color w:val="auto"/>
                      <w:spacing w:val="8"/>
                      <w:szCs w:val="21"/>
                    </w:rPr>
                  </w:pPr>
                  <w:r>
                    <w:rPr>
                      <w:rFonts w:cs="Times New Roman"/>
                      <w:color w:val="auto"/>
                      <w:kern w:val="2"/>
                      <w:szCs w:val="21"/>
                      <w:lang w:val="en-US" w:eastAsia="zh-CN"/>
                    </w:rPr>
                    <w:t>玻璃</w:t>
                  </w:r>
                </w:p>
              </w:tc>
              <w:tc>
                <w:tcPr>
                  <w:tcW w:w="706" w:type="pct"/>
                  <w:vAlign w:val="center"/>
                </w:tcPr>
                <w:p w14:paraId="5D37D441">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41D6A305">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150</w:t>
                  </w:r>
                </w:p>
              </w:tc>
              <w:tc>
                <w:tcPr>
                  <w:tcW w:w="807" w:type="pct"/>
                  <w:gridSpan w:val="2"/>
                  <w:vAlign w:val="center"/>
                </w:tcPr>
                <w:p w14:paraId="6238D5C0">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袋装</w:t>
                  </w:r>
                </w:p>
              </w:tc>
              <w:tc>
                <w:tcPr>
                  <w:tcW w:w="628" w:type="pct"/>
                  <w:vAlign w:val="center"/>
                </w:tcPr>
                <w:p w14:paraId="396D05E9">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5</w:t>
                  </w:r>
                </w:p>
              </w:tc>
              <w:tc>
                <w:tcPr>
                  <w:tcW w:w="951" w:type="pct"/>
                  <w:vAlign w:val="center"/>
                </w:tcPr>
                <w:p w14:paraId="26888959">
                  <w:pPr>
                    <w:widowControl w:val="0"/>
                    <w:kinsoku/>
                    <w:autoSpaceDE/>
                    <w:autoSpaceDN/>
                    <w:adjustRightInd/>
                    <w:snapToGrid/>
                    <w:jc w:val="center"/>
                    <w:textAlignment w:val="auto"/>
                    <w:rPr>
                      <w:rFonts w:ascii="Times New Roman" w:hAnsi="Times New Roman" w:cs="Times New Roman"/>
                      <w:color w:val="auto"/>
                    </w:rPr>
                  </w:pPr>
                  <w:r>
                    <w:rPr>
                      <w:rFonts w:hint="eastAsia" w:cs="Times New Roman"/>
                      <w:color w:val="auto"/>
                      <w:lang w:val="en-US" w:eastAsia="zh-CN"/>
                    </w:rPr>
                    <w:t>原料暂存区</w:t>
                  </w:r>
                </w:p>
              </w:tc>
            </w:tr>
            <w:tr w14:paraId="0BD3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186374F3">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3</w:t>
                  </w:r>
                </w:p>
              </w:tc>
              <w:tc>
                <w:tcPr>
                  <w:tcW w:w="910" w:type="pct"/>
                  <w:vAlign w:val="center"/>
                </w:tcPr>
                <w:p w14:paraId="3A8A462D">
                  <w:pPr>
                    <w:pStyle w:val="49"/>
                    <w:widowControl w:val="0"/>
                    <w:kinsoku/>
                    <w:autoSpaceDE/>
                    <w:autoSpaceDN/>
                    <w:adjustRightInd/>
                    <w:snapToGrid/>
                    <w:spacing w:line="240" w:lineRule="auto"/>
                    <w:ind w:left="0"/>
                    <w:textAlignment w:val="auto"/>
                    <w:rPr>
                      <w:rFonts w:cs="Times New Roman"/>
                      <w:bCs w:val="0"/>
                      <w:color w:val="auto"/>
                      <w:spacing w:val="8"/>
                      <w:szCs w:val="21"/>
                    </w:rPr>
                  </w:pPr>
                  <w:r>
                    <w:rPr>
                      <w:rFonts w:cs="Times New Roman"/>
                      <w:color w:val="auto"/>
                      <w:szCs w:val="21"/>
                      <w:lang w:val="en-US" w:eastAsia="zh-CN"/>
                    </w:rPr>
                    <w:t>门窗五金件</w:t>
                  </w:r>
                </w:p>
              </w:tc>
              <w:tc>
                <w:tcPr>
                  <w:tcW w:w="706" w:type="pct"/>
                  <w:vAlign w:val="center"/>
                </w:tcPr>
                <w:p w14:paraId="65B2F327">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lang w:eastAsia="zh-CN"/>
                    </w:rPr>
                    <w:t>吨</w:t>
                  </w:r>
                </w:p>
              </w:tc>
              <w:tc>
                <w:tcPr>
                  <w:tcW w:w="550" w:type="pct"/>
                  <w:vAlign w:val="center"/>
                </w:tcPr>
                <w:p w14:paraId="1D2711F6">
                  <w:pPr>
                    <w:pStyle w:val="49"/>
                    <w:widowControl w:val="0"/>
                    <w:kinsoku/>
                    <w:autoSpaceDE/>
                    <w:autoSpaceDN/>
                    <w:adjustRightInd/>
                    <w:snapToGrid/>
                    <w:spacing w:line="240" w:lineRule="auto"/>
                    <w:ind w:left="0"/>
                    <w:textAlignment w:val="auto"/>
                    <w:rPr>
                      <w:rFonts w:cs="Times New Roman"/>
                      <w:color w:val="auto"/>
                      <w:kern w:val="2"/>
                      <w:szCs w:val="21"/>
                      <w:lang w:val="en-US" w:eastAsia="zh-CN"/>
                    </w:rPr>
                  </w:pPr>
                  <w:r>
                    <w:rPr>
                      <w:rFonts w:cs="Times New Roman"/>
                      <w:color w:val="auto"/>
                      <w:kern w:val="2"/>
                      <w:szCs w:val="21"/>
                      <w:lang w:val="en-US" w:eastAsia="zh-CN"/>
                    </w:rPr>
                    <w:t>5</w:t>
                  </w:r>
                </w:p>
              </w:tc>
              <w:tc>
                <w:tcPr>
                  <w:tcW w:w="807" w:type="pct"/>
                  <w:gridSpan w:val="2"/>
                  <w:vAlign w:val="center"/>
                </w:tcPr>
                <w:p w14:paraId="7EE8C854">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kern w:val="2"/>
                      <w:szCs w:val="24"/>
                      <w:lang w:val="en-US" w:eastAsia="zh-CN"/>
                    </w:rPr>
                    <w:t>纸箱</w:t>
                  </w:r>
                </w:p>
              </w:tc>
              <w:tc>
                <w:tcPr>
                  <w:tcW w:w="628" w:type="pct"/>
                  <w:vAlign w:val="center"/>
                </w:tcPr>
                <w:p w14:paraId="435A4709">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kern w:val="2"/>
                      <w:szCs w:val="24"/>
                      <w:lang w:val="en-US" w:eastAsia="zh-CN"/>
                    </w:rPr>
                    <w:t>10</w:t>
                  </w:r>
                </w:p>
              </w:tc>
              <w:tc>
                <w:tcPr>
                  <w:tcW w:w="951" w:type="pct"/>
                  <w:vAlign w:val="center"/>
                </w:tcPr>
                <w:p w14:paraId="7963FC4F">
                  <w:pPr>
                    <w:widowControl w:val="0"/>
                    <w:kinsoku/>
                    <w:autoSpaceDE/>
                    <w:autoSpaceDN/>
                    <w:adjustRightInd/>
                    <w:snapToGrid/>
                    <w:jc w:val="center"/>
                    <w:textAlignment w:val="auto"/>
                    <w:rPr>
                      <w:rFonts w:ascii="Times New Roman" w:hAnsi="Times New Roman" w:cs="Times New Roman"/>
                      <w:color w:val="auto"/>
                    </w:rPr>
                  </w:pPr>
                  <w:r>
                    <w:rPr>
                      <w:rFonts w:hint="eastAsia" w:cs="Times New Roman"/>
                      <w:color w:val="auto"/>
                      <w:lang w:val="en-US" w:eastAsia="zh-CN"/>
                    </w:rPr>
                    <w:t>原料暂存区</w:t>
                  </w:r>
                </w:p>
              </w:tc>
            </w:tr>
            <w:tr w14:paraId="252C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443BCFA2">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四</w:t>
                  </w:r>
                </w:p>
              </w:tc>
              <w:tc>
                <w:tcPr>
                  <w:tcW w:w="4555" w:type="pct"/>
                  <w:gridSpan w:val="7"/>
                  <w:vAlign w:val="center"/>
                </w:tcPr>
                <w:p w14:paraId="45994D06">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钣金箱体</w:t>
                  </w:r>
                </w:p>
              </w:tc>
            </w:tr>
            <w:tr w14:paraId="029E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3D951F94">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1</w:t>
                  </w:r>
                </w:p>
              </w:tc>
              <w:tc>
                <w:tcPr>
                  <w:tcW w:w="910" w:type="pct"/>
                  <w:vAlign w:val="center"/>
                </w:tcPr>
                <w:p w14:paraId="1CE94403">
                  <w:pPr>
                    <w:pStyle w:val="49"/>
                    <w:widowControl w:val="0"/>
                    <w:kinsoku/>
                    <w:autoSpaceDE/>
                    <w:autoSpaceDN/>
                    <w:adjustRightInd/>
                    <w:snapToGrid/>
                    <w:spacing w:line="240" w:lineRule="auto"/>
                    <w:ind w:left="0"/>
                    <w:textAlignment w:val="auto"/>
                    <w:rPr>
                      <w:rFonts w:cs="Times New Roman"/>
                      <w:bCs w:val="0"/>
                      <w:color w:val="auto"/>
                      <w:spacing w:val="8"/>
                      <w:szCs w:val="21"/>
                      <w:lang w:val="en-US" w:eastAsia="zh-CN"/>
                    </w:rPr>
                  </w:pPr>
                  <w:r>
                    <w:rPr>
                      <w:rFonts w:cs="Times New Roman"/>
                      <w:color w:val="auto"/>
                      <w:szCs w:val="21"/>
                      <w:lang w:val="en-US" w:eastAsia="zh-CN"/>
                    </w:rPr>
                    <w:t>不锈钢钢材</w:t>
                  </w:r>
                </w:p>
              </w:tc>
              <w:tc>
                <w:tcPr>
                  <w:tcW w:w="706" w:type="pct"/>
                  <w:vAlign w:val="center"/>
                </w:tcPr>
                <w:p w14:paraId="3BE2F95D">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0D852933">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150</w:t>
                  </w:r>
                </w:p>
              </w:tc>
              <w:tc>
                <w:tcPr>
                  <w:tcW w:w="807" w:type="pct"/>
                  <w:gridSpan w:val="2"/>
                  <w:vAlign w:val="center"/>
                </w:tcPr>
                <w:p w14:paraId="488A36C9">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28" w:type="pct"/>
                  <w:vAlign w:val="center"/>
                </w:tcPr>
                <w:p w14:paraId="79648BC4">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5</w:t>
                  </w:r>
                </w:p>
              </w:tc>
              <w:tc>
                <w:tcPr>
                  <w:tcW w:w="951" w:type="pct"/>
                  <w:vAlign w:val="center"/>
                </w:tcPr>
                <w:p w14:paraId="2152DABC">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5308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0A3B6FA2">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2</w:t>
                  </w:r>
                </w:p>
              </w:tc>
              <w:tc>
                <w:tcPr>
                  <w:tcW w:w="910" w:type="pct"/>
                  <w:vAlign w:val="center"/>
                </w:tcPr>
                <w:p w14:paraId="25364D7B">
                  <w:pPr>
                    <w:pStyle w:val="49"/>
                    <w:widowControl w:val="0"/>
                    <w:kinsoku/>
                    <w:autoSpaceDE/>
                    <w:autoSpaceDN/>
                    <w:adjustRightInd/>
                    <w:snapToGrid/>
                    <w:spacing w:line="240" w:lineRule="auto"/>
                    <w:ind w:left="0"/>
                    <w:textAlignment w:val="auto"/>
                    <w:rPr>
                      <w:rFonts w:cs="Times New Roman"/>
                      <w:color w:val="auto"/>
                      <w:szCs w:val="21"/>
                      <w:lang w:val="en-US" w:eastAsia="zh-CN"/>
                    </w:rPr>
                  </w:pPr>
                  <w:r>
                    <w:rPr>
                      <w:rFonts w:cs="Times New Roman"/>
                      <w:color w:val="auto"/>
                      <w:szCs w:val="21"/>
                      <w:lang w:val="en-US" w:eastAsia="zh-CN"/>
                    </w:rPr>
                    <w:t>焊丝</w:t>
                  </w:r>
                </w:p>
              </w:tc>
              <w:tc>
                <w:tcPr>
                  <w:tcW w:w="706" w:type="pct"/>
                  <w:vAlign w:val="center"/>
                </w:tcPr>
                <w:p w14:paraId="2F4737EC">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5A3937EE">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3</w:t>
                  </w:r>
                </w:p>
              </w:tc>
              <w:tc>
                <w:tcPr>
                  <w:tcW w:w="807" w:type="pct"/>
                  <w:gridSpan w:val="2"/>
                  <w:vAlign w:val="center"/>
                </w:tcPr>
                <w:p w14:paraId="602389D3">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kern w:val="2"/>
                      <w:szCs w:val="24"/>
                      <w:lang w:val="en-US" w:eastAsia="zh-CN"/>
                    </w:rPr>
                    <w:t>纸箱</w:t>
                  </w:r>
                </w:p>
              </w:tc>
              <w:tc>
                <w:tcPr>
                  <w:tcW w:w="628" w:type="pct"/>
                  <w:vAlign w:val="center"/>
                </w:tcPr>
                <w:p w14:paraId="4E6B5C70">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0.1</w:t>
                  </w:r>
                </w:p>
              </w:tc>
              <w:tc>
                <w:tcPr>
                  <w:tcW w:w="951" w:type="pct"/>
                  <w:vAlign w:val="center"/>
                </w:tcPr>
                <w:p w14:paraId="07C6070A">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24A4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0F4742CF">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3</w:t>
                  </w:r>
                </w:p>
              </w:tc>
              <w:tc>
                <w:tcPr>
                  <w:tcW w:w="910" w:type="pct"/>
                  <w:vAlign w:val="center"/>
                </w:tcPr>
                <w:p w14:paraId="3BDAA7F6">
                  <w:pPr>
                    <w:pStyle w:val="49"/>
                    <w:widowControl w:val="0"/>
                    <w:kinsoku/>
                    <w:autoSpaceDE/>
                    <w:autoSpaceDN/>
                    <w:adjustRightInd/>
                    <w:snapToGrid/>
                    <w:spacing w:line="240" w:lineRule="auto"/>
                    <w:ind w:left="0"/>
                    <w:textAlignment w:val="auto"/>
                    <w:rPr>
                      <w:rFonts w:cs="Times New Roman"/>
                      <w:color w:val="auto"/>
                      <w:szCs w:val="21"/>
                      <w:lang w:val="en-US" w:eastAsia="zh-CN"/>
                    </w:rPr>
                  </w:pPr>
                  <w:r>
                    <w:rPr>
                      <w:rFonts w:cs="Times New Roman"/>
                      <w:bCs w:val="0"/>
                      <w:color w:val="auto"/>
                      <w:spacing w:val="8"/>
                      <w:szCs w:val="21"/>
                      <w:lang w:val="en-US" w:eastAsia="zh-CN"/>
                    </w:rPr>
                    <w:t>塑粉</w:t>
                  </w:r>
                </w:p>
              </w:tc>
              <w:tc>
                <w:tcPr>
                  <w:tcW w:w="706" w:type="pct"/>
                  <w:vAlign w:val="center"/>
                </w:tcPr>
                <w:p w14:paraId="4E6A5B03">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61326957">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4.19</w:t>
                  </w:r>
                </w:p>
              </w:tc>
              <w:tc>
                <w:tcPr>
                  <w:tcW w:w="807" w:type="pct"/>
                  <w:gridSpan w:val="2"/>
                  <w:vAlign w:val="center"/>
                </w:tcPr>
                <w:p w14:paraId="660013FB">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kern w:val="2"/>
                      <w:szCs w:val="24"/>
                      <w:lang w:val="en-US" w:eastAsia="zh-CN"/>
                    </w:rPr>
                    <w:t>纸箱</w:t>
                  </w:r>
                </w:p>
              </w:tc>
              <w:tc>
                <w:tcPr>
                  <w:tcW w:w="628" w:type="pct"/>
                  <w:vAlign w:val="center"/>
                </w:tcPr>
                <w:p w14:paraId="2C0B7B2C">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0.3</w:t>
                  </w:r>
                </w:p>
              </w:tc>
              <w:tc>
                <w:tcPr>
                  <w:tcW w:w="951" w:type="pct"/>
                  <w:vAlign w:val="center"/>
                </w:tcPr>
                <w:p w14:paraId="4F810B8B">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6E66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5DC2A098">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五</w:t>
                  </w:r>
                </w:p>
              </w:tc>
              <w:tc>
                <w:tcPr>
                  <w:tcW w:w="4555" w:type="pct"/>
                  <w:gridSpan w:val="7"/>
                  <w:vAlign w:val="center"/>
                </w:tcPr>
                <w:p w14:paraId="0E97BE24">
                  <w:pPr>
                    <w:pStyle w:val="49"/>
                    <w:keepNext w:val="0"/>
                    <w:keepLines w:val="0"/>
                    <w:pageBreakBefore w:val="0"/>
                    <w:widowControl w:val="0"/>
                    <w:kinsoku/>
                    <w:wordWrap/>
                    <w:overflowPunct/>
                    <w:topLinePunct w:val="0"/>
                    <w:autoSpaceDE/>
                    <w:autoSpaceDN/>
                    <w:bidi w:val="0"/>
                    <w:adjustRightInd/>
                    <w:snapToGrid/>
                    <w:spacing w:line="240" w:lineRule="auto"/>
                    <w:ind w:left="0"/>
                    <w:textAlignment w:val="auto"/>
                    <w:outlineLvl w:val="9"/>
                    <w:rPr>
                      <w:rFonts w:cs="Times New Roman"/>
                      <w:color w:val="auto"/>
                      <w:lang w:val="en-US" w:eastAsia="zh-CN"/>
                    </w:rPr>
                  </w:pPr>
                  <w:r>
                    <w:rPr>
                      <w:rFonts w:cs="Times New Roman"/>
                      <w:color w:val="auto"/>
                      <w:lang w:val="en-US" w:eastAsia="zh-CN"/>
                    </w:rPr>
                    <w:t>钢结构</w:t>
                  </w:r>
                </w:p>
              </w:tc>
            </w:tr>
            <w:tr w14:paraId="10B1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5CFA12EA">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1</w:t>
                  </w:r>
                </w:p>
              </w:tc>
              <w:tc>
                <w:tcPr>
                  <w:tcW w:w="910" w:type="pct"/>
                  <w:vAlign w:val="center"/>
                </w:tcPr>
                <w:p w14:paraId="00B48124">
                  <w:pPr>
                    <w:pStyle w:val="49"/>
                    <w:widowControl w:val="0"/>
                    <w:kinsoku/>
                    <w:autoSpaceDE/>
                    <w:autoSpaceDN/>
                    <w:adjustRightInd/>
                    <w:snapToGrid/>
                    <w:spacing w:line="240" w:lineRule="auto"/>
                    <w:ind w:left="0"/>
                    <w:textAlignment w:val="auto"/>
                    <w:rPr>
                      <w:rFonts w:cs="Times New Roman"/>
                      <w:color w:val="auto"/>
                      <w:szCs w:val="21"/>
                      <w:lang w:val="en-US" w:eastAsia="zh-CN"/>
                    </w:rPr>
                  </w:pPr>
                  <w:r>
                    <w:rPr>
                      <w:rFonts w:cs="Times New Roman"/>
                      <w:color w:val="auto"/>
                      <w:szCs w:val="21"/>
                      <w:lang w:val="en-US" w:eastAsia="zh-CN"/>
                    </w:rPr>
                    <w:t>钢板</w:t>
                  </w:r>
                </w:p>
              </w:tc>
              <w:tc>
                <w:tcPr>
                  <w:tcW w:w="706" w:type="pct"/>
                  <w:vAlign w:val="center"/>
                </w:tcPr>
                <w:p w14:paraId="27CAE54C">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2DCB5653">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80</w:t>
                  </w:r>
                </w:p>
              </w:tc>
              <w:tc>
                <w:tcPr>
                  <w:tcW w:w="807" w:type="pct"/>
                  <w:gridSpan w:val="2"/>
                  <w:vAlign w:val="center"/>
                </w:tcPr>
                <w:p w14:paraId="6CBB7897">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28" w:type="pct"/>
                  <w:vAlign w:val="center"/>
                </w:tcPr>
                <w:p w14:paraId="6F0E3785">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10</w:t>
                  </w:r>
                </w:p>
              </w:tc>
              <w:tc>
                <w:tcPr>
                  <w:tcW w:w="951" w:type="pct"/>
                  <w:vAlign w:val="center"/>
                </w:tcPr>
                <w:p w14:paraId="0F74D8E3">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3D18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7B352371">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2</w:t>
                  </w:r>
                </w:p>
              </w:tc>
              <w:tc>
                <w:tcPr>
                  <w:tcW w:w="910" w:type="pct"/>
                  <w:vAlign w:val="center"/>
                </w:tcPr>
                <w:p w14:paraId="409D9013">
                  <w:pPr>
                    <w:pStyle w:val="49"/>
                    <w:widowControl w:val="0"/>
                    <w:kinsoku/>
                    <w:autoSpaceDE/>
                    <w:autoSpaceDN/>
                    <w:adjustRightInd/>
                    <w:snapToGrid/>
                    <w:spacing w:line="240" w:lineRule="auto"/>
                    <w:ind w:left="0"/>
                    <w:textAlignment w:val="auto"/>
                    <w:rPr>
                      <w:rFonts w:cs="Times New Roman"/>
                      <w:color w:val="auto"/>
                      <w:szCs w:val="21"/>
                      <w:lang w:val="en-US" w:eastAsia="zh-CN"/>
                    </w:rPr>
                  </w:pPr>
                  <w:r>
                    <w:rPr>
                      <w:rFonts w:cs="Times New Roman"/>
                      <w:color w:val="auto"/>
                      <w:szCs w:val="21"/>
                      <w:lang w:val="en-US" w:eastAsia="zh-CN"/>
                    </w:rPr>
                    <w:t>钢管</w:t>
                  </w:r>
                </w:p>
              </w:tc>
              <w:tc>
                <w:tcPr>
                  <w:tcW w:w="706" w:type="pct"/>
                  <w:vAlign w:val="center"/>
                </w:tcPr>
                <w:p w14:paraId="77AD03A3">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43718325">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20</w:t>
                  </w:r>
                </w:p>
              </w:tc>
              <w:tc>
                <w:tcPr>
                  <w:tcW w:w="807" w:type="pct"/>
                  <w:gridSpan w:val="2"/>
                  <w:vAlign w:val="center"/>
                </w:tcPr>
                <w:p w14:paraId="74C0F0E3">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堆放，捆扎</w:t>
                  </w:r>
                </w:p>
              </w:tc>
              <w:tc>
                <w:tcPr>
                  <w:tcW w:w="628" w:type="pct"/>
                  <w:vAlign w:val="center"/>
                </w:tcPr>
                <w:p w14:paraId="28E63B7D">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3</w:t>
                  </w:r>
                </w:p>
              </w:tc>
              <w:tc>
                <w:tcPr>
                  <w:tcW w:w="951" w:type="pct"/>
                  <w:vAlign w:val="center"/>
                </w:tcPr>
                <w:p w14:paraId="2384EA2D">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672E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7170312C">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3</w:t>
                  </w:r>
                </w:p>
              </w:tc>
              <w:tc>
                <w:tcPr>
                  <w:tcW w:w="910" w:type="pct"/>
                  <w:vAlign w:val="center"/>
                </w:tcPr>
                <w:p w14:paraId="781B4A49">
                  <w:pPr>
                    <w:pStyle w:val="49"/>
                    <w:widowControl w:val="0"/>
                    <w:kinsoku/>
                    <w:autoSpaceDE/>
                    <w:autoSpaceDN/>
                    <w:adjustRightInd/>
                    <w:snapToGrid/>
                    <w:spacing w:line="240" w:lineRule="auto"/>
                    <w:ind w:left="0"/>
                    <w:textAlignment w:val="auto"/>
                    <w:rPr>
                      <w:rFonts w:cs="Times New Roman"/>
                      <w:color w:val="auto"/>
                      <w:szCs w:val="21"/>
                      <w:lang w:val="en-US" w:eastAsia="zh-CN"/>
                    </w:rPr>
                  </w:pPr>
                  <w:r>
                    <w:rPr>
                      <w:rFonts w:cs="Times New Roman"/>
                      <w:color w:val="auto"/>
                      <w:szCs w:val="21"/>
                      <w:lang w:val="en-US" w:eastAsia="zh-CN"/>
                    </w:rPr>
                    <w:t>焊丝</w:t>
                  </w:r>
                </w:p>
              </w:tc>
              <w:tc>
                <w:tcPr>
                  <w:tcW w:w="706" w:type="pct"/>
                  <w:vAlign w:val="center"/>
                </w:tcPr>
                <w:p w14:paraId="49FDC289">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吨</w:t>
                  </w:r>
                </w:p>
              </w:tc>
              <w:tc>
                <w:tcPr>
                  <w:tcW w:w="550" w:type="pct"/>
                  <w:vAlign w:val="center"/>
                </w:tcPr>
                <w:p w14:paraId="271CF0E4">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2</w:t>
                  </w:r>
                </w:p>
              </w:tc>
              <w:tc>
                <w:tcPr>
                  <w:tcW w:w="807" w:type="pct"/>
                  <w:gridSpan w:val="2"/>
                  <w:vAlign w:val="center"/>
                </w:tcPr>
                <w:p w14:paraId="1C521C9E">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kern w:val="2"/>
                      <w:szCs w:val="24"/>
                      <w:lang w:val="en-US" w:eastAsia="zh-CN"/>
                    </w:rPr>
                    <w:t>纸箱</w:t>
                  </w:r>
                </w:p>
              </w:tc>
              <w:tc>
                <w:tcPr>
                  <w:tcW w:w="628" w:type="pct"/>
                  <w:vAlign w:val="center"/>
                </w:tcPr>
                <w:p w14:paraId="15209F4F">
                  <w:pPr>
                    <w:pStyle w:val="49"/>
                    <w:widowControl w:val="0"/>
                    <w:kinsoku/>
                    <w:autoSpaceDE/>
                    <w:autoSpaceDN/>
                    <w:adjustRightInd/>
                    <w:snapToGrid/>
                    <w:spacing w:line="240" w:lineRule="auto"/>
                    <w:ind w:left="0"/>
                    <w:textAlignment w:val="auto"/>
                    <w:rPr>
                      <w:rFonts w:cs="Times New Roman"/>
                      <w:color w:val="auto"/>
                      <w:lang w:val="en-US" w:eastAsia="zh-CN"/>
                    </w:rPr>
                  </w:pPr>
                  <w:r>
                    <w:rPr>
                      <w:rFonts w:cs="Times New Roman"/>
                      <w:color w:val="auto"/>
                      <w:lang w:val="en-US" w:eastAsia="zh-CN"/>
                    </w:rPr>
                    <w:t>0.1</w:t>
                  </w:r>
                </w:p>
              </w:tc>
              <w:tc>
                <w:tcPr>
                  <w:tcW w:w="951" w:type="pct"/>
                  <w:vAlign w:val="center"/>
                </w:tcPr>
                <w:p w14:paraId="1F8C5F3C">
                  <w:pPr>
                    <w:pStyle w:val="49"/>
                    <w:widowControl w:val="0"/>
                    <w:kinsoku/>
                    <w:autoSpaceDE/>
                    <w:autoSpaceDN/>
                    <w:adjustRightInd/>
                    <w:snapToGrid/>
                    <w:spacing w:line="240" w:lineRule="auto"/>
                    <w:ind w:left="0"/>
                    <w:textAlignment w:val="auto"/>
                    <w:rPr>
                      <w:rFonts w:cs="Times New Roman"/>
                      <w:color w:val="auto"/>
                      <w:lang w:val="en-US" w:eastAsia="zh-CN"/>
                    </w:rPr>
                  </w:pPr>
                  <w:r>
                    <w:rPr>
                      <w:rFonts w:hint="eastAsia" w:cs="Times New Roman"/>
                      <w:color w:val="auto"/>
                      <w:lang w:val="en-US" w:eastAsia="zh-CN"/>
                    </w:rPr>
                    <w:t>原料暂存区</w:t>
                  </w:r>
                </w:p>
              </w:tc>
            </w:tr>
            <w:tr w14:paraId="0677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75D40DDA">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六</w:t>
                  </w:r>
                </w:p>
              </w:tc>
              <w:tc>
                <w:tcPr>
                  <w:tcW w:w="4555" w:type="pct"/>
                  <w:gridSpan w:val="7"/>
                  <w:vAlign w:val="center"/>
                </w:tcPr>
                <w:p w14:paraId="63246658">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公共辅料</w:t>
                  </w:r>
                </w:p>
              </w:tc>
            </w:tr>
            <w:tr w14:paraId="4530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24CA4FFD">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1</w:t>
                  </w:r>
                </w:p>
              </w:tc>
              <w:tc>
                <w:tcPr>
                  <w:tcW w:w="910" w:type="pct"/>
                  <w:vAlign w:val="center"/>
                </w:tcPr>
                <w:p w14:paraId="006B70C2">
                  <w:pPr>
                    <w:widowControl w:val="0"/>
                    <w:kinsoku/>
                    <w:autoSpaceDE/>
                    <w:autoSpaceDN/>
                    <w:adjustRightInd/>
                    <w:snapToGrid/>
                    <w:jc w:val="center"/>
                    <w:textAlignment w:val="auto"/>
                    <w:rPr>
                      <w:rFonts w:ascii="Times New Roman" w:hAnsi="Times New Roman" w:eastAsia="宋体" w:cs="Times New Roman"/>
                      <w:color w:val="auto"/>
                      <w:spacing w:val="8"/>
                      <w:lang w:eastAsia="zh-CN"/>
                    </w:rPr>
                  </w:pPr>
                  <w:r>
                    <w:rPr>
                      <w:rFonts w:ascii="Times New Roman" w:hAnsi="Times New Roman" w:eastAsia="宋体" w:cs="Times New Roman"/>
                      <w:color w:val="auto"/>
                      <w:spacing w:val="8"/>
                      <w:lang w:eastAsia="zh-CN"/>
                    </w:rPr>
                    <w:t>二氧化碳</w:t>
                  </w:r>
                </w:p>
              </w:tc>
              <w:tc>
                <w:tcPr>
                  <w:tcW w:w="706" w:type="pct"/>
                  <w:vAlign w:val="center"/>
                </w:tcPr>
                <w:p w14:paraId="34D17FC5">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eastAsia="宋体" w:cs="Times New Roman"/>
                      <w:color w:val="auto"/>
                      <w:lang w:eastAsia="zh-CN"/>
                    </w:rPr>
                    <w:t>吨</w:t>
                  </w:r>
                </w:p>
              </w:tc>
              <w:tc>
                <w:tcPr>
                  <w:tcW w:w="550" w:type="pct"/>
                  <w:vAlign w:val="center"/>
                </w:tcPr>
                <w:p w14:paraId="641F725F">
                  <w:pPr>
                    <w:widowControl w:val="0"/>
                    <w:kinsoku/>
                    <w:autoSpaceDE/>
                    <w:autoSpaceDN/>
                    <w:adjustRightInd/>
                    <w:snapToGrid/>
                    <w:jc w:val="center"/>
                    <w:textAlignment w:val="auto"/>
                    <w:rPr>
                      <w:rFonts w:ascii="Times New Roman" w:hAnsi="Times New Roman" w:eastAsia="宋体" w:cs="Times New Roman"/>
                      <w:color w:val="auto"/>
                      <w:kern w:val="2"/>
                      <w:lang w:eastAsia="zh-CN"/>
                    </w:rPr>
                  </w:pPr>
                  <w:r>
                    <w:rPr>
                      <w:rFonts w:ascii="Times New Roman" w:hAnsi="Times New Roman" w:cs="Times New Roman"/>
                      <w:color w:val="auto"/>
                      <w:lang w:eastAsia="zh-CN"/>
                    </w:rPr>
                    <w:t>8</w:t>
                  </w:r>
                </w:p>
              </w:tc>
              <w:tc>
                <w:tcPr>
                  <w:tcW w:w="772" w:type="pct"/>
                  <w:vAlign w:val="center"/>
                </w:tcPr>
                <w:p w14:paraId="257388A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瓶装</w:t>
                  </w:r>
                </w:p>
              </w:tc>
              <w:tc>
                <w:tcPr>
                  <w:tcW w:w="663" w:type="pct"/>
                  <w:gridSpan w:val="2"/>
                  <w:vAlign w:val="center"/>
                </w:tcPr>
                <w:p w14:paraId="5C4D700A">
                  <w:pPr>
                    <w:widowControl w:val="0"/>
                    <w:kinsoku/>
                    <w:autoSpaceDE/>
                    <w:autoSpaceDN/>
                    <w:adjustRightInd/>
                    <w:snapToGrid/>
                    <w:jc w:val="center"/>
                    <w:textAlignment w:val="auto"/>
                    <w:rPr>
                      <w:rFonts w:hint="default" w:ascii="Times New Roman" w:hAnsi="Times New Roman" w:eastAsia="宋体" w:cs="Times New Roman"/>
                      <w:color w:val="auto"/>
                      <w:kern w:val="2"/>
                      <w:lang w:val="en-US" w:eastAsia="zh-CN"/>
                    </w:rPr>
                  </w:pPr>
                  <w:r>
                    <w:rPr>
                      <w:rFonts w:hint="eastAsia" w:ascii="Times New Roman" w:hAnsi="Times New Roman" w:eastAsia="宋体" w:cs="Times New Roman"/>
                      <w:color w:val="auto"/>
                      <w:kern w:val="2"/>
                      <w:lang w:val="en-US" w:eastAsia="zh-CN"/>
                    </w:rPr>
                    <w:t>1.5</w:t>
                  </w:r>
                </w:p>
              </w:tc>
              <w:tc>
                <w:tcPr>
                  <w:tcW w:w="951" w:type="pct"/>
                  <w:vAlign w:val="center"/>
                </w:tcPr>
                <w:p w14:paraId="21D00A86">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hint="eastAsia" w:cs="Times New Roman"/>
                      <w:color w:val="auto"/>
                      <w:lang w:val="en-US" w:eastAsia="zh-CN"/>
                    </w:rPr>
                    <w:t>原料暂存区</w:t>
                  </w:r>
                </w:p>
              </w:tc>
            </w:tr>
            <w:tr w14:paraId="3117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6F4B1C58">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2</w:t>
                  </w:r>
                </w:p>
              </w:tc>
              <w:tc>
                <w:tcPr>
                  <w:tcW w:w="910" w:type="pct"/>
                  <w:vAlign w:val="center"/>
                </w:tcPr>
                <w:p w14:paraId="2F8B55CE">
                  <w:pPr>
                    <w:widowControl w:val="0"/>
                    <w:kinsoku/>
                    <w:autoSpaceDE/>
                    <w:autoSpaceDN/>
                    <w:adjustRightInd/>
                    <w:snapToGrid/>
                    <w:jc w:val="center"/>
                    <w:textAlignment w:val="auto"/>
                    <w:rPr>
                      <w:rFonts w:ascii="Times New Roman" w:hAnsi="Times New Roman" w:eastAsia="宋体" w:cs="Times New Roman"/>
                      <w:color w:val="auto"/>
                      <w:spacing w:val="8"/>
                      <w:lang w:eastAsia="zh-CN"/>
                    </w:rPr>
                  </w:pPr>
                  <w:r>
                    <w:rPr>
                      <w:rFonts w:ascii="Times New Roman" w:hAnsi="Times New Roman" w:eastAsia="宋体" w:cs="Times New Roman"/>
                      <w:color w:val="auto"/>
                      <w:spacing w:val="8"/>
                      <w:lang w:eastAsia="zh-CN"/>
                    </w:rPr>
                    <w:t>机油</w:t>
                  </w:r>
                </w:p>
              </w:tc>
              <w:tc>
                <w:tcPr>
                  <w:tcW w:w="706" w:type="pct"/>
                  <w:vAlign w:val="center"/>
                </w:tcPr>
                <w:p w14:paraId="0F6780CD">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eastAsia="宋体" w:cs="Times New Roman"/>
                      <w:color w:val="auto"/>
                      <w:lang w:eastAsia="zh-CN"/>
                    </w:rPr>
                    <w:t>吨</w:t>
                  </w:r>
                </w:p>
              </w:tc>
              <w:tc>
                <w:tcPr>
                  <w:tcW w:w="550" w:type="pct"/>
                  <w:vAlign w:val="center"/>
                </w:tcPr>
                <w:p w14:paraId="10C4FE75">
                  <w:pPr>
                    <w:widowControl w:val="0"/>
                    <w:kinsoku/>
                    <w:autoSpaceDE/>
                    <w:autoSpaceDN/>
                    <w:adjustRightInd/>
                    <w:snapToGrid/>
                    <w:jc w:val="center"/>
                    <w:textAlignment w:val="auto"/>
                    <w:rPr>
                      <w:rFonts w:ascii="Times New Roman" w:hAnsi="Times New Roman" w:eastAsia="宋体" w:cs="Times New Roman"/>
                      <w:color w:val="auto"/>
                      <w:kern w:val="2"/>
                      <w:lang w:eastAsia="zh-CN"/>
                    </w:rPr>
                  </w:pPr>
                  <w:r>
                    <w:rPr>
                      <w:rFonts w:ascii="Times New Roman" w:hAnsi="Times New Roman" w:eastAsia="宋体" w:cs="Times New Roman"/>
                      <w:color w:val="auto"/>
                      <w:kern w:val="2"/>
                      <w:lang w:eastAsia="zh-CN"/>
                    </w:rPr>
                    <w:t>0.1</w:t>
                  </w:r>
                </w:p>
              </w:tc>
              <w:tc>
                <w:tcPr>
                  <w:tcW w:w="772" w:type="pct"/>
                  <w:vAlign w:val="center"/>
                </w:tcPr>
                <w:p w14:paraId="70629B01">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50kg/桶装</w:t>
                  </w:r>
                </w:p>
              </w:tc>
              <w:tc>
                <w:tcPr>
                  <w:tcW w:w="663" w:type="pct"/>
                  <w:gridSpan w:val="2"/>
                  <w:vAlign w:val="center"/>
                </w:tcPr>
                <w:p w14:paraId="11E160AA">
                  <w:pPr>
                    <w:widowControl w:val="0"/>
                    <w:kinsoku/>
                    <w:autoSpaceDE/>
                    <w:autoSpaceDN/>
                    <w:adjustRightInd/>
                    <w:snapToGrid/>
                    <w:jc w:val="center"/>
                    <w:textAlignment w:val="auto"/>
                    <w:rPr>
                      <w:rFonts w:hint="default" w:ascii="Times New Roman" w:hAnsi="Times New Roman" w:eastAsia="宋体" w:cs="Times New Roman"/>
                      <w:color w:val="auto"/>
                      <w:kern w:val="2"/>
                      <w:lang w:val="en-US" w:eastAsia="zh-CN"/>
                    </w:rPr>
                  </w:pPr>
                  <w:r>
                    <w:rPr>
                      <w:rFonts w:hint="eastAsia" w:ascii="Times New Roman" w:hAnsi="Times New Roman" w:eastAsia="宋体" w:cs="Times New Roman"/>
                      <w:color w:val="auto"/>
                      <w:kern w:val="2"/>
                      <w:lang w:val="en-US" w:eastAsia="zh-CN"/>
                    </w:rPr>
                    <w:t>0.05</w:t>
                  </w:r>
                </w:p>
              </w:tc>
              <w:tc>
                <w:tcPr>
                  <w:tcW w:w="951" w:type="pct"/>
                  <w:vAlign w:val="center"/>
                </w:tcPr>
                <w:p w14:paraId="0E46116F">
                  <w:pPr>
                    <w:widowControl w:val="0"/>
                    <w:kinsoku/>
                    <w:autoSpaceDE/>
                    <w:autoSpaceDN/>
                    <w:adjustRightInd/>
                    <w:snapToGrid/>
                    <w:jc w:val="center"/>
                    <w:textAlignment w:val="auto"/>
                    <w:rPr>
                      <w:rFonts w:ascii="Times New Roman" w:hAnsi="Times New Roman" w:cs="Times New Roman"/>
                      <w:color w:val="auto"/>
                    </w:rPr>
                  </w:pPr>
                  <w:r>
                    <w:rPr>
                      <w:rFonts w:hint="eastAsia" w:cs="Times New Roman"/>
                      <w:color w:val="auto"/>
                      <w:lang w:val="en-US" w:eastAsia="zh-CN"/>
                    </w:rPr>
                    <w:t>原料暂存区</w:t>
                  </w:r>
                </w:p>
              </w:tc>
            </w:tr>
            <w:tr w14:paraId="4F87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6DC566D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七</w:t>
                  </w:r>
                </w:p>
              </w:tc>
              <w:tc>
                <w:tcPr>
                  <w:tcW w:w="4555" w:type="pct"/>
                  <w:gridSpan w:val="7"/>
                  <w:vAlign w:val="center"/>
                </w:tcPr>
                <w:p w14:paraId="4907E920">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能源消耗</w:t>
                  </w:r>
                </w:p>
              </w:tc>
            </w:tr>
            <w:tr w14:paraId="60C9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1714E851">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1</w:t>
                  </w:r>
                </w:p>
              </w:tc>
              <w:tc>
                <w:tcPr>
                  <w:tcW w:w="910" w:type="pct"/>
                  <w:vAlign w:val="center"/>
                </w:tcPr>
                <w:p w14:paraId="18211BC2">
                  <w:pPr>
                    <w:widowControl w:val="0"/>
                    <w:kinsoku/>
                    <w:autoSpaceDE/>
                    <w:autoSpaceDN/>
                    <w:adjustRightInd/>
                    <w:snapToGrid/>
                    <w:jc w:val="center"/>
                    <w:textAlignment w:val="auto"/>
                    <w:rPr>
                      <w:rFonts w:ascii="Times New Roman" w:hAnsi="Times New Roman" w:eastAsia="宋体" w:cs="Times New Roman"/>
                      <w:color w:val="auto"/>
                      <w:spacing w:val="8"/>
                      <w:lang w:eastAsia="zh-CN"/>
                    </w:rPr>
                  </w:pPr>
                  <w:r>
                    <w:rPr>
                      <w:rFonts w:ascii="Times New Roman" w:hAnsi="Times New Roman" w:eastAsia="宋体" w:cs="Times New Roman"/>
                      <w:color w:val="auto"/>
                      <w:spacing w:val="8"/>
                      <w:lang w:eastAsia="zh-CN"/>
                    </w:rPr>
                    <w:t>自来水</w:t>
                  </w:r>
                </w:p>
              </w:tc>
              <w:tc>
                <w:tcPr>
                  <w:tcW w:w="706" w:type="pct"/>
                  <w:vAlign w:val="center"/>
                </w:tcPr>
                <w:p w14:paraId="49329B05">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m³/a</w:t>
                  </w:r>
                </w:p>
              </w:tc>
              <w:tc>
                <w:tcPr>
                  <w:tcW w:w="550" w:type="pct"/>
                  <w:vAlign w:val="center"/>
                </w:tcPr>
                <w:p w14:paraId="3571FBD7">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108</w:t>
                  </w:r>
                </w:p>
              </w:tc>
              <w:tc>
                <w:tcPr>
                  <w:tcW w:w="772" w:type="pct"/>
                  <w:vAlign w:val="center"/>
                </w:tcPr>
                <w:p w14:paraId="70D72598">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663" w:type="pct"/>
                  <w:gridSpan w:val="2"/>
                  <w:vAlign w:val="center"/>
                </w:tcPr>
                <w:p w14:paraId="08CA24CB">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951" w:type="pct"/>
                  <w:vAlign w:val="center"/>
                </w:tcPr>
                <w:p w14:paraId="4DF23ADD">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rPr>
                    <w:t>园区供水</w:t>
                  </w:r>
                </w:p>
              </w:tc>
            </w:tr>
            <w:tr w14:paraId="2491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1D650A7A">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2</w:t>
                  </w:r>
                </w:p>
              </w:tc>
              <w:tc>
                <w:tcPr>
                  <w:tcW w:w="910" w:type="pct"/>
                  <w:vAlign w:val="center"/>
                </w:tcPr>
                <w:p w14:paraId="484FB865">
                  <w:pPr>
                    <w:widowControl w:val="0"/>
                    <w:kinsoku/>
                    <w:autoSpaceDE/>
                    <w:autoSpaceDN/>
                    <w:adjustRightInd/>
                    <w:snapToGrid/>
                    <w:jc w:val="center"/>
                    <w:textAlignment w:val="auto"/>
                    <w:rPr>
                      <w:rFonts w:ascii="Times New Roman" w:hAnsi="Times New Roman" w:eastAsia="宋体" w:cs="Times New Roman"/>
                      <w:color w:val="auto"/>
                      <w:spacing w:val="8"/>
                      <w:lang w:eastAsia="zh-CN"/>
                    </w:rPr>
                  </w:pPr>
                  <w:r>
                    <w:rPr>
                      <w:rFonts w:ascii="Times New Roman" w:hAnsi="Times New Roman" w:eastAsia="宋体" w:cs="Times New Roman"/>
                      <w:color w:val="auto"/>
                      <w:spacing w:val="8"/>
                      <w:lang w:eastAsia="zh-CN"/>
                    </w:rPr>
                    <w:t>电</w:t>
                  </w:r>
                </w:p>
              </w:tc>
              <w:tc>
                <w:tcPr>
                  <w:tcW w:w="706" w:type="pct"/>
                  <w:vAlign w:val="center"/>
                </w:tcPr>
                <w:p w14:paraId="3561DEDF">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sz w:val="22"/>
                      <w:szCs w:val="22"/>
                    </w:rPr>
                    <w:t>万</w:t>
                  </w:r>
                  <w:r>
                    <w:rPr>
                      <w:rFonts w:ascii="Times New Roman" w:hAnsi="Times New Roman" w:cs="Times New Roman"/>
                      <w:color w:val="auto"/>
                      <w:sz w:val="22"/>
                      <w:szCs w:val="22"/>
                      <w:lang w:eastAsia="zh-CN"/>
                    </w:rPr>
                    <w:t>kW</w:t>
                  </w:r>
                  <w:r>
                    <w:rPr>
                      <w:rFonts w:ascii="Times New Roman" w:hAnsi="Times New Roman" w:cs="Times New Roman"/>
                      <w:color w:val="auto"/>
                      <w:sz w:val="22"/>
                      <w:szCs w:val="22"/>
                    </w:rPr>
                    <w:t>·h</w:t>
                  </w:r>
                  <w:r>
                    <w:rPr>
                      <w:rFonts w:ascii="Times New Roman" w:hAnsi="Times New Roman" w:cs="Times New Roman"/>
                      <w:color w:val="auto"/>
                      <w:sz w:val="22"/>
                      <w:szCs w:val="22"/>
                      <w:lang w:eastAsia="zh-CN"/>
                    </w:rPr>
                    <w:t>/a</w:t>
                  </w:r>
                </w:p>
              </w:tc>
              <w:tc>
                <w:tcPr>
                  <w:tcW w:w="550" w:type="pct"/>
                  <w:vAlign w:val="center"/>
                </w:tcPr>
                <w:p w14:paraId="06AFE53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50</w:t>
                  </w:r>
                </w:p>
              </w:tc>
              <w:tc>
                <w:tcPr>
                  <w:tcW w:w="772" w:type="pct"/>
                  <w:vAlign w:val="center"/>
                </w:tcPr>
                <w:p w14:paraId="24F9E892">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663" w:type="pct"/>
                  <w:gridSpan w:val="2"/>
                  <w:vAlign w:val="center"/>
                </w:tcPr>
                <w:p w14:paraId="225BDE3E">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951" w:type="pct"/>
                  <w:vAlign w:val="center"/>
                </w:tcPr>
                <w:p w14:paraId="3969A2A7">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rPr>
                    <w:t>园区供电</w:t>
                  </w:r>
                </w:p>
              </w:tc>
            </w:tr>
            <w:tr w14:paraId="460E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02E6DED9">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3</w:t>
                  </w:r>
                </w:p>
              </w:tc>
              <w:tc>
                <w:tcPr>
                  <w:tcW w:w="910" w:type="pct"/>
                  <w:vAlign w:val="center"/>
                </w:tcPr>
                <w:p w14:paraId="6DFFCBF3">
                  <w:pPr>
                    <w:widowControl w:val="0"/>
                    <w:kinsoku/>
                    <w:autoSpaceDE/>
                    <w:autoSpaceDN/>
                    <w:adjustRightInd/>
                    <w:snapToGrid/>
                    <w:jc w:val="center"/>
                    <w:textAlignment w:val="auto"/>
                    <w:rPr>
                      <w:rFonts w:ascii="Times New Roman" w:hAnsi="Times New Roman" w:eastAsia="宋体" w:cs="Times New Roman"/>
                      <w:color w:val="auto"/>
                      <w:spacing w:val="8"/>
                      <w:lang w:eastAsia="zh-CN"/>
                    </w:rPr>
                  </w:pPr>
                  <w:r>
                    <w:rPr>
                      <w:rFonts w:ascii="Times New Roman" w:hAnsi="Times New Roman" w:cs="Times New Roman"/>
                      <w:color w:val="auto"/>
                      <w:spacing w:val="8"/>
                      <w:lang w:eastAsia="zh-CN"/>
                    </w:rPr>
                    <w:t>天然气</w:t>
                  </w:r>
                </w:p>
              </w:tc>
              <w:tc>
                <w:tcPr>
                  <w:tcW w:w="706" w:type="pct"/>
                  <w:vAlign w:val="center"/>
                </w:tcPr>
                <w:p w14:paraId="09400E10">
                  <w:pPr>
                    <w:widowControl w:val="0"/>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eastAsia="宋体" w:cs="Times New Roman"/>
                      <w:color w:val="auto"/>
                      <w:lang w:eastAsia="zh-CN"/>
                    </w:rPr>
                    <w:t>万m³</w:t>
                  </w:r>
                </w:p>
              </w:tc>
              <w:tc>
                <w:tcPr>
                  <w:tcW w:w="550" w:type="pct"/>
                  <w:vAlign w:val="center"/>
                </w:tcPr>
                <w:p w14:paraId="79682BB0">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5</w:t>
                  </w:r>
                </w:p>
              </w:tc>
              <w:tc>
                <w:tcPr>
                  <w:tcW w:w="772" w:type="pct"/>
                  <w:vAlign w:val="center"/>
                </w:tcPr>
                <w:p w14:paraId="2C6101C4">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w:t>
                  </w:r>
                </w:p>
              </w:tc>
              <w:tc>
                <w:tcPr>
                  <w:tcW w:w="663" w:type="pct"/>
                  <w:gridSpan w:val="2"/>
                  <w:vAlign w:val="center"/>
                </w:tcPr>
                <w:p w14:paraId="208D7560">
                  <w:pPr>
                    <w:pStyle w:val="33"/>
                    <w:widowControl w:val="0"/>
                    <w:kinsoku/>
                    <w:autoSpaceDE/>
                    <w:autoSpaceDN/>
                    <w:adjustRightInd/>
                    <w:snapToGrid/>
                    <w:textAlignment w:val="auto"/>
                    <w:rPr>
                      <w:rFonts w:ascii="Times New Roman" w:hAnsi="Times New Roman" w:cs="Times New Roman"/>
                      <w:color w:val="auto"/>
                      <w:lang w:eastAsia="zh-CN"/>
                    </w:rPr>
                  </w:pPr>
                  <w:r>
                    <w:rPr>
                      <w:rFonts w:ascii="Times New Roman" w:hAnsi="Times New Roman" w:cs="Times New Roman"/>
                      <w:color w:val="auto"/>
                      <w:lang w:eastAsia="zh-CN"/>
                    </w:rPr>
                    <w:t>/</w:t>
                  </w:r>
                </w:p>
              </w:tc>
              <w:tc>
                <w:tcPr>
                  <w:tcW w:w="951" w:type="pct"/>
                  <w:vAlign w:val="center"/>
                </w:tcPr>
                <w:p w14:paraId="6DDCAE0D">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园区供</w:t>
                  </w:r>
                  <w:r>
                    <w:rPr>
                      <w:rFonts w:ascii="Times New Roman" w:hAnsi="Times New Roman" w:cs="Times New Roman"/>
                      <w:color w:val="auto"/>
                      <w:lang w:eastAsia="zh-CN"/>
                    </w:rPr>
                    <w:t>气</w:t>
                  </w:r>
                </w:p>
              </w:tc>
            </w:tr>
            <w:tr w14:paraId="3F5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0B30461F">
                  <w:pPr>
                    <w:pStyle w:val="33"/>
                    <w:widowControl w:val="0"/>
                    <w:kinsoku/>
                    <w:autoSpaceDE/>
                    <w:autoSpaceDN/>
                    <w:adjustRightInd/>
                    <w:snapToGrid/>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说明：项目门窗产品原辅材料均为外购的成品原材料，进厂之后进行简单的加工处理，通过门窗五金配件直接安装即可，不涉及玻璃生产，生产过程中不使用胶黏剂。</w:t>
                  </w:r>
                </w:p>
              </w:tc>
            </w:tr>
          </w:tbl>
          <w:p w14:paraId="2742297C">
            <w:pPr>
              <w:widowControl w:val="0"/>
              <w:kinsoku/>
              <w:autoSpaceDE/>
              <w:autoSpaceDN/>
              <w:adjustRightInd/>
              <w:snapToGrid/>
              <w:spacing w:line="360" w:lineRule="auto"/>
              <w:ind w:firstLine="480" w:firstLineChars="200"/>
              <w:textAlignment w:val="auto"/>
              <w:rPr>
                <w:rFonts w:ascii="Times New Roman" w:hAnsi="Times New Roman" w:cs="Times New Roman"/>
                <w:b w:val="0"/>
                <w:bCs/>
                <w:color w:val="auto"/>
                <w:sz w:val="24"/>
                <w:lang w:eastAsia="zh-CN"/>
              </w:rPr>
            </w:pPr>
            <w:r>
              <w:rPr>
                <w:rFonts w:hint="eastAsia" w:ascii="Times New Roman" w:hAnsi="Times New Roman" w:cs="Times New Roman"/>
                <w:b w:val="0"/>
                <w:bCs/>
                <w:color w:val="auto"/>
                <w:sz w:val="24"/>
                <w:lang w:eastAsia="zh-CN"/>
              </w:rPr>
              <w:t>（1）</w:t>
            </w:r>
            <w:r>
              <w:rPr>
                <w:rFonts w:ascii="Times New Roman" w:hAnsi="Times New Roman" w:cs="Times New Roman"/>
                <w:b w:val="0"/>
                <w:bCs/>
                <w:color w:val="auto"/>
                <w:sz w:val="24"/>
                <w:lang w:eastAsia="zh-CN"/>
              </w:rPr>
              <w:t>天然气消耗量核算：</w:t>
            </w:r>
          </w:p>
          <w:p w14:paraId="303E4DAB">
            <w:pPr>
              <w:adjustRightInd/>
              <w:snapToGrid/>
              <w:spacing w:line="360" w:lineRule="auto"/>
              <w:ind w:firstLine="480" w:firstLineChars="200"/>
              <w:rPr>
                <w:rFonts w:hint="eastAsia" w:ascii="Times New Roman" w:hAnsi="Times New Roman" w:eastAsia="宋体" w:cs="Times New Roman"/>
                <w:b/>
                <w:bCs/>
                <w:sz w:val="24"/>
                <w:lang w:val="en-US" w:eastAsia="zh-CN"/>
              </w:rPr>
            </w:pPr>
            <w:r>
              <w:rPr>
                <w:rFonts w:ascii="Times New Roman" w:hAnsi="Times New Roman" w:cs="Times New Roman"/>
                <w:bCs/>
                <w:color w:val="auto"/>
                <w:sz w:val="24"/>
                <w:lang w:eastAsia="zh-CN"/>
              </w:rPr>
              <w:t>根据建设单位提供的资料，项目设置固化烘道装置配套1台天然气燃烧机（20万大卡/小时），天然气热值约8000大卡，项目固化炉天然气消耗量约27.8m³/h</w:t>
            </w:r>
            <w:r>
              <w:rPr>
                <w:rFonts w:hint="eastAsia" w:ascii="Times New Roman" w:hAnsi="Times New Roman" w:cs="Times New Roman"/>
                <w:bCs/>
                <w:color w:val="auto"/>
                <w:sz w:val="24"/>
                <w:lang w:eastAsia="zh-CN"/>
              </w:rPr>
              <w:t>，</w:t>
            </w:r>
            <w:r>
              <w:rPr>
                <w:rFonts w:ascii="Times New Roman" w:hAnsi="Times New Roman" w:cs="Times New Roman"/>
                <w:bCs/>
                <w:color w:val="auto"/>
                <w:sz w:val="24"/>
                <w:lang w:eastAsia="zh-CN"/>
              </w:rPr>
              <w:t>项目固化时间为6h/d（1800h/a），经计算项目天然气年用量约</w:t>
            </w:r>
            <w:r>
              <w:rPr>
                <w:rFonts w:hint="default" w:ascii="Times New Roman" w:hAnsi="Times New Roman" w:cs="Times New Roman"/>
                <w:bCs/>
                <w:color w:val="auto"/>
                <w:sz w:val="24"/>
                <w:lang w:eastAsia="zh-CN"/>
              </w:rPr>
              <w:t>为5万m³</w:t>
            </w:r>
            <w:r>
              <w:rPr>
                <w:rStyle w:val="26"/>
                <w:rFonts w:hint="default" w:ascii="Times New Roman" w:hAnsi="Times New Roman" w:eastAsia="宋体" w:cs="Times New Roman"/>
                <w:lang w:val="en-US" w:eastAsia="zh-CN"/>
              </w:rPr>
              <w:t>/a</w:t>
            </w:r>
            <w:r>
              <w:rPr>
                <w:rStyle w:val="26"/>
                <w:rFonts w:hint="default" w:ascii="Times New Roman" w:hAnsi="Times New Roman" w:eastAsia="宋体" w:cs="Times New Roman"/>
                <w:lang w:eastAsia="zh-CN"/>
              </w:rPr>
              <w:t>。</w:t>
            </w:r>
          </w:p>
          <w:p w14:paraId="613667DE">
            <w:pPr>
              <w:kinsoku/>
              <w:adjustRightInd/>
              <w:snapToGrid/>
              <w:spacing w:line="360" w:lineRule="auto"/>
              <w:ind w:firstLine="480" w:firstLineChars="200"/>
              <w:rPr>
                <w:rFonts w:ascii="Times New Roman" w:hAnsi="Times New Roman" w:cs="Times New Roman"/>
                <w:b w:val="0"/>
                <w:bCs/>
                <w:color w:val="auto"/>
                <w:sz w:val="24"/>
                <w:lang w:eastAsia="zh-CN"/>
              </w:rPr>
            </w:pPr>
            <w:r>
              <w:rPr>
                <w:rFonts w:ascii="Times New Roman" w:hAnsi="Times New Roman" w:eastAsia="宋体" w:cs="Times New Roman"/>
                <w:b w:val="0"/>
                <w:bCs/>
                <w:color w:val="auto"/>
                <w:kern w:val="2"/>
                <w:sz w:val="24"/>
                <w:szCs w:val="24"/>
                <w:lang w:eastAsia="zh-CN"/>
              </w:rPr>
              <w:t>（</w:t>
            </w:r>
            <w:r>
              <w:rPr>
                <w:rFonts w:hint="eastAsia" w:ascii="Times New Roman" w:hAnsi="Times New Roman" w:eastAsia="宋体" w:cs="Times New Roman"/>
                <w:b w:val="0"/>
                <w:bCs/>
                <w:color w:val="auto"/>
                <w:kern w:val="2"/>
                <w:sz w:val="24"/>
                <w:szCs w:val="24"/>
                <w:lang w:eastAsia="zh-CN"/>
              </w:rPr>
              <w:t>2</w:t>
            </w:r>
            <w:r>
              <w:rPr>
                <w:rFonts w:ascii="Times New Roman" w:hAnsi="Times New Roman" w:eastAsia="宋体" w:cs="Times New Roman"/>
                <w:b w:val="0"/>
                <w:bCs/>
                <w:color w:val="auto"/>
                <w:kern w:val="2"/>
                <w:sz w:val="24"/>
                <w:szCs w:val="24"/>
                <w:lang w:eastAsia="zh-CN"/>
              </w:rPr>
              <w:t>）</w:t>
            </w:r>
            <w:r>
              <w:rPr>
                <w:rFonts w:ascii="Times New Roman" w:hAnsi="Times New Roman" w:cs="Times New Roman"/>
                <w:b w:val="0"/>
                <w:bCs/>
                <w:color w:val="auto"/>
                <w:sz w:val="24"/>
                <w:lang w:eastAsia="zh-CN"/>
              </w:rPr>
              <w:t>塑粉用量</w:t>
            </w:r>
            <w:r>
              <w:rPr>
                <w:rFonts w:hint="eastAsia" w:ascii="Times New Roman" w:hAnsi="Times New Roman" w:cs="Times New Roman"/>
                <w:b w:val="0"/>
                <w:bCs/>
                <w:color w:val="auto"/>
                <w:sz w:val="24"/>
                <w:lang w:eastAsia="zh-CN"/>
              </w:rPr>
              <w:t>核算</w:t>
            </w:r>
            <w:r>
              <w:rPr>
                <w:rFonts w:ascii="Times New Roman" w:hAnsi="Times New Roman" w:cs="Times New Roman"/>
                <w:b w:val="0"/>
                <w:bCs/>
                <w:color w:val="auto"/>
                <w:sz w:val="24"/>
                <w:lang w:eastAsia="zh-CN"/>
              </w:rPr>
              <w:t>：</w:t>
            </w:r>
          </w:p>
          <w:p w14:paraId="7F3BAC2D">
            <w:pPr>
              <w:adjustRightInd/>
              <w:snapToGrid/>
              <w:spacing w:line="360" w:lineRule="auto"/>
              <w:ind w:firstLine="480" w:firstLineChars="200"/>
              <w:rPr>
                <w:rFonts w:ascii="Times New Roman" w:hAnsi="Times New Roman" w:cs="Times New Roman"/>
                <w:bCs/>
                <w:color w:val="auto"/>
                <w:sz w:val="24"/>
                <w:lang w:eastAsia="zh-CN"/>
              </w:rPr>
            </w:pPr>
            <w:r>
              <w:rPr>
                <w:rFonts w:ascii="Times New Roman" w:hAnsi="Times New Roman" w:cs="Times New Roman"/>
                <w:bCs/>
                <w:color w:val="auto"/>
                <w:sz w:val="24"/>
                <w:lang w:eastAsia="zh-CN"/>
              </w:rPr>
              <w:t>①铝板塑粉用量计算</w:t>
            </w:r>
          </w:p>
          <w:p w14:paraId="2F493635">
            <w:pPr>
              <w:adjustRightInd/>
              <w:snapToGrid/>
              <w:spacing w:line="360" w:lineRule="auto"/>
              <w:ind w:firstLine="480" w:firstLineChars="200"/>
              <w:jc w:val="both"/>
              <w:rPr>
                <w:rFonts w:ascii="Times New Roman" w:hAnsi="Times New Roman" w:cs="Times New Roman"/>
                <w:bCs/>
                <w:color w:val="auto"/>
                <w:sz w:val="24"/>
                <w:szCs w:val="24"/>
                <w:lang w:eastAsia="zh-CN"/>
              </w:rPr>
            </w:pPr>
            <w:r>
              <w:rPr>
                <w:rFonts w:ascii="Times New Roman" w:hAnsi="Times New Roman" w:cs="Times New Roman"/>
                <w:bCs/>
                <w:color w:val="auto"/>
                <w:sz w:val="24"/>
                <w:lang w:eastAsia="zh-CN"/>
              </w:rPr>
              <w:t>铝单板喷塑厚度约80</w:t>
            </w:r>
            <w:r>
              <w:rPr>
                <w:rFonts w:ascii="Times New Roman" w:hAnsi="Times New Roman" w:cs="Times New Roman"/>
                <w:color w:val="auto"/>
                <w:sz w:val="24"/>
                <w:szCs w:val="32"/>
                <w:lang w:eastAsia="zh-CN"/>
              </w:rPr>
              <w:t>μm，根据建设单位提供的资料，项目铝单板尺寸为</w:t>
            </w:r>
            <w:r>
              <w:rPr>
                <w:rFonts w:ascii="Times New Roman" w:hAnsi="Times New Roman" w:cs="Times New Roman"/>
                <w:bCs/>
                <w:color w:val="auto"/>
                <w:sz w:val="24"/>
                <w:szCs w:val="24"/>
                <w:lang w:eastAsia="zh-CN"/>
              </w:rPr>
              <w:t>L3m×W2m×H0.0015-0.003m，本次计算以尺寸L3m×W2m×H0.003m为例，铝单板密度为2670kg/m³，单个铝单板体积为0.018m³，则单个铝单板重量为2670kg/m³×0.018m³=48.06kg，项目年产150吨铝单板，经</w:t>
            </w:r>
            <w:r>
              <w:rPr>
                <w:rFonts w:ascii="Times New Roman" w:hAnsi="Times New Roman" w:cs="Times New Roman"/>
                <w:color w:val="auto"/>
                <w:sz w:val="24"/>
                <w:szCs w:val="32"/>
                <w:lang w:eastAsia="zh-CN"/>
              </w:rPr>
              <w:t>计算项目年产3121张铝单板。铝单板喷涂两面，则单块铝单板</w:t>
            </w:r>
            <w:r>
              <w:rPr>
                <w:rFonts w:hint="eastAsia" w:ascii="Times New Roman" w:hAnsi="Times New Roman" w:cs="Times New Roman"/>
                <w:color w:val="auto"/>
                <w:sz w:val="24"/>
                <w:szCs w:val="32"/>
                <w:lang w:eastAsia="zh-CN"/>
              </w:rPr>
              <w:t>喷涂</w:t>
            </w:r>
            <w:r>
              <w:rPr>
                <w:rFonts w:ascii="Times New Roman" w:hAnsi="Times New Roman" w:cs="Times New Roman"/>
                <w:color w:val="auto"/>
                <w:sz w:val="24"/>
                <w:szCs w:val="32"/>
                <w:lang w:eastAsia="zh-CN"/>
              </w:rPr>
              <w:t>面积为3</w:t>
            </w:r>
            <w:r>
              <w:rPr>
                <w:rFonts w:ascii="Times New Roman" w:hAnsi="Times New Roman" w:cs="Times New Roman"/>
                <w:bCs/>
                <w:color w:val="auto"/>
                <w:sz w:val="24"/>
                <w:szCs w:val="24"/>
                <w:lang w:eastAsia="zh-CN"/>
              </w:rPr>
              <w:t>m×2m×2=12m²，总喷涂面积37452m²。</w:t>
            </w:r>
          </w:p>
          <w:p w14:paraId="26B14C79">
            <w:pPr>
              <w:adjustRightInd/>
              <w:snapToGrid/>
              <w:spacing w:line="360" w:lineRule="auto"/>
              <w:ind w:firstLine="480" w:firstLineChars="200"/>
              <w:jc w:val="both"/>
              <w:rPr>
                <w:rFonts w:ascii="Times New Roman" w:hAnsi="Times New Roman" w:cs="Times New Roman"/>
                <w:bCs/>
                <w:color w:val="auto"/>
                <w:sz w:val="24"/>
                <w:szCs w:val="24"/>
                <w:lang w:eastAsia="zh-CN"/>
              </w:rPr>
            </w:pPr>
            <w:r>
              <w:rPr>
                <w:rFonts w:ascii="Times New Roman" w:hAnsi="Times New Roman" w:cs="Times New Roman"/>
                <w:bCs/>
                <w:color w:val="auto"/>
                <w:sz w:val="24"/>
                <w:szCs w:val="24"/>
                <w:lang w:eastAsia="zh-CN"/>
              </w:rPr>
              <w:t>②护栏塑粉用量计算</w:t>
            </w:r>
          </w:p>
          <w:p w14:paraId="7ACF80CA">
            <w:pPr>
              <w:widowControl w:val="0"/>
              <w:kinsoku/>
              <w:autoSpaceDE/>
              <w:autoSpaceDN/>
              <w:adjustRightInd/>
              <w:snapToGrid/>
              <w:spacing w:line="360" w:lineRule="auto"/>
              <w:ind w:firstLine="480" w:firstLineChars="200"/>
              <w:textAlignment w:val="auto"/>
              <w:rPr>
                <w:rFonts w:ascii="Times New Roman" w:hAnsi="Times New Roman" w:cs="Times New Roman"/>
                <w:bCs/>
                <w:color w:val="auto"/>
                <w:sz w:val="24"/>
                <w:szCs w:val="24"/>
                <w:lang w:eastAsia="zh-CN"/>
              </w:rPr>
            </w:pPr>
            <w:r>
              <w:rPr>
                <w:rFonts w:ascii="Times New Roman" w:hAnsi="Times New Roman" w:cs="Times New Roman"/>
                <w:color w:val="auto"/>
                <w:sz w:val="24"/>
                <w:szCs w:val="32"/>
                <w:lang w:eastAsia="zh-CN"/>
              </w:rPr>
              <w:t>项目金属护栏根据建设单位提供的资料，常规金属护栏为顶部扶手+中间横杆+竖杆：顶部扶手尺寸约L1.2m</w:t>
            </w:r>
            <w:r>
              <w:rPr>
                <w:rFonts w:ascii="Times New Roman" w:hAnsi="Times New Roman" w:cs="Times New Roman"/>
                <w:bCs/>
                <w:color w:val="auto"/>
                <w:sz w:val="24"/>
                <w:szCs w:val="24"/>
                <w:lang w:eastAsia="zh-CN"/>
              </w:rPr>
              <w:t>×W0.1×H0.05m；中间横杆L1.2m×W0.05×0.05m；竖杆尺寸约L0.05m×W0.05m×H1.1m。单个护栏由1个顶部扶手+1个横杆+4个竖杆组合而成。经计算单个护栏面积约：</w:t>
            </w:r>
          </w:p>
          <w:p w14:paraId="058CC67D">
            <w:pPr>
              <w:widowControl w:val="0"/>
              <w:kinsoku/>
              <w:autoSpaceDE/>
              <w:autoSpaceDN/>
              <w:adjustRightInd/>
              <w:snapToGrid/>
              <w:spacing w:line="360" w:lineRule="auto"/>
              <w:textAlignment w:val="auto"/>
              <w:rPr>
                <w:rFonts w:ascii="Times New Roman" w:hAnsi="Times New Roman" w:cs="Times New Roman"/>
                <w:bCs/>
                <w:color w:val="auto"/>
                <w:sz w:val="24"/>
                <w:szCs w:val="24"/>
                <w:lang w:eastAsia="zh-CN"/>
              </w:rPr>
            </w:pPr>
            <w:r>
              <w:rPr>
                <w:rFonts w:ascii="Times New Roman" w:hAnsi="Times New Roman" w:cs="Times New Roman"/>
                <w:bCs/>
                <w:color w:val="auto"/>
                <w:sz w:val="24"/>
                <w:szCs w:val="24"/>
                <w:lang w:eastAsia="zh-CN"/>
              </w:rPr>
              <w:t>（1.2</w:t>
            </w:r>
            <w:r>
              <w:rPr>
                <w:rFonts w:ascii="Times New Roman" w:hAnsi="Times New Roman" w:cs="Times New Roman"/>
                <w:color w:val="auto"/>
                <w:sz w:val="24"/>
                <w:szCs w:val="32"/>
                <w:lang w:eastAsia="zh-CN"/>
              </w:rPr>
              <w:t>m</w:t>
            </w:r>
            <w:r>
              <w:rPr>
                <w:rFonts w:ascii="Times New Roman" w:hAnsi="Times New Roman" w:cs="Times New Roman"/>
                <w:bCs/>
                <w:color w:val="auto"/>
                <w:sz w:val="24"/>
                <w:szCs w:val="24"/>
                <w:lang w:eastAsia="zh-CN"/>
              </w:rPr>
              <w:t>×0.1m+0.1m×0.05m+1.2m×0.05m）×2+（1.2</w:t>
            </w:r>
            <w:r>
              <w:rPr>
                <w:rFonts w:ascii="Times New Roman" w:hAnsi="Times New Roman" w:cs="Times New Roman"/>
                <w:color w:val="auto"/>
                <w:sz w:val="24"/>
                <w:szCs w:val="32"/>
                <w:lang w:eastAsia="zh-CN"/>
              </w:rPr>
              <w:t>m</w:t>
            </w:r>
            <w:r>
              <w:rPr>
                <w:rFonts w:ascii="Times New Roman" w:hAnsi="Times New Roman" w:cs="Times New Roman"/>
                <w:bCs/>
                <w:color w:val="auto"/>
                <w:sz w:val="24"/>
                <w:szCs w:val="24"/>
                <w:lang w:eastAsia="zh-CN"/>
              </w:rPr>
              <w:t>×0.05m+0.05m×0.05m+1.2m×0.05m）×2+（0.05</w:t>
            </w:r>
            <w:r>
              <w:rPr>
                <w:rFonts w:ascii="Times New Roman" w:hAnsi="Times New Roman" w:cs="Times New Roman"/>
                <w:color w:val="auto"/>
                <w:sz w:val="24"/>
                <w:szCs w:val="32"/>
                <w:lang w:eastAsia="zh-CN"/>
              </w:rPr>
              <w:t>m</w:t>
            </w:r>
            <w:r>
              <w:rPr>
                <w:rFonts w:ascii="Times New Roman" w:hAnsi="Times New Roman" w:cs="Times New Roman"/>
                <w:bCs/>
                <w:color w:val="auto"/>
                <w:sz w:val="24"/>
                <w:szCs w:val="24"/>
                <w:lang w:eastAsia="zh-CN"/>
              </w:rPr>
              <w:t>×0.05m+1.1m×0.05m+1.1m×0.05m）×2×4=1.6m²</w:t>
            </w:r>
          </w:p>
          <w:p w14:paraId="04A75BB1">
            <w:pPr>
              <w:adjustRightInd/>
              <w:snapToGrid/>
              <w:spacing w:line="360" w:lineRule="auto"/>
              <w:ind w:firstLine="480" w:firstLineChars="200"/>
              <w:jc w:val="both"/>
              <w:rPr>
                <w:rFonts w:ascii="Times New Roman" w:hAnsi="Times New Roman" w:cs="Times New Roman"/>
                <w:bCs/>
                <w:color w:val="auto"/>
                <w:sz w:val="24"/>
                <w:szCs w:val="24"/>
                <w:lang w:eastAsia="zh-CN"/>
              </w:rPr>
            </w:pPr>
            <w:r>
              <w:rPr>
                <w:rFonts w:ascii="Times New Roman" w:hAnsi="Times New Roman" w:cs="Times New Roman"/>
                <w:bCs/>
                <w:color w:val="auto"/>
                <w:sz w:val="24"/>
                <w:szCs w:val="24"/>
                <w:lang w:eastAsia="zh-CN"/>
              </w:rPr>
              <w:t>一个金属护栏约0.02t，</w:t>
            </w:r>
            <w:r>
              <w:rPr>
                <w:rFonts w:ascii="Times New Roman" w:hAnsi="Times New Roman" w:cs="Times New Roman"/>
                <w:color w:val="auto"/>
                <w:sz w:val="24"/>
                <w:szCs w:val="32"/>
                <w:lang w:eastAsia="zh-CN"/>
              </w:rPr>
              <w:t>项目金属护栏年产1800t/a，则年产90000个金属护栏，总面积为：90000</w:t>
            </w:r>
            <w:r>
              <w:rPr>
                <w:rFonts w:ascii="Times New Roman" w:hAnsi="Times New Roman" w:cs="Times New Roman"/>
                <w:bCs/>
                <w:color w:val="auto"/>
                <w:sz w:val="24"/>
                <w:szCs w:val="24"/>
                <w:lang w:eastAsia="zh-CN"/>
              </w:rPr>
              <w:t>×1.6=14.4万m²，项目金属护栏</w:t>
            </w:r>
            <w:r>
              <w:rPr>
                <w:rFonts w:ascii="Times New Roman" w:hAnsi="Times New Roman" w:cs="Times New Roman"/>
                <w:color w:val="auto"/>
                <w:sz w:val="24"/>
                <w:szCs w:val="32"/>
                <w:lang w:eastAsia="zh-CN"/>
              </w:rPr>
              <w:t>喷粉厚度为80μm。</w:t>
            </w:r>
          </w:p>
          <w:p w14:paraId="23754435">
            <w:pPr>
              <w:adjustRightInd/>
              <w:snapToGrid/>
              <w:spacing w:line="360" w:lineRule="auto"/>
              <w:ind w:firstLine="480" w:firstLineChars="200"/>
              <w:rPr>
                <w:rFonts w:ascii="Times New Roman" w:hAnsi="Times New Roman" w:eastAsia="宋体" w:cs="Times New Roman"/>
                <w:b w:val="0"/>
                <w:bCs w:val="0"/>
                <w:sz w:val="24"/>
                <w:lang w:eastAsia="zh-CN"/>
              </w:rPr>
            </w:pPr>
            <w:r>
              <w:rPr>
                <w:rFonts w:ascii="Times New Roman" w:hAnsi="Times New Roman" w:eastAsia="宋体" w:cs="Times New Roman"/>
                <w:b w:val="0"/>
                <w:bCs w:val="0"/>
                <w:sz w:val="24"/>
                <w:lang w:eastAsia="zh-CN"/>
              </w:rPr>
              <w:t>③钣金箱体塑粉计算</w:t>
            </w:r>
          </w:p>
          <w:p w14:paraId="64C673DA">
            <w:pPr>
              <w:adjustRightInd/>
              <w:snapToGrid/>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项目钣金箱体尺寸为</w:t>
            </w:r>
            <w:r>
              <w:rPr>
                <w:rFonts w:ascii="Times New Roman" w:hAnsi="Times New Roman" w:cs="Times New Roman"/>
                <w:color w:val="auto"/>
                <w:sz w:val="24"/>
                <w:szCs w:val="24"/>
                <w:lang w:eastAsia="zh-CN"/>
              </w:rPr>
              <w:t>L0.5m×W0.5×H1.8m，钣金箱体仅喷涂外表面，内部不喷涂，则共需喷涂6个面，各喷涂一遍，单个喷涂面积为：（0.5m×0.5m×+0.5m×1.8m+0.5m×1.8m）×2=4.1m²，单个钣金箱体约重0.05t/a，项目年产钣金箱体为300t/a，即6000个/a，总喷涂面积约6000×4.1=24600m²，</w:t>
            </w:r>
            <w:r>
              <w:rPr>
                <w:rFonts w:hint="eastAsia" w:ascii="Times New Roman" w:hAnsi="Times New Roman" w:cs="Times New Roman"/>
                <w:color w:val="auto"/>
                <w:sz w:val="24"/>
                <w:szCs w:val="24"/>
                <w:lang w:eastAsia="zh-CN"/>
              </w:rPr>
              <w:t>喷涂</w:t>
            </w:r>
            <w:r>
              <w:rPr>
                <w:rFonts w:ascii="Times New Roman" w:hAnsi="Times New Roman" w:cs="Times New Roman"/>
                <w:color w:val="auto"/>
                <w:sz w:val="24"/>
                <w:szCs w:val="24"/>
                <w:lang w:eastAsia="zh-CN"/>
              </w:rPr>
              <w:t>厚度约80</w:t>
            </w:r>
            <w:r>
              <w:rPr>
                <w:rFonts w:ascii="Times New Roman" w:hAnsi="Times New Roman" w:cs="Times New Roman"/>
                <w:color w:val="auto"/>
                <w:sz w:val="24"/>
                <w:szCs w:val="32"/>
                <w:lang w:eastAsia="zh-CN"/>
              </w:rPr>
              <w:t>μm</w:t>
            </w:r>
            <w:r>
              <w:rPr>
                <w:rFonts w:ascii="Times New Roman" w:hAnsi="Times New Roman" w:cs="Times New Roman"/>
                <w:color w:val="auto"/>
                <w:sz w:val="24"/>
                <w:szCs w:val="24"/>
                <w:lang w:eastAsia="zh-CN"/>
              </w:rPr>
              <w:t>。</w:t>
            </w:r>
          </w:p>
          <w:p w14:paraId="2C5760CA">
            <w:pPr>
              <w:kinsoku/>
              <w:adjustRightInd/>
              <w:snapToGrid/>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lang w:eastAsia="zh-CN"/>
              </w:rPr>
              <w:t>根据《喷塑行业污染物源强估算及治理方法探讨》塑粉</w:t>
            </w:r>
            <w:r>
              <w:rPr>
                <w:rFonts w:ascii="Times New Roman" w:hAnsi="Times New Roman" w:cs="Times New Roman"/>
                <w:color w:val="auto"/>
                <w:sz w:val="24"/>
                <w:szCs w:val="32"/>
              </w:rPr>
              <w:t>用量采用以下公式计算：</w:t>
            </w:r>
          </w:p>
          <w:p w14:paraId="2F29031F">
            <w:pPr>
              <w:pStyle w:val="5"/>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Q=S</w:t>
            </w:r>
            <w:r>
              <w:rPr>
                <w:rFonts w:ascii="Times New Roman" w:hAnsi="Times New Roman" w:cs="Times New Roman"/>
                <w:color w:val="auto"/>
                <w:sz w:val="24"/>
                <w:szCs w:val="24"/>
                <w:lang w:eastAsia="zh-CN"/>
              </w:rPr>
              <w:t>×</w:t>
            </w:r>
            <w:r>
              <w:rPr>
                <w:rFonts w:ascii="Times New Roman" w:hAnsi="Times New Roman" w:cs="Times New Roman"/>
                <w:color w:val="auto"/>
                <w:sz w:val="24"/>
                <w:szCs w:val="24"/>
              </w:rPr>
              <w:t>H</w:t>
            </w:r>
            <w:r>
              <w:rPr>
                <w:rFonts w:ascii="Times New Roman" w:hAnsi="Times New Roman" w:cs="Times New Roman"/>
                <w:color w:val="auto"/>
                <w:sz w:val="24"/>
                <w:szCs w:val="24"/>
                <w:lang w:eastAsia="zh-CN"/>
              </w:rPr>
              <w:t>×</w:t>
            </w:r>
            <w:r>
              <w:rPr>
                <w:rFonts w:ascii="Times New Roman" w:hAnsi="Times New Roman" w:cs="Times New Roman"/>
                <w:color w:val="auto"/>
                <w:sz w:val="24"/>
                <w:szCs w:val="24"/>
              </w:rPr>
              <w:t>10</w:t>
            </w:r>
            <w:r>
              <w:rPr>
                <w:rFonts w:ascii="Times New Roman" w:hAnsi="Times New Roman" w:cs="Times New Roman"/>
                <w:color w:val="auto"/>
                <w:sz w:val="24"/>
                <w:szCs w:val="24"/>
                <w:vertAlign w:val="superscript"/>
              </w:rPr>
              <w:t>-6</w:t>
            </w:r>
            <w:r>
              <w:rPr>
                <w:rFonts w:ascii="Times New Roman" w:hAnsi="Times New Roman" w:cs="Times New Roman"/>
                <w:color w:val="auto"/>
                <w:sz w:val="24"/>
                <w:szCs w:val="24"/>
                <w:lang w:eastAsia="zh-CN"/>
              </w:rPr>
              <w:t>×</w:t>
            </w:r>
            <w:r>
              <w:rPr>
                <w:rFonts w:ascii="Times New Roman" w:hAnsi="Times New Roman" w:cs="Times New Roman"/>
                <w:color w:val="auto"/>
                <w:sz w:val="24"/>
                <w:szCs w:val="24"/>
              </w:rPr>
              <w:t>Ρ/Cj/R</w:t>
            </w:r>
          </w:p>
          <w:p w14:paraId="536978A7">
            <w:pPr>
              <w:kinsoku/>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rPr>
              <w:t>其中：</w:t>
            </w:r>
            <w:r>
              <w:rPr>
                <w:rFonts w:ascii="Times New Roman" w:hAnsi="Times New Roman" w:eastAsia="宋体" w:cs="Times New Roman"/>
                <w:color w:val="auto"/>
                <w:sz w:val="24"/>
                <w:szCs w:val="24"/>
                <w:lang w:eastAsia="zh-CN"/>
              </w:rPr>
              <w:t>Q</w:t>
            </w:r>
            <w:r>
              <w:rPr>
                <w:rFonts w:ascii="Times New Roman" w:hAnsi="Times New Roman" w:cs="Times New Roman"/>
                <w:color w:val="auto"/>
                <w:sz w:val="24"/>
                <w:szCs w:val="24"/>
              </w:rPr>
              <w:t>—</w:t>
            </w:r>
            <w:r>
              <w:rPr>
                <w:rFonts w:ascii="Times New Roman" w:hAnsi="Times New Roman" w:cs="Times New Roman"/>
                <w:color w:val="auto"/>
                <w:sz w:val="24"/>
                <w:szCs w:val="24"/>
                <w:lang w:eastAsia="zh-CN"/>
              </w:rPr>
              <w:t>塑粉</w:t>
            </w:r>
            <w:r>
              <w:rPr>
                <w:rFonts w:ascii="Times New Roman" w:hAnsi="Times New Roman" w:cs="Times New Roman"/>
                <w:color w:val="auto"/>
                <w:sz w:val="24"/>
                <w:szCs w:val="24"/>
              </w:rPr>
              <w:t>总用量（t/a）；</w:t>
            </w:r>
            <w:r>
              <w:rPr>
                <w:rFonts w:ascii="Times New Roman" w:hAnsi="Times New Roman" w:eastAsia="宋体" w:cs="Times New Roman"/>
                <w:color w:val="auto"/>
                <w:sz w:val="24"/>
                <w:szCs w:val="24"/>
                <w:lang w:eastAsia="zh-CN"/>
              </w:rPr>
              <w:t>P</w:t>
            </w:r>
            <w:r>
              <w:rPr>
                <w:rFonts w:ascii="Times New Roman" w:hAnsi="Times New Roman" w:cs="Times New Roman"/>
                <w:color w:val="auto"/>
                <w:sz w:val="24"/>
                <w:szCs w:val="24"/>
              </w:rPr>
              <w:t>—</w:t>
            </w:r>
            <w:r>
              <w:rPr>
                <w:rFonts w:ascii="Times New Roman" w:hAnsi="Times New Roman" w:cs="Times New Roman"/>
                <w:color w:val="auto"/>
                <w:sz w:val="24"/>
                <w:szCs w:val="24"/>
                <w:lang w:eastAsia="zh-CN"/>
              </w:rPr>
              <w:t>塑粉</w:t>
            </w:r>
            <w:r>
              <w:rPr>
                <w:rFonts w:ascii="Times New Roman" w:hAnsi="Times New Roman" w:cs="Times New Roman"/>
                <w:color w:val="auto"/>
                <w:sz w:val="24"/>
                <w:szCs w:val="24"/>
              </w:rPr>
              <w:t>密度(g/cm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w:t>
            </w:r>
            <w:r>
              <w:rPr>
                <w:rFonts w:ascii="Times New Roman" w:hAnsi="Times New Roman" w:eastAsia="宋体" w:cs="Times New Roman"/>
                <w:color w:val="auto"/>
                <w:sz w:val="24"/>
                <w:szCs w:val="24"/>
                <w:lang w:eastAsia="zh-CN"/>
              </w:rPr>
              <w:t>H</w:t>
            </w:r>
            <w:r>
              <w:rPr>
                <w:rFonts w:ascii="Times New Roman" w:hAnsi="Times New Roman" w:cs="Times New Roman"/>
                <w:color w:val="auto"/>
                <w:sz w:val="24"/>
                <w:szCs w:val="24"/>
              </w:rPr>
              <w:t>—涂层厚度（um）；s—总面积（m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/年）；Cj</w:t>
            </w:r>
            <w:r>
              <w:rPr>
                <w:rFonts w:ascii="Times New Roman" w:hAnsi="Times New Roman" w:eastAsia="宋体" w:cs="Times New Roman"/>
                <w:color w:val="auto"/>
                <w:sz w:val="24"/>
                <w:szCs w:val="24"/>
                <w:lang w:eastAsia="zh-CN"/>
              </w:rPr>
              <w:t>——附着率；R——塑粉回收率。</w:t>
            </w:r>
          </w:p>
          <w:p w14:paraId="104687F2">
            <w:pPr>
              <w:widowControl w:val="0"/>
              <w:kinsoku/>
              <w:autoSpaceDE/>
              <w:autoSpaceDN/>
              <w:adjustRightInd/>
              <w:snapToGrid/>
              <w:spacing w:line="360" w:lineRule="auto"/>
              <w:ind w:firstLine="480" w:firstLineChars="200"/>
              <w:textAlignment w:val="auto"/>
              <w:rPr>
                <w:rFonts w:ascii="Times New Roman" w:hAnsi="Times New Roman" w:cs="Times New Roman"/>
                <w:color w:val="auto"/>
              </w:rPr>
            </w:pPr>
            <w:r>
              <w:rPr>
                <w:rFonts w:ascii="Times New Roman" w:hAnsi="Times New Roman" w:cs="Times New Roman"/>
                <w:color w:val="auto"/>
                <w:sz w:val="24"/>
                <w:szCs w:val="32"/>
                <w:lang w:eastAsia="zh-CN"/>
              </w:rPr>
              <w:t>根据《喷塑行业污染物源强估算及治理方法探讨》，喷塑工程中粉末涂料附着率约为使用量的60%~80%，本项目取70%。回收率为90%，则</w:t>
            </w:r>
            <w:r>
              <w:rPr>
                <w:rFonts w:ascii="Times New Roman" w:hAnsi="Times New Roman" w:cs="Times New Roman"/>
                <w:color w:val="auto"/>
                <w:sz w:val="24"/>
                <w:szCs w:val="32"/>
              </w:rPr>
              <w:t>本项目</w:t>
            </w:r>
            <w:r>
              <w:rPr>
                <w:rFonts w:ascii="Times New Roman" w:hAnsi="Times New Roman" w:cs="Times New Roman"/>
                <w:color w:val="auto"/>
                <w:sz w:val="24"/>
                <w:szCs w:val="32"/>
                <w:lang w:eastAsia="zh-CN"/>
              </w:rPr>
              <w:t>塑粉</w:t>
            </w:r>
            <w:r>
              <w:rPr>
                <w:rFonts w:ascii="Times New Roman" w:hAnsi="Times New Roman" w:cs="Times New Roman"/>
                <w:color w:val="auto"/>
                <w:sz w:val="24"/>
                <w:szCs w:val="32"/>
              </w:rPr>
              <w:t>用量及计算结果见下表。</w:t>
            </w:r>
          </w:p>
          <w:p w14:paraId="7CDA0A41">
            <w:pPr>
              <w:widowControl w:val="0"/>
              <w:kinsoku/>
              <w:autoSpaceDE/>
              <w:autoSpaceDN/>
              <w:adjustRightInd/>
              <w:snapToGrid/>
              <w:jc w:val="center"/>
              <w:textAlignment w:val="auto"/>
              <w:rPr>
                <w:rFonts w:ascii="Times New Roman" w:hAnsi="Times New Roman" w:eastAsia="宋体" w:cs="Times New Roman"/>
                <w:b/>
                <w:bCs/>
                <w:color w:val="auto"/>
                <w:sz w:val="24"/>
                <w:szCs w:val="32"/>
                <w:lang w:eastAsia="zh-CN"/>
              </w:rPr>
            </w:pPr>
            <w:r>
              <w:rPr>
                <w:rFonts w:ascii="Times New Roman" w:hAnsi="Times New Roman" w:eastAsia="宋体" w:cs="Times New Roman"/>
                <w:b/>
                <w:bCs/>
                <w:color w:val="auto"/>
                <w:sz w:val="24"/>
                <w:szCs w:val="32"/>
                <w:lang w:eastAsia="zh-CN"/>
              </w:rPr>
              <w:t>表2-</w:t>
            </w:r>
            <w:r>
              <w:rPr>
                <w:rFonts w:ascii="Times New Roman" w:hAnsi="Times New Roman" w:cs="Times New Roman"/>
                <w:b/>
                <w:bCs/>
                <w:color w:val="auto"/>
                <w:sz w:val="24"/>
                <w:szCs w:val="32"/>
                <w:lang w:eastAsia="zh-CN"/>
              </w:rPr>
              <w:t>4</w:t>
            </w:r>
            <w:r>
              <w:rPr>
                <w:rFonts w:ascii="Times New Roman" w:hAnsi="Times New Roman" w:eastAsia="宋体" w:cs="Times New Roman"/>
                <w:b/>
                <w:bCs/>
                <w:color w:val="auto"/>
                <w:sz w:val="24"/>
                <w:szCs w:val="32"/>
                <w:lang w:eastAsia="zh-CN"/>
              </w:rPr>
              <w:t xml:space="preserve"> 塑粉用量计算一览表</w:t>
            </w:r>
          </w:p>
          <w:tbl>
            <w:tblPr>
              <w:tblStyle w:val="2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88"/>
              <w:gridCol w:w="1088"/>
              <w:gridCol w:w="1541"/>
              <w:gridCol w:w="1343"/>
              <w:gridCol w:w="1198"/>
              <w:gridCol w:w="1506"/>
              <w:gridCol w:w="1506"/>
            </w:tblGrid>
            <w:tr w14:paraId="70064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7" w:type="pct"/>
                  <w:vAlign w:val="center"/>
                </w:tcPr>
                <w:p w14:paraId="53C85A6B">
                  <w:pPr>
                    <w:pStyle w:val="33"/>
                    <w:kinsoku/>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产品</w:t>
                  </w:r>
                </w:p>
              </w:tc>
              <w:tc>
                <w:tcPr>
                  <w:tcW w:w="587" w:type="pct"/>
                  <w:vAlign w:val="center"/>
                </w:tcPr>
                <w:p w14:paraId="4841AFFC">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类型</w:t>
                  </w:r>
                </w:p>
              </w:tc>
              <w:tc>
                <w:tcPr>
                  <w:tcW w:w="831" w:type="pct"/>
                  <w:vAlign w:val="center"/>
                </w:tcPr>
                <w:p w14:paraId="1B092CB8">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密度</w:t>
                  </w:r>
                </w:p>
                <w:p w14:paraId="4A053DF9">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（g/cm</w:t>
                  </w:r>
                  <w:r>
                    <w:rPr>
                      <w:rFonts w:ascii="Times New Roman" w:hAnsi="Times New Roman" w:eastAsia="宋体" w:cs="Times New Roman"/>
                      <w:color w:val="auto"/>
                      <w:vertAlign w:val="superscript"/>
                    </w:rPr>
                    <w:t>3</w:t>
                  </w:r>
                  <w:r>
                    <w:rPr>
                      <w:rFonts w:ascii="Times New Roman" w:hAnsi="Times New Roman" w:eastAsia="宋体" w:cs="Times New Roman"/>
                      <w:color w:val="auto"/>
                    </w:rPr>
                    <w:t>）</w:t>
                  </w:r>
                </w:p>
              </w:tc>
              <w:tc>
                <w:tcPr>
                  <w:tcW w:w="724" w:type="pct"/>
                  <w:vAlign w:val="center"/>
                </w:tcPr>
                <w:p w14:paraId="46275CF6">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涂层厚度</w:t>
                  </w:r>
                </w:p>
                <w:p w14:paraId="6F262B98">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cs="Times New Roman"/>
                      <w:color w:val="auto"/>
                      <w:szCs w:val="24"/>
                      <w:lang w:eastAsia="zh-CN"/>
                    </w:rPr>
                    <w:t>μm</w:t>
                  </w:r>
                  <w:r>
                    <w:rPr>
                      <w:rFonts w:ascii="Times New Roman" w:hAnsi="Times New Roman" w:eastAsia="宋体" w:cs="Times New Roman"/>
                      <w:color w:val="auto"/>
                    </w:rPr>
                    <w:t>）</w:t>
                  </w:r>
                </w:p>
              </w:tc>
              <w:tc>
                <w:tcPr>
                  <w:tcW w:w="644" w:type="pct"/>
                  <w:vAlign w:val="center"/>
                </w:tcPr>
                <w:p w14:paraId="26636B71">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上</w:t>
                  </w:r>
                  <w:r>
                    <w:rPr>
                      <w:rFonts w:ascii="Times New Roman" w:hAnsi="Times New Roman" w:eastAsia="宋体" w:cs="Times New Roman"/>
                      <w:color w:val="auto"/>
                      <w:lang w:eastAsia="zh-CN"/>
                    </w:rPr>
                    <w:t>粉</w:t>
                  </w:r>
                  <w:r>
                    <w:rPr>
                      <w:rFonts w:ascii="Times New Roman" w:hAnsi="Times New Roman" w:eastAsia="宋体" w:cs="Times New Roman"/>
                      <w:color w:val="auto"/>
                    </w:rPr>
                    <w:t>率</w:t>
                  </w:r>
                </w:p>
                <w:p w14:paraId="4F1DA664">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w:t>
                  </w:r>
                </w:p>
              </w:tc>
              <w:tc>
                <w:tcPr>
                  <w:tcW w:w="812" w:type="pct"/>
                  <w:vAlign w:val="center"/>
                </w:tcPr>
                <w:p w14:paraId="3F852A16">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涂装面积</w:t>
                  </w:r>
                </w:p>
                <w:p w14:paraId="72AC6D13">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r>
                    <w:rPr>
                      <w:rFonts w:ascii="Times New Roman" w:hAnsi="Times New Roman" w:eastAsia="宋体" w:cs="Times New Roman"/>
                      <w:color w:val="auto"/>
                    </w:rPr>
                    <w:t>）</w:t>
                  </w:r>
                </w:p>
              </w:tc>
              <w:tc>
                <w:tcPr>
                  <w:tcW w:w="812" w:type="pct"/>
                  <w:vAlign w:val="center"/>
                </w:tcPr>
                <w:p w14:paraId="5BE15EFF">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塑粉用量（t/a）</w:t>
                  </w:r>
                </w:p>
              </w:tc>
            </w:tr>
            <w:tr w14:paraId="2394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7" w:type="pct"/>
                  <w:vAlign w:val="center"/>
                </w:tcPr>
                <w:p w14:paraId="3C1698F4">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铝板</w:t>
                  </w:r>
                </w:p>
              </w:tc>
              <w:tc>
                <w:tcPr>
                  <w:tcW w:w="587" w:type="pct"/>
                  <w:vAlign w:val="center"/>
                </w:tcPr>
                <w:p w14:paraId="49F6AA92">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塑粉</w:t>
                  </w:r>
                </w:p>
              </w:tc>
              <w:tc>
                <w:tcPr>
                  <w:tcW w:w="831" w:type="pct"/>
                  <w:vAlign w:val="center"/>
                </w:tcPr>
                <w:p w14:paraId="16FA8C64">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1.34</w:t>
                  </w:r>
                </w:p>
              </w:tc>
              <w:tc>
                <w:tcPr>
                  <w:tcW w:w="724" w:type="pct"/>
                  <w:vAlign w:val="center"/>
                </w:tcPr>
                <w:p w14:paraId="24E89AA4">
                  <w:pPr>
                    <w:pStyle w:val="33"/>
                    <w:kinsoku/>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80</w:t>
                  </w:r>
                </w:p>
              </w:tc>
              <w:tc>
                <w:tcPr>
                  <w:tcW w:w="644" w:type="pct"/>
                  <w:vAlign w:val="center"/>
                </w:tcPr>
                <w:p w14:paraId="0A8155E8">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70</w:t>
                  </w:r>
                </w:p>
              </w:tc>
              <w:tc>
                <w:tcPr>
                  <w:tcW w:w="812" w:type="pct"/>
                  <w:vAlign w:val="center"/>
                </w:tcPr>
                <w:p w14:paraId="1EC94DF8">
                  <w:pPr>
                    <w:pStyle w:val="33"/>
                    <w:kinsoku/>
                    <w:adjustRightInd/>
                    <w:snapToGrid/>
                    <w:rPr>
                      <w:rFonts w:ascii="Times New Roman" w:hAnsi="Times New Roman" w:eastAsia="宋体" w:cs="Times New Roman"/>
                      <w:color w:val="auto"/>
                      <w:lang w:eastAsia="zh-CN"/>
                    </w:rPr>
                  </w:pPr>
                  <w:r>
                    <w:rPr>
                      <w:rFonts w:ascii="Times New Roman" w:hAnsi="Times New Roman" w:cs="Times New Roman"/>
                      <w:bCs/>
                      <w:color w:val="auto"/>
                      <w:lang w:eastAsia="zh-CN"/>
                    </w:rPr>
                    <w:t>37452</w:t>
                  </w:r>
                </w:p>
              </w:tc>
              <w:tc>
                <w:tcPr>
                  <w:tcW w:w="812" w:type="pct"/>
                  <w:vAlign w:val="center"/>
                </w:tcPr>
                <w:p w14:paraId="2BC0EEC6">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6.37</w:t>
                  </w:r>
                </w:p>
              </w:tc>
            </w:tr>
            <w:tr w14:paraId="70C6C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7" w:type="pct"/>
                  <w:vAlign w:val="center"/>
                </w:tcPr>
                <w:p w14:paraId="226C6A31">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护栏</w:t>
                  </w:r>
                </w:p>
              </w:tc>
              <w:tc>
                <w:tcPr>
                  <w:tcW w:w="587" w:type="pct"/>
                  <w:vAlign w:val="center"/>
                </w:tcPr>
                <w:p w14:paraId="3432ADF2">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塑粉</w:t>
                  </w:r>
                </w:p>
              </w:tc>
              <w:tc>
                <w:tcPr>
                  <w:tcW w:w="831" w:type="pct"/>
                  <w:vAlign w:val="center"/>
                </w:tcPr>
                <w:p w14:paraId="1747F615">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1.34</w:t>
                  </w:r>
                </w:p>
              </w:tc>
              <w:tc>
                <w:tcPr>
                  <w:tcW w:w="724" w:type="pct"/>
                  <w:vAlign w:val="center"/>
                </w:tcPr>
                <w:p w14:paraId="3EB83CF3">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80</w:t>
                  </w:r>
                </w:p>
              </w:tc>
              <w:tc>
                <w:tcPr>
                  <w:tcW w:w="644" w:type="pct"/>
                  <w:vAlign w:val="center"/>
                </w:tcPr>
                <w:p w14:paraId="3D070E65">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70</w:t>
                  </w:r>
                </w:p>
              </w:tc>
              <w:tc>
                <w:tcPr>
                  <w:tcW w:w="812" w:type="pct"/>
                  <w:vAlign w:val="center"/>
                </w:tcPr>
                <w:p w14:paraId="52C0038B">
                  <w:pPr>
                    <w:pStyle w:val="33"/>
                    <w:kinsoku/>
                    <w:adjustRightInd/>
                    <w:snapToGrid/>
                    <w:rPr>
                      <w:rFonts w:ascii="Times New Roman" w:hAnsi="Times New Roman" w:cs="Times New Roman"/>
                      <w:color w:val="auto"/>
                      <w:lang w:eastAsia="zh-CN"/>
                    </w:rPr>
                  </w:pPr>
                  <w:r>
                    <w:rPr>
                      <w:rFonts w:ascii="Times New Roman" w:hAnsi="Times New Roman" w:cs="Times New Roman"/>
                      <w:bCs/>
                      <w:color w:val="auto"/>
                      <w:lang w:eastAsia="zh-CN"/>
                    </w:rPr>
                    <w:t>14.4万m²</w:t>
                  </w:r>
                </w:p>
              </w:tc>
              <w:tc>
                <w:tcPr>
                  <w:tcW w:w="812" w:type="pct"/>
                  <w:vAlign w:val="center"/>
                </w:tcPr>
                <w:p w14:paraId="2B54D6F2">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24.51</w:t>
                  </w:r>
                </w:p>
              </w:tc>
            </w:tr>
            <w:tr w14:paraId="37A4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87" w:type="pct"/>
                  <w:vAlign w:val="center"/>
                </w:tcPr>
                <w:p w14:paraId="14E12FB5">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钣金箱体</w:t>
                  </w:r>
                </w:p>
              </w:tc>
              <w:tc>
                <w:tcPr>
                  <w:tcW w:w="587" w:type="pct"/>
                  <w:vAlign w:val="center"/>
                </w:tcPr>
                <w:p w14:paraId="1DEFE5EF">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塑粉</w:t>
                  </w:r>
                </w:p>
              </w:tc>
              <w:tc>
                <w:tcPr>
                  <w:tcW w:w="831" w:type="pct"/>
                  <w:vAlign w:val="center"/>
                </w:tcPr>
                <w:p w14:paraId="1754B7A0">
                  <w:pPr>
                    <w:pStyle w:val="33"/>
                    <w:kinsoku/>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1.34</w:t>
                  </w:r>
                </w:p>
              </w:tc>
              <w:tc>
                <w:tcPr>
                  <w:tcW w:w="724" w:type="pct"/>
                  <w:vAlign w:val="center"/>
                </w:tcPr>
                <w:p w14:paraId="281538A3">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80</w:t>
                  </w:r>
                </w:p>
              </w:tc>
              <w:tc>
                <w:tcPr>
                  <w:tcW w:w="644" w:type="pct"/>
                  <w:vAlign w:val="center"/>
                </w:tcPr>
                <w:p w14:paraId="512A91F1">
                  <w:pPr>
                    <w:pStyle w:val="33"/>
                    <w:kinsoku/>
                    <w:adjustRightInd/>
                    <w:snapToGrid/>
                    <w:rPr>
                      <w:rFonts w:ascii="Times New Roman" w:hAnsi="Times New Roman" w:eastAsia="宋体" w:cs="Times New Roman"/>
                      <w:color w:val="auto"/>
                    </w:rPr>
                  </w:pPr>
                  <w:r>
                    <w:rPr>
                      <w:rFonts w:ascii="Times New Roman" w:hAnsi="Times New Roman" w:eastAsia="宋体" w:cs="Times New Roman"/>
                      <w:color w:val="auto"/>
                    </w:rPr>
                    <w:t>70</w:t>
                  </w:r>
                </w:p>
              </w:tc>
              <w:tc>
                <w:tcPr>
                  <w:tcW w:w="812" w:type="pct"/>
                  <w:vAlign w:val="center"/>
                </w:tcPr>
                <w:p w14:paraId="692DA463">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24600m²</w:t>
                  </w:r>
                </w:p>
              </w:tc>
              <w:tc>
                <w:tcPr>
                  <w:tcW w:w="812" w:type="pct"/>
                  <w:vAlign w:val="center"/>
                </w:tcPr>
                <w:p w14:paraId="17086201">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4.19</w:t>
                  </w:r>
                </w:p>
              </w:tc>
            </w:tr>
            <w:tr w14:paraId="1ECD5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75" w:type="pct"/>
                  <w:gridSpan w:val="5"/>
                  <w:vAlign w:val="center"/>
                </w:tcPr>
                <w:p w14:paraId="3AEB918E">
                  <w:pPr>
                    <w:pStyle w:val="33"/>
                    <w:kinsoku/>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共计</w:t>
                  </w:r>
                </w:p>
              </w:tc>
              <w:tc>
                <w:tcPr>
                  <w:tcW w:w="812" w:type="pct"/>
                  <w:vAlign w:val="center"/>
                </w:tcPr>
                <w:p w14:paraId="7A3BC056">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20.6052万m²</w:t>
                  </w:r>
                </w:p>
              </w:tc>
              <w:tc>
                <w:tcPr>
                  <w:tcW w:w="812" w:type="pct"/>
                  <w:vAlign w:val="center"/>
                </w:tcPr>
                <w:p w14:paraId="614E9595">
                  <w:pPr>
                    <w:pStyle w:val="33"/>
                    <w:kinsoku/>
                    <w:adjustRightInd/>
                    <w:snapToGrid/>
                    <w:rPr>
                      <w:rFonts w:ascii="Times New Roman" w:hAnsi="Times New Roman" w:cs="Times New Roman"/>
                      <w:color w:val="auto"/>
                      <w:lang w:eastAsia="zh-CN"/>
                    </w:rPr>
                  </w:pPr>
                  <w:r>
                    <w:rPr>
                      <w:rFonts w:ascii="Times New Roman" w:hAnsi="Times New Roman" w:cs="Times New Roman"/>
                      <w:color w:val="auto"/>
                      <w:lang w:eastAsia="zh-CN"/>
                    </w:rPr>
                    <w:t>35.07</w:t>
                  </w:r>
                </w:p>
              </w:tc>
            </w:tr>
          </w:tbl>
          <w:p w14:paraId="466F455A">
            <w:pPr>
              <w:spacing w:line="360" w:lineRule="auto"/>
              <w:ind w:firstLine="480" w:firstLineChars="200"/>
              <w:rPr>
                <w:rFonts w:ascii="Times New Roman" w:hAnsi="Times New Roman" w:cs="Times New Roman"/>
                <w:b/>
                <w:bCs/>
                <w:sz w:val="24"/>
              </w:rPr>
            </w:pPr>
            <w:r>
              <w:rPr>
                <w:rFonts w:ascii="Times New Roman" w:hAnsi="Times New Roman" w:cs="Times New Roman"/>
                <w:color w:val="auto"/>
                <w:sz w:val="24"/>
                <w:szCs w:val="32"/>
                <w:lang w:eastAsia="zh-CN"/>
              </w:rPr>
              <w:t>综上，项目</w:t>
            </w:r>
            <w:r>
              <w:rPr>
                <w:rFonts w:ascii="Times New Roman" w:hAnsi="Times New Roman" w:cs="Times New Roman"/>
                <w:color w:val="auto"/>
                <w:sz w:val="24"/>
                <w:szCs w:val="24"/>
                <w:lang w:eastAsia="zh-CN"/>
              </w:rPr>
              <w:t>塑粉用量约35.07t/a。</w:t>
            </w:r>
          </w:p>
          <w:p w14:paraId="35C45B19">
            <w:pPr>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cs="Times New Roman"/>
                <w:b/>
                <w:bCs/>
                <w:sz w:val="24"/>
              </w:rPr>
              <w:t>原辅材料成分及理化性质：</w:t>
            </w:r>
          </w:p>
          <w:p w14:paraId="48E799E9">
            <w:pPr>
              <w:adjustRightInd/>
              <w:snapToGrid/>
              <w:jc w:val="center"/>
              <w:rPr>
                <w:rFonts w:ascii="Times New Roman" w:hAnsi="Times New Roman" w:cs="Times New Roman"/>
                <w:sz w:val="24"/>
              </w:rPr>
            </w:pPr>
            <w:r>
              <w:rPr>
                <w:rFonts w:ascii="Times New Roman" w:hAnsi="Times New Roman" w:eastAsia="宋体" w:cs="Times New Roman"/>
                <w:b/>
                <w:bCs/>
                <w:color w:val="auto"/>
                <w:sz w:val="24"/>
                <w:szCs w:val="24"/>
                <w:lang w:eastAsia="zh-CN"/>
              </w:rPr>
              <w:t>表2-5 主要原辅材料及其主要成分的理化性质和毒性</w:t>
            </w:r>
          </w:p>
          <w:tbl>
            <w:tblPr>
              <w:tblStyle w:val="23"/>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2949"/>
              <w:gridCol w:w="2775"/>
              <w:gridCol w:w="2327"/>
            </w:tblGrid>
            <w:tr w14:paraId="0368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vAlign w:val="center"/>
                </w:tcPr>
                <w:p w14:paraId="78085296">
                  <w:pPr>
                    <w:widowControl/>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名称</w:t>
                  </w:r>
                </w:p>
              </w:tc>
              <w:tc>
                <w:tcPr>
                  <w:tcW w:w="1591" w:type="pct"/>
                  <w:vAlign w:val="center"/>
                </w:tcPr>
                <w:p w14:paraId="7255479D">
                  <w:pPr>
                    <w:widowControl/>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主要成分</w:t>
                  </w:r>
                </w:p>
              </w:tc>
              <w:tc>
                <w:tcPr>
                  <w:tcW w:w="1497" w:type="pct"/>
                  <w:vAlign w:val="center"/>
                </w:tcPr>
                <w:p w14:paraId="4CA94D71">
                  <w:pPr>
                    <w:widowControl/>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理化性质</w:t>
                  </w:r>
                </w:p>
              </w:tc>
              <w:tc>
                <w:tcPr>
                  <w:tcW w:w="1255" w:type="pct"/>
                  <w:vAlign w:val="center"/>
                </w:tcPr>
                <w:p w14:paraId="160CC830">
                  <w:pPr>
                    <w:widowControl/>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毒性</w:t>
                  </w:r>
                </w:p>
              </w:tc>
            </w:tr>
            <w:tr w14:paraId="7E08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vAlign w:val="center"/>
                </w:tcPr>
                <w:p w14:paraId="5D34DBB4">
                  <w:pPr>
                    <w:widowControl/>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天然气</w:t>
                  </w:r>
                </w:p>
              </w:tc>
              <w:tc>
                <w:tcPr>
                  <w:tcW w:w="4343" w:type="pct"/>
                  <w:gridSpan w:val="3"/>
                  <w:vAlign w:val="center"/>
                </w:tcPr>
                <w:p w14:paraId="4FDD7616">
                  <w:pPr>
                    <w:widowControl/>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eastAsia="宋体" w:cs="Times New Roman"/>
                      <w:color w:val="auto"/>
                      <w:shd w:val="clear" w:color="auto" w:fill="FFFFFF"/>
                      <w:lang w:eastAsia="zh-CN"/>
                    </w:rPr>
                    <w:t>天然气：天然气主要用途是作燃料，可制造炭黑、化学药品和液化石油气，由天然气生产的丙烷、丁烷是现代工业的重要原料。天然气主要由气态低分子烃和非烃气体混合组成。根据企业提供的天然气气质报告，本项目所用的天然气主要由甲烷（98.2%）组成，含有少量的乙烷、丙烷等。主要用作燃料，也用于制造乙醛、乙炔、氨、碳黑、乙醇、甲醛、烃类燃料、氢化油、甲醇、硝酸、合成气和氯乙烯等化学物的原料。天然气被压缩成液体进行贮存和运输。煤矿工人、硝酸制造者、发电厂工人、有机化学合成工、燃气使用者、石油精炼工等有机会接触本品。主要经呼吸道进入人体。属单纯窒息性气体。浓度高时因置换空气而引起缺氧，导致呼吸短促，知觉丧失；严重者可因血氧过低窒息死亡。高压天然气可致冻伤。不完全燃烧可产生一氧化碳。</w:t>
                  </w:r>
                </w:p>
              </w:tc>
            </w:tr>
            <w:tr w14:paraId="2FFB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vAlign w:val="center"/>
                </w:tcPr>
                <w:p w14:paraId="1414D93A">
                  <w:pPr>
                    <w:widowControl/>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机油</w:t>
                  </w:r>
                </w:p>
              </w:tc>
              <w:tc>
                <w:tcPr>
                  <w:tcW w:w="4343" w:type="pct"/>
                  <w:gridSpan w:val="3"/>
                  <w:vAlign w:val="center"/>
                </w:tcPr>
                <w:p w14:paraId="7EDE44A2">
                  <w:pPr>
                    <w:widowControl/>
                    <w:kinsoku/>
                    <w:autoSpaceDE/>
                    <w:autoSpaceDN/>
                    <w:adjustRightInd/>
                    <w:snapToGrid/>
                    <w:jc w:val="center"/>
                    <w:textAlignment w:val="auto"/>
                    <w:rPr>
                      <w:rFonts w:ascii="Times New Roman" w:hAnsi="Times New Roman" w:eastAsia="宋体" w:cs="Times New Roman"/>
                      <w:color w:val="auto"/>
                      <w:shd w:val="clear" w:color="auto" w:fill="FFFFFF"/>
                      <w:lang w:eastAsia="zh-CN"/>
                    </w:rPr>
                  </w:pPr>
                  <w:r>
                    <w:rPr>
                      <w:rFonts w:ascii="Times New Roman" w:hAnsi="Times New Roman" w:cs="Times New Roman"/>
                      <w:color w:val="auto"/>
                      <w:lang w:eastAsia="zh-CN"/>
                    </w:rPr>
                    <w:t>黄色、室温下为半流体，矿物油特性。燃烧可能形成液体、固体悬浮颗粒物与燃气组成的复杂混合物，包括一氧化碳以及不确定的有机和无机化合物</w:t>
                  </w:r>
                </w:p>
              </w:tc>
            </w:tr>
            <w:tr w14:paraId="65F1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vAlign w:val="center"/>
                </w:tcPr>
                <w:p w14:paraId="6EF54FC3">
                  <w:pPr>
                    <w:widowControl/>
                    <w:kinsoku/>
                    <w:autoSpaceDE/>
                    <w:autoSpaceDN/>
                    <w:adjustRightInd/>
                    <w:snapToGrid/>
                    <w:jc w:val="center"/>
                    <w:textAlignment w:val="auto"/>
                    <w:rPr>
                      <w:rFonts w:ascii="Times New Roman" w:hAnsi="Times New Roman" w:cs="Times New Roman"/>
                      <w:color w:val="auto"/>
                      <w:lang w:eastAsia="zh-CN"/>
                    </w:rPr>
                  </w:pPr>
                  <w:r>
                    <w:rPr>
                      <w:rFonts w:ascii="Times New Roman" w:hAnsi="Times New Roman" w:cs="Times New Roman"/>
                      <w:color w:val="auto"/>
                      <w:lang w:eastAsia="zh-CN"/>
                    </w:rPr>
                    <w:t>塑粉</w:t>
                  </w:r>
                </w:p>
              </w:tc>
              <w:tc>
                <w:tcPr>
                  <w:tcW w:w="4343" w:type="pct"/>
                  <w:gridSpan w:val="3"/>
                  <w:vAlign w:val="center"/>
                </w:tcPr>
                <w:p w14:paraId="5401D916">
                  <w:pPr>
                    <w:widowControl/>
                    <w:kinsoku/>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6"/>
                      <w:lang w:eastAsia="zh-CN"/>
                    </w:rPr>
                    <w:t>一</w:t>
                  </w:r>
                  <w:r>
                    <w:rPr>
                      <w:rFonts w:ascii="Times New Roman" w:hAnsi="Times New Roman" w:eastAsia="宋体" w:cs="Times New Roman"/>
                      <w:color w:val="auto"/>
                      <w:spacing w:val="6"/>
                    </w:rPr>
                    <w:t>种具有耐腐蚀性和坚韧性的热固性树脂粉末涂料，不</w:t>
                  </w:r>
                  <w:r>
                    <w:rPr>
                      <w:rFonts w:ascii="Times New Roman" w:hAnsi="Times New Roman" w:eastAsia="宋体" w:cs="Times New Roman"/>
                      <w:color w:val="auto"/>
                      <w:spacing w:val="5"/>
                    </w:rPr>
                    <w:t>燃、不爆，无毒、</w:t>
                  </w:r>
                  <w:r>
                    <w:rPr>
                      <w:rFonts w:ascii="Times New Roman" w:hAnsi="Times New Roman" w:eastAsia="宋体" w:cs="Times New Roman"/>
                      <w:color w:val="auto"/>
                      <w:spacing w:val="-1"/>
                    </w:rPr>
                    <w:t>无害，由环氧树脂、聚酯树脂、颜填料、蜡片和助剂组成。</w:t>
                  </w:r>
                </w:p>
              </w:tc>
            </w:tr>
            <w:tr w14:paraId="0462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6" w:type="pct"/>
                  <w:vAlign w:val="center"/>
                </w:tcPr>
                <w:p w14:paraId="0E3F19EB">
                  <w:pPr>
                    <w:widowControl w:val="0"/>
                    <w:kinsoku/>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二氧化碳</w:t>
                  </w:r>
                </w:p>
              </w:tc>
              <w:tc>
                <w:tcPr>
                  <w:tcW w:w="4343" w:type="pct"/>
                  <w:gridSpan w:val="3"/>
                  <w:vAlign w:val="center"/>
                </w:tcPr>
                <w:p w14:paraId="25D2004C">
                  <w:pPr>
                    <w:widowControl w:val="0"/>
                    <w:kinsoku/>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hd w:val="clear" w:color="auto" w:fill="FFFFFF"/>
                      <w:lang w:eastAsia="zh-CN"/>
                    </w:rPr>
                    <w:t>一种</w:t>
                  </w:r>
                  <w:r>
                    <w:fldChar w:fldCharType="begin"/>
                  </w:r>
                  <w:r>
                    <w:instrText xml:space="preserve"> HYPERLINK "https://baike.baidu.com/item/%E7%A2%B3%E6%B0%A7%E5%8C%96%E5%90%88%E7%89%A9/5362947?fromModule=lemma_inlink" \t "https://baike.baidu.com/item/%E4%BA%8C%E6%B0%A7%E5%8C%96%E7%A2%B3/_blank" </w:instrText>
                  </w:r>
                  <w:r>
                    <w:fldChar w:fldCharType="separate"/>
                  </w:r>
                  <w:r>
                    <w:rPr>
                      <w:rStyle w:val="25"/>
                      <w:rFonts w:ascii="Times New Roman" w:hAnsi="Times New Roman" w:eastAsia="宋体" w:cs="Times New Roman"/>
                      <w:color w:val="auto"/>
                      <w:u w:val="none"/>
                      <w:shd w:val="clear" w:color="auto" w:fill="FFFFFF"/>
                      <w:lang w:eastAsia="zh-CN"/>
                    </w:rPr>
                    <w:t>碳氧化合物</w:t>
                  </w:r>
                  <w:r>
                    <w:rPr>
                      <w:rStyle w:val="25"/>
                      <w:rFonts w:ascii="Times New Roman" w:hAnsi="Times New Roman" w:eastAsia="宋体" w:cs="Times New Roman"/>
                      <w:color w:val="auto"/>
                      <w:u w:val="none"/>
                      <w:shd w:val="clear" w:color="auto" w:fill="FFFFFF"/>
                      <w:lang w:eastAsia="zh-CN"/>
                    </w:rPr>
                    <w:fldChar w:fldCharType="end"/>
                  </w:r>
                  <w:r>
                    <w:rPr>
                      <w:rFonts w:ascii="Times New Roman" w:hAnsi="Times New Roman" w:eastAsia="宋体" w:cs="Times New Roman"/>
                      <w:color w:val="auto"/>
                      <w:shd w:val="clear" w:color="auto" w:fill="FFFFFF"/>
                      <w:lang w:eastAsia="zh-CN"/>
                    </w:rPr>
                    <w:t>，</w:t>
                  </w:r>
                  <w:r>
                    <w:fldChar w:fldCharType="begin"/>
                  </w:r>
                  <w:r>
                    <w:instrText xml:space="preserve"> HYPERLINK "https://baike.baidu.com/item/%E5%8C%96%E5%AD%A6%E5%BC%8F/2609855?fromModule=lemma_inlink" \t "https://baike.baidu.com/item/%E4%BA%8C%E6%B0%A7%E5%8C%96%E7%A2%B3/_blank" </w:instrText>
                  </w:r>
                  <w:r>
                    <w:fldChar w:fldCharType="separate"/>
                  </w:r>
                  <w:r>
                    <w:rPr>
                      <w:rStyle w:val="25"/>
                      <w:rFonts w:ascii="Times New Roman" w:hAnsi="Times New Roman" w:eastAsia="宋体" w:cs="Times New Roman"/>
                      <w:color w:val="auto"/>
                      <w:u w:val="none"/>
                      <w:shd w:val="clear" w:color="auto" w:fill="FFFFFF"/>
                      <w:lang w:eastAsia="zh-CN"/>
                    </w:rPr>
                    <w:t>化学式</w:t>
                  </w:r>
                  <w:r>
                    <w:rPr>
                      <w:rStyle w:val="25"/>
                      <w:rFonts w:ascii="Times New Roman" w:hAnsi="Times New Roman" w:eastAsia="宋体" w:cs="Times New Roman"/>
                      <w:color w:val="auto"/>
                      <w:u w:val="none"/>
                      <w:shd w:val="clear" w:color="auto" w:fill="FFFFFF"/>
                      <w:lang w:eastAsia="zh-CN"/>
                    </w:rPr>
                    <w:fldChar w:fldCharType="end"/>
                  </w:r>
                  <w:r>
                    <w:rPr>
                      <w:rFonts w:ascii="Times New Roman" w:hAnsi="Times New Roman" w:eastAsia="宋体" w:cs="Times New Roman"/>
                      <w:color w:val="auto"/>
                      <w:shd w:val="clear" w:color="auto" w:fill="FFFFFF"/>
                      <w:lang w:eastAsia="zh-CN"/>
                    </w:rPr>
                    <w:t>为CO</w:t>
                  </w:r>
                  <w:r>
                    <w:rPr>
                      <w:rFonts w:ascii="Times New Roman" w:hAnsi="Times New Roman" w:eastAsia="宋体" w:cs="Times New Roman"/>
                      <w:color w:val="auto"/>
                      <w:shd w:val="clear" w:color="auto" w:fill="FFFFFF"/>
                      <w:vertAlign w:val="subscript"/>
                      <w:lang w:eastAsia="zh-CN"/>
                    </w:rPr>
                    <w:t>2</w:t>
                  </w:r>
                  <w:r>
                    <w:rPr>
                      <w:rFonts w:ascii="Times New Roman" w:hAnsi="Times New Roman" w:eastAsia="宋体" w:cs="Times New Roman"/>
                      <w:color w:val="auto"/>
                      <w:shd w:val="clear" w:color="auto" w:fill="FFFFFF"/>
                      <w:lang w:eastAsia="zh-CN"/>
                    </w:rPr>
                    <w:t>常温常压下是一种无色无味或无色无臭而其水溶液略有酸味的</w:t>
                  </w:r>
                  <w:r>
                    <w:fldChar w:fldCharType="begin"/>
                  </w:r>
                  <w:r>
                    <w:rPr>
                      <w:rFonts w:ascii="Times New Roman" w:hAnsi="Times New Roman" w:cs="Times New Roman"/>
                      <w:color w:val="auto"/>
                    </w:rPr>
                    <w:instrText xml:space="preserve"> HYPERLINK "https://baike.baidu.com/item/%E6%B0%94%E4%BD%93/254432?fromModule=lemma_inlink" \t "https://baike.baidu.com/item/%E4%BA%8C%E6%B0%A7%E5%8C%96%E7%A2%B3/_blank" </w:instrText>
                  </w:r>
                  <w:r>
                    <w:fldChar w:fldCharType="separate"/>
                  </w:r>
                  <w:r>
                    <w:rPr>
                      <w:rStyle w:val="25"/>
                      <w:rFonts w:ascii="Times New Roman" w:hAnsi="Times New Roman" w:eastAsia="宋体" w:cs="Times New Roman"/>
                      <w:color w:val="auto"/>
                      <w:u w:val="none"/>
                      <w:shd w:val="clear" w:color="auto" w:fill="FFFFFF"/>
                      <w:lang w:eastAsia="zh-CN"/>
                    </w:rPr>
                    <w:t>气体</w:t>
                  </w:r>
                  <w:r>
                    <w:rPr>
                      <w:rStyle w:val="25"/>
                      <w:rFonts w:ascii="Times New Roman" w:hAnsi="Times New Roman" w:eastAsia="宋体" w:cs="Times New Roman"/>
                      <w:color w:val="auto"/>
                      <w:u w:val="none"/>
                      <w:shd w:val="clear" w:color="auto" w:fill="FFFFFF"/>
                      <w:lang w:eastAsia="zh-CN"/>
                    </w:rPr>
                    <w:fldChar w:fldCharType="end"/>
                  </w:r>
                  <w:r>
                    <w:rPr>
                      <w:rFonts w:ascii="Times New Roman" w:hAnsi="Times New Roman" w:eastAsia="宋体" w:cs="Times New Roman"/>
                      <w:color w:val="auto"/>
                      <w:shd w:val="clear" w:color="auto" w:fill="FFFFFF"/>
                      <w:lang w:eastAsia="zh-CN"/>
                    </w:rPr>
                    <w:t>，</w:t>
                  </w:r>
                  <w:r>
                    <w:fldChar w:fldCharType="begin"/>
                  </w:r>
                  <w:r>
                    <w:instrText xml:space="preserve"> HYPERLINK "https://baike.baidu.com/item/%E5%AF%86%E5%BA%A6/718381?fromModule=lemma_inlink" \t "https://baike.baidu.com/item/%E4%BA%8C%E6%B0%A7%E5%8C%96%E7%A2%B3/_blank" </w:instrText>
                  </w:r>
                  <w:r>
                    <w:fldChar w:fldCharType="separate"/>
                  </w:r>
                  <w:r>
                    <w:rPr>
                      <w:rStyle w:val="25"/>
                      <w:rFonts w:ascii="Times New Roman" w:hAnsi="Times New Roman" w:eastAsia="宋体" w:cs="Times New Roman"/>
                      <w:color w:val="auto"/>
                      <w:u w:val="none"/>
                      <w:shd w:val="clear" w:color="auto" w:fill="FFFFFF"/>
                      <w:lang w:eastAsia="zh-CN"/>
                    </w:rPr>
                    <w:t>密度</w:t>
                  </w:r>
                  <w:r>
                    <w:rPr>
                      <w:rStyle w:val="25"/>
                      <w:rFonts w:ascii="Times New Roman" w:hAnsi="Times New Roman" w:eastAsia="宋体" w:cs="Times New Roman"/>
                      <w:color w:val="auto"/>
                      <w:u w:val="none"/>
                      <w:shd w:val="clear" w:color="auto" w:fill="FFFFFF"/>
                      <w:lang w:eastAsia="zh-CN"/>
                    </w:rPr>
                    <w:fldChar w:fldCharType="end"/>
                  </w:r>
                  <w:r>
                    <w:rPr>
                      <w:rFonts w:ascii="Times New Roman" w:hAnsi="Times New Roman" w:eastAsia="宋体" w:cs="Times New Roman"/>
                      <w:color w:val="auto"/>
                      <w:shd w:val="clear" w:color="auto" w:fill="FFFFFF"/>
                      <w:lang w:eastAsia="zh-CN"/>
                    </w:rPr>
                    <w:t>比空气密度大（标准条件下），可溶于水。</w:t>
                  </w:r>
                </w:p>
              </w:tc>
            </w:tr>
          </w:tbl>
          <w:p w14:paraId="47271E99">
            <w:pPr>
              <w:adjustRightInd/>
              <w:snapToGrid/>
              <w:spacing w:line="360" w:lineRule="auto"/>
              <w:ind w:firstLine="482" w:firstLineChars="200"/>
              <w:rPr>
                <w:rFonts w:ascii="Times New Roman" w:hAnsi="Times New Roman" w:cs="Times New Roman"/>
                <w:bCs/>
                <w:sz w:val="24"/>
                <w:szCs w:val="24"/>
              </w:rPr>
            </w:pPr>
            <w:r>
              <w:rPr>
                <w:rFonts w:ascii="Times New Roman" w:hAnsi="Times New Roman" w:eastAsia="宋体" w:cs="Times New Roman"/>
                <w:b/>
                <w:bCs/>
                <w:color w:val="auto"/>
                <w:sz w:val="24"/>
                <w:szCs w:val="24"/>
              </w:rPr>
              <w:t>其他原辅材料：</w:t>
            </w:r>
          </w:p>
          <w:p w14:paraId="42CDA40E">
            <w:pPr>
              <w:adjustRightInd/>
              <w:snapToGrid/>
              <w:spacing w:line="360" w:lineRule="auto"/>
              <w:ind w:firstLine="480" w:firstLineChars="200"/>
              <w:rPr>
                <w:rFonts w:ascii="Times New Roman" w:hAnsi="Times New Roman" w:cs="Times New Roman"/>
                <w:bCs/>
                <w:sz w:val="24"/>
              </w:rPr>
            </w:pPr>
            <w:r>
              <w:rPr>
                <w:rFonts w:ascii="Times New Roman" w:hAnsi="Times New Roman" w:eastAsia="宋体" w:cs="Times New Roman"/>
                <w:color w:val="auto"/>
                <w:sz w:val="24"/>
                <w:szCs w:val="32"/>
                <w:shd w:val="clear" w:color="auto" w:fill="FFFFFF"/>
              </w:rPr>
              <w:t>焊丝是作为填充金属或同时作为导电用的金属丝焊接材料。</w:t>
            </w:r>
            <w:r>
              <w:rPr>
                <w:rFonts w:ascii="Times New Roman" w:hAnsi="Times New Roman" w:eastAsia="宋体" w:cs="Times New Roman"/>
                <w:color w:val="auto"/>
                <w:sz w:val="24"/>
                <w:szCs w:val="24"/>
              </w:rPr>
              <w:t>焊丝的直径通常是根据焊件的厚薄、施焊的位置和效率等要求选择。焊接薄板或中厚板的全位置焊缝时，多采用1.6mm以下的焊丝（称为细丝CO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气保焊）。二氧化碳气保焊丝型号有：AWSER70S-6、DINSg2、BSA18、JISYGM12，CHW-50C6是镀铜低合金钢气保焊丝，采用CO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或富氩作保护气体进行施焊。具有良好的焊接工艺性能；电弧燃烧稳定、飞溅少；焊缝成型美观、焊缝金属气孔敏感性小；用途：适用于碳钢及500Mpa级低合金钢的单道及多道焊（如车辆、桥梁、建筑、机械结构等的焊接）；也可用于薄板、管线等的高速焊接。</w:t>
            </w:r>
          </w:p>
          <w:p w14:paraId="661B8A12">
            <w:pPr>
              <w:spacing w:line="360" w:lineRule="auto"/>
              <w:ind w:firstLine="480" w:firstLineChars="200"/>
              <w:rPr>
                <w:rFonts w:ascii="Times New Roman" w:hAnsi="Times New Roman" w:cs="Times New Roman"/>
                <w:b/>
                <w:bCs/>
                <w:sz w:val="24"/>
                <w:szCs w:val="32"/>
              </w:rPr>
            </w:pPr>
            <w:r>
              <w:rPr>
                <w:rFonts w:ascii="Times New Roman" w:hAnsi="Times New Roman" w:cs="Times New Roman"/>
                <w:bCs/>
                <w:sz w:val="24"/>
              </w:rPr>
              <w:t>4、主要生产设备</w:t>
            </w:r>
          </w:p>
          <w:p w14:paraId="498CBE56">
            <w:pPr>
              <w:jc w:val="center"/>
              <w:rPr>
                <w:rFonts w:ascii="Times New Roman" w:hAnsi="Times New Roman" w:cs="Times New Roman"/>
                <w:b/>
                <w:bCs/>
                <w:sz w:val="24"/>
                <w:szCs w:val="32"/>
              </w:rPr>
            </w:pPr>
            <w:r>
              <w:rPr>
                <w:rFonts w:ascii="Times New Roman" w:hAnsi="Times New Roman" w:cs="Times New Roman"/>
                <w:b/>
                <w:bCs/>
                <w:sz w:val="24"/>
                <w:szCs w:val="32"/>
              </w:rPr>
              <w:t>表2-</w:t>
            </w:r>
            <w:r>
              <w:rPr>
                <w:rFonts w:ascii="Times New Roman" w:hAnsi="Times New Roman" w:cs="Times New Roman"/>
                <w:b/>
                <w:bCs/>
                <w:sz w:val="24"/>
                <w:szCs w:val="32"/>
                <w:lang w:eastAsia="zh-CN"/>
              </w:rPr>
              <w:t>5</w:t>
            </w:r>
            <w:r>
              <w:rPr>
                <w:rFonts w:ascii="Times New Roman" w:hAnsi="Times New Roman" w:cs="Times New Roman"/>
                <w:b/>
                <w:bCs/>
                <w:sz w:val="24"/>
                <w:szCs w:val="32"/>
              </w:rPr>
              <w:t xml:space="preserve">  生产设备一览表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841"/>
              <w:gridCol w:w="3156"/>
              <w:gridCol w:w="1221"/>
              <w:gridCol w:w="1095"/>
            </w:tblGrid>
            <w:tr w14:paraId="74E7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376ED55D">
                  <w:pPr>
                    <w:jc w:val="center"/>
                    <w:rPr>
                      <w:rFonts w:ascii="Times New Roman" w:hAnsi="Times New Roman" w:cs="Times New Roman"/>
                      <w:color w:val="auto"/>
                    </w:rPr>
                  </w:pPr>
                  <w:r>
                    <w:rPr>
                      <w:rFonts w:ascii="Times New Roman" w:hAnsi="Times New Roman" w:cs="Times New Roman"/>
                      <w:color w:val="auto"/>
                    </w:rPr>
                    <w:t>序号</w:t>
                  </w:r>
                </w:p>
              </w:tc>
              <w:tc>
                <w:tcPr>
                  <w:tcW w:w="1531" w:type="pct"/>
                  <w:vAlign w:val="center"/>
                </w:tcPr>
                <w:p w14:paraId="31FC2EBF">
                  <w:pPr>
                    <w:jc w:val="center"/>
                    <w:rPr>
                      <w:rFonts w:ascii="Times New Roman" w:hAnsi="Times New Roman" w:cs="Times New Roman"/>
                      <w:color w:val="auto"/>
                    </w:rPr>
                  </w:pPr>
                  <w:r>
                    <w:rPr>
                      <w:rFonts w:ascii="Times New Roman" w:hAnsi="Times New Roman" w:cs="Times New Roman"/>
                      <w:color w:val="auto"/>
                    </w:rPr>
                    <w:t>设备名称</w:t>
                  </w:r>
                </w:p>
              </w:tc>
              <w:tc>
                <w:tcPr>
                  <w:tcW w:w="1701" w:type="pct"/>
                  <w:vAlign w:val="center"/>
                </w:tcPr>
                <w:p w14:paraId="329A26AF">
                  <w:pPr>
                    <w:jc w:val="center"/>
                    <w:rPr>
                      <w:rFonts w:ascii="Times New Roman" w:hAnsi="Times New Roman" w:cs="Times New Roman"/>
                      <w:color w:val="auto"/>
                    </w:rPr>
                  </w:pPr>
                  <w:r>
                    <w:rPr>
                      <w:rFonts w:ascii="Times New Roman" w:hAnsi="Times New Roman" w:cs="Times New Roman"/>
                      <w:color w:val="auto"/>
                    </w:rPr>
                    <w:t>设备规格</w:t>
                  </w:r>
                </w:p>
              </w:tc>
              <w:tc>
                <w:tcPr>
                  <w:tcW w:w="658" w:type="pct"/>
                  <w:vAlign w:val="center"/>
                </w:tcPr>
                <w:p w14:paraId="5ECAE47C">
                  <w:pPr>
                    <w:jc w:val="center"/>
                    <w:rPr>
                      <w:rFonts w:ascii="Times New Roman" w:hAnsi="Times New Roman" w:cs="Times New Roman"/>
                      <w:color w:val="auto"/>
                    </w:rPr>
                  </w:pPr>
                  <w:r>
                    <w:rPr>
                      <w:rFonts w:ascii="Times New Roman" w:hAnsi="Times New Roman" w:cs="Times New Roman"/>
                      <w:color w:val="auto"/>
                    </w:rPr>
                    <w:t>单位</w:t>
                  </w:r>
                </w:p>
              </w:tc>
              <w:tc>
                <w:tcPr>
                  <w:tcW w:w="590" w:type="pct"/>
                  <w:vAlign w:val="center"/>
                </w:tcPr>
                <w:p w14:paraId="28AC4BE1">
                  <w:pPr>
                    <w:jc w:val="center"/>
                    <w:rPr>
                      <w:rFonts w:ascii="Times New Roman" w:hAnsi="Times New Roman" w:cs="Times New Roman"/>
                      <w:color w:val="auto"/>
                    </w:rPr>
                  </w:pPr>
                  <w:r>
                    <w:rPr>
                      <w:rFonts w:ascii="Times New Roman" w:hAnsi="Times New Roman" w:cs="Times New Roman"/>
                      <w:color w:val="auto"/>
                    </w:rPr>
                    <w:t>数量</w:t>
                  </w:r>
                </w:p>
              </w:tc>
            </w:tr>
            <w:tr w14:paraId="5E7B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79D54AFB">
                  <w:pPr>
                    <w:jc w:val="center"/>
                    <w:rPr>
                      <w:rFonts w:ascii="Times New Roman" w:hAnsi="Times New Roman" w:cs="Times New Roman"/>
                      <w:color w:val="auto"/>
                    </w:rPr>
                  </w:pPr>
                  <w:r>
                    <w:rPr>
                      <w:rFonts w:ascii="Times New Roman" w:hAnsi="Times New Roman" w:cs="Times New Roman"/>
                      <w:color w:val="auto"/>
                    </w:rPr>
                    <w:t>1</w:t>
                  </w:r>
                </w:p>
              </w:tc>
              <w:tc>
                <w:tcPr>
                  <w:tcW w:w="1531" w:type="pct"/>
                  <w:vAlign w:val="center"/>
                </w:tcPr>
                <w:p w14:paraId="06AA7A72">
                  <w:pPr>
                    <w:jc w:val="center"/>
                    <w:rPr>
                      <w:rFonts w:ascii="Times New Roman" w:hAnsi="Times New Roman" w:cs="Times New Roman"/>
                      <w:color w:val="auto"/>
                    </w:rPr>
                  </w:pPr>
                  <w:r>
                    <w:rPr>
                      <w:rFonts w:ascii="Times New Roman" w:hAnsi="Times New Roman" w:cs="Times New Roman"/>
                      <w:bCs/>
                      <w:color w:val="auto"/>
                      <w:lang w:eastAsia="zh-CN"/>
                    </w:rPr>
                    <w:t>激光</w:t>
                  </w:r>
                  <w:r>
                    <w:rPr>
                      <w:rFonts w:hint="eastAsia" w:ascii="Times New Roman" w:hAnsi="Times New Roman" w:cs="Times New Roman"/>
                      <w:bCs/>
                      <w:color w:val="auto"/>
                      <w:lang w:eastAsia="zh-CN"/>
                    </w:rPr>
                    <w:t>下料机</w:t>
                  </w:r>
                </w:p>
              </w:tc>
              <w:tc>
                <w:tcPr>
                  <w:tcW w:w="1701" w:type="pct"/>
                  <w:vAlign w:val="center"/>
                </w:tcPr>
                <w:p w14:paraId="5528133F">
                  <w:pPr>
                    <w:jc w:val="center"/>
                    <w:rPr>
                      <w:rFonts w:ascii="Times New Roman" w:hAnsi="Times New Roman" w:cs="Times New Roman"/>
                      <w:color w:val="auto"/>
                    </w:rPr>
                  </w:pPr>
                  <w:r>
                    <w:rPr>
                      <w:rFonts w:ascii="Times New Roman" w:hAnsi="Times New Roman" w:cs="Times New Roman"/>
                      <w:color w:val="auto"/>
                      <w:lang w:eastAsia="zh-CN"/>
                    </w:rPr>
                    <w:t>4015</w:t>
                  </w:r>
                </w:p>
              </w:tc>
              <w:tc>
                <w:tcPr>
                  <w:tcW w:w="658" w:type="pct"/>
                  <w:vAlign w:val="center"/>
                </w:tcPr>
                <w:p w14:paraId="7D773BB0">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6239CD0A">
                  <w:pPr>
                    <w:jc w:val="center"/>
                    <w:rPr>
                      <w:rFonts w:ascii="Times New Roman" w:hAnsi="Times New Roman" w:cs="Times New Roman"/>
                      <w:color w:val="auto"/>
                    </w:rPr>
                  </w:pPr>
                  <w:r>
                    <w:rPr>
                      <w:rFonts w:ascii="Times New Roman" w:hAnsi="Times New Roman" w:eastAsia="宋体" w:cs="Times New Roman"/>
                      <w:bCs/>
                      <w:color w:val="auto"/>
                      <w:lang w:eastAsia="zh-CN"/>
                    </w:rPr>
                    <w:t>1</w:t>
                  </w:r>
                </w:p>
              </w:tc>
            </w:tr>
            <w:tr w14:paraId="5AF8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53510F12">
                  <w:pPr>
                    <w:jc w:val="center"/>
                    <w:rPr>
                      <w:rFonts w:ascii="Times New Roman" w:hAnsi="Times New Roman" w:cs="Times New Roman"/>
                      <w:color w:val="auto"/>
                    </w:rPr>
                  </w:pPr>
                  <w:r>
                    <w:rPr>
                      <w:rFonts w:ascii="Times New Roman" w:hAnsi="Times New Roman" w:cs="Times New Roman"/>
                      <w:color w:val="auto"/>
                    </w:rPr>
                    <w:t>2</w:t>
                  </w:r>
                </w:p>
              </w:tc>
              <w:tc>
                <w:tcPr>
                  <w:tcW w:w="1531" w:type="pct"/>
                  <w:vAlign w:val="center"/>
                </w:tcPr>
                <w:p w14:paraId="67BC0B84">
                  <w:pPr>
                    <w:jc w:val="center"/>
                    <w:rPr>
                      <w:rFonts w:ascii="Times New Roman" w:hAnsi="Times New Roman" w:cs="Times New Roman"/>
                      <w:color w:val="auto"/>
                    </w:rPr>
                  </w:pPr>
                  <w:r>
                    <w:rPr>
                      <w:rFonts w:ascii="Times New Roman" w:hAnsi="Times New Roman" w:cs="Times New Roman"/>
                      <w:bCs/>
                      <w:color w:val="auto"/>
                      <w:lang w:eastAsia="zh-CN"/>
                    </w:rPr>
                    <w:t>折弯机</w:t>
                  </w:r>
                </w:p>
              </w:tc>
              <w:tc>
                <w:tcPr>
                  <w:tcW w:w="1701" w:type="pct"/>
                  <w:vAlign w:val="center"/>
                </w:tcPr>
                <w:p w14:paraId="3412A8F6">
                  <w:pPr>
                    <w:jc w:val="center"/>
                    <w:rPr>
                      <w:rFonts w:ascii="Times New Roman" w:hAnsi="Times New Roman" w:cs="Times New Roman"/>
                      <w:color w:val="auto"/>
                    </w:rPr>
                  </w:pPr>
                  <w:r>
                    <w:rPr>
                      <w:rFonts w:ascii="Times New Roman" w:hAnsi="Times New Roman" w:cs="Times New Roman"/>
                      <w:color w:val="auto"/>
                      <w:lang w:eastAsia="zh-CN"/>
                    </w:rPr>
                    <w:t>125/4000</w:t>
                  </w:r>
                </w:p>
              </w:tc>
              <w:tc>
                <w:tcPr>
                  <w:tcW w:w="658" w:type="pct"/>
                  <w:vAlign w:val="center"/>
                </w:tcPr>
                <w:p w14:paraId="4AE8AF52">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5B9AC157">
                  <w:pPr>
                    <w:jc w:val="center"/>
                    <w:rPr>
                      <w:rFonts w:ascii="Times New Roman" w:hAnsi="Times New Roman" w:cs="Times New Roman"/>
                      <w:color w:val="auto"/>
                    </w:rPr>
                  </w:pPr>
                  <w:r>
                    <w:rPr>
                      <w:rFonts w:ascii="Times New Roman" w:hAnsi="Times New Roman" w:cs="Times New Roman"/>
                      <w:bCs/>
                      <w:color w:val="auto"/>
                      <w:lang w:eastAsia="zh-CN"/>
                    </w:rPr>
                    <w:t>1</w:t>
                  </w:r>
                </w:p>
              </w:tc>
            </w:tr>
            <w:tr w14:paraId="268A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7B96F4A5">
                  <w:pPr>
                    <w:jc w:val="center"/>
                    <w:rPr>
                      <w:rFonts w:ascii="Times New Roman" w:hAnsi="Times New Roman" w:cs="Times New Roman"/>
                      <w:color w:val="auto"/>
                    </w:rPr>
                  </w:pPr>
                  <w:r>
                    <w:rPr>
                      <w:rFonts w:ascii="Times New Roman" w:hAnsi="Times New Roman" w:cs="Times New Roman"/>
                      <w:color w:val="auto"/>
                    </w:rPr>
                    <w:t>3</w:t>
                  </w:r>
                </w:p>
              </w:tc>
              <w:tc>
                <w:tcPr>
                  <w:tcW w:w="1531" w:type="pct"/>
                  <w:vAlign w:val="center"/>
                </w:tcPr>
                <w:p w14:paraId="693461BD">
                  <w:pPr>
                    <w:jc w:val="center"/>
                    <w:rPr>
                      <w:rFonts w:ascii="Times New Roman" w:hAnsi="Times New Roman" w:cs="Times New Roman"/>
                      <w:color w:val="auto"/>
                    </w:rPr>
                  </w:pPr>
                  <w:r>
                    <w:rPr>
                      <w:rFonts w:ascii="Times New Roman" w:hAnsi="Times New Roman" w:cs="Times New Roman"/>
                      <w:bCs/>
                      <w:color w:val="auto"/>
                      <w:lang w:eastAsia="zh-CN"/>
                    </w:rPr>
                    <w:t>焊机</w:t>
                  </w:r>
                </w:p>
              </w:tc>
              <w:tc>
                <w:tcPr>
                  <w:tcW w:w="1701" w:type="pct"/>
                  <w:vAlign w:val="center"/>
                </w:tcPr>
                <w:p w14:paraId="19967CFC">
                  <w:pPr>
                    <w:jc w:val="center"/>
                    <w:rPr>
                      <w:rFonts w:ascii="Times New Roman" w:hAnsi="Times New Roman" w:cs="Times New Roman"/>
                      <w:color w:val="auto"/>
                    </w:rPr>
                  </w:pPr>
                  <w:r>
                    <w:rPr>
                      <w:rFonts w:ascii="Times New Roman" w:hAnsi="Times New Roman" w:cs="Times New Roman"/>
                      <w:color w:val="auto"/>
                      <w:lang w:eastAsia="zh-CN"/>
                    </w:rPr>
                    <w:t>250/500</w:t>
                  </w:r>
                </w:p>
              </w:tc>
              <w:tc>
                <w:tcPr>
                  <w:tcW w:w="658" w:type="pct"/>
                  <w:vAlign w:val="center"/>
                </w:tcPr>
                <w:p w14:paraId="3D45838C">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2ED46DF3">
                  <w:pPr>
                    <w:jc w:val="center"/>
                    <w:rPr>
                      <w:rFonts w:ascii="Times New Roman" w:hAnsi="Times New Roman" w:cs="Times New Roman"/>
                      <w:color w:val="auto"/>
                    </w:rPr>
                  </w:pPr>
                  <w:r>
                    <w:rPr>
                      <w:rFonts w:ascii="Times New Roman" w:hAnsi="Times New Roman" w:cs="Times New Roman"/>
                      <w:bCs/>
                      <w:color w:val="auto"/>
                      <w:lang w:eastAsia="zh-CN"/>
                    </w:rPr>
                    <w:t>6</w:t>
                  </w:r>
                </w:p>
              </w:tc>
            </w:tr>
            <w:tr w14:paraId="0EEF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33EDAC23">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p>
              </w:tc>
              <w:tc>
                <w:tcPr>
                  <w:tcW w:w="1531" w:type="pct"/>
                  <w:vAlign w:val="center"/>
                </w:tcPr>
                <w:p w14:paraId="3FF1942E">
                  <w:pPr>
                    <w:jc w:val="center"/>
                    <w:rPr>
                      <w:rFonts w:ascii="Times New Roman" w:hAnsi="Times New Roman" w:cs="Times New Roman"/>
                      <w:color w:val="auto"/>
                    </w:rPr>
                  </w:pPr>
                  <w:r>
                    <w:rPr>
                      <w:rFonts w:ascii="Times New Roman" w:hAnsi="Times New Roman" w:cs="Times New Roman"/>
                      <w:bCs/>
                      <w:color w:val="auto"/>
                      <w:lang w:eastAsia="zh-CN"/>
                    </w:rPr>
                    <w:t>切管机</w:t>
                  </w:r>
                </w:p>
              </w:tc>
              <w:tc>
                <w:tcPr>
                  <w:tcW w:w="1701" w:type="pct"/>
                  <w:vAlign w:val="center"/>
                </w:tcPr>
                <w:p w14:paraId="31CE7DE8">
                  <w:pPr>
                    <w:jc w:val="center"/>
                    <w:rPr>
                      <w:rFonts w:ascii="Times New Roman" w:hAnsi="Times New Roman" w:cs="Times New Roman"/>
                      <w:color w:val="auto"/>
                    </w:rPr>
                  </w:pPr>
                  <w:r>
                    <w:rPr>
                      <w:rFonts w:ascii="Times New Roman" w:hAnsi="Times New Roman" w:cs="Times New Roman"/>
                      <w:color w:val="auto"/>
                      <w:lang w:eastAsia="zh-CN"/>
                    </w:rPr>
                    <w:t>6000</w:t>
                  </w:r>
                </w:p>
              </w:tc>
              <w:tc>
                <w:tcPr>
                  <w:tcW w:w="658" w:type="pct"/>
                  <w:vAlign w:val="center"/>
                </w:tcPr>
                <w:p w14:paraId="59C0F4E9">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5A80815C">
                  <w:pPr>
                    <w:jc w:val="center"/>
                    <w:rPr>
                      <w:rFonts w:ascii="Times New Roman" w:hAnsi="Times New Roman" w:cs="Times New Roman"/>
                      <w:color w:val="auto"/>
                    </w:rPr>
                  </w:pPr>
                  <w:r>
                    <w:rPr>
                      <w:rFonts w:ascii="Times New Roman" w:hAnsi="Times New Roman" w:eastAsia="宋体" w:cs="Times New Roman"/>
                      <w:bCs/>
                      <w:color w:val="auto"/>
                      <w:lang w:eastAsia="zh-CN"/>
                    </w:rPr>
                    <w:t>2</w:t>
                  </w:r>
                </w:p>
              </w:tc>
            </w:tr>
            <w:tr w14:paraId="590B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159F75F0">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w:t>
                  </w:r>
                </w:p>
              </w:tc>
              <w:tc>
                <w:tcPr>
                  <w:tcW w:w="1531" w:type="pct"/>
                  <w:vAlign w:val="center"/>
                </w:tcPr>
                <w:p w14:paraId="217C2958">
                  <w:pPr>
                    <w:jc w:val="center"/>
                    <w:rPr>
                      <w:rFonts w:ascii="Times New Roman" w:hAnsi="Times New Roman" w:cs="Times New Roman"/>
                      <w:color w:val="auto"/>
                    </w:rPr>
                  </w:pPr>
                  <w:r>
                    <w:rPr>
                      <w:rFonts w:ascii="Times New Roman" w:hAnsi="Times New Roman" w:cs="Times New Roman"/>
                      <w:bCs/>
                      <w:color w:val="auto"/>
                      <w:lang w:eastAsia="zh-CN"/>
                    </w:rPr>
                    <w:t>焊接机器人</w:t>
                  </w:r>
                </w:p>
              </w:tc>
              <w:tc>
                <w:tcPr>
                  <w:tcW w:w="1701" w:type="pct"/>
                  <w:vAlign w:val="center"/>
                </w:tcPr>
                <w:p w14:paraId="334ACE71">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658" w:type="pct"/>
                  <w:vAlign w:val="center"/>
                </w:tcPr>
                <w:p w14:paraId="57DE84BD">
                  <w:pPr>
                    <w:jc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0E972FA3">
                  <w:pPr>
                    <w:jc w:val="center"/>
                    <w:rPr>
                      <w:rFonts w:ascii="Times New Roman" w:hAnsi="Times New Roman" w:cs="Times New Roman"/>
                      <w:color w:val="auto"/>
                    </w:rPr>
                  </w:pPr>
                  <w:r>
                    <w:rPr>
                      <w:rFonts w:ascii="Times New Roman" w:hAnsi="Times New Roman" w:eastAsia="宋体" w:cs="Times New Roman"/>
                      <w:bCs/>
                      <w:color w:val="auto"/>
                      <w:lang w:eastAsia="zh-CN"/>
                    </w:rPr>
                    <w:t>1</w:t>
                  </w:r>
                </w:p>
              </w:tc>
            </w:tr>
            <w:tr w14:paraId="29BB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208B1F4A">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p>
              </w:tc>
              <w:tc>
                <w:tcPr>
                  <w:tcW w:w="1531" w:type="pct"/>
                  <w:vAlign w:val="center"/>
                </w:tcPr>
                <w:p w14:paraId="143C2710">
                  <w:pPr>
                    <w:jc w:val="center"/>
                    <w:rPr>
                      <w:rFonts w:ascii="Times New Roman" w:hAnsi="Times New Roman" w:eastAsia="宋体" w:cs="Times New Roman"/>
                      <w:color w:val="auto"/>
                      <w:lang w:eastAsia="zh-CN"/>
                    </w:rPr>
                  </w:pPr>
                  <w:r>
                    <w:rPr>
                      <w:rFonts w:ascii="Times New Roman" w:hAnsi="Times New Roman" w:cs="Times New Roman"/>
                      <w:bCs/>
                      <w:color w:val="auto"/>
                      <w:lang w:eastAsia="zh-CN"/>
                    </w:rPr>
                    <w:t>抛光机</w:t>
                  </w:r>
                </w:p>
              </w:tc>
              <w:tc>
                <w:tcPr>
                  <w:tcW w:w="1701" w:type="pct"/>
                  <w:vAlign w:val="center"/>
                </w:tcPr>
                <w:p w14:paraId="62B347BC">
                  <w:pPr>
                    <w:jc w:val="center"/>
                    <w:textAlignment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658" w:type="pct"/>
                  <w:vAlign w:val="center"/>
                </w:tcPr>
                <w:p w14:paraId="12D3D69C">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63DCD3F2">
                  <w:pPr>
                    <w:jc w:val="center"/>
                    <w:rPr>
                      <w:rFonts w:ascii="Times New Roman" w:hAnsi="Times New Roman" w:cs="Times New Roman"/>
                      <w:color w:val="auto"/>
                    </w:rPr>
                  </w:pPr>
                  <w:r>
                    <w:rPr>
                      <w:rFonts w:ascii="Times New Roman" w:hAnsi="Times New Roman" w:cs="Times New Roman"/>
                      <w:bCs/>
                      <w:color w:val="auto"/>
                      <w:lang w:eastAsia="zh-CN"/>
                    </w:rPr>
                    <w:t>8</w:t>
                  </w:r>
                </w:p>
              </w:tc>
            </w:tr>
            <w:tr w14:paraId="625F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244F8816">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w:t>
                  </w:r>
                </w:p>
              </w:tc>
              <w:tc>
                <w:tcPr>
                  <w:tcW w:w="1531" w:type="pct"/>
                  <w:vAlign w:val="center"/>
                </w:tcPr>
                <w:p w14:paraId="1A248B36">
                  <w:pPr>
                    <w:jc w:val="center"/>
                    <w:rPr>
                      <w:rFonts w:ascii="Times New Roman" w:hAnsi="Times New Roman" w:cs="Times New Roman"/>
                      <w:bCs/>
                      <w:color w:val="auto"/>
                      <w:lang w:eastAsia="zh-CN"/>
                    </w:rPr>
                  </w:pPr>
                  <w:r>
                    <w:rPr>
                      <w:rFonts w:ascii="Times New Roman" w:hAnsi="Times New Roman" w:cs="Times New Roman"/>
                      <w:bCs/>
                      <w:color w:val="auto"/>
                      <w:lang w:eastAsia="zh-CN"/>
                    </w:rPr>
                    <w:t>喷塑房</w:t>
                  </w:r>
                </w:p>
              </w:tc>
              <w:tc>
                <w:tcPr>
                  <w:tcW w:w="1701" w:type="pct"/>
                  <w:vAlign w:val="center"/>
                </w:tcPr>
                <w:p w14:paraId="06FD5A95">
                  <w:pPr>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L</w:t>
                  </w:r>
                  <w:r>
                    <w:rPr>
                      <w:rFonts w:hint="eastAsia" w:ascii="Times New Roman" w:hAnsi="Times New Roman" w:eastAsia="宋体" w:cs="Times New Roman"/>
                      <w:color w:val="auto"/>
                      <w:lang w:eastAsia="zh-CN"/>
                    </w:rPr>
                    <w:t>6m</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W</w:t>
                  </w:r>
                  <w:r>
                    <w:rPr>
                      <w:rFonts w:hint="eastAsia" w:ascii="Times New Roman" w:hAnsi="Times New Roman" w:eastAsia="宋体" w:cs="Times New Roman"/>
                      <w:color w:val="auto"/>
                      <w:lang w:eastAsia="zh-CN"/>
                    </w:rPr>
                    <w:t>3.8m</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lang w:eastAsia="zh-CN"/>
                    </w:rPr>
                    <w:t>2.8m</w:t>
                  </w:r>
                </w:p>
              </w:tc>
              <w:tc>
                <w:tcPr>
                  <w:tcW w:w="658" w:type="pct"/>
                  <w:vAlign w:val="center"/>
                </w:tcPr>
                <w:p w14:paraId="4088AFF0">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56D271AA">
                  <w:pPr>
                    <w:jc w:val="center"/>
                    <w:rPr>
                      <w:rFonts w:ascii="Times New Roman" w:hAnsi="Times New Roman" w:cs="Times New Roman"/>
                      <w:bCs/>
                      <w:color w:val="auto"/>
                      <w:lang w:eastAsia="zh-CN"/>
                    </w:rPr>
                  </w:pPr>
                  <w:r>
                    <w:rPr>
                      <w:rFonts w:ascii="Times New Roman" w:hAnsi="Times New Roman" w:eastAsia="宋体" w:cs="Times New Roman"/>
                      <w:bCs/>
                      <w:color w:val="auto"/>
                      <w:lang w:eastAsia="zh-CN"/>
                    </w:rPr>
                    <w:t>1</w:t>
                  </w:r>
                </w:p>
              </w:tc>
            </w:tr>
            <w:tr w14:paraId="6C4E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7" w:type="pct"/>
                  <w:vAlign w:val="center"/>
                </w:tcPr>
                <w:p w14:paraId="7F268978">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8</w:t>
                  </w:r>
                </w:p>
              </w:tc>
              <w:tc>
                <w:tcPr>
                  <w:tcW w:w="1531" w:type="pct"/>
                  <w:vAlign w:val="center"/>
                </w:tcPr>
                <w:p w14:paraId="0474ACA5">
                  <w:pPr>
                    <w:jc w:val="center"/>
                    <w:rPr>
                      <w:rFonts w:ascii="Times New Roman" w:hAnsi="Times New Roman" w:cs="Times New Roman"/>
                      <w:bCs/>
                      <w:color w:val="auto"/>
                      <w:lang w:eastAsia="zh-CN"/>
                    </w:rPr>
                  </w:pPr>
                  <w:r>
                    <w:rPr>
                      <w:rFonts w:hint="eastAsia" w:ascii="Times New Roman" w:hAnsi="Times New Roman" w:cs="Times New Roman"/>
                      <w:bCs/>
                      <w:color w:val="auto"/>
                      <w:lang w:eastAsia="zh-CN"/>
                    </w:rPr>
                    <w:t>固化房</w:t>
                  </w:r>
                </w:p>
              </w:tc>
              <w:tc>
                <w:tcPr>
                  <w:tcW w:w="1701" w:type="pct"/>
                  <w:vAlign w:val="center"/>
                </w:tcPr>
                <w:p w14:paraId="0B0FE6B9">
                  <w:pPr>
                    <w:jc w:val="center"/>
                    <w:textAlignment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L</w:t>
                  </w:r>
                  <w:r>
                    <w:rPr>
                      <w:rFonts w:hint="eastAsia" w:ascii="Times New Roman" w:hAnsi="Times New Roman" w:eastAsia="宋体" w:cs="Times New Roman"/>
                      <w:color w:val="auto"/>
                      <w:lang w:eastAsia="zh-CN"/>
                    </w:rPr>
                    <w:t>6.9m</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W</w:t>
                  </w:r>
                  <w:r>
                    <w:rPr>
                      <w:rFonts w:hint="eastAsia" w:ascii="Times New Roman" w:hAnsi="Times New Roman" w:eastAsia="宋体" w:cs="Times New Roman"/>
                      <w:color w:val="auto"/>
                      <w:lang w:eastAsia="zh-CN"/>
                    </w:rPr>
                    <w:t>2.9m</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lang w:eastAsia="zh-CN"/>
                    </w:rPr>
                    <w:t>2.8m</w:t>
                  </w:r>
                </w:p>
              </w:tc>
              <w:tc>
                <w:tcPr>
                  <w:tcW w:w="658" w:type="pct"/>
                  <w:vAlign w:val="center"/>
                </w:tcPr>
                <w:p w14:paraId="7C130432">
                  <w:pPr>
                    <w:jc w:val="center"/>
                    <w:textAlignment w:val="center"/>
                    <w:rPr>
                      <w:rFonts w:ascii="Times New Roman" w:hAnsi="Times New Roman" w:cs="Times New Roman"/>
                      <w:color w:val="auto"/>
                    </w:rPr>
                  </w:pPr>
                  <w:r>
                    <w:rPr>
                      <w:rFonts w:ascii="Times New Roman" w:hAnsi="Times New Roman" w:cs="Times New Roman"/>
                      <w:color w:val="auto"/>
                    </w:rPr>
                    <w:t>台</w:t>
                  </w:r>
                </w:p>
              </w:tc>
              <w:tc>
                <w:tcPr>
                  <w:tcW w:w="590" w:type="pct"/>
                  <w:vAlign w:val="center"/>
                </w:tcPr>
                <w:p w14:paraId="0094ECD3">
                  <w:pPr>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w:t>
                  </w:r>
                </w:p>
              </w:tc>
            </w:tr>
          </w:tbl>
          <w:p w14:paraId="0B8082A5">
            <w:pPr>
              <w:adjustRightInd/>
              <w:snapToGrid/>
              <w:spacing w:line="360" w:lineRule="auto"/>
              <w:ind w:firstLine="480" w:firstLineChars="200"/>
              <w:rPr>
                <w:rFonts w:ascii="Times New Roman" w:hAnsi="Times New Roman" w:cs="Times New Roman"/>
                <w:bCs/>
                <w:sz w:val="24"/>
              </w:rPr>
            </w:pPr>
            <w:r>
              <w:rPr>
                <w:rFonts w:ascii="Times New Roman" w:hAnsi="Times New Roman" w:cs="Times New Roman"/>
                <w:bCs/>
                <w:sz w:val="24"/>
              </w:rPr>
              <w:t>5、职工人数及工作制度</w:t>
            </w:r>
          </w:p>
          <w:p w14:paraId="5C20ADDC">
            <w:pPr>
              <w:adjustRightInd/>
              <w:snapToGrid/>
              <w:spacing w:line="360" w:lineRule="auto"/>
              <w:ind w:firstLine="480" w:firstLineChars="200"/>
              <w:rPr>
                <w:rFonts w:ascii="Times New Roman" w:hAnsi="Times New Roman" w:cs="Times New Roman"/>
                <w:sz w:val="24"/>
              </w:rPr>
            </w:pPr>
            <w:r>
              <w:rPr>
                <w:rFonts w:ascii="Times New Roman" w:hAnsi="Times New Roman" w:cs="Times New Roman"/>
                <w:sz w:val="24"/>
              </w:rPr>
              <w:t>本项目劳动定员</w:t>
            </w:r>
            <w:r>
              <w:rPr>
                <w:rFonts w:ascii="Times New Roman" w:hAnsi="Times New Roman" w:eastAsia="宋体" w:cs="Times New Roman"/>
                <w:sz w:val="24"/>
                <w:lang w:eastAsia="zh-CN"/>
              </w:rPr>
              <w:t>6</w:t>
            </w:r>
            <w:r>
              <w:rPr>
                <w:rFonts w:ascii="Times New Roman" w:hAnsi="Times New Roman" w:cs="Times New Roman"/>
                <w:sz w:val="24"/>
              </w:rPr>
              <w:t>人，实行一班制生产，年工作300天，年工作时间2400h。</w:t>
            </w:r>
          </w:p>
          <w:p w14:paraId="6CBABA6B">
            <w:pPr>
              <w:adjustRightInd/>
              <w:snapToGrid/>
              <w:spacing w:line="360" w:lineRule="auto"/>
              <w:ind w:firstLine="480" w:firstLineChars="200"/>
              <w:rPr>
                <w:rFonts w:ascii="Times New Roman" w:hAnsi="Times New Roman" w:cs="Times New Roman"/>
                <w:sz w:val="24"/>
              </w:rPr>
            </w:pPr>
            <w:r>
              <w:rPr>
                <w:rFonts w:ascii="Times New Roman" w:hAnsi="Times New Roman" w:cs="Times New Roman"/>
                <w:sz w:val="24"/>
              </w:rPr>
              <w:t>6、项目平面布置</w:t>
            </w:r>
          </w:p>
          <w:p w14:paraId="528E917B">
            <w:pPr>
              <w:pStyle w:val="48"/>
              <w:adjustRightInd/>
              <w:snapToGrid/>
              <w:spacing w:line="360" w:lineRule="auto"/>
              <w:ind w:firstLine="480" w:firstLineChars="200"/>
              <w:rPr>
                <w:rFonts w:ascii="Times New Roman" w:hAnsi="Times New Roman" w:cs="Times New Roman"/>
                <w:b/>
                <w:sz w:val="24"/>
              </w:rPr>
            </w:pPr>
            <w:r>
              <w:rPr>
                <w:rFonts w:ascii="Times New Roman" w:hAnsi="Times New Roman" w:cs="Times New Roman"/>
                <w:sz w:val="24"/>
              </w:rPr>
              <w:t>项目位于</w:t>
            </w:r>
            <w:r>
              <w:rPr>
                <w:rFonts w:hint="eastAsia" w:ascii="Times New Roman" w:hAnsi="Times New Roman" w:eastAsia="宋体" w:cs="Times New Roman"/>
                <w:sz w:val="24"/>
                <w:lang w:eastAsia="zh-CN"/>
              </w:rPr>
              <w:t>安徽</w:t>
            </w:r>
            <w:r>
              <w:rPr>
                <w:rFonts w:ascii="Times New Roman" w:hAnsi="Times New Roman" w:cs="Times New Roman"/>
                <w:color w:val="auto"/>
                <w:sz w:val="24"/>
                <w:szCs w:val="24"/>
              </w:rPr>
              <w:t>濉溪经济开发区濉芜产业园区山茶路西侧安徽蓝达建材有限公司厂区内</w:t>
            </w:r>
            <w:r>
              <w:rPr>
                <w:rFonts w:ascii="Times New Roman" w:hAnsi="Times New Roman" w:cs="Times New Roman"/>
                <w:sz w:val="24"/>
              </w:rPr>
              <w:t>，根据项目功能要求和场地地形，在生产车间设置生产区、原料仓库、产品仓库等。项目布置总体来说，结构明朗，流程顺畅，布局紧凑，符合防火、安全卫生、环保、交通、运输、生产工艺流程等需求。总体上做到按功能分区，系统分明，布置整齐。项目平面布置满足生产人流、物流分离、互不交叉干扰的原则（具体见附图）。</w:t>
            </w:r>
          </w:p>
          <w:p w14:paraId="42700A34">
            <w:pPr>
              <w:spacing w:line="360" w:lineRule="auto"/>
              <w:ind w:firstLine="480" w:firstLineChars="200"/>
              <w:rPr>
                <w:rFonts w:ascii="Times New Roman" w:hAnsi="Times New Roman" w:cs="Times New Roman"/>
                <w:sz w:val="24"/>
              </w:rPr>
            </w:pPr>
            <w:r>
              <w:rPr>
                <w:rFonts w:ascii="Times New Roman" w:hAnsi="Times New Roman" w:cs="Times New Roman"/>
                <w:sz w:val="24"/>
              </w:rPr>
              <w:t>综上所述，本项目厂区平面布局较合理。</w:t>
            </w:r>
          </w:p>
          <w:p w14:paraId="5F4443A8">
            <w:pPr>
              <w:spacing w:line="360" w:lineRule="auto"/>
              <w:ind w:firstLine="480" w:firstLineChars="200"/>
              <w:rPr>
                <w:rFonts w:ascii="Times New Roman" w:hAnsi="Times New Roman" w:cs="Times New Roman"/>
                <w:sz w:val="24"/>
              </w:rPr>
            </w:pPr>
            <w:r>
              <w:rPr>
                <w:rFonts w:ascii="Times New Roman" w:hAnsi="Times New Roman" w:cs="Times New Roman"/>
                <w:sz w:val="24"/>
              </w:rPr>
              <w:t>7、水量平衡</w:t>
            </w:r>
          </w:p>
          <w:p w14:paraId="58E46AE8">
            <w:pPr>
              <w:pStyle w:val="48"/>
              <w:spacing w:line="360" w:lineRule="auto"/>
              <w:ind w:firstLine="480" w:firstLineChars="200"/>
              <w:rPr>
                <w:rFonts w:ascii="Times New Roman" w:hAnsi="Times New Roman" w:cs="Times New Roman"/>
                <w:sz w:val="24"/>
              </w:rPr>
            </w:pPr>
            <w:r>
              <w:rPr>
                <w:rFonts w:ascii="Times New Roman" w:hAnsi="Times New Roman" w:cs="Times New Roman"/>
                <w:sz w:val="24"/>
              </w:rPr>
              <w:t>项目用水主要是职工生活用水，不提供食宿。</w:t>
            </w:r>
          </w:p>
          <w:p w14:paraId="4DE62F2E">
            <w:pPr>
              <w:pStyle w:val="48"/>
              <w:kinsoku/>
              <w:adjustRightInd/>
              <w:snapToGrid/>
              <w:spacing w:line="360" w:lineRule="auto"/>
              <w:ind w:firstLine="480" w:firstLineChars="200"/>
              <w:rPr>
                <w:rFonts w:ascii="Times New Roman" w:hAnsi="Times New Roman" w:eastAsia="宋体" w:cs="Times New Roman"/>
                <w:color w:val="auto"/>
                <w:kern w:val="2"/>
                <w:sz w:val="24"/>
                <w:szCs w:val="24"/>
                <w:lang w:eastAsia="zh-CN"/>
              </w:rPr>
            </w:pPr>
            <w:r>
              <w:rPr>
                <w:rFonts w:ascii="Times New Roman" w:hAnsi="Times New Roman" w:cs="Times New Roman"/>
                <w:sz w:val="24"/>
              </w:rPr>
              <w:t>生活用水：项目劳动定员人数</w:t>
            </w:r>
            <w:r>
              <w:rPr>
                <w:rFonts w:ascii="Times New Roman" w:hAnsi="Times New Roman" w:eastAsia="宋体" w:cs="Times New Roman"/>
                <w:sz w:val="24"/>
                <w:lang w:eastAsia="zh-CN"/>
              </w:rPr>
              <w:t>6</w:t>
            </w:r>
            <w:r>
              <w:rPr>
                <w:rFonts w:ascii="Times New Roman" w:hAnsi="Times New Roman" w:cs="Times New Roman"/>
                <w:sz w:val="24"/>
              </w:rPr>
              <w:t>人，</w:t>
            </w:r>
            <w:r>
              <w:rPr>
                <w:rFonts w:ascii="Times New Roman" w:hAnsi="Times New Roman" w:eastAsia="宋体" w:cs="Times New Roman"/>
                <w:color w:val="auto"/>
                <w:kern w:val="2"/>
                <w:sz w:val="24"/>
                <w:szCs w:val="24"/>
                <w:lang w:eastAsia="zh-CN"/>
              </w:rPr>
              <w:t>根据《安徽省行业用水定额》（DB34/T 679-2019），本项目人均用水量按60L/d计，则用水量为0.36</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w:t>
            </w:r>
            <w:r>
              <w:rPr>
                <w:rFonts w:ascii="Times New Roman" w:hAnsi="Times New Roman" w:cs="Times New Roman"/>
                <w:color w:val="auto"/>
                <w:kern w:val="2"/>
                <w:sz w:val="24"/>
                <w:szCs w:val="24"/>
                <w:lang w:eastAsia="zh-CN"/>
              </w:rPr>
              <w:t>d</w:t>
            </w:r>
            <w:r>
              <w:rPr>
                <w:rFonts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2"/>
                <w:sz w:val="24"/>
                <w:szCs w:val="24"/>
                <w:lang w:eastAsia="zh-CN"/>
              </w:rPr>
              <w:t>108</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/a），产污系数为0.8，则生活污水量为0.288</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/d（86.4</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/a）。</w:t>
            </w:r>
          </w:p>
          <w:p w14:paraId="12ACDCF1">
            <w:pPr>
              <w:pStyle w:val="48"/>
              <w:kinsoku/>
              <w:adjustRightInd/>
              <w:snapToGrid/>
              <w:spacing w:line="360" w:lineRule="auto"/>
              <w:ind w:firstLine="420" w:firstLineChars="20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60288" behindDoc="0" locked="0" layoutInCell="1" allowOverlap="1">
                      <wp:simplePos x="0" y="0"/>
                      <wp:positionH relativeFrom="column">
                        <wp:posOffset>476250</wp:posOffset>
                      </wp:positionH>
                      <wp:positionV relativeFrom="paragraph">
                        <wp:posOffset>237490</wp:posOffset>
                      </wp:positionV>
                      <wp:extent cx="5395595" cy="795655"/>
                      <wp:effectExtent l="4445" t="0" r="0" b="0"/>
                      <wp:wrapNone/>
                      <wp:docPr id="40" name="组合 40"/>
                      <wp:cNvGraphicFramePr/>
                      <a:graphic xmlns:a="http://schemas.openxmlformats.org/drawingml/2006/main">
                        <a:graphicData uri="http://schemas.microsoft.com/office/word/2010/wordprocessingGroup">
                          <wpg:wgp>
                            <wpg:cNvGrpSpPr/>
                            <wpg:grpSpPr>
                              <a:xfrm>
                                <a:off x="0" y="0"/>
                                <a:ext cx="5395595" cy="795655"/>
                                <a:chOff x="8850" y="3106"/>
                                <a:chExt cx="8497" cy="1365"/>
                              </a:xfrm>
                            </wpg:grpSpPr>
                            <wps:wsp>
                              <wps:cNvPr id="41" name="文本框 1"/>
                              <wps:cNvSpPr txBox="1"/>
                              <wps:spPr>
                                <a:xfrm>
                                  <a:off x="8850" y="3930"/>
                                  <a:ext cx="1007" cy="45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A387137">
                                    <w:pPr>
                                      <w:jc w:val="center"/>
                                    </w:pPr>
                                    <w: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直接箭头连接符 6"/>
                              <wps:cNvCnPr/>
                              <wps:spPr>
                                <a:xfrm>
                                  <a:off x="9840" y="4155"/>
                                  <a:ext cx="885" cy="0"/>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48" name="文本框 9"/>
                              <wps:cNvSpPr txBox="1"/>
                              <wps:spPr>
                                <a:xfrm>
                                  <a:off x="9898" y="3629"/>
                                  <a:ext cx="772"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2CCD6">
                                    <w:pPr>
                                      <w:rPr>
                                        <w:rFonts w:ascii="Times New Roman" w:hAnsi="Times New Roman" w:eastAsia="宋体" w:cs="Times New Roman"/>
                                        <w:lang w:eastAsia="zh-CN"/>
                                      </w:rPr>
                                    </w:pPr>
                                    <w:r>
                                      <w:rPr>
                                        <w:rFonts w:ascii="Times New Roman" w:hAnsi="Times New Roman" w:eastAsia="宋体" w:cs="Times New Roman"/>
                                        <w:lang w:eastAsia="zh-CN"/>
                                      </w:rPr>
                                      <w:t>0.36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10"/>
                              <wps:cNvSpPr txBox="1"/>
                              <wps:spPr>
                                <a:xfrm>
                                  <a:off x="10730" y="3941"/>
                                  <a:ext cx="1232" cy="4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8C1364">
                                    <w:pPr>
                                      <w:jc w:val="center"/>
                                    </w:pPr>
                                    <w: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箭头连接符 11"/>
                              <wps:cNvCnPr/>
                              <wps:spPr>
                                <a:xfrm flipV="1">
                                  <a:off x="11306" y="3630"/>
                                  <a:ext cx="0" cy="300"/>
                                </a:xfrm>
                                <a:prstGeom prst="straightConnector1">
                                  <a:avLst/>
                                </a:prstGeom>
                                <a:ln w="12700" cap="flat" cmpd="sng" algn="ctr">
                                  <a:solidFill>
                                    <a:prstClr val="black"/>
                                  </a:solidFill>
                                  <a:prstDash val="dash"/>
                                  <a:miter lim="800000"/>
                                  <a:tailEnd type="triangle" w="med" len="med"/>
                                </a:ln>
                              </wps:spPr>
                              <wps:style>
                                <a:lnRef idx="0">
                                  <a:schemeClr val="accent1"/>
                                </a:lnRef>
                                <a:fillRef idx="0">
                                  <a:srgbClr val="FFFFFF"/>
                                </a:fillRef>
                                <a:effectRef idx="0">
                                  <a:srgbClr val="FFFFFF"/>
                                </a:effectRef>
                                <a:fontRef idx="minor">
                                  <a:schemeClr val="tx1"/>
                                </a:fontRef>
                              </wps:style>
                              <wps:bodyPr/>
                            </wps:wsp>
                            <wps:wsp>
                              <wps:cNvPr id="51" name="文本框 12"/>
                              <wps:cNvSpPr txBox="1"/>
                              <wps:spPr>
                                <a:xfrm>
                                  <a:off x="10676" y="3106"/>
                                  <a:ext cx="1190"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1319D">
                                    <w:pPr>
                                      <w:rPr>
                                        <w:rFonts w:eastAsia="宋体"/>
                                        <w:lang w:eastAsia="zh-CN"/>
                                      </w:rPr>
                                    </w:pPr>
                                    <w:r>
                                      <w:t>损</w:t>
                                    </w:r>
                                    <w:r>
                                      <w:rPr>
                                        <w:rFonts w:ascii="Times New Roman" w:hAnsi="Times New Roman" w:cs="Times New Roman"/>
                                      </w:rPr>
                                      <w:t>耗0.</w:t>
                                    </w:r>
                                    <w:r>
                                      <w:rPr>
                                        <w:rFonts w:ascii="Times New Roman" w:hAnsi="Times New Roman" w:eastAsia="宋体" w:cs="Times New Roman"/>
                                        <w:lang w:eastAsia="zh-CN"/>
                                      </w:rPr>
                                      <w:t>072</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4" name="直接箭头连接符 15"/>
                              <wps:cNvCnPr/>
                              <wps:spPr>
                                <a:xfrm>
                                  <a:off x="11940" y="4152"/>
                                  <a:ext cx="885" cy="0"/>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5" name="文本框 16"/>
                              <wps:cNvSpPr txBox="1"/>
                              <wps:spPr>
                                <a:xfrm>
                                  <a:off x="12056" y="3632"/>
                                  <a:ext cx="770" cy="4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398C2">
                                    <w:pPr>
                                      <w:rPr>
                                        <w:rFonts w:ascii="Times New Roman" w:hAnsi="Times New Roman" w:eastAsia="宋体" w:cs="Times New Roman"/>
                                        <w:lang w:eastAsia="zh-CN"/>
                                      </w:rPr>
                                    </w:pPr>
                                    <w:r>
                                      <w:rPr>
                                        <w:rFonts w:ascii="Times New Roman" w:hAnsi="Times New Roman" w:cs="Times New Roman"/>
                                      </w:rPr>
                                      <w:t>0.</w:t>
                                    </w:r>
                                    <w:r>
                                      <w:rPr>
                                        <w:rFonts w:ascii="Times New Roman" w:hAnsi="Times New Roman" w:eastAsia="宋体" w:cs="Times New Roman"/>
                                        <w:lang w:eastAsia="zh-CN"/>
                                      </w:rPr>
                                      <w:t>288</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6" name="文本框 17"/>
                              <wps:cNvSpPr txBox="1"/>
                              <wps:spPr>
                                <a:xfrm>
                                  <a:off x="12830" y="3912"/>
                                  <a:ext cx="1232" cy="4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A493F5">
                                    <w:pPr>
                                      <w:jc w:val="center"/>
                                    </w:pPr>
                                    <w: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直接箭头连接符 19"/>
                              <wps:cNvCnPr/>
                              <wps:spPr>
                                <a:xfrm>
                                  <a:off x="14065" y="4149"/>
                                  <a:ext cx="885" cy="0"/>
                                </a:xfrm>
                                <a:prstGeom prst="straightConnector1">
                                  <a:avLst/>
                                </a:prstGeom>
                                <a:ln>
                                  <a:tailEnd type="triangle" w="med" len="med"/>
                                </a:ln>
                              </wps:spPr>
                              <wps:style>
                                <a:lnRef idx="2">
                                  <a:prstClr val="black"/>
                                </a:lnRef>
                                <a:fillRef idx="0">
                                  <a:srgbClr val="FFFFFF"/>
                                </a:fillRef>
                                <a:effectRef idx="0">
                                  <a:srgbClr val="FFFFFF"/>
                                </a:effectRef>
                                <a:fontRef idx="minor">
                                  <a:schemeClr val="tx1"/>
                                </a:fontRef>
                              </wps:style>
                              <wps:bodyPr/>
                            </wps:wsp>
                            <wps:wsp>
                              <wps:cNvPr id="59" name="文本框 20"/>
                              <wps:cNvSpPr txBox="1"/>
                              <wps:spPr>
                                <a:xfrm>
                                  <a:off x="14201" y="3563"/>
                                  <a:ext cx="770" cy="46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DE83A">
                                    <w:pPr>
                                      <w:rPr>
                                        <w:rFonts w:ascii="Times New Roman" w:hAnsi="Times New Roman" w:eastAsia="宋体" w:cs="Times New Roman"/>
                                        <w:lang w:eastAsia="zh-CN"/>
                                      </w:rPr>
                                    </w:pPr>
                                    <w:r>
                                      <w:rPr>
                                        <w:rFonts w:ascii="Times New Roman" w:hAnsi="Times New Roman" w:cs="Times New Roman"/>
                                      </w:rPr>
                                      <w:t>0.</w:t>
                                    </w:r>
                                    <w:r>
                                      <w:rPr>
                                        <w:rFonts w:ascii="Times New Roman" w:hAnsi="Times New Roman" w:eastAsia="宋体" w:cs="Times New Roman"/>
                                        <w:lang w:eastAsia="zh-CN"/>
                                      </w:rPr>
                                      <w:t>288</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0" name="文本框 21"/>
                              <wps:cNvSpPr txBox="1"/>
                              <wps:spPr>
                                <a:xfrm>
                                  <a:off x="14949" y="3693"/>
                                  <a:ext cx="2398"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785BE">
                                    <w:pPr>
                                      <w:rPr>
                                        <w:rFonts w:eastAsia="宋体"/>
                                        <w:lang w:eastAsia="zh-CN"/>
                                      </w:rPr>
                                    </w:pPr>
                                  </w:p>
                                  <w:p w14:paraId="1022A763">
                                    <w:pPr>
                                      <w:rPr>
                                        <w:rFonts w:eastAsia="宋体"/>
                                        <w:lang w:eastAsia="zh-CN"/>
                                      </w:rPr>
                                    </w:pPr>
                                    <w:r>
                                      <w:rPr>
                                        <w:rFonts w:hint="eastAsia" w:eastAsia="宋体"/>
                                        <w:lang w:eastAsia="zh-CN"/>
                                      </w:rPr>
                                      <w:t>濉溪县第二污水处理厂</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18.7pt;height:62.65pt;width:424.85pt;z-index:251660288;mso-width-relative:page;mso-height-relative:page;" coordorigin="8850,3106" coordsize="8497,1365" o:gfxdata="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&#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DjpHf02gAAAAkBAAAPAAAAAAAAAAEAIAAAACIAAABk&#10;cnMvZG93bnJldi54bWxQSwECFAAUAAAACACHTuJA8ZU/sSIFAABEIAAADgAAAAAAAAABACAAAAAp&#10;AQAAZHJzL2Uyb0RvYy54bWxQSwUGAAAAAAYABgBZAQAAvQgAAAAA&#10;">
                      <o:lock v:ext="edit" aspectratio="f"/>
                      <v:shape id="文本框 1" o:spid="_x0000_s1026" o:spt="202" type="#_x0000_t202" style="position:absolute;left:8850;top:3930;height:450;width:1007;" filled="f" stroked="t" coordsize="21600,21600" o:gfxdata="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4H0i/&#10;AAAA2wAAAA8AAAAAAAAAAQAgAAAAIgAAAGRycy9kb3ducmV2LnhtbFBLAQIUABQAAAAIAIdO4kAz&#10;LwWeOwAAADkAAAAQAAAAAAAAAAEAIAAAAA4BAABkcnMvc2hhcGV4bWwueG1sUEsFBgAAAAAGAAYA&#10;WwEAALgDAAAAAA==&#10;">
                        <v:fill on="f" focussize="0,0"/>
                        <v:stroke weight="0.5pt" color="#000000 [3213]" joinstyle="round"/>
                        <v:imagedata o:title=""/>
                        <o:lock v:ext="edit" aspectratio="f"/>
                        <v:textbox>
                          <w:txbxContent>
                            <w:p w14:paraId="1A387137">
                              <w:pPr>
                                <w:jc w:val="center"/>
                              </w:pPr>
                              <w:r>
                                <w:t>新鲜水</w:t>
                              </w:r>
                            </w:p>
                          </w:txbxContent>
                        </v:textbox>
                      </v:shape>
                      <v:shape id="直接箭头连接符 6" o:spid="_x0000_s1026" o:spt="32" type="#_x0000_t32" style="position:absolute;left:9840;top:4155;height:0;width:885;" filled="f" stroked="t" coordsize="21600,21600" o:gfxdata="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Uw374A&#10;AADbAAAADwAAAAAAAAABACAAAAAiAAAAZHJzL2Rvd25yZXYueG1sUEsBAhQAFAAAAAgAh07iQDMv&#10;BZ47AAAAOQAAABAAAAAAAAAAAQAgAAAADQEAAGRycy9zaGFwZXhtbC54bWxQSwUGAAAAAAYABgBb&#10;AQAAtwMAAAAA&#10;">
                        <v:fill on="f" focussize="0,0"/>
                        <v:stroke weight="1pt" color="#000000" miterlimit="8" joinstyle="miter" endarrow="block"/>
                        <v:imagedata o:title=""/>
                        <o:lock v:ext="edit" aspectratio="f"/>
                      </v:shape>
                      <v:shape id="文本框 9" o:spid="_x0000_s1026" o:spt="202" type="#_x0000_t202" style="position:absolute;left:9898;top:3629;height:466;width:772;"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2B2CCD6">
                              <w:pPr>
                                <w:rPr>
                                  <w:rFonts w:ascii="Times New Roman" w:hAnsi="Times New Roman" w:eastAsia="宋体" w:cs="Times New Roman"/>
                                  <w:lang w:eastAsia="zh-CN"/>
                                </w:rPr>
                              </w:pPr>
                              <w:r>
                                <w:rPr>
                                  <w:rFonts w:ascii="Times New Roman" w:hAnsi="Times New Roman" w:eastAsia="宋体" w:cs="Times New Roman"/>
                                  <w:lang w:eastAsia="zh-CN"/>
                                </w:rPr>
                                <w:t>0.36</w:t>
                              </w:r>
                            </w:p>
                          </w:txbxContent>
                        </v:textbox>
                      </v:shape>
                      <v:shape id="文本框 10" o:spid="_x0000_s1026" o:spt="202" type="#_x0000_t202" style="position:absolute;left:10730;top:3941;height:450;width:1232;" filled="f" stroked="t" coordsize="21600,21600" o:gfxdata="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hNO&#10;wAAAANs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14:paraId="148C1364">
                              <w:pPr>
                                <w:jc w:val="center"/>
                              </w:pPr>
                              <w:r>
                                <w:t>生活用水</w:t>
                              </w:r>
                            </w:p>
                          </w:txbxContent>
                        </v:textbox>
                      </v:shape>
                      <v:shape id="直接箭头连接符 11" o:spid="_x0000_s1026" o:spt="32" type="#_x0000_t32" style="position:absolute;left:11306;top:3630;flip:y;height:300;width:0;" filled="f" stroked="t" coordsize="21600,21600" o:gfxdata="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yGC8AAAA&#10;2wAAAA8AAAAAAAAAAQAgAAAAIgAAAGRycy9kb3ducmV2LnhtbFBLAQIUABQAAAAIAIdO4kAzLwWe&#10;OwAAADkAAAAQAAAAAAAAAAEAIAAAAAsBAABkcnMvc2hhcGV4bWwueG1sUEsFBgAAAAAGAAYAWwEA&#10;ALUDAAAAAA==&#10;">
                        <v:fill on="f" focussize="0,0"/>
                        <v:stroke weight="1pt" color="#000000 [3204]" miterlimit="8" joinstyle="miter" dashstyle="dash" endarrow="block"/>
                        <v:imagedata o:title=""/>
                        <o:lock v:ext="edit" aspectratio="f"/>
                      </v:shape>
                      <v:shape id="文本框 12" o:spid="_x0000_s1026" o:spt="202" type="#_x0000_t202" style="position:absolute;left:10676;top:3106;height:466;width:1190;mso-wrap-style:none;" filled="f" stroked="f" coordsize="21600,21600" o:gfxdata="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OvZ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8F1319D">
                              <w:pPr>
                                <w:rPr>
                                  <w:rFonts w:eastAsia="宋体"/>
                                  <w:lang w:eastAsia="zh-CN"/>
                                </w:rPr>
                              </w:pPr>
                              <w:r>
                                <w:t>损</w:t>
                              </w:r>
                              <w:r>
                                <w:rPr>
                                  <w:rFonts w:ascii="Times New Roman" w:hAnsi="Times New Roman" w:cs="Times New Roman"/>
                                </w:rPr>
                                <w:t>耗0.</w:t>
                              </w:r>
                              <w:r>
                                <w:rPr>
                                  <w:rFonts w:ascii="Times New Roman" w:hAnsi="Times New Roman" w:eastAsia="宋体" w:cs="Times New Roman"/>
                                  <w:lang w:eastAsia="zh-CN"/>
                                </w:rPr>
                                <w:t>072</w:t>
                              </w:r>
                            </w:p>
                          </w:txbxContent>
                        </v:textbox>
                      </v:shape>
                      <v:shape id="直接箭头连接符 15" o:spid="_x0000_s1026" o:spt="32" type="#_x0000_t32" style="position:absolute;left:11940;top:4152;height:0;width:885;" filled="f" stroked="t" coordsize="21600,21600" o:gfxdata="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p3uvQAA&#10;ANsAAAAPAAAAAAAAAAEAIAAAACIAAABkcnMvZG93bnJldi54bWxQSwECFAAUAAAACACHTuJAMy8F&#10;njsAAAA5AAAAEAAAAAAAAAABACAAAAAMAQAAZHJzL3NoYXBleG1sLnhtbFBLBQYAAAAABgAGAFsB&#10;AAC2AwAAAAA=&#10;">
                        <v:fill on="f" focussize="0,0"/>
                        <v:stroke weight="1pt" color="#000000" miterlimit="8" joinstyle="miter" endarrow="block"/>
                        <v:imagedata o:title=""/>
                        <o:lock v:ext="edit" aspectratio="f"/>
                      </v:shape>
                      <v:shape id="文本框 16" o:spid="_x0000_s1026" o:spt="202" type="#_x0000_t202" style="position:absolute;left:12056;top:3632;height:466;width:770;mso-wrap-style:none;" filled="f" stroked="f" coordsize="21600,21600" o:gfxdata="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ip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0B398C2">
                              <w:pPr>
                                <w:rPr>
                                  <w:rFonts w:ascii="Times New Roman" w:hAnsi="Times New Roman" w:eastAsia="宋体" w:cs="Times New Roman"/>
                                  <w:lang w:eastAsia="zh-CN"/>
                                </w:rPr>
                              </w:pPr>
                              <w:r>
                                <w:rPr>
                                  <w:rFonts w:ascii="Times New Roman" w:hAnsi="Times New Roman" w:cs="Times New Roman"/>
                                </w:rPr>
                                <w:t>0.</w:t>
                              </w:r>
                              <w:r>
                                <w:rPr>
                                  <w:rFonts w:ascii="Times New Roman" w:hAnsi="Times New Roman" w:eastAsia="宋体" w:cs="Times New Roman"/>
                                  <w:lang w:eastAsia="zh-CN"/>
                                </w:rPr>
                                <w:t>288</w:t>
                              </w:r>
                            </w:p>
                          </w:txbxContent>
                        </v:textbox>
                      </v:shape>
                      <v:shape id="文本框 17" o:spid="_x0000_s1026" o:spt="202" type="#_x0000_t202" style="position:absolute;left:12830;top:3912;height:450;width:1232;" filled="f" stroked="t" coordsize="21600,21600" o:gfxdata="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gR4b4A&#10;AADb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14:paraId="7DA493F5">
                              <w:pPr>
                                <w:jc w:val="center"/>
                              </w:pPr>
                              <w:r>
                                <w:t>化粪池</w:t>
                              </w:r>
                            </w:p>
                          </w:txbxContent>
                        </v:textbox>
                      </v:shape>
                      <v:shape id="直接箭头连接符 19" o:spid="_x0000_s1026" o:spt="32" type="#_x0000_t32" style="position:absolute;left:14065;top:4149;height:0;width:885;" filled="f" stroked="t" coordsize="21600,21600" o:gfxdata="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5frugAAANsA&#10;AAAPAAAAAAAAAAEAIAAAACIAAABkcnMvZG93bnJldi54bWxQSwECFAAUAAAACACHTuJAMy8FnjsA&#10;AAA5AAAAEAAAAAAAAAABACAAAAAJAQAAZHJzL3NoYXBleG1sLnhtbFBLBQYAAAAABgAGAFsBAACz&#10;AwAAAAA=&#10;">
                        <v:fill on="f" focussize="0,0"/>
                        <v:stroke weight="1pt" color="#000000" miterlimit="8" joinstyle="miter" endarrow="block"/>
                        <v:imagedata o:title=""/>
                        <o:lock v:ext="edit" aspectratio="f"/>
                      </v:shape>
                      <v:shape id="文本框 20" o:spid="_x0000_s1026" o:spt="202" type="#_x0000_t202" style="position:absolute;left:14201;top:3563;height:467;width:770;mso-wrap-style:none;" filled="f" stroked="f" coordsize="21600,21600" o:gfxdata="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WjY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11DE83A">
                              <w:pPr>
                                <w:rPr>
                                  <w:rFonts w:ascii="Times New Roman" w:hAnsi="Times New Roman" w:eastAsia="宋体" w:cs="Times New Roman"/>
                                  <w:lang w:eastAsia="zh-CN"/>
                                </w:rPr>
                              </w:pPr>
                              <w:r>
                                <w:rPr>
                                  <w:rFonts w:ascii="Times New Roman" w:hAnsi="Times New Roman" w:cs="Times New Roman"/>
                                </w:rPr>
                                <w:t>0.</w:t>
                              </w:r>
                              <w:r>
                                <w:rPr>
                                  <w:rFonts w:ascii="Times New Roman" w:hAnsi="Times New Roman" w:eastAsia="宋体" w:cs="Times New Roman"/>
                                  <w:lang w:eastAsia="zh-CN"/>
                                </w:rPr>
                                <w:t>288</w:t>
                              </w:r>
                            </w:p>
                          </w:txbxContent>
                        </v:textbox>
                      </v:shape>
                      <v:shape id="文本框 21" o:spid="_x0000_s1026" o:spt="202" type="#_x0000_t202" style="position:absolute;left:14949;top:3693;height:778;width:2398;mso-wrap-style:none;" filled="f" stroked="f" coordsize="21600,21600" o:gfxdata="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PAQ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E8785BE">
                              <w:pPr>
                                <w:rPr>
                                  <w:rFonts w:eastAsia="宋体"/>
                                  <w:lang w:eastAsia="zh-CN"/>
                                </w:rPr>
                              </w:pPr>
                            </w:p>
                            <w:p w14:paraId="1022A763">
                              <w:pPr>
                                <w:rPr>
                                  <w:rFonts w:eastAsia="宋体"/>
                                  <w:lang w:eastAsia="zh-CN"/>
                                </w:rPr>
                              </w:pPr>
                              <w:r>
                                <w:rPr>
                                  <w:rFonts w:hint="eastAsia" w:eastAsia="宋体"/>
                                  <w:lang w:eastAsia="zh-CN"/>
                                </w:rPr>
                                <w:t>濉溪县第二污水处理厂</w:t>
                              </w:r>
                            </w:p>
                          </w:txbxContent>
                        </v:textbox>
                      </v:shape>
                    </v:group>
                  </w:pict>
                </mc:Fallback>
              </mc:AlternateContent>
            </w:r>
          </w:p>
          <w:p w14:paraId="0CA4CC3E">
            <w:pPr>
              <w:pStyle w:val="48"/>
              <w:spacing w:line="360" w:lineRule="auto"/>
              <w:jc w:val="center"/>
              <w:rPr>
                <w:rFonts w:ascii="Times New Roman" w:hAnsi="Times New Roman" w:cs="Times New Roman"/>
              </w:rPr>
            </w:pPr>
          </w:p>
          <w:p w14:paraId="293C0CF7">
            <w:pPr>
              <w:pStyle w:val="48"/>
              <w:spacing w:line="360" w:lineRule="auto"/>
              <w:jc w:val="center"/>
              <w:rPr>
                <w:rFonts w:ascii="Times New Roman" w:hAnsi="Times New Roman" w:cs="Times New Roman"/>
              </w:rPr>
            </w:pPr>
          </w:p>
          <w:p w14:paraId="7FCA1A2C">
            <w:pPr>
              <w:pStyle w:val="48"/>
              <w:spacing w:line="360" w:lineRule="auto"/>
              <w:jc w:val="center"/>
              <w:rPr>
                <w:rFonts w:ascii="Times New Roman" w:hAnsi="Times New Roman" w:cs="Times New Roman"/>
              </w:rPr>
            </w:pPr>
          </w:p>
          <w:p w14:paraId="075AFDE7">
            <w:pPr>
              <w:pStyle w:val="11"/>
              <w:ind w:left="0"/>
              <w:rPr>
                <w:rFonts w:ascii="Times New Roman" w:hAnsi="Times New Roman" w:cs="Times New Roman"/>
              </w:rPr>
            </w:pPr>
          </w:p>
          <w:p w14:paraId="48CB3A65">
            <w:pPr>
              <w:pStyle w:val="48"/>
              <w:spacing w:line="360" w:lineRule="auto"/>
              <w:jc w:val="center"/>
              <w:rPr>
                <w:rFonts w:ascii="Times New Roman" w:hAnsi="Times New Roman" w:cs="Times New Roman"/>
                <w:b/>
                <w:bCs/>
                <w:sz w:val="24"/>
              </w:rPr>
            </w:pPr>
            <w:r>
              <w:rPr>
                <w:rFonts w:ascii="Times New Roman" w:hAnsi="Times New Roman" w:cs="Times New Roman"/>
                <w:b/>
                <w:bCs/>
                <w:sz w:val="24"/>
              </w:rPr>
              <w:t>图2-1  本项水平衡图单位</w:t>
            </w:r>
            <w:r>
              <w:rPr>
                <w:rFonts w:hint="eastAsia" w:ascii="Times New Roman" w:hAnsi="Times New Roman" w:eastAsia="宋体" w:cs="Times New Roman"/>
                <w:b/>
                <w:bCs/>
                <w:sz w:val="24"/>
                <w:lang w:eastAsia="zh-CN"/>
              </w:rPr>
              <w:t>：</w:t>
            </w:r>
            <w:r>
              <w:rPr>
                <w:rFonts w:ascii="Times New Roman" w:hAnsi="Times New Roman" w:cs="Times New Roman"/>
                <w:b/>
                <w:bCs/>
                <w:color w:val="auto"/>
                <w:kern w:val="2"/>
                <w:sz w:val="24"/>
                <w:szCs w:val="24"/>
                <w:lang w:eastAsia="zh-CN"/>
              </w:rPr>
              <w:t>m³</w:t>
            </w:r>
            <w:r>
              <w:rPr>
                <w:rFonts w:ascii="Times New Roman" w:hAnsi="Times New Roman" w:cs="Times New Roman"/>
                <w:b/>
                <w:bCs/>
                <w:sz w:val="24"/>
              </w:rPr>
              <w:t>/d</w:t>
            </w:r>
          </w:p>
          <w:p w14:paraId="378C065D">
            <w:pPr>
              <w:pStyle w:val="48"/>
              <w:spacing w:line="360" w:lineRule="auto"/>
              <w:jc w:val="center"/>
              <w:rPr>
                <w:rFonts w:ascii="Times New Roman" w:hAnsi="Times New Roman" w:cs="Times New Roman"/>
                <w:b/>
                <w:bCs/>
                <w:sz w:val="24"/>
              </w:rPr>
            </w:pPr>
          </w:p>
          <w:p w14:paraId="11DCF72E">
            <w:pPr>
              <w:pStyle w:val="48"/>
              <w:spacing w:line="360" w:lineRule="auto"/>
              <w:jc w:val="center"/>
              <w:rPr>
                <w:rFonts w:ascii="Times New Roman" w:hAnsi="Times New Roman" w:cs="Times New Roman"/>
                <w:b/>
                <w:bCs/>
                <w:sz w:val="24"/>
              </w:rPr>
            </w:pPr>
          </w:p>
          <w:p w14:paraId="65034792">
            <w:pPr>
              <w:pStyle w:val="48"/>
              <w:spacing w:line="360" w:lineRule="auto"/>
              <w:jc w:val="center"/>
              <w:rPr>
                <w:rFonts w:ascii="Times New Roman" w:hAnsi="Times New Roman" w:cs="Times New Roman"/>
                <w:b/>
                <w:bCs/>
                <w:sz w:val="24"/>
              </w:rPr>
            </w:pPr>
          </w:p>
          <w:p w14:paraId="49DD9E28">
            <w:pPr>
              <w:pStyle w:val="48"/>
              <w:spacing w:line="360" w:lineRule="auto"/>
              <w:jc w:val="center"/>
              <w:rPr>
                <w:rFonts w:ascii="Times New Roman" w:hAnsi="Times New Roman" w:cs="Times New Roman"/>
                <w:b/>
                <w:bCs/>
                <w:sz w:val="24"/>
              </w:rPr>
            </w:pPr>
          </w:p>
          <w:p w14:paraId="56093082">
            <w:pPr>
              <w:pStyle w:val="48"/>
              <w:spacing w:line="360" w:lineRule="auto"/>
              <w:jc w:val="center"/>
              <w:rPr>
                <w:rFonts w:ascii="Times New Roman" w:hAnsi="Times New Roman" w:cs="Times New Roman"/>
                <w:b/>
                <w:bCs/>
                <w:sz w:val="24"/>
              </w:rPr>
            </w:pPr>
          </w:p>
          <w:p w14:paraId="373CB5F2">
            <w:pPr>
              <w:pStyle w:val="48"/>
              <w:spacing w:line="360" w:lineRule="auto"/>
              <w:jc w:val="both"/>
              <w:rPr>
                <w:rFonts w:ascii="Times New Roman" w:hAnsi="Times New Roman" w:cs="Times New Roman"/>
                <w:b/>
                <w:bCs/>
                <w:sz w:val="24"/>
              </w:rPr>
            </w:pPr>
          </w:p>
        </w:tc>
      </w:tr>
      <w:tr w14:paraId="7DBD2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426" w:type="pct"/>
            <w:vAlign w:val="center"/>
          </w:tcPr>
          <w:p w14:paraId="7F641D42">
            <w:pPr>
              <w:pStyle w:val="19"/>
              <w:spacing w:before="0" w:beforeAutospacing="0" w:after="0" w:afterAutospacing="0"/>
              <w:jc w:val="both"/>
              <w:rPr>
                <w:rFonts w:ascii="Times New Roman" w:hAnsi="Times New Roman" w:cs="Times New Roman"/>
                <w:szCs w:val="24"/>
              </w:rPr>
            </w:pPr>
          </w:p>
          <w:p w14:paraId="3EC372F3">
            <w:pPr>
              <w:pStyle w:val="19"/>
              <w:spacing w:before="0" w:beforeAutospacing="0" w:after="0" w:afterAutospacing="0"/>
              <w:jc w:val="center"/>
              <w:rPr>
                <w:rFonts w:ascii="Times New Roman" w:hAnsi="Times New Roman" w:cs="Times New Roman"/>
                <w:sz w:val="21"/>
                <w:szCs w:val="21"/>
              </w:rPr>
            </w:pPr>
            <w:r>
              <w:rPr>
                <w:rFonts w:ascii="Times New Roman" w:hAnsi="Times New Roman" w:cs="Times New Roman"/>
                <w:szCs w:val="24"/>
              </w:rPr>
              <w:t>工艺流程和产排污环节</w:t>
            </w:r>
          </w:p>
        </w:tc>
        <w:tc>
          <w:tcPr>
            <w:tcW w:w="4573" w:type="pct"/>
          </w:tcPr>
          <w:p w14:paraId="6B1DA56C">
            <w:pPr>
              <w:spacing w:line="360" w:lineRule="auto"/>
              <w:rPr>
                <w:rFonts w:ascii="Times New Roman" w:hAnsi="Times New Roman" w:cs="Times New Roman"/>
                <w:b/>
                <w:color w:val="auto"/>
                <w:sz w:val="24"/>
              </w:rPr>
            </w:pPr>
            <w:r>
              <w:rPr>
                <w:rFonts w:ascii="Times New Roman" w:hAnsi="Times New Roman" w:cs="Times New Roman"/>
                <w:b/>
                <w:color w:val="auto"/>
                <w:sz w:val="24"/>
                <w:lang w:eastAsia="zh-CN"/>
              </w:rPr>
              <w:t>一、</w:t>
            </w:r>
            <w:r>
              <w:rPr>
                <w:rFonts w:ascii="Times New Roman" w:hAnsi="Times New Roman" w:cs="Times New Roman"/>
                <w:b/>
                <w:color w:val="auto"/>
                <w:sz w:val="24"/>
              </w:rPr>
              <w:t>工艺流程简述（图示）：</w:t>
            </w:r>
          </w:p>
          <w:p w14:paraId="6B601592">
            <w:pPr>
              <w:adjustRightInd/>
              <w:snapToGrid/>
              <w:spacing w:line="360" w:lineRule="auto"/>
              <w:ind w:firstLine="482"/>
              <w:rPr>
                <w:rFonts w:ascii="Times New Roman" w:hAnsi="Times New Roman" w:cs="Times New Roman"/>
                <w:sz w:val="24"/>
              </w:rPr>
            </w:pPr>
            <w:r>
              <w:rPr>
                <w:rFonts w:ascii="Times New Roman" w:hAnsi="Times New Roman" w:cs="Times New Roman"/>
                <w:sz w:val="24"/>
              </w:rPr>
              <w:t>1、生产工艺流程</w:t>
            </w:r>
          </w:p>
          <w:p w14:paraId="60286D43">
            <w:pPr>
              <w:adjustRightInd/>
              <w:snapToGrid/>
              <w:spacing w:line="360" w:lineRule="auto"/>
              <w:ind w:firstLine="480"/>
              <w:rPr>
                <w:rFonts w:ascii="Times New Roman" w:hAnsi="Times New Roman" w:cs="Times New Roman"/>
                <w:sz w:val="24"/>
                <w:lang w:bidi="ar"/>
              </w:rPr>
            </w:pPr>
            <w:r>
              <w:rPr>
                <w:rFonts w:ascii="Times New Roman" w:hAnsi="Times New Roman" w:cs="Times New Roman"/>
                <w:sz w:val="24"/>
                <w:lang w:bidi="ar"/>
              </w:rPr>
              <w:t>（1）</w:t>
            </w:r>
            <w:r>
              <w:rPr>
                <w:rFonts w:ascii="Times New Roman" w:hAnsi="Times New Roman" w:eastAsia="宋体" w:cs="Times New Roman"/>
                <w:sz w:val="24"/>
                <w:lang w:eastAsia="zh-CN" w:bidi="ar"/>
              </w:rPr>
              <w:t>护栏</w:t>
            </w:r>
            <w:r>
              <w:rPr>
                <w:rFonts w:ascii="Times New Roman" w:hAnsi="Times New Roman" w:cs="Times New Roman"/>
                <w:sz w:val="24"/>
                <w:lang w:bidi="ar"/>
              </w:rPr>
              <w:t>工艺流程及产污节点简图如下图</w:t>
            </w:r>
          </w:p>
          <w:p w14:paraId="77B608AA">
            <w:pPr>
              <w:spacing w:line="360" w:lineRule="auto"/>
              <w:ind w:firstLine="480"/>
              <w:jc w:val="center"/>
              <w:rPr>
                <w:rFonts w:ascii="Times New Roman" w:hAnsi="Times New Roman" w:eastAsia="宋体" w:cs="Times New Roman"/>
                <w:b/>
                <w:bCs/>
                <w:color w:val="auto"/>
                <w:sz w:val="24"/>
                <w:szCs w:val="24"/>
                <w:lang w:eastAsia="zh-CN"/>
              </w:rPr>
            </w:pPr>
            <w:r>
              <w:rPr>
                <w:rFonts w:ascii="Times New Roman" w:hAnsi="Times New Roman" w:cs="Times New Roman"/>
                <w:sz w:val="24"/>
              </w:rPr>
              <mc:AlternateContent>
                <mc:Choice Requires="wps">
                  <w:drawing>
                    <wp:anchor distT="0" distB="0" distL="114300" distR="114300" simplePos="0" relativeHeight="251666432" behindDoc="0" locked="0" layoutInCell="1" allowOverlap="1">
                      <wp:simplePos x="0" y="0"/>
                      <wp:positionH relativeFrom="column">
                        <wp:posOffset>4060190</wp:posOffset>
                      </wp:positionH>
                      <wp:positionV relativeFrom="paragraph">
                        <wp:posOffset>3724910</wp:posOffset>
                      </wp:positionV>
                      <wp:extent cx="662940" cy="609600"/>
                      <wp:effectExtent l="4445" t="4445" r="18415" b="10795"/>
                      <wp:wrapNone/>
                      <wp:docPr id="2" name="文本框 2"/>
                      <wp:cNvGraphicFramePr/>
                      <a:graphic xmlns:a="http://schemas.openxmlformats.org/drawingml/2006/main">
                        <a:graphicData uri="http://schemas.microsoft.com/office/word/2010/wordprocessingShape">
                          <wps:wsp>
                            <wps:cNvSpPr txBox="1"/>
                            <wps:spPr>
                              <a:xfrm>
                                <a:off x="0" y="0"/>
                                <a:ext cx="662940" cy="609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D7735F">
                                  <w:pPr>
                                    <w:rPr>
                                      <w:rFonts w:ascii="Times New Roman" w:hAnsi="Times New Roman" w:cs="Times New Roman"/>
                                      <w:lang w:eastAsia="zh-CN"/>
                                    </w:rPr>
                                  </w:pPr>
                                  <w:r>
                                    <w:rPr>
                                      <w:rFonts w:ascii="Times New Roman" w:hAnsi="Times New Roman" w:cs="Times New Roman"/>
                                      <w:lang w:eastAsia="zh-CN"/>
                                    </w:rPr>
                                    <w:t>G：废气</w:t>
                                  </w:r>
                                </w:p>
                                <w:p w14:paraId="5F3B145B">
                                  <w:pPr>
                                    <w:rPr>
                                      <w:rFonts w:ascii="Times New Roman" w:hAnsi="Times New Roman" w:cs="Times New Roman"/>
                                      <w:lang w:eastAsia="zh-CN"/>
                                    </w:rPr>
                                  </w:pPr>
                                  <w:r>
                                    <w:rPr>
                                      <w:rFonts w:ascii="Times New Roman" w:hAnsi="Times New Roman" w:cs="Times New Roman"/>
                                      <w:lang w:eastAsia="zh-CN"/>
                                    </w:rPr>
                                    <w:t>S：固废</w:t>
                                  </w:r>
                                </w:p>
                                <w:p w14:paraId="47C68F1F">
                                  <w:pPr>
                                    <w:rPr>
                                      <w:rFonts w:ascii="Times New Roman" w:hAnsi="Times New Roman" w:cs="Times New Roman"/>
                                      <w:lang w:eastAsia="zh-CN"/>
                                    </w:rPr>
                                  </w:pPr>
                                  <w:r>
                                    <w:rPr>
                                      <w:rFonts w:ascii="Times New Roman" w:hAnsi="Times New Roman" w:cs="Times New Roman"/>
                                      <w:lang w:eastAsia="zh-CN"/>
                                    </w:rPr>
                                    <w:t>N：噪声</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19.7pt;margin-top:293.3pt;height:48pt;width:52.2pt;z-index:251666432;mso-width-relative:page;mso-height-relative:page;" fillcolor="#FFFFFF [3201]" filled="t" stroked="t" coordsize="21600,21600" o:gfxdata="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5NNj2QAAAAsB&#10;AAAPAAAAAAAAAAEAIAAAACIAAABkcnMvZG93bnJldi54bWxQSwECFAAUAAAACACHTuJAO3BcN1MC&#10;AAC2BAAADgAAAAAAAAABACAAAAAoAQAAZHJzL2Uyb0RvYy54bWxQSwUGAAAAAAYABgBZAQAA7QUA&#10;AAAA&#10;">
                      <v:fill on="t" focussize="0,0"/>
                      <v:stroke weight="0.5pt" color="#000000 [3204]" joinstyle="round"/>
                      <v:imagedata o:title=""/>
                      <o:lock v:ext="edit" aspectratio="f"/>
                      <v:textbox inset="1mm,1mm,1mm,1mm">
                        <w:txbxContent>
                          <w:p w14:paraId="2FD7735F">
                            <w:pPr>
                              <w:rPr>
                                <w:rFonts w:ascii="Times New Roman" w:hAnsi="Times New Roman" w:cs="Times New Roman"/>
                                <w:lang w:eastAsia="zh-CN"/>
                              </w:rPr>
                            </w:pPr>
                            <w:r>
                              <w:rPr>
                                <w:rFonts w:ascii="Times New Roman" w:hAnsi="Times New Roman" w:cs="Times New Roman"/>
                                <w:lang w:eastAsia="zh-CN"/>
                              </w:rPr>
                              <w:t>G：废气</w:t>
                            </w:r>
                          </w:p>
                          <w:p w14:paraId="5F3B145B">
                            <w:pPr>
                              <w:rPr>
                                <w:rFonts w:ascii="Times New Roman" w:hAnsi="Times New Roman" w:cs="Times New Roman"/>
                                <w:lang w:eastAsia="zh-CN"/>
                              </w:rPr>
                            </w:pPr>
                            <w:r>
                              <w:rPr>
                                <w:rFonts w:ascii="Times New Roman" w:hAnsi="Times New Roman" w:cs="Times New Roman"/>
                                <w:lang w:eastAsia="zh-CN"/>
                              </w:rPr>
                              <w:t>S：固废</w:t>
                            </w:r>
                          </w:p>
                          <w:p w14:paraId="47C68F1F">
                            <w:pPr>
                              <w:rPr>
                                <w:rFonts w:ascii="Times New Roman" w:hAnsi="Times New Roman" w:cs="Times New Roman"/>
                                <w:lang w:eastAsia="zh-CN"/>
                              </w:rPr>
                            </w:pPr>
                            <w:r>
                              <w:rPr>
                                <w:rFonts w:ascii="Times New Roman" w:hAnsi="Times New Roman" w:cs="Times New Roman"/>
                                <w:lang w:eastAsia="zh-CN"/>
                              </w:rPr>
                              <w:t>N：噪声</w:t>
                            </w:r>
                          </w:p>
                        </w:txbxContent>
                      </v:textbox>
                    </v:shape>
                  </w:pict>
                </mc:Fallback>
              </mc:AlternateContent>
            </w:r>
            <w:r>
              <w:rPr>
                <w:rFonts w:ascii="Times New Roman" w:hAnsi="Times New Roman" w:eastAsia="宋体" w:cs="Times New Roman"/>
                <w:sz w:val="24"/>
                <w:lang w:eastAsia="zh-CN" w:bidi="ar"/>
              </w:rPr>
              <w:drawing>
                <wp:inline distT="0" distB="0" distL="114300" distR="114300">
                  <wp:extent cx="3496310" cy="4361815"/>
                  <wp:effectExtent l="0" t="0" r="8890" b="12065"/>
                  <wp:docPr id="132" name="F360BE8B-6686-4F3D-AEAF-501FE73E4058-1" descr="C:/Users/Administrator/AppData/Local/Temp/绘图1(52).png绘图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360BE8B-6686-4F3D-AEAF-501FE73E4058-1" descr="C:/Users/Administrator/AppData/Local/Temp/绘图1(52).png绘图1(52)"/>
                          <pic:cNvPicPr>
                            <a:picLocks noChangeAspect="1"/>
                          </pic:cNvPicPr>
                        </pic:nvPicPr>
                        <pic:blipFill>
                          <a:blip r:embed="rId10"/>
                          <a:stretch>
                            <a:fillRect/>
                          </a:stretch>
                        </pic:blipFill>
                        <pic:spPr>
                          <a:xfrm>
                            <a:off x="0" y="0"/>
                            <a:ext cx="3496056" cy="4361688"/>
                          </a:xfrm>
                          <a:prstGeom prst="rect">
                            <a:avLst/>
                          </a:prstGeom>
                        </pic:spPr>
                      </pic:pic>
                    </a:graphicData>
                  </a:graphic>
                </wp:inline>
              </w:drawing>
            </w:r>
          </w:p>
          <w:p w14:paraId="030BA40B">
            <w:pPr>
              <w:kinsoku/>
              <w:adjustRightInd/>
              <w:snapToGrid/>
              <w:spacing w:line="360" w:lineRule="auto"/>
              <w:jc w:val="center"/>
              <w:rPr>
                <w:rFonts w:ascii="Times New Roman" w:hAnsi="Times New Roman" w:cs="Times New Roman"/>
                <w:color w:val="auto"/>
                <w:sz w:val="24"/>
                <w:szCs w:val="24"/>
                <w:lang w:eastAsia="zh-CN"/>
              </w:rPr>
            </w:pPr>
            <w:r>
              <w:rPr>
                <w:rFonts w:ascii="Times New Roman" w:hAnsi="Times New Roman" w:eastAsia="宋体" w:cs="Times New Roman"/>
                <w:b/>
                <w:bCs/>
                <w:color w:val="auto"/>
                <w:sz w:val="24"/>
                <w:szCs w:val="24"/>
                <w:lang w:eastAsia="zh-CN"/>
              </w:rPr>
              <w:t>图2-2 生产工艺流程及产污节点图</w:t>
            </w:r>
          </w:p>
          <w:p w14:paraId="70A0E7ED">
            <w:pPr>
              <w:jc w:val="center"/>
              <w:rPr>
                <w:rFonts w:ascii="Times New Roman" w:hAnsi="Times New Roman" w:cs="Times New Roman"/>
                <w:b/>
                <w:bCs/>
                <w:sz w:val="24"/>
              </w:rPr>
            </w:pPr>
          </w:p>
          <w:p w14:paraId="67EE563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（2）工艺流程简述：</w:t>
            </w:r>
          </w:p>
          <w:p w14:paraId="3D6DD10C">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①激光下料：外购的钢板、钢管原材料入场，根据设计图纸要求，采用激光下料机</w:t>
            </w:r>
            <w:r>
              <w:rPr>
                <w:rFonts w:hint="eastAsia" w:ascii="Times New Roman" w:hAnsi="Times New Roman" w:eastAsia="宋体" w:cs="Times New Roman"/>
                <w:color w:val="auto"/>
                <w:sz w:val="24"/>
                <w:szCs w:val="24"/>
                <w:lang w:eastAsia="zh-CN"/>
              </w:rPr>
              <w:t>将</w:t>
            </w:r>
            <w:r>
              <w:rPr>
                <w:rFonts w:ascii="Times New Roman" w:hAnsi="Times New Roman" w:eastAsia="宋体" w:cs="Times New Roman"/>
                <w:color w:val="auto"/>
                <w:sz w:val="24"/>
                <w:szCs w:val="24"/>
                <w:lang w:eastAsia="zh-CN"/>
              </w:rPr>
              <w:t>材料分割成所需的规格尺寸。</w:t>
            </w:r>
          </w:p>
          <w:p w14:paraId="38F99021">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该工序产生的主要污染物为切割烟尘G1-1、金属边角料S1-1和设备运行噪声N1-1。</w:t>
            </w:r>
          </w:p>
          <w:p w14:paraId="591B0280">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②焊接：切割分段好的型材，通过电焊机对其拼装焊接成型后进行下一道工序。</w:t>
            </w:r>
          </w:p>
          <w:p w14:paraId="7C3BD165">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w:t>
            </w:r>
            <w:r>
              <w:rPr>
                <w:rFonts w:ascii="Times New Roman" w:hAnsi="Times New Roman" w:cs="Times New Roman"/>
                <w:bCs/>
                <w:color w:val="auto"/>
                <w:sz w:val="24"/>
                <w:szCs w:val="24"/>
                <w:lang w:eastAsia="zh-CN"/>
              </w:rPr>
              <w:t>焊接烟尘G1-2、焊渣S1-2和设备噪声N1-2。</w:t>
            </w:r>
          </w:p>
          <w:p w14:paraId="1DDD1B49">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③抛光：焊接后的半成品通过抛光机对焊接点位进行抛光处理，去除表面氧化层，使其表面更加光洁、平整。</w:t>
            </w:r>
          </w:p>
          <w:p w14:paraId="466C8248">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该工序产生的主要污染物为抛光粉尘G1-3和设备噪声N1-3。</w:t>
            </w:r>
          </w:p>
          <w:p w14:paraId="4BCED7ED">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sz w:val="24"/>
                <w:lang w:eastAsia="zh-CN"/>
              </w:rPr>
              <w:t>④喷塑、固化：</w:t>
            </w:r>
            <w:r>
              <w:rPr>
                <w:rFonts w:ascii="Times New Roman" w:hAnsi="Times New Roman" w:eastAsia="宋体" w:cs="Times New Roman"/>
                <w:bCs/>
                <w:color w:val="auto"/>
                <w:sz w:val="24"/>
                <w:szCs w:val="24"/>
                <w:lang w:eastAsia="zh-CN"/>
              </w:rPr>
              <w:t>采用</w:t>
            </w:r>
            <w:r>
              <w:rPr>
                <w:rFonts w:ascii="Times New Roman" w:hAnsi="Times New Roman" w:cs="Times New Roman"/>
                <w:bCs/>
                <w:color w:val="auto"/>
                <w:sz w:val="24"/>
                <w:szCs w:val="24"/>
                <w:lang w:eastAsia="zh-CN"/>
              </w:rPr>
              <w:t>人工手持</w:t>
            </w:r>
            <w:r>
              <w:rPr>
                <w:rFonts w:ascii="Times New Roman" w:hAnsi="Times New Roman" w:eastAsia="宋体" w:cs="Times New Roman"/>
                <w:bCs/>
                <w:color w:val="auto"/>
                <w:sz w:val="24"/>
                <w:szCs w:val="24"/>
                <w:lang w:eastAsia="zh-CN"/>
              </w:rPr>
              <w:t>喷枪对工件表面进行喷塑处理，然后工件</w:t>
            </w:r>
            <w:r>
              <w:rPr>
                <w:rFonts w:ascii="Times New Roman" w:hAnsi="Times New Roman" w:cs="Times New Roman"/>
                <w:bCs/>
                <w:color w:val="auto"/>
                <w:sz w:val="24"/>
                <w:szCs w:val="24"/>
                <w:lang w:eastAsia="zh-CN"/>
              </w:rPr>
              <w:t>通过轨道</w:t>
            </w:r>
            <w:r>
              <w:rPr>
                <w:rFonts w:ascii="Times New Roman" w:hAnsi="Times New Roman" w:eastAsia="宋体" w:cs="Times New Roman"/>
                <w:bCs/>
                <w:color w:val="auto"/>
                <w:sz w:val="24"/>
                <w:szCs w:val="24"/>
                <w:lang w:eastAsia="zh-CN"/>
              </w:rPr>
              <w:t>进入</w:t>
            </w:r>
            <w:r>
              <w:rPr>
                <w:rFonts w:hint="eastAsia" w:ascii="Times New Roman" w:hAnsi="Times New Roman" w:cs="Times New Roman"/>
                <w:bCs/>
                <w:color w:val="auto"/>
                <w:sz w:val="24"/>
                <w:szCs w:val="24"/>
                <w:lang w:eastAsia="zh-CN"/>
              </w:rPr>
              <w:t>密闭固化房</w:t>
            </w:r>
            <w:r>
              <w:rPr>
                <w:rFonts w:ascii="Times New Roman" w:hAnsi="Times New Roman" w:cs="Times New Roman"/>
                <w:bCs/>
                <w:color w:val="auto"/>
                <w:sz w:val="24"/>
                <w:szCs w:val="24"/>
                <w:lang w:eastAsia="zh-CN"/>
              </w:rPr>
              <w:t>内</w:t>
            </w:r>
            <w:r>
              <w:rPr>
                <w:rFonts w:ascii="Times New Roman" w:hAnsi="Times New Roman" w:eastAsia="宋体" w:cs="Times New Roman"/>
                <w:bCs/>
                <w:color w:val="auto"/>
                <w:sz w:val="24"/>
                <w:szCs w:val="24"/>
                <w:lang w:eastAsia="zh-CN"/>
              </w:rPr>
              <w:t>。固化热量来源于天然气燃烧产生的热量直接接触构件，固化温度控制在180-220℃，通过热量直接接触构件使得塑粉成膜附着构件表面。</w:t>
            </w:r>
          </w:p>
          <w:p w14:paraId="593E7BC8">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该工序产生的主要污染物为喷塑粉尘G1-3、固化废气G1-4、塑粉包装材料S1-3、设备噪N1-4。</w:t>
            </w:r>
          </w:p>
          <w:p w14:paraId="4D1F9BF2">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⑤成品入库：将固化完成后的产品暂存于成品区进行打包后发货。</w:t>
            </w:r>
          </w:p>
          <w:p w14:paraId="50AE6928">
            <w:pPr>
              <w:adjustRightInd/>
              <w:snapToGrid/>
              <w:spacing w:line="360" w:lineRule="auto"/>
              <w:ind w:firstLine="480"/>
              <w:rPr>
                <w:rFonts w:ascii="Times New Roman" w:hAnsi="Times New Roman" w:cs="Times New Roman"/>
                <w:b/>
                <w:bCs/>
                <w:sz w:val="24"/>
              </w:rPr>
            </w:pPr>
            <w:r>
              <w:rPr>
                <w:rFonts w:ascii="Times New Roman" w:hAnsi="Times New Roman" w:eastAsia="宋体" w:cs="Times New Roman"/>
                <w:bCs/>
                <w:color w:val="auto"/>
                <w:sz w:val="24"/>
                <w:szCs w:val="24"/>
                <w:lang w:eastAsia="zh-CN"/>
              </w:rPr>
              <w:t>（3）铝材</w:t>
            </w:r>
            <w:r>
              <w:rPr>
                <w:rFonts w:ascii="Times New Roman" w:hAnsi="Times New Roman" w:cs="Times New Roman"/>
                <w:sz w:val="24"/>
                <w:lang w:bidi="ar"/>
              </w:rPr>
              <w:t>工艺流程及产污节点简图如下图</w:t>
            </w:r>
          </w:p>
          <w:p w14:paraId="4E04FFFE">
            <w:pPr>
              <w:jc w:val="center"/>
              <w:rPr>
                <w:rFonts w:ascii="Times New Roman" w:hAnsi="Times New Roman" w:eastAsia="宋体" w:cs="Times New Roman"/>
                <w:b/>
                <w:bCs/>
                <w:sz w:val="24"/>
                <w:lang w:eastAsia="zh-CN"/>
              </w:rPr>
            </w:pPr>
            <w:r>
              <w:rPr>
                <w:rFonts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3702050</wp:posOffset>
                      </wp:positionH>
                      <wp:positionV relativeFrom="paragraph">
                        <wp:posOffset>3572510</wp:posOffset>
                      </wp:positionV>
                      <wp:extent cx="662940" cy="609600"/>
                      <wp:effectExtent l="4445" t="4445" r="18415" b="10795"/>
                      <wp:wrapNone/>
                      <wp:docPr id="62" name="文本框 62"/>
                      <wp:cNvGraphicFramePr/>
                      <a:graphic xmlns:a="http://schemas.openxmlformats.org/drawingml/2006/main">
                        <a:graphicData uri="http://schemas.microsoft.com/office/word/2010/wordprocessingShape">
                          <wps:wsp>
                            <wps:cNvSpPr txBox="1"/>
                            <wps:spPr>
                              <a:xfrm>
                                <a:off x="4870450" y="6142355"/>
                                <a:ext cx="662940" cy="609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D1CF41">
                                  <w:pPr>
                                    <w:rPr>
                                      <w:rFonts w:ascii="Times New Roman" w:hAnsi="Times New Roman" w:cs="Times New Roman"/>
                                      <w:lang w:eastAsia="zh-CN"/>
                                    </w:rPr>
                                  </w:pPr>
                                  <w:r>
                                    <w:rPr>
                                      <w:rFonts w:ascii="Times New Roman" w:hAnsi="Times New Roman" w:cs="Times New Roman"/>
                                      <w:lang w:eastAsia="zh-CN"/>
                                    </w:rPr>
                                    <w:t>G：废气</w:t>
                                  </w:r>
                                </w:p>
                                <w:p w14:paraId="3D08D072">
                                  <w:pPr>
                                    <w:rPr>
                                      <w:rFonts w:ascii="Times New Roman" w:hAnsi="Times New Roman" w:cs="Times New Roman"/>
                                      <w:lang w:eastAsia="zh-CN"/>
                                    </w:rPr>
                                  </w:pPr>
                                  <w:r>
                                    <w:rPr>
                                      <w:rFonts w:ascii="Times New Roman" w:hAnsi="Times New Roman" w:cs="Times New Roman"/>
                                      <w:lang w:eastAsia="zh-CN"/>
                                    </w:rPr>
                                    <w:t>S：固废</w:t>
                                  </w:r>
                                </w:p>
                                <w:p w14:paraId="16318B78">
                                  <w:pPr>
                                    <w:rPr>
                                      <w:rFonts w:ascii="Times New Roman" w:hAnsi="Times New Roman" w:cs="Times New Roman"/>
                                      <w:lang w:eastAsia="zh-CN"/>
                                    </w:rPr>
                                  </w:pPr>
                                  <w:r>
                                    <w:rPr>
                                      <w:rFonts w:ascii="Times New Roman" w:hAnsi="Times New Roman" w:cs="Times New Roman"/>
                                      <w:lang w:eastAsia="zh-CN"/>
                                    </w:rPr>
                                    <w:t>N：噪声</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291.5pt;margin-top:281.3pt;height:48pt;width:52.2pt;z-index:251661312;mso-width-relative:page;mso-height-relative:page;" fillcolor="#FFFFFF [3201]" filled="t" stroked="t" coordsize="21600,21600" o:gfxdata="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tQBQjYAAAACwEAAA8AAAAAAAAAAQAgAAAAIgAAAGRycy9kb3ducmV2LnhtbFBLAQIUABQAAAAI&#10;AIdO4kBrFYmRXwIAAMQEAAAOAAAAAAAAAAEAIAAAACcBAABkcnMvZTJvRG9jLnhtbFBLBQYAAAAA&#10;BgAGAFkBAAD4BQAAAAA=&#10;">
                      <v:fill on="t" focussize="0,0"/>
                      <v:stroke weight="0.5pt" color="#000000 [3204]" joinstyle="round"/>
                      <v:imagedata o:title=""/>
                      <o:lock v:ext="edit" aspectratio="f"/>
                      <v:textbox inset="1mm,1mm,1mm,1mm">
                        <w:txbxContent>
                          <w:p w14:paraId="65D1CF41">
                            <w:pPr>
                              <w:rPr>
                                <w:rFonts w:ascii="Times New Roman" w:hAnsi="Times New Roman" w:cs="Times New Roman"/>
                                <w:lang w:eastAsia="zh-CN"/>
                              </w:rPr>
                            </w:pPr>
                            <w:r>
                              <w:rPr>
                                <w:rFonts w:ascii="Times New Roman" w:hAnsi="Times New Roman" w:cs="Times New Roman"/>
                                <w:lang w:eastAsia="zh-CN"/>
                              </w:rPr>
                              <w:t>G：废气</w:t>
                            </w:r>
                          </w:p>
                          <w:p w14:paraId="3D08D072">
                            <w:pPr>
                              <w:rPr>
                                <w:rFonts w:ascii="Times New Roman" w:hAnsi="Times New Roman" w:cs="Times New Roman"/>
                                <w:lang w:eastAsia="zh-CN"/>
                              </w:rPr>
                            </w:pPr>
                            <w:r>
                              <w:rPr>
                                <w:rFonts w:ascii="Times New Roman" w:hAnsi="Times New Roman" w:cs="Times New Roman"/>
                                <w:lang w:eastAsia="zh-CN"/>
                              </w:rPr>
                              <w:t>S：固废</w:t>
                            </w:r>
                          </w:p>
                          <w:p w14:paraId="16318B78">
                            <w:pPr>
                              <w:rPr>
                                <w:rFonts w:ascii="Times New Roman" w:hAnsi="Times New Roman" w:cs="Times New Roman"/>
                                <w:lang w:eastAsia="zh-CN"/>
                              </w:rPr>
                            </w:pPr>
                            <w:r>
                              <w:rPr>
                                <w:rFonts w:ascii="Times New Roman" w:hAnsi="Times New Roman" w:cs="Times New Roman"/>
                                <w:lang w:eastAsia="zh-CN"/>
                              </w:rPr>
                              <w:t>N：噪声</w:t>
                            </w:r>
                          </w:p>
                        </w:txbxContent>
                      </v:textbox>
                    </v:shape>
                  </w:pict>
                </mc:Fallback>
              </mc:AlternateContent>
            </w:r>
            <w:r>
              <w:rPr>
                <w:rFonts w:ascii="Times New Roman" w:hAnsi="Times New Roman" w:eastAsia="宋体" w:cs="Times New Roman"/>
                <w:b/>
                <w:bCs/>
                <w:sz w:val="24"/>
                <w:lang w:eastAsia="zh-CN"/>
              </w:rPr>
              <w:drawing>
                <wp:inline distT="0" distB="0" distL="114300" distR="114300">
                  <wp:extent cx="3437890" cy="4182110"/>
                  <wp:effectExtent l="0" t="0" r="6350" b="8890"/>
                  <wp:docPr id="133" name="F360BE8B-6686-4F3D-AEAF-501FE73E4058-2" descr="C:/Users/Administrator/AppData/Local/Temp/绘图1(53).png绘图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360BE8B-6686-4F3D-AEAF-501FE73E4058-2" descr="C:/Users/Administrator/AppData/Local/Temp/绘图1(53).png绘图1(53)"/>
                          <pic:cNvPicPr>
                            <a:picLocks noChangeAspect="1"/>
                          </pic:cNvPicPr>
                        </pic:nvPicPr>
                        <pic:blipFill>
                          <a:blip r:embed="rId11"/>
                          <a:stretch>
                            <a:fillRect/>
                          </a:stretch>
                        </pic:blipFill>
                        <pic:spPr>
                          <a:xfrm>
                            <a:off x="0" y="0"/>
                            <a:ext cx="3438144" cy="4181856"/>
                          </a:xfrm>
                          <a:prstGeom prst="rect">
                            <a:avLst/>
                          </a:prstGeom>
                        </pic:spPr>
                      </pic:pic>
                    </a:graphicData>
                  </a:graphic>
                </wp:inline>
              </w:drawing>
            </w:r>
          </w:p>
          <w:p w14:paraId="30DD92A9">
            <w:pPr>
              <w:jc w:val="both"/>
              <w:rPr>
                <w:rFonts w:ascii="Times New Roman" w:hAnsi="Times New Roman" w:cs="Times New Roman"/>
                <w:b/>
                <w:bCs/>
                <w:sz w:val="24"/>
              </w:rPr>
            </w:pPr>
          </w:p>
          <w:p w14:paraId="3F5019A3">
            <w:pPr>
              <w:kinsoku/>
              <w:adjustRightInd/>
              <w:snapToGrid/>
              <w:spacing w:line="360" w:lineRule="auto"/>
              <w:jc w:val="center"/>
              <w:rPr>
                <w:rFonts w:ascii="Times New Roman" w:hAnsi="Times New Roman" w:cs="Times New Roman"/>
                <w:b/>
                <w:bCs/>
                <w:sz w:val="24"/>
              </w:rPr>
            </w:pPr>
            <w:r>
              <w:rPr>
                <w:rFonts w:ascii="Times New Roman" w:hAnsi="Times New Roman" w:eastAsia="宋体" w:cs="Times New Roman"/>
                <w:b/>
                <w:bCs/>
                <w:color w:val="auto"/>
                <w:sz w:val="24"/>
                <w:szCs w:val="24"/>
                <w:lang w:eastAsia="zh-CN"/>
              </w:rPr>
              <w:t>图2-3 生产工艺流程及产污节点图</w:t>
            </w:r>
          </w:p>
          <w:p w14:paraId="7EF45D8D">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（4）工艺流程简述：</w:t>
            </w:r>
          </w:p>
          <w:p w14:paraId="7FB5D42B">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①激光下料：外购的铝板，根据设计图纸要求，采用激光下料机</w:t>
            </w:r>
            <w:r>
              <w:rPr>
                <w:rFonts w:hint="eastAsia" w:ascii="Times New Roman" w:hAnsi="Times New Roman" w:eastAsia="宋体" w:cs="Times New Roman"/>
                <w:color w:val="auto"/>
                <w:sz w:val="24"/>
                <w:szCs w:val="24"/>
                <w:lang w:val="en-US" w:eastAsia="zh-CN"/>
              </w:rPr>
              <w:t>将</w:t>
            </w:r>
            <w:r>
              <w:rPr>
                <w:rFonts w:ascii="Times New Roman" w:hAnsi="Times New Roman" w:eastAsia="宋体" w:cs="Times New Roman"/>
                <w:color w:val="auto"/>
                <w:sz w:val="24"/>
                <w:szCs w:val="24"/>
                <w:lang w:eastAsia="zh-CN"/>
              </w:rPr>
              <w:t>材料分割成所需的规格尺寸。</w:t>
            </w:r>
          </w:p>
          <w:p w14:paraId="7D996FD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该工序产生的主要污染物为切割烟尘G2-1、金属边角料S2-1和设备运行噪声N2-1。</w:t>
            </w:r>
          </w:p>
          <w:p w14:paraId="63EE9120">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②折弯：切割好的铝板通过折弯机对角度进行调整。</w:t>
            </w:r>
          </w:p>
          <w:p w14:paraId="0263FBC0">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该工序产生的主要污染物为设备噪声</w:t>
            </w:r>
            <w:r>
              <w:rPr>
                <w:rFonts w:ascii="Times New Roman" w:hAnsi="Times New Roman" w:eastAsia="宋体" w:cs="Times New Roman"/>
                <w:color w:val="auto"/>
                <w:sz w:val="24"/>
                <w:szCs w:val="24"/>
                <w:lang w:eastAsia="zh-CN"/>
              </w:rPr>
              <w:t>N2-2。</w:t>
            </w:r>
          </w:p>
          <w:p w14:paraId="50BD9F3C">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③抛光：</w:t>
            </w:r>
            <w:r>
              <w:rPr>
                <w:rFonts w:hint="eastAsia" w:ascii="Times New Roman" w:hAnsi="Times New Roman" w:eastAsia="宋体" w:cs="Times New Roman"/>
                <w:sz w:val="24"/>
                <w:lang w:val="en-US" w:eastAsia="zh-CN"/>
              </w:rPr>
              <w:t>通过抛光机</w:t>
            </w:r>
            <w:r>
              <w:rPr>
                <w:rFonts w:ascii="Times New Roman" w:hAnsi="Times New Roman" w:eastAsia="宋体" w:cs="Times New Roman"/>
                <w:sz w:val="24"/>
                <w:lang w:eastAsia="zh-CN"/>
              </w:rPr>
              <w:t>对铝板材进行抛光处理，使其表面更加光洁、平整。</w:t>
            </w:r>
          </w:p>
          <w:p w14:paraId="15929A44">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该工序产生的主要污染物为抛光粉尘G2-2和设备噪声N2-3。</w:t>
            </w:r>
          </w:p>
          <w:p w14:paraId="3434E88A">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sz w:val="24"/>
                <w:lang w:eastAsia="zh-CN"/>
              </w:rPr>
              <w:t>④喷塑、固化：</w:t>
            </w:r>
            <w:r>
              <w:rPr>
                <w:rFonts w:ascii="Times New Roman" w:hAnsi="Times New Roman" w:eastAsia="宋体" w:cs="Times New Roman"/>
                <w:bCs/>
                <w:color w:val="auto"/>
                <w:sz w:val="24"/>
                <w:szCs w:val="24"/>
                <w:lang w:eastAsia="zh-CN"/>
              </w:rPr>
              <w:t>采用</w:t>
            </w:r>
            <w:r>
              <w:rPr>
                <w:rFonts w:ascii="Times New Roman" w:hAnsi="Times New Roman" w:cs="Times New Roman"/>
                <w:bCs/>
                <w:color w:val="auto"/>
                <w:sz w:val="24"/>
                <w:szCs w:val="24"/>
                <w:lang w:eastAsia="zh-CN"/>
              </w:rPr>
              <w:t>人工手持</w:t>
            </w:r>
            <w:r>
              <w:rPr>
                <w:rFonts w:ascii="Times New Roman" w:hAnsi="Times New Roman" w:eastAsia="宋体" w:cs="Times New Roman"/>
                <w:bCs/>
                <w:color w:val="auto"/>
                <w:sz w:val="24"/>
                <w:szCs w:val="24"/>
                <w:lang w:eastAsia="zh-CN"/>
              </w:rPr>
              <w:t>喷枪对工件表面进行喷塑处理，然后工件</w:t>
            </w:r>
            <w:r>
              <w:rPr>
                <w:rFonts w:ascii="Times New Roman" w:hAnsi="Times New Roman" w:cs="Times New Roman"/>
                <w:bCs/>
                <w:color w:val="auto"/>
                <w:sz w:val="24"/>
                <w:szCs w:val="24"/>
                <w:lang w:eastAsia="zh-CN"/>
              </w:rPr>
              <w:t>通过轨道</w:t>
            </w:r>
            <w:r>
              <w:rPr>
                <w:rFonts w:ascii="Times New Roman" w:hAnsi="Times New Roman" w:eastAsia="宋体" w:cs="Times New Roman"/>
                <w:bCs/>
                <w:color w:val="auto"/>
                <w:sz w:val="24"/>
                <w:szCs w:val="24"/>
                <w:lang w:eastAsia="zh-CN"/>
              </w:rPr>
              <w:t>进入</w:t>
            </w:r>
            <w:r>
              <w:rPr>
                <w:rFonts w:hint="eastAsia" w:ascii="Times New Roman" w:hAnsi="Times New Roman" w:cs="Times New Roman"/>
                <w:bCs/>
                <w:color w:val="auto"/>
                <w:sz w:val="24"/>
                <w:szCs w:val="24"/>
                <w:lang w:eastAsia="zh-CN"/>
              </w:rPr>
              <w:t>密闭固化房</w:t>
            </w:r>
            <w:r>
              <w:rPr>
                <w:rFonts w:ascii="Times New Roman" w:hAnsi="Times New Roman" w:cs="Times New Roman"/>
                <w:bCs/>
                <w:color w:val="auto"/>
                <w:sz w:val="24"/>
                <w:szCs w:val="24"/>
                <w:lang w:eastAsia="zh-CN"/>
              </w:rPr>
              <w:t>内</w:t>
            </w:r>
            <w:r>
              <w:rPr>
                <w:rFonts w:hint="eastAsia" w:ascii="Times New Roman" w:hAnsi="Times New Roman" w:cs="Times New Roman"/>
                <w:bCs/>
                <w:color w:val="auto"/>
                <w:sz w:val="24"/>
                <w:szCs w:val="24"/>
                <w:lang w:eastAsia="zh-CN"/>
              </w:rPr>
              <w:t>，</w:t>
            </w:r>
            <w:r>
              <w:rPr>
                <w:rFonts w:ascii="Times New Roman" w:hAnsi="Times New Roman" w:eastAsia="宋体" w:cs="Times New Roman"/>
                <w:bCs/>
                <w:color w:val="auto"/>
                <w:sz w:val="24"/>
                <w:szCs w:val="24"/>
                <w:lang w:eastAsia="zh-CN"/>
              </w:rPr>
              <w:t>固化热量来源于天然气燃烧产生的热量直接接触构件，固化温度控制在180-220℃，通过热量直接接触构件使得塑粉成膜附着构件表面。</w:t>
            </w:r>
          </w:p>
          <w:p w14:paraId="6CC9B4B2">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该工序产生的主要污染物为喷塑粉尘G2-3、固化废气G2-4、塑粉包装材料S2-2、设备噪N1-4。</w:t>
            </w:r>
          </w:p>
          <w:p w14:paraId="11260435">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⑤成品入库：将固化完成后的产品暂存于成品区进行打包后发货</w:t>
            </w:r>
            <w:r>
              <w:rPr>
                <w:rFonts w:hint="eastAsia" w:ascii="Times New Roman" w:hAnsi="Times New Roman" w:eastAsia="宋体" w:cs="Times New Roman"/>
                <w:bCs/>
                <w:color w:val="auto"/>
                <w:sz w:val="24"/>
                <w:szCs w:val="24"/>
                <w:lang w:eastAsia="zh-CN"/>
              </w:rPr>
              <w:t>。</w:t>
            </w:r>
          </w:p>
          <w:p w14:paraId="7A7C1C53">
            <w:pPr>
              <w:adjustRightInd/>
              <w:snapToGrid/>
              <w:spacing w:line="360" w:lineRule="auto"/>
              <w:ind w:firstLine="480" w:firstLineChars="200"/>
              <w:rPr>
                <w:rFonts w:ascii="Times New Roman" w:hAnsi="Times New Roman" w:cs="Times New Roman"/>
                <w:sz w:val="24"/>
                <w:lang w:bidi="ar"/>
              </w:rPr>
            </w:pPr>
            <w:r>
              <w:rPr>
                <w:rFonts w:ascii="Times New Roman" w:hAnsi="Times New Roman" w:cs="Times New Roman"/>
                <w:sz w:val="24"/>
                <w:lang w:bidi="ar"/>
              </w:rPr>
              <w:t>（5）</w:t>
            </w:r>
            <w:r>
              <w:rPr>
                <w:rFonts w:ascii="Times New Roman" w:hAnsi="Times New Roman" w:eastAsia="宋体" w:cs="Times New Roman"/>
                <w:sz w:val="24"/>
                <w:lang w:eastAsia="zh-CN"/>
              </w:rPr>
              <w:t>钣金箱体</w:t>
            </w:r>
            <w:r>
              <w:rPr>
                <w:rFonts w:ascii="Times New Roman" w:hAnsi="Times New Roman" w:cs="Times New Roman"/>
                <w:sz w:val="24"/>
                <w:lang w:bidi="ar"/>
              </w:rPr>
              <w:t>工艺流程及产污节点简图如下图</w:t>
            </w:r>
          </w:p>
          <w:p w14:paraId="06578967">
            <w:pPr>
              <w:adjustRightInd/>
              <w:snapToGrid/>
              <w:spacing w:line="360" w:lineRule="auto"/>
              <w:jc w:val="center"/>
              <w:rPr>
                <w:rFonts w:ascii="Times New Roman" w:hAnsi="Times New Roman" w:cs="Times New Roman"/>
                <w:b/>
                <w:bCs/>
                <w:sz w:val="24"/>
              </w:rPr>
            </w:pPr>
            <w:r>
              <w:rPr>
                <w:rFonts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3816350</wp:posOffset>
                      </wp:positionH>
                      <wp:positionV relativeFrom="paragraph">
                        <wp:posOffset>4784090</wp:posOffset>
                      </wp:positionV>
                      <wp:extent cx="662940" cy="609600"/>
                      <wp:effectExtent l="4445" t="4445" r="18415" b="10795"/>
                      <wp:wrapNone/>
                      <wp:docPr id="135" name="文本框 135"/>
                      <wp:cNvGraphicFramePr/>
                      <a:graphic xmlns:a="http://schemas.openxmlformats.org/drawingml/2006/main">
                        <a:graphicData uri="http://schemas.microsoft.com/office/word/2010/wordprocessingShape">
                          <wps:wsp>
                            <wps:cNvSpPr txBox="1"/>
                            <wps:spPr>
                              <a:xfrm>
                                <a:off x="0" y="0"/>
                                <a:ext cx="662940" cy="609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F8E016">
                                  <w:pPr>
                                    <w:rPr>
                                      <w:rFonts w:ascii="Times New Roman" w:hAnsi="Times New Roman" w:cs="Times New Roman"/>
                                      <w:lang w:eastAsia="zh-CN"/>
                                    </w:rPr>
                                  </w:pPr>
                                  <w:r>
                                    <w:rPr>
                                      <w:rFonts w:ascii="Times New Roman" w:hAnsi="Times New Roman" w:cs="Times New Roman"/>
                                      <w:lang w:eastAsia="zh-CN"/>
                                    </w:rPr>
                                    <w:t>G：废气</w:t>
                                  </w:r>
                                </w:p>
                                <w:p w14:paraId="78B990EB">
                                  <w:pPr>
                                    <w:rPr>
                                      <w:rFonts w:ascii="Times New Roman" w:hAnsi="Times New Roman" w:cs="Times New Roman"/>
                                      <w:lang w:eastAsia="zh-CN"/>
                                    </w:rPr>
                                  </w:pPr>
                                  <w:r>
                                    <w:rPr>
                                      <w:rFonts w:ascii="Times New Roman" w:hAnsi="Times New Roman" w:cs="Times New Roman"/>
                                      <w:lang w:eastAsia="zh-CN"/>
                                    </w:rPr>
                                    <w:t>S：固废</w:t>
                                  </w:r>
                                </w:p>
                                <w:p w14:paraId="01F97AEA">
                                  <w:pPr>
                                    <w:rPr>
                                      <w:rFonts w:ascii="Times New Roman" w:hAnsi="Times New Roman" w:cs="Times New Roman"/>
                                      <w:lang w:eastAsia="zh-CN"/>
                                    </w:rPr>
                                  </w:pPr>
                                  <w:r>
                                    <w:rPr>
                                      <w:rFonts w:ascii="Times New Roman" w:hAnsi="Times New Roman" w:cs="Times New Roman"/>
                                      <w:lang w:eastAsia="zh-CN"/>
                                    </w:rPr>
                                    <w:t>N：噪声</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376.7pt;height:48pt;width:52.2pt;z-index:251662336;mso-width-relative:page;mso-height-relative:page;" fillcolor="#FFFFFF [3201]" filled="t" stroked="t" coordsize="21600,21600" o:gfxdata="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w8zxLaAAAA&#10;CwEAAA8AAAAAAAAAAQAgAAAAIgAAAGRycy9kb3ducmV2LnhtbFBLAQIUABQAAAAIAIdO4kCGzaM4&#10;VAIAALoEAAAOAAAAAAAAAAEAIAAAACkBAABkcnMvZTJvRG9jLnhtbFBLBQYAAAAABgAGAFkBAADv&#10;BQAAAAA=&#10;">
                      <v:fill on="t" focussize="0,0"/>
                      <v:stroke weight="0.5pt" color="#000000 [3204]" joinstyle="round"/>
                      <v:imagedata o:title=""/>
                      <o:lock v:ext="edit" aspectratio="f"/>
                      <v:textbox inset="1mm,1mm,1mm,1mm">
                        <w:txbxContent>
                          <w:p w14:paraId="3AF8E016">
                            <w:pPr>
                              <w:rPr>
                                <w:rFonts w:ascii="Times New Roman" w:hAnsi="Times New Roman" w:cs="Times New Roman"/>
                                <w:lang w:eastAsia="zh-CN"/>
                              </w:rPr>
                            </w:pPr>
                            <w:r>
                              <w:rPr>
                                <w:rFonts w:ascii="Times New Roman" w:hAnsi="Times New Roman" w:cs="Times New Roman"/>
                                <w:lang w:eastAsia="zh-CN"/>
                              </w:rPr>
                              <w:t>G：废气</w:t>
                            </w:r>
                          </w:p>
                          <w:p w14:paraId="78B990EB">
                            <w:pPr>
                              <w:rPr>
                                <w:rFonts w:ascii="Times New Roman" w:hAnsi="Times New Roman" w:cs="Times New Roman"/>
                                <w:lang w:eastAsia="zh-CN"/>
                              </w:rPr>
                            </w:pPr>
                            <w:r>
                              <w:rPr>
                                <w:rFonts w:ascii="Times New Roman" w:hAnsi="Times New Roman" w:cs="Times New Roman"/>
                                <w:lang w:eastAsia="zh-CN"/>
                              </w:rPr>
                              <w:t>S：固废</w:t>
                            </w:r>
                          </w:p>
                          <w:p w14:paraId="01F97AEA">
                            <w:pPr>
                              <w:rPr>
                                <w:rFonts w:ascii="Times New Roman" w:hAnsi="Times New Roman" w:cs="Times New Roman"/>
                                <w:lang w:eastAsia="zh-CN"/>
                              </w:rPr>
                            </w:pPr>
                            <w:r>
                              <w:rPr>
                                <w:rFonts w:ascii="Times New Roman" w:hAnsi="Times New Roman" w:cs="Times New Roman"/>
                                <w:lang w:eastAsia="zh-CN"/>
                              </w:rPr>
                              <w:t>N：噪声</w:t>
                            </w:r>
                          </w:p>
                        </w:txbxContent>
                      </v:textbox>
                    </v:shape>
                  </w:pict>
                </mc:Fallback>
              </mc:AlternateContent>
            </w:r>
            <w:r>
              <w:rPr>
                <w:rFonts w:ascii="Times New Roman" w:hAnsi="Times New Roman" w:cs="Times New Roman" w:eastAsiaTheme="minorEastAsia"/>
                <w:bCs/>
                <w:color w:val="auto"/>
                <w:lang w:eastAsia="zh-CN"/>
              </w:rPr>
              <w:drawing>
                <wp:inline distT="0" distB="0" distL="114300" distR="114300">
                  <wp:extent cx="3371215" cy="5437505"/>
                  <wp:effectExtent l="0" t="0" r="12065" b="3175"/>
                  <wp:docPr id="134" name="F360BE8B-6686-4F3D-AEAF-501FE73E4058-3" descr="C:/Users/Administrator/AppData/Local/Temp/绘图1(54).png绘图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360BE8B-6686-4F3D-AEAF-501FE73E4058-3" descr="C:/Users/Administrator/AppData/Local/Temp/绘图1(54).png绘图1(54)"/>
                          <pic:cNvPicPr>
                            <a:picLocks noChangeAspect="1"/>
                          </pic:cNvPicPr>
                        </pic:nvPicPr>
                        <pic:blipFill>
                          <a:blip r:embed="rId12"/>
                          <a:stretch>
                            <a:fillRect/>
                          </a:stretch>
                        </pic:blipFill>
                        <pic:spPr>
                          <a:xfrm>
                            <a:off x="0" y="0"/>
                            <a:ext cx="3371088" cy="5437632"/>
                          </a:xfrm>
                          <a:prstGeom prst="rect">
                            <a:avLst/>
                          </a:prstGeom>
                        </pic:spPr>
                      </pic:pic>
                    </a:graphicData>
                  </a:graphic>
                </wp:inline>
              </w:drawing>
            </w:r>
          </w:p>
          <w:p w14:paraId="673EE199">
            <w:pPr>
              <w:adjustRightInd/>
              <w:snapToGrid/>
              <w:spacing w:line="360" w:lineRule="auto"/>
              <w:jc w:val="center"/>
              <w:rPr>
                <w:rFonts w:ascii="Times New Roman" w:hAnsi="Times New Roman" w:cs="Times New Roman"/>
                <w:sz w:val="24"/>
              </w:rPr>
            </w:pPr>
            <w:r>
              <w:rPr>
                <w:rFonts w:ascii="Times New Roman" w:hAnsi="Times New Roman" w:cs="Times New Roman"/>
                <w:b/>
                <w:bCs/>
                <w:sz w:val="24"/>
              </w:rPr>
              <w:t>图2-</w:t>
            </w:r>
            <w:r>
              <w:rPr>
                <w:rFonts w:ascii="Times New Roman" w:hAnsi="Times New Roman" w:eastAsia="宋体" w:cs="Times New Roman"/>
                <w:b/>
                <w:bCs/>
                <w:sz w:val="24"/>
                <w:lang w:eastAsia="zh-CN"/>
              </w:rPr>
              <w:t>4</w:t>
            </w:r>
            <w:r>
              <w:rPr>
                <w:rFonts w:ascii="Times New Roman" w:hAnsi="Times New Roman" w:cs="Times New Roman"/>
                <w:b/>
                <w:bCs/>
                <w:sz w:val="24"/>
              </w:rPr>
              <w:t xml:space="preserve">  生产工艺流程及产污节点图</w:t>
            </w:r>
            <w:bookmarkStart w:id="2" w:name="_Toc28017"/>
          </w:p>
          <w:p w14:paraId="726198B9">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（6）工艺流程简述：</w:t>
            </w:r>
          </w:p>
          <w:p w14:paraId="252CF1DC">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①激光下料：外购的钢板，根据设计图纸要求，采用激光下料机将材料分割成所需的规格尺寸。</w:t>
            </w:r>
          </w:p>
          <w:p w14:paraId="48475A1D">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该工序产生的主要污染物为切割烟尘G3-1、金属边角料S3-1和设备运行噪声N3-1。</w:t>
            </w:r>
          </w:p>
          <w:p w14:paraId="7458F887">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②折弯：切割好的材料通过折弯机使其板材弯曲成型。该工序产生的主要污染物为设备噪声</w:t>
            </w:r>
            <w:r>
              <w:rPr>
                <w:rFonts w:ascii="Times New Roman" w:hAnsi="Times New Roman" w:eastAsia="宋体" w:cs="Times New Roman"/>
                <w:color w:val="auto"/>
                <w:sz w:val="24"/>
                <w:szCs w:val="24"/>
                <w:lang w:eastAsia="zh-CN"/>
              </w:rPr>
              <w:t>N3-2。</w:t>
            </w:r>
          </w:p>
          <w:p w14:paraId="144345C3">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③焊接：通过电焊机对其拼装焊接成型后进行下一道工序。</w:t>
            </w:r>
          </w:p>
          <w:p w14:paraId="73D800E9">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w:t>
            </w:r>
            <w:r>
              <w:rPr>
                <w:rFonts w:ascii="Times New Roman" w:hAnsi="Times New Roman" w:cs="Times New Roman"/>
                <w:bCs/>
                <w:color w:val="auto"/>
                <w:sz w:val="24"/>
                <w:szCs w:val="24"/>
                <w:lang w:eastAsia="zh-CN"/>
              </w:rPr>
              <w:t>焊接烟尘G3-2、焊渣S3-2和设备噪声N3-3。</w:t>
            </w:r>
          </w:p>
          <w:p w14:paraId="40A7D7E4">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④抛光：焊接后的半成品通过抛光机对焊接点位进行抛光处理，去除表面氧化层，使其表面更加光洁、平整。</w:t>
            </w:r>
          </w:p>
          <w:p w14:paraId="02121961">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该工序产生的主要污染物为抛光粉尘G3-3和设备噪声N3-4。</w:t>
            </w:r>
          </w:p>
          <w:p w14:paraId="0B643FA9">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sz w:val="24"/>
                <w:lang w:eastAsia="zh-CN"/>
              </w:rPr>
              <w:t>⑤喷塑、固化：</w:t>
            </w:r>
            <w:r>
              <w:rPr>
                <w:rFonts w:ascii="Times New Roman" w:hAnsi="Times New Roman" w:eastAsia="宋体" w:cs="Times New Roman"/>
                <w:bCs/>
                <w:color w:val="auto"/>
                <w:sz w:val="24"/>
                <w:szCs w:val="24"/>
                <w:lang w:eastAsia="zh-CN"/>
              </w:rPr>
              <w:t>采用</w:t>
            </w:r>
            <w:r>
              <w:rPr>
                <w:rFonts w:ascii="Times New Roman" w:hAnsi="Times New Roman" w:cs="Times New Roman"/>
                <w:bCs/>
                <w:color w:val="auto"/>
                <w:sz w:val="24"/>
                <w:szCs w:val="24"/>
                <w:lang w:eastAsia="zh-CN"/>
              </w:rPr>
              <w:t>人工手持</w:t>
            </w:r>
            <w:r>
              <w:rPr>
                <w:rFonts w:ascii="Times New Roman" w:hAnsi="Times New Roman" w:eastAsia="宋体" w:cs="Times New Roman"/>
                <w:bCs/>
                <w:color w:val="auto"/>
                <w:sz w:val="24"/>
                <w:szCs w:val="24"/>
                <w:lang w:eastAsia="zh-CN"/>
              </w:rPr>
              <w:t>喷枪对工件表面进行喷塑处理，然后工件</w:t>
            </w:r>
            <w:r>
              <w:rPr>
                <w:rFonts w:ascii="Times New Roman" w:hAnsi="Times New Roman" w:cs="Times New Roman"/>
                <w:bCs/>
                <w:color w:val="auto"/>
                <w:sz w:val="24"/>
                <w:szCs w:val="24"/>
                <w:lang w:eastAsia="zh-CN"/>
              </w:rPr>
              <w:t>通过轨道</w:t>
            </w:r>
            <w:r>
              <w:rPr>
                <w:rFonts w:ascii="Times New Roman" w:hAnsi="Times New Roman" w:eastAsia="宋体" w:cs="Times New Roman"/>
                <w:bCs/>
                <w:color w:val="auto"/>
                <w:sz w:val="24"/>
                <w:szCs w:val="24"/>
                <w:lang w:eastAsia="zh-CN"/>
              </w:rPr>
              <w:t>进入</w:t>
            </w:r>
            <w:r>
              <w:rPr>
                <w:rFonts w:hint="eastAsia" w:ascii="Times New Roman" w:hAnsi="Times New Roman" w:cs="Times New Roman"/>
                <w:bCs/>
                <w:color w:val="auto"/>
                <w:sz w:val="24"/>
                <w:szCs w:val="24"/>
                <w:lang w:eastAsia="zh-CN"/>
              </w:rPr>
              <w:t>密闭固化房</w:t>
            </w:r>
            <w:r>
              <w:rPr>
                <w:rFonts w:ascii="Times New Roman" w:hAnsi="Times New Roman" w:cs="Times New Roman"/>
                <w:bCs/>
                <w:color w:val="auto"/>
                <w:sz w:val="24"/>
                <w:szCs w:val="24"/>
                <w:lang w:eastAsia="zh-CN"/>
              </w:rPr>
              <w:t>内</w:t>
            </w:r>
            <w:r>
              <w:rPr>
                <w:rFonts w:hint="eastAsia" w:ascii="Times New Roman" w:hAnsi="Times New Roman" w:cs="Times New Roman"/>
                <w:bCs/>
                <w:color w:val="auto"/>
                <w:sz w:val="24"/>
                <w:szCs w:val="24"/>
                <w:lang w:eastAsia="zh-CN"/>
              </w:rPr>
              <w:t>，</w:t>
            </w:r>
            <w:r>
              <w:rPr>
                <w:rFonts w:ascii="Times New Roman" w:hAnsi="Times New Roman" w:eastAsia="宋体" w:cs="Times New Roman"/>
                <w:bCs/>
                <w:color w:val="auto"/>
                <w:sz w:val="24"/>
                <w:szCs w:val="24"/>
                <w:lang w:eastAsia="zh-CN"/>
              </w:rPr>
              <w:t>固化热量来源于天然气燃烧产生的热量直接接触构件，固化温度控制在180-220℃，通过热量直接接触构件使得塑粉成膜附着构件表面。</w:t>
            </w:r>
          </w:p>
          <w:p w14:paraId="1FEAEA53">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该工序产生的主要污染物为喷塑粉尘G3-4、固化废气G3-5、塑粉包装材料S3-3、设备噪N3-5。</w:t>
            </w:r>
          </w:p>
          <w:p w14:paraId="122C37E8">
            <w:pPr>
              <w:widowControl w:val="0"/>
              <w:kinsoku/>
              <w:adjustRightInd/>
              <w:snapToGrid/>
              <w:spacing w:line="360" w:lineRule="auto"/>
              <w:ind w:firstLine="480" w:firstLineChars="200"/>
              <w:textAlignment w:val="auto"/>
              <w:rPr>
                <w:rFonts w:ascii="Times New Roman" w:hAnsi="Times New Roman" w:cs="Times New Roman"/>
                <w:b/>
                <w:bCs/>
                <w:sz w:val="24"/>
                <w:lang w:eastAsia="zh-CN"/>
              </w:rPr>
            </w:pPr>
            <w:r>
              <w:rPr>
                <w:rFonts w:ascii="Times New Roman" w:hAnsi="Times New Roman" w:eastAsia="宋体" w:cs="Times New Roman"/>
                <w:bCs/>
                <w:color w:val="auto"/>
                <w:sz w:val="24"/>
                <w:szCs w:val="24"/>
                <w:lang w:eastAsia="zh-CN"/>
              </w:rPr>
              <w:t>⑤成品入库：将固化完成后的产品暂存于成品区进行打包后发货。</w:t>
            </w:r>
          </w:p>
          <w:p w14:paraId="456967A1">
            <w:pPr>
              <w:adjustRightInd/>
              <w:snapToGrid/>
              <w:spacing w:line="360" w:lineRule="auto"/>
              <w:ind w:firstLine="480" w:firstLineChars="200"/>
              <w:rPr>
                <w:rFonts w:ascii="Times New Roman" w:hAnsi="Times New Roman" w:cs="Times New Roman"/>
                <w:sz w:val="24"/>
                <w:lang w:bidi="ar"/>
              </w:rPr>
            </w:pPr>
            <w:r>
              <w:rPr>
                <w:rFonts w:ascii="Times New Roman" w:hAnsi="Times New Roman" w:cs="Times New Roman"/>
                <w:sz w:val="24"/>
                <w:lang w:bidi="ar"/>
              </w:rPr>
              <w:t>（</w:t>
            </w:r>
            <w:r>
              <w:rPr>
                <w:rFonts w:ascii="Times New Roman" w:hAnsi="Times New Roman" w:eastAsia="宋体" w:cs="Times New Roman"/>
                <w:sz w:val="24"/>
                <w:lang w:eastAsia="zh-CN" w:bidi="ar"/>
              </w:rPr>
              <w:t>7</w:t>
            </w:r>
            <w:r>
              <w:rPr>
                <w:rFonts w:ascii="Times New Roman" w:hAnsi="Times New Roman" w:cs="Times New Roman"/>
                <w:sz w:val="24"/>
                <w:lang w:bidi="ar"/>
              </w:rPr>
              <w:t>）</w:t>
            </w:r>
            <w:r>
              <w:rPr>
                <w:rFonts w:ascii="Times New Roman" w:hAnsi="Times New Roman" w:eastAsia="宋体" w:cs="Times New Roman"/>
                <w:sz w:val="24"/>
                <w:lang w:eastAsia="zh-CN" w:bidi="ar"/>
              </w:rPr>
              <w:t>门窗</w:t>
            </w:r>
            <w:r>
              <w:rPr>
                <w:rFonts w:ascii="Times New Roman" w:hAnsi="Times New Roman" w:cs="Times New Roman"/>
                <w:sz w:val="24"/>
                <w:lang w:bidi="ar"/>
              </w:rPr>
              <w:t>工艺流程及产污节点简图如下图</w:t>
            </w:r>
          </w:p>
          <w:p w14:paraId="77B9715A">
            <w:pPr>
              <w:widowControl w:val="0"/>
              <w:kinsoku/>
              <w:adjustRightInd/>
              <w:snapToGrid/>
              <w:spacing w:line="360" w:lineRule="auto"/>
              <w:jc w:val="center"/>
              <w:textAlignment w:val="auto"/>
              <w:rPr>
                <w:rFonts w:ascii="Times New Roman" w:hAnsi="Times New Roman" w:cs="Times New Roman"/>
                <w:b/>
                <w:bCs/>
                <w:sz w:val="24"/>
                <w:lang w:eastAsia="zh-CN"/>
              </w:rPr>
            </w:pPr>
            <w:r>
              <w:rPr>
                <w:rFonts w:ascii="Times New Roman" w:hAnsi="Times New Roman" w:cs="Times New Roman"/>
                <w:b/>
                <w:bCs/>
                <w:sz w:val="24"/>
                <w:lang w:eastAsia="zh-CN"/>
              </w:rPr>
              <w:drawing>
                <wp:inline distT="0" distB="0" distL="114300" distR="114300">
                  <wp:extent cx="3608705" cy="2237105"/>
                  <wp:effectExtent l="0" t="0" r="3175" b="3175"/>
                  <wp:docPr id="136" name="F360BE8B-6686-4F3D-AEAF-501FE73E4058-4" descr="C:/Users/Administrator/AppData/Local/Temp/绘图1(57).png绘图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360BE8B-6686-4F3D-AEAF-501FE73E4058-4" descr="C:/Users/Administrator/AppData/Local/Temp/绘图1(57).png绘图1(57)"/>
                          <pic:cNvPicPr>
                            <a:picLocks noChangeAspect="1"/>
                          </pic:cNvPicPr>
                        </pic:nvPicPr>
                        <pic:blipFill>
                          <a:blip r:embed="rId13"/>
                          <a:stretch>
                            <a:fillRect/>
                          </a:stretch>
                        </pic:blipFill>
                        <pic:spPr>
                          <a:xfrm>
                            <a:off x="0" y="0"/>
                            <a:ext cx="3608832" cy="2237232"/>
                          </a:xfrm>
                          <a:prstGeom prst="rect">
                            <a:avLst/>
                          </a:prstGeom>
                        </pic:spPr>
                      </pic:pic>
                    </a:graphicData>
                  </a:graphic>
                </wp:inline>
              </w:drawing>
            </w:r>
          </w:p>
          <w:p w14:paraId="203E7465">
            <w:pPr>
              <w:adjustRightInd/>
              <w:snapToGrid/>
              <w:spacing w:line="360" w:lineRule="auto"/>
              <w:jc w:val="center"/>
              <w:rPr>
                <w:rFonts w:ascii="Times New Roman" w:hAnsi="Times New Roman" w:cs="Times New Roman"/>
                <w:sz w:val="24"/>
              </w:rPr>
            </w:pPr>
            <w:r>
              <w:rPr>
                <w:rFonts w:ascii="Times New Roman" w:hAnsi="Times New Roman" w:cs="Times New Roman"/>
                <w:b/>
                <w:bCs/>
                <w:sz w:val="24"/>
              </w:rPr>
              <w:t>图2-</w:t>
            </w:r>
            <w:r>
              <w:rPr>
                <w:rFonts w:ascii="Times New Roman" w:hAnsi="Times New Roman" w:eastAsia="宋体" w:cs="Times New Roman"/>
                <w:b/>
                <w:bCs/>
                <w:sz w:val="24"/>
                <w:lang w:eastAsia="zh-CN"/>
              </w:rPr>
              <w:t>5</w:t>
            </w:r>
            <w:r>
              <w:rPr>
                <w:rFonts w:ascii="Times New Roman" w:hAnsi="Times New Roman" w:cs="Times New Roman"/>
                <w:b/>
                <w:bCs/>
                <w:sz w:val="24"/>
              </w:rPr>
              <w:t xml:space="preserve">  生产工艺流程及产污节点图</w:t>
            </w:r>
          </w:p>
          <w:p w14:paraId="17041359">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（8）工艺流程简述：</w:t>
            </w:r>
          </w:p>
          <w:p w14:paraId="1266E9D8">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①激光下料：外购的成品铝材，根据设计图纸要求，采用激光下料机将材料分割成所需的规格尺寸。</w:t>
            </w:r>
          </w:p>
          <w:p w14:paraId="1125B2E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该工序产生的主要污染物为切割烟尘G4-1、铝材边角料S4-1和设备运行噪声N3-1。</w:t>
            </w:r>
          </w:p>
          <w:p w14:paraId="6E4CFA91">
            <w:pPr>
              <w:widowControl w:val="0"/>
              <w:kinsoku/>
              <w:adjustRightInd/>
              <w:snapToGrid/>
              <w:spacing w:line="360" w:lineRule="auto"/>
              <w:ind w:firstLine="480" w:firstLineChars="200"/>
              <w:textAlignment w:val="auto"/>
              <w:rPr>
                <w:rFonts w:ascii="Times New Roman" w:hAnsi="Times New Roman" w:cs="Times New Roman"/>
                <w:sz w:val="24"/>
                <w:lang w:eastAsia="zh-CN"/>
              </w:rPr>
            </w:pPr>
            <w:r>
              <w:rPr>
                <w:rFonts w:ascii="Times New Roman" w:hAnsi="Times New Roman" w:cs="Times New Roman"/>
                <w:sz w:val="24"/>
                <w:lang w:eastAsia="zh-CN"/>
              </w:rPr>
              <w:t>②拼装：切割好的铝材，通过门窗五金对其进行拼装，</w:t>
            </w:r>
            <w:r>
              <w:rPr>
                <w:rFonts w:hint="eastAsia" w:ascii="Times New Roman" w:hAnsi="Times New Roman" w:cs="Times New Roman"/>
                <w:sz w:val="24"/>
                <w:lang w:val="en-US" w:eastAsia="zh-CN"/>
              </w:rPr>
              <w:t>过程不使用胶黏剂，</w:t>
            </w:r>
            <w:r>
              <w:rPr>
                <w:rFonts w:ascii="Times New Roman" w:hAnsi="Times New Roman" w:cs="Times New Roman"/>
                <w:sz w:val="24"/>
                <w:lang w:eastAsia="zh-CN"/>
              </w:rPr>
              <w:t>拼装之后再装上外购的成品玻璃最终得到成品。</w:t>
            </w:r>
            <w:r>
              <w:rPr>
                <w:rFonts w:hint="eastAsia" w:ascii="Times New Roman" w:hAnsi="Times New Roman" w:cs="Times New Roman"/>
                <w:sz w:val="24"/>
                <w:lang w:val="en-US" w:eastAsia="zh-CN"/>
              </w:rPr>
              <w:t>包装好入库</w:t>
            </w:r>
            <w:r>
              <w:rPr>
                <w:rFonts w:ascii="Times New Roman" w:hAnsi="Times New Roman" w:cs="Times New Roman"/>
                <w:sz w:val="24"/>
                <w:lang w:eastAsia="zh-CN"/>
              </w:rPr>
              <w:t>。</w:t>
            </w:r>
          </w:p>
          <w:p w14:paraId="1A3584CA">
            <w:pPr>
              <w:widowControl w:val="0"/>
              <w:kinsoku/>
              <w:adjustRightInd/>
              <w:snapToGrid/>
              <w:spacing w:line="360" w:lineRule="auto"/>
              <w:ind w:firstLine="480" w:firstLineChars="200"/>
              <w:textAlignment w:val="auto"/>
              <w:rPr>
                <w:rFonts w:ascii="Times New Roman" w:hAnsi="Times New Roman" w:cs="Times New Roman"/>
                <w:sz w:val="24"/>
                <w:lang w:eastAsia="zh-CN"/>
              </w:rPr>
            </w:pPr>
            <w:r>
              <w:rPr>
                <w:rFonts w:ascii="Times New Roman" w:hAnsi="Times New Roman" w:cs="Times New Roman"/>
                <w:sz w:val="24"/>
                <w:lang w:eastAsia="zh-CN"/>
              </w:rPr>
              <w:t>该工序产生的主要污染物为碎玻璃S4-2</w:t>
            </w:r>
            <w:r>
              <w:rPr>
                <w:rFonts w:hint="eastAsia" w:ascii="Times New Roman" w:hAnsi="Times New Roman" w:cs="Times New Roman"/>
                <w:sz w:val="24"/>
                <w:lang w:eastAsia="zh-CN"/>
              </w:rPr>
              <w:t>。</w:t>
            </w:r>
          </w:p>
          <w:p w14:paraId="1233F375">
            <w:pPr>
              <w:adjustRightInd/>
              <w:snapToGrid/>
              <w:spacing w:line="360" w:lineRule="auto"/>
              <w:ind w:firstLine="480" w:firstLineChars="200"/>
              <w:rPr>
                <w:rFonts w:ascii="Times New Roman" w:hAnsi="Times New Roman" w:cs="Times New Roman"/>
                <w:sz w:val="24"/>
                <w:lang w:bidi="ar"/>
              </w:rPr>
            </w:pPr>
            <w:r>
              <w:rPr>
                <w:rFonts w:ascii="Times New Roman" w:hAnsi="Times New Roman" w:cs="Times New Roman"/>
                <w:sz w:val="24"/>
                <w:lang w:bidi="ar"/>
              </w:rPr>
              <w:t>（</w:t>
            </w:r>
            <w:r>
              <w:rPr>
                <w:rFonts w:ascii="Times New Roman" w:hAnsi="Times New Roman" w:eastAsia="宋体" w:cs="Times New Roman"/>
                <w:sz w:val="24"/>
                <w:lang w:eastAsia="zh-CN" w:bidi="ar"/>
              </w:rPr>
              <w:t>9</w:t>
            </w:r>
            <w:r>
              <w:rPr>
                <w:rFonts w:ascii="Times New Roman" w:hAnsi="Times New Roman" w:cs="Times New Roman"/>
                <w:sz w:val="24"/>
                <w:lang w:bidi="ar"/>
              </w:rPr>
              <w:t>）</w:t>
            </w:r>
            <w:r>
              <w:rPr>
                <w:rFonts w:ascii="Times New Roman" w:hAnsi="Times New Roman" w:eastAsia="宋体" w:cs="Times New Roman"/>
                <w:sz w:val="24"/>
                <w:lang w:eastAsia="zh-CN" w:bidi="ar"/>
              </w:rPr>
              <w:t>钢结构</w:t>
            </w:r>
            <w:r>
              <w:rPr>
                <w:rFonts w:ascii="Times New Roman" w:hAnsi="Times New Roman" w:cs="Times New Roman"/>
                <w:sz w:val="24"/>
                <w:lang w:bidi="ar"/>
              </w:rPr>
              <w:t>工艺流程及产污节点简图如下图</w:t>
            </w:r>
          </w:p>
          <w:p w14:paraId="6E0F7A36">
            <w:pPr>
              <w:widowControl w:val="0"/>
              <w:kinsoku/>
              <w:adjustRightInd/>
              <w:snapToGrid/>
              <w:spacing w:line="360" w:lineRule="auto"/>
              <w:jc w:val="center"/>
              <w:textAlignment w:val="auto"/>
              <w:rPr>
                <w:rFonts w:ascii="Times New Roman" w:hAnsi="Times New Roman" w:cs="Times New Roman"/>
                <w:b/>
                <w:bCs/>
                <w:sz w:val="24"/>
                <w:lang w:eastAsia="zh-CN"/>
              </w:rPr>
            </w:pPr>
            <w:r>
              <w:rPr>
                <w:rFonts w:ascii="Times New Roman" w:hAnsi="Times New Roman" w:cs="Times New Roman" w:eastAsiaTheme="majorEastAsia"/>
                <w:lang w:eastAsia="zh-CN"/>
              </w:rPr>
              <w:drawing>
                <wp:inline distT="0" distB="0" distL="114300" distR="114300">
                  <wp:extent cx="3733800" cy="3048000"/>
                  <wp:effectExtent l="0" t="0" r="0" b="0"/>
                  <wp:docPr id="137" name="F360BE8B-6686-4F3D-AEAF-501FE73E4058-5" descr="C:/Users/Administrator/AppData/Local/Temp/绘图1(58).png绘图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360BE8B-6686-4F3D-AEAF-501FE73E4058-5" descr="C:/Users/Administrator/AppData/Local/Temp/绘图1(58).png绘图1(58)"/>
                          <pic:cNvPicPr>
                            <a:picLocks noChangeAspect="1"/>
                          </pic:cNvPicPr>
                        </pic:nvPicPr>
                        <pic:blipFill>
                          <a:blip r:embed="rId14"/>
                          <a:stretch>
                            <a:fillRect/>
                          </a:stretch>
                        </pic:blipFill>
                        <pic:spPr>
                          <a:xfrm>
                            <a:off x="0" y="0"/>
                            <a:ext cx="3733800" cy="3048000"/>
                          </a:xfrm>
                          <a:prstGeom prst="rect">
                            <a:avLst/>
                          </a:prstGeom>
                        </pic:spPr>
                      </pic:pic>
                    </a:graphicData>
                  </a:graphic>
                </wp:inline>
              </w:drawing>
            </w:r>
          </w:p>
          <w:p w14:paraId="62D057FC">
            <w:pPr>
              <w:adjustRightInd/>
              <w:snapToGrid/>
              <w:spacing w:line="360" w:lineRule="auto"/>
              <w:jc w:val="center"/>
              <w:rPr>
                <w:rFonts w:ascii="Times New Roman" w:hAnsi="Times New Roman" w:cs="Times New Roman"/>
                <w:sz w:val="24"/>
              </w:rPr>
            </w:pPr>
            <w:r>
              <w:rPr>
                <w:rFonts w:ascii="Times New Roman" w:hAnsi="Times New Roman" w:cs="Times New Roman"/>
                <w:b/>
                <w:bCs/>
                <w:sz w:val="24"/>
              </w:rPr>
              <w:t>图2-</w:t>
            </w:r>
            <w:r>
              <w:rPr>
                <w:rFonts w:ascii="Times New Roman" w:hAnsi="Times New Roman" w:eastAsia="宋体" w:cs="Times New Roman"/>
                <w:b/>
                <w:bCs/>
                <w:sz w:val="24"/>
                <w:lang w:eastAsia="zh-CN"/>
              </w:rPr>
              <w:t>6</w:t>
            </w:r>
            <w:r>
              <w:rPr>
                <w:rFonts w:ascii="Times New Roman" w:hAnsi="Times New Roman" w:cs="Times New Roman"/>
                <w:b/>
                <w:bCs/>
                <w:sz w:val="24"/>
              </w:rPr>
              <w:t xml:space="preserve">  生产工艺流程及产污节点图</w:t>
            </w:r>
          </w:p>
          <w:p w14:paraId="6DCC4DD0">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（10）工艺流程简述：</w:t>
            </w:r>
          </w:p>
          <w:p w14:paraId="51D21AA6">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①激光下料：外购的钢板、钢管，根据设计图纸要求，采用激光下料机将材料分割成所需的规格尺寸。</w:t>
            </w:r>
          </w:p>
          <w:p w14:paraId="0455365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该工序产生的主要污染物为切割烟尘G5-1、金属边角料S5-1和设备运行噪声N5-1。</w:t>
            </w:r>
          </w:p>
          <w:p w14:paraId="54124786">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②焊接：通过电焊机对其拼装焊接成型后进行下一道工序。</w:t>
            </w:r>
          </w:p>
          <w:p w14:paraId="5C4EC80E">
            <w:pPr>
              <w:adjustRightInd/>
              <w:snapToGrid/>
              <w:spacing w:line="360" w:lineRule="auto"/>
              <w:ind w:firstLine="480" w:firstLineChars="200"/>
              <w:jc w:val="both"/>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w:t>
            </w:r>
            <w:r>
              <w:rPr>
                <w:rFonts w:ascii="Times New Roman" w:hAnsi="Times New Roman" w:cs="Times New Roman"/>
                <w:bCs/>
                <w:color w:val="auto"/>
                <w:sz w:val="24"/>
                <w:szCs w:val="24"/>
                <w:lang w:eastAsia="zh-CN"/>
              </w:rPr>
              <w:t>焊接烟尘G5-2、焊渣S5-2和设备噪声N5-2。</w:t>
            </w:r>
          </w:p>
          <w:p w14:paraId="555D9BE6">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④抛光：焊接后的半成品通过抛光机对焊接点位进行抛光处理，去除表面氧化层，使其表面更加光洁、平整。</w:t>
            </w:r>
          </w:p>
          <w:p w14:paraId="0332A618">
            <w:pPr>
              <w:adjustRightInd/>
              <w:snapToGrid/>
              <w:spacing w:line="360" w:lineRule="auto"/>
              <w:ind w:firstLine="480" w:firstLineChars="200"/>
              <w:rPr>
                <w:rFonts w:ascii="Times New Roman" w:hAnsi="Times New Roman" w:eastAsia="宋体" w:cs="Times New Roman"/>
                <w:sz w:val="24"/>
                <w:lang w:eastAsia="zh-CN"/>
              </w:rPr>
            </w:pPr>
            <w:r>
              <w:rPr>
                <w:rFonts w:ascii="Times New Roman" w:hAnsi="Times New Roman" w:eastAsia="宋体" w:cs="Times New Roman"/>
                <w:sz w:val="24"/>
                <w:lang w:eastAsia="zh-CN"/>
              </w:rPr>
              <w:t>该工序产生的主要污染物为抛光粉尘G5-3和设备噪声N5-3。</w:t>
            </w:r>
          </w:p>
          <w:p w14:paraId="491A8A89">
            <w:pPr>
              <w:widowControl w:val="0"/>
              <w:kinsoku/>
              <w:adjustRightInd/>
              <w:snapToGrid/>
              <w:spacing w:line="360" w:lineRule="auto"/>
              <w:ind w:firstLine="480" w:firstLineChars="200"/>
              <w:textAlignment w:val="auto"/>
              <w:rPr>
                <w:rFonts w:ascii="Times New Roman" w:hAnsi="Times New Roman" w:cs="Times New Roman"/>
                <w:b/>
                <w:bCs/>
                <w:sz w:val="24"/>
                <w:lang w:eastAsia="zh-CN"/>
              </w:rPr>
            </w:pPr>
            <w:r>
              <w:rPr>
                <w:rFonts w:ascii="Times New Roman" w:hAnsi="Times New Roman" w:cs="Times New Roman"/>
                <w:sz w:val="24"/>
                <w:lang w:eastAsia="zh-CN"/>
              </w:rPr>
              <w:t>⑤成品入库：抛光完成的成品暂存成品区。项目钢结构不涉及喷涂工序。</w:t>
            </w:r>
          </w:p>
          <w:p w14:paraId="1A417CDF">
            <w:pPr>
              <w:widowControl w:val="0"/>
              <w:kinsoku/>
              <w:adjustRightInd/>
              <w:snapToGrid/>
              <w:spacing w:line="360" w:lineRule="auto"/>
              <w:textAlignment w:val="auto"/>
              <w:rPr>
                <w:rFonts w:ascii="Times New Roman" w:hAnsi="Times New Roman" w:cs="Times New Roman"/>
                <w:b/>
                <w:bCs/>
                <w:sz w:val="24"/>
              </w:rPr>
            </w:pPr>
            <w:r>
              <w:rPr>
                <w:rFonts w:ascii="Times New Roman" w:hAnsi="Times New Roman" w:cs="Times New Roman"/>
                <w:b/>
                <w:bCs/>
                <w:sz w:val="24"/>
                <w:lang w:eastAsia="zh-CN"/>
              </w:rPr>
              <w:t>二、</w:t>
            </w:r>
            <w:r>
              <w:rPr>
                <w:rFonts w:ascii="Times New Roman" w:hAnsi="Times New Roman" w:cs="Times New Roman"/>
                <w:b/>
                <w:bCs/>
                <w:sz w:val="24"/>
              </w:rPr>
              <w:t>产污节点分析</w:t>
            </w:r>
            <w:bookmarkEnd w:id="2"/>
            <w:r>
              <w:rPr>
                <w:rFonts w:ascii="Times New Roman" w:hAnsi="Times New Roman" w:cs="Times New Roman"/>
                <w:b/>
                <w:bCs/>
                <w:sz w:val="24"/>
              </w:rPr>
              <w:t>：</w:t>
            </w:r>
          </w:p>
          <w:p w14:paraId="5D602BFC">
            <w:pPr>
              <w:jc w:val="center"/>
              <w:rPr>
                <w:rFonts w:ascii="Times New Roman" w:hAnsi="Times New Roman" w:cs="Times New Roman"/>
                <w:b/>
                <w:bCs/>
                <w:sz w:val="24"/>
                <w:szCs w:val="32"/>
              </w:rPr>
            </w:pPr>
            <w:r>
              <w:rPr>
                <w:rFonts w:ascii="Times New Roman" w:hAnsi="Times New Roman" w:cs="Times New Roman"/>
                <w:b/>
                <w:bCs/>
                <w:sz w:val="24"/>
                <w:szCs w:val="32"/>
              </w:rPr>
              <w:t>表2-6  生产过程产污环节及治理措施一览表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777"/>
              <w:gridCol w:w="1527"/>
              <w:gridCol w:w="2111"/>
              <w:gridCol w:w="3578"/>
            </w:tblGrid>
            <w:tr w14:paraId="394F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Align w:val="center"/>
                </w:tcPr>
                <w:p w14:paraId="4D844C7F">
                  <w:pPr>
                    <w:pStyle w:val="33"/>
                    <w:rPr>
                      <w:rFonts w:ascii="Times New Roman" w:hAnsi="Times New Roman" w:cs="Times New Roman"/>
                    </w:rPr>
                  </w:pPr>
                  <w:r>
                    <w:rPr>
                      <w:rFonts w:ascii="Times New Roman" w:hAnsi="Times New Roman" w:cs="Times New Roman"/>
                    </w:rPr>
                    <w:t>产污单元</w:t>
                  </w:r>
                </w:p>
              </w:tc>
              <w:tc>
                <w:tcPr>
                  <w:tcW w:w="419" w:type="pct"/>
                  <w:vAlign w:val="center"/>
                </w:tcPr>
                <w:p w14:paraId="677777D4">
                  <w:pPr>
                    <w:pStyle w:val="33"/>
                    <w:rPr>
                      <w:rFonts w:ascii="Times New Roman" w:hAnsi="Times New Roman" w:cs="Times New Roman"/>
                    </w:rPr>
                  </w:pPr>
                  <w:r>
                    <w:rPr>
                      <w:rFonts w:ascii="Times New Roman" w:hAnsi="Times New Roman" w:cs="Times New Roman"/>
                    </w:rPr>
                    <w:t>类型</w:t>
                  </w:r>
                </w:p>
              </w:tc>
              <w:tc>
                <w:tcPr>
                  <w:tcW w:w="823" w:type="pct"/>
                  <w:vAlign w:val="center"/>
                </w:tcPr>
                <w:p w14:paraId="6D3CFC18">
                  <w:pPr>
                    <w:pStyle w:val="33"/>
                    <w:rPr>
                      <w:rFonts w:ascii="Times New Roman" w:hAnsi="Times New Roman" w:cs="Times New Roman"/>
                    </w:rPr>
                  </w:pPr>
                  <w:r>
                    <w:rPr>
                      <w:rFonts w:ascii="Times New Roman" w:hAnsi="Times New Roman" w:cs="Times New Roman"/>
                    </w:rPr>
                    <w:t>污染工序</w:t>
                  </w:r>
                </w:p>
              </w:tc>
              <w:tc>
                <w:tcPr>
                  <w:tcW w:w="1138" w:type="pct"/>
                  <w:vAlign w:val="center"/>
                </w:tcPr>
                <w:p w14:paraId="57A01D21">
                  <w:pPr>
                    <w:pStyle w:val="33"/>
                    <w:rPr>
                      <w:rFonts w:ascii="Times New Roman" w:hAnsi="Times New Roman" w:cs="Times New Roman"/>
                    </w:rPr>
                  </w:pPr>
                  <w:r>
                    <w:rPr>
                      <w:rFonts w:ascii="Times New Roman" w:hAnsi="Times New Roman" w:cs="Times New Roman"/>
                    </w:rPr>
                    <w:t>主要成分</w:t>
                  </w:r>
                </w:p>
              </w:tc>
              <w:tc>
                <w:tcPr>
                  <w:tcW w:w="1929" w:type="pct"/>
                  <w:vAlign w:val="center"/>
                </w:tcPr>
                <w:p w14:paraId="348A50EF">
                  <w:pPr>
                    <w:pStyle w:val="33"/>
                    <w:rPr>
                      <w:rFonts w:ascii="Times New Roman" w:hAnsi="Times New Roman" w:cs="Times New Roman"/>
                    </w:rPr>
                  </w:pPr>
                  <w:r>
                    <w:rPr>
                      <w:rFonts w:ascii="Times New Roman" w:hAnsi="Times New Roman" w:cs="Times New Roman"/>
                    </w:rPr>
                    <w:t>治理措施及排放形式</w:t>
                  </w:r>
                </w:p>
              </w:tc>
            </w:tr>
            <w:tr w14:paraId="7847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restart"/>
                  <w:vAlign w:val="center"/>
                </w:tcPr>
                <w:p w14:paraId="3EF02903">
                  <w:pPr>
                    <w:pStyle w:val="33"/>
                    <w:rPr>
                      <w:rFonts w:ascii="Times New Roman" w:hAnsi="Times New Roman" w:cs="Times New Roman"/>
                    </w:rPr>
                  </w:pPr>
                  <w:r>
                    <w:rPr>
                      <w:rFonts w:ascii="Times New Roman" w:hAnsi="Times New Roman" w:cs="Times New Roman"/>
                    </w:rPr>
                    <w:t>营运期</w:t>
                  </w:r>
                </w:p>
              </w:tc>
              <w:tc>
                <w:tcPr>
                  <w:tcW w:w="419" w:type="pct"/>
                  <w:vMerge w:val="restart"/>
                  <w:vAlign w:val="center"/>
                </w:tcPr>
                <w:p w14:paraId="1E623933">
                  <w:pPr>
                    <w:pStyle w:val="33"/>
                    <w:rPr>
                      <w:rFonts w:ascii="Times New Roman" w:hAnsi="Times New Roman" w:cs="Times New Roman"/>
                    </w:rPr>
                  </w:pPr>
                  <w:r>
                    <w:rPr>
                      <w:rFonts w:ascii="Times New Roman" w:hAnsi="Times New Roman" w:cs="Times New Roman"/>
                    </w:rPr>
                    <w:t>废气</w:t>
                  </w:r>
                </w:p>
              </w:tc>
              <w:tc>
                <w:tcPr>
                  <w:tcW w:w="823" w:type="pct"/>
                  <w:vAlign w:val="center"/>
                </w:tcPr>
                <w:p w14:paraId="39391C97">
                  <w:pPr>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cs="Times New Roman"/>
                      <w:color w:val="000000" w:themeColor="text1"/>
                      <w:spacing w:val="3"/>
                      <w:lang w:eastAsia="zh-CN"/>
                      <w14:textFill>
                        <w14:solidFill>
                          <w14:schemeClr w14:val="tx1"/>
                        </w14:solidFill>
                      </w14:textFill>
                    </w:rPr>
                    <w:t>下料、焊接、抛光</w:t>
                  </w:r>
                </w:p>
              </w:tc>
              <w:tc>
                <w:tcPr>
                  <w:tcW w:w="1138" w:type="pct"/>
                  <w:vAlign w:val="center"/>
                </w:tcPr>
                <w:p w14:paraId="5F0A962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929" w:type="pct"/>
                  <w:vAlign w:val="center"/>
                </w:tcPr>
                <w:p w14:paraId="342E88EB">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集气罩收集后经布袋除尘器处理后通过15m高排气筒排放（DA001）</w:t>
                  </w:r>
                </w:p>
              </w:tc>
            </w:tr>
            <w:tr w14:paraId="30B4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67725043">
                  <w:pPr>
                    <w:pStyle w:val="33"/>
                    <w:rPr>
                      <w:rFonts w:ascii="Times New Roman" w:hAnsi="Times New Roman" w:cs="Times New Roman"/>
                    </w:rPr>
                  </w:pPr>
                </w:p>
              </w:tc>
              <w:tc>
                <w:tcPr>
                  <w:tcW w:w="419" w:type="pct"/>
                  <w:vMerge w:val="continue"/>
                  <w:vAlign w:val="center"/>
                </w:tcPr>
                <w:p w14:paraId="277E178C">
                  <w:pPr>
                    <w:pStyle w:val="33"/>
                    <w:rPr>
                      <w:rFonts w:ascii="Times New Roman" w:hAnsi="Times New Roman" w:cs="Times New Roman"/>
                    </w:rPr>
                  </w:pPr>
                </w:p>
              </w:tc>
              <w:tc>
                <w:tcPr>
                  <w:tcW w:w="823" w:type="pct"/>
                  <w:vAlign w:val="center"/>
                </w:tcPr>
                <w:p w14:paraId="2B5A1D5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喷塑</w:t>
                  </w:r>
                </w:p>
              </w:tc>
              <w:tc>
                <w:tcPr>
                  <w:tcW w:w="1138" w:type="pct"/>
                  <w:vAlign w:val="center"/>
                </w:tcPr>
                <w:p w14:paraId="3B247762">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1929" w:type="pct"/>
                  <w:vAlign w:val="center"/>
                </w:tcPr>
                <w:p w14:paraId="0104D035">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经密闭收集+滤芯</w:t>
                  </w:r>
                  <w:r>
                    <w:rPr>
                      <w:rFonts w:ascii="Times New Roman" w:hAnsi="Times New Roman" w:eastAsia="宋体" w:cs="Times New Roman"/>
                      <w:color w:val="000000" w:themeColor="text1"/>
                      <w:lang w:eastAsia="zh-CN"/>
                      <w14:textFill>
                        <w14:solidFill>
                          <w14:schemeClr w14:val="tx1"/>
                        </w14:solidFill>
                      </w14:textFill>
                    </w:rPr>
                    <w:t>除尘+布袋除尘器</w:t>
                  </w:r>
                  <w:r>
                    <w:rPr>
                      <w:rFonts w:ascii="Times New Roman" w:hAnsi="Times New Roman" w:cs="Times New Roman"/>
                      <w:color w:val="000000" w:themeColor="text1"/>
                      <w14:textFill>
                        <w14:solidFill>
                          <w14:schemeClr w14:val="tx1"/>
                        </w14:solidFill>
                      </w14:textFill>
                    </w:rPr>
                    <w:t>后通过15m高排气筒DA00</w:t>
                  </w:r>
                  <w:r>
                    <w:rPr>
                      <w:rFonts w:ascii="Times New Roman" w:hAnsi="Times New Roman" w:eastAsia="宋体"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排放</w:t>
                  </w:r>
                </w:p>
              </w:tc>
            </w:tr>
            <w:tr w14:paraId="045E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0E18276F">
                  <w:pPr>
                    <w:pStyle w:val="33"/>
                    <w:rPr>
                      <w:rFonts w:ascii="Times New Roman" w:hAnsi="Times New Roman" w:cs="Times New Roman"/>
                    </w:rPr>
                  </w:pPr>
                </w:p>
              </w:tc>
              <w:tc>
                <w:tcPr>
                  <w:tcW w:w="419" w:type="pct"/>
                  <w:vMerge w:val="continue"/>
                  <w:vAlign w:val="center"/>
                </w:tcPr>
                <w:p w14:paraId="4FAD9524">
                  <w:pPr>
                    <w:pStyle w:val="33"/>
                    <w:rPr>
                      <w:rFonts w:ascii="Times New Roman" w:hAnsi="Times New Roman" w:cs="Times New Roman"/>
                    </w:rPr>
                  </w:pPr>
                </w:p>
              </w:tc>
              <w:tc>
                <w:tcPr>
                  <w:tcW w:w="823" w:type="pct"/>
                  <w:vAlign w:val="center"/>
                </w:tcPr>
                <w:p w14:paraId="513F7708">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固化</w:t>
                  </w:r>
                </w:p>
              </w:tc>
              <w:tc>
                <w:tcPr>
                  <w:tcW w:w="1138" w:type="pct"/>
                  <w:vAlign w:val="center"/>
                </w:tcPr>
                <w:p w14:paraId="0AC6541D">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非甲烷总烃、颗粒物、二氧化硫、氮氧化物</w:t>
                  </w:r>
                </w:p>
              </w:tc>
              <w:tc>
                <w:tcPr>
                  <w:tcW w:w="1929" w:type="pct"/>
                  <w:vAlign w:val="center"/>
                </w:tcPr>
                <w:p w14:paraId="759586B8">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密闭</w:t>
                  </w:r>
                  <w:r>
                    <w:rPr>
                      <w:rFonts w:hint="eastAsia" w:ascii="Times New Roman" w:hAnsi="Times New Roman" w:eastAsia="宋体" w:cs="Times New Roman"/>
                      <w:color w:val="000000" w:themeColor="text1"/>
                      <w:lang w:eastAsia="zh-CN"/>
                      <w14:textFill>
                        <w14:solidFill>
                          <w14:schemeClr w14:val="tx1"/>
                        </w14:solidFill>
                      </w14:textFill>
                    </w:rPr>
                    <w:t>负压</w:t>
                  </w:r>
                  <w:r>
                    <w:rPr>
                      <w:rFonts w:ascii="Times New Roman" w:hAnsi="Times New Roman" w:cs="Times New Roman"/>
                      <w:color w:val="000000" w:themeColor="text1"/>
                      <w14:textFill>
                        <w14:solidFill>
                          <w14:schemeClr w14:val="tx1"/>
                        </w14:solidFill>
                      </w14:textFill>
                    </w:rPr>
                    <w:t>收集</w:t>
                  </w:r>
                  <w:r>
                    <w:rPr>
                      <w:rFonts w:ascii="Times New Roman" w:hAnsi="Times New Roman" w:cs="Times New Roman"/>
                      <w:color w:val="000000" w:themeColor="text1"/>
                      <w:lang w:eastAsia="zh-CN"/>
                      <w14:textFill>
                        <w14:solidFill>
                          <w14:schemeClr w14:val="tx1"/>
                        </w14:solidFill>
                      </w14:textFill>
                    </w:rPr>
                    <w:t>后经风冷+</w:t>
                  </w:r>
                  <w:r>
                    <w:rPr>
                      <w:rFonts w:ascii="Times New Roman" w:hAnsi="Times New Roman" w:cs="Times New Roman"/>
                      <w:color w:val="000000" w:themeColor="text1"/>
                      <w14:textFill>
                        <w14:solidFill>
                          <w14:schemeClr w14:val="tx1"/>
                        </w14:solidFill>
                      </w14:textFill>
                    </w:rPr>
                    <w:t>二级活性炭吸附装置处理后通过15m高排气筒排放</w:t>
                  </w:r>
                  <w:r>
                    <w:rPr>
                      <w:rFonts w:ascii="Times New Roman" w:hAnsi="Times New Roman" w:eastAsia="宋体" w:cs="Times New Roman"/>
                      <w:color w:val="000000" w:themeColor="text1"/>
                      <w:lang w:eastAsia="zh-CN"/>
                      <w14:textFill>
                        <w14:solidFill>
                          <w14:schemeClr w14:val="tx1"/>
                        </w14:solidFill>
                      </w14:textFill>
                    </w:rPr>
                    <w:t>（DA003）</w:t>
                  </w:r>
                </w:p>
              </w:tc>
            </w:tr>
            <w:tr w14:paraId="585A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2AB68BF0">
                  <w:pPr>
                    <w:pStyle w:val="33"/>
                    <w:rPr>
                      <w:rFonts w:ascii="Times New Roman" w:hAnsi="Times New Roman" w:cs="Times New Roman"/>
                    </w:rPr>
                  </w:pPr>
                </w:p>
              </w:tc>
              <w:tc>
                <w:tcPr>
                  <w:tcW w:w="419" w:type="pct"/>
                  <w:vAlign w:val="center"/>
                </w:tcPr>
                <w:p w14:paraId="38234A42">
                  <w:pPr>
                    <w:pStyle w:val="33"/>
                    <w:rPr>
                      <w:rFonts w:ascii="Times New Roman" w:hAnsi="Times New Roman" w:cs="Times New Roman"/>
                    </w:rPr>
                  </w:pPr>
                  <w:r>
                    <w:rPr>
                      <w:rFonts w:ascii="Times New Roman" w:hAnsi="Times New Roman" w:cs="Times New Roman"/>
                    </w:rPr>
                    <w:t>废水</w:t>
                  </w:r>
                </w:p>
              </w:tc>
              <w:tc>
                <w:tcPr>
                  <w:tcW w:w="823" w:type="pct"/>
                  <w:vAlign w:val="center"/>
                </w:tcPr>
                <w:p w14:paraId="3CE4982C">
                  <w:pPr>
                    <w:pStyle w:val="33"/>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生活污水</w:t>
                  </w:r>
                </w:p>
              </w:tc>
              <w:tc>
                <w:tcPr>
                  <w:tcW w:w="1138" w:type="pct"/>
                  <w:vAlign w:val="center"/>
                </w:tcPr>
                <w:p w14:paraId="28AEB3CA">
                  <w:pPr>
                    <w:pStyle w:val="33"/>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pH、COD、BOD</w:t>
                  </w:r>
                  <w:r>
                    <w:rPr>
                      <w:rFonts w:ascii="Times New Roman" w:hAnsi="Times New Roman" w:cs="Times New Roman"/>
                      <w:color w:val="000000" w:themeColor="text1"/>
                      <w:vertAlign w:val="sub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t>、氨氮、SS</w:t>
                  </w:r>
                </w:p>
              </w:tc>
              <w:tc>
                <w:tcPr>
                  <w:tcW w:w="1929" w:type="pct"/>
                  <w:vAlign w:val="center"/>
                </w:tcPr>
                <w:p w14:paraId="51342420">
                  <w:pPr>
                    <w:pStyle w:val="33"/>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经化粪池处理后排入市政污水管网</w:t>
                  </w:r>
                </w:p>
              </w:tc>
            </w:tr>
            <w:tr w14:paraId="1112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29D20FB1">
                  <w:pPr>
                    <w:pStyle w:val="33"/>
                    <w:rPr>
                      <w:rFonts w:ascii="Times New Roman" w:hAnsi="Times New Roman" w:cs="Times New Roman"/>
                    </w:rPr>
                  </w:pPr>
                </w:p>
              </w:tc>
              <w:tc>
                <w:tcPr>
                  <w:tcW w:w="419" w:type="pct"/>
                  <w:vMerge w:val="restart"/>
                  <w:vAlign w:val="center"/>
                </w:tcPr>
                <w:p w14:paraId="7AB0BD08">
                  <w:pPr>
                    <w:pStyle w:val="33"/>
                    <w:rPr>
                      <w:rFonts w:ascii="Times New Roman" w:hAnsi="Times New Roman" w:cs="Times New Roman"/>
                    </w:rPr>
                  </w:pPr>
                  <w:r>
                    <w:rPr>
                      <w:rFonts w:ascii="Times New Roman" w:hAnsi="Times New Roman" w:cs="Times New Roman"/>
                    </w:rPr>
                    <w:t>固废</w:t>
                  </w:r>
                </w:p>
              </w:tc>
              <w:tc>
                <w:tcPr>
                  <w:tcW w:w="823" w:type="pct"/>
                  <w:vAlign w:val="center"/>
                </w:tcPr>
                <w:p w14:paraId="6950E3E6">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切割下料</w:t>
                  </w:r>
                </w:p>
              </w:tc>
              <w:tc>
                <w:tcPr>
                  <w:tcW w:w="1138" w:type="pct"/>
                  <w:vAlign w:val="center"/>
                </w:tcPr>
                <w:p w14:paraId="5F43E278">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金属边角料</w:t>
                  </w:r>
                </w:p>
              </w:tc>
              <w:tc>
                <w:tcPr>
                  <w:tcW w:w="1929" w:type="pct"/>
                  <w:vAlign w:val="center"/>
                </w:tcPr>
                <w:p w14:paraId="4A53EF5C">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集中收集后外售</w:t>
                  </w:r>
                  <w:r>
                    <w:rPr>
                      <w:rFonts w:ascii="Times New Roman" w:hAnsi="Times New Roman" w:cs="Times New Roman"/>
                      <w:color w:val="000000" w:themeColor="text1"/>
                      <w:lang w:eastAsia="zh-CN"/>
                      <w14:textFill>
                        <w14:solidFill>
                          <w14:schemeClr w14:val="tx1"/>
                        </w14:solidFill>
                      </w14:textFill>
                    </w:rPr>
                    <w:t>综合利用</w:t>
                  </w:r>
                </w:p>
              </w:tc>
            </w:tr>
            <w:tr w14:paraId="0D26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0A0B1424">
                  <w:pPr>
                    <w:pStyle w:val="33"/>
                    <w:rPr>
                      <w:rFonts w:ascii="Times New Roman" w:hAnsi="Times New Roman" w:cs="Times New Roman"/>
                    </w:rPr>
                  </w:pPr>
                </w:p>
              </w:tc>
              <w:tc>
                <w:tcPr>
                  <w:tcW w:w="419" w:type="pct"/>
                  <w:vMerge w:val="continue"/>
                  <w:vAlign w:val="center"/>
                </w:tcPr>
                <w:p w14:paraId="66105090">
                  <w:pPr>
                    <w:pStyle w:val="33"/>
                    <w:rPr>
                      <w:rFonts w:ascii="Times New Roman" w:hAnsi="Times New Roman" w:cs="Times New Roman"/>
                    </w:rPr>
                  </w:pPr>
                </w:p>
              </w:tc>
              <w:tc>
                <w:tcPr>
                  <w:tcW w:w="823" w:type="pct"/>
                  <w:vAlign w:val="center"/>
                </w:tcPr>
                <w:p w14:paraId="1AEF99F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t>焊接</w:t>
                  </w:r>
                </w:p>
              </w:tc>
              <w:tc>
                <w:tcPr>
                  <w:tcW w:w="1138" w:type="pct"/>
                  <w:vAlign w:val="center"/>
                </w:tcPr>
                <w:p w14:paraId="74F1DFDB">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t>焊渣</w:t>
                  </w:r>
                </w:p>
              </w:tc>
              <w:tc>
                <w:tcPr>
                  <w:tcW w:w="1929" w:type="pct"/>
                  <w:vAlign w:val="center"/>
                </w:tcPr>
                <w:p w14:paraId="7E25D9ED">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集中收集后委托外单位处理</w:t>
                  </w:r>
                </w:p>
              </w:tc>
            </w:tr>
            <w:tr w14:paraId="7FD2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15141B83">
                  <w:pPr>
                    <w:pStyle w:val="33"/>
                    <w:rPr>
                      <w:rFonts w:ascii="Times New Roman" w:hAnsi="Times New Roman" w:cs="Times New Roman"/>
                    </w:rPr>
                  </w:pPr>
                </w:p>
              </w:tc>
              <w:tc>
                <w:tcPr>
                  <w:tcW w:w="419" w:type="pct"/>
                  <w:vMerge w:val="continue"/>
                  <w:vAlign w:val="center"/>
                </w:tcPr>
                <w:p w14:paraId="3F703945">
                  <w:pPr>
                    <w:pStyle w:val="33"/>
                    <w:rPr>
                      <w:rFonts w:ascii="Times New Roman" w:hAnsi="Times New Roman" w:cs="Times New Roman"/>
                    </w:rPr>
                  </w:pPr>
                </w:p>
              </w:tc>
              <w:tc>
                <w:tcPr>
                  <w:tcW w:w="823" w:type="pct"/>
                  <w:vAlign w:val="center"/>
                </w:tcPr>
                <w:p w14:paraId="4F51ED3F">
                  <w:pPr>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拼装</w:t>
                  </w:r>
                </w:p>
              </w:tc>
              <w:tc>
                <w:tcPr>
                  <w:tcW w:w="1138" w:type="pct"/>
                  <w:vAlign w:val="center"/>
                </w:tcPr>
                <w:p w14:paraId="15077A48">
                  <w:pPr>
                    <w:jc w:val="center"/>
                    <w:rPr>
                      <w:rFonts w:ascii="Times New Roman" w:hAnsi="Times New Roman" w:cs="Times New Roman"/>
                      <w:color w:val="000000" w:themeColor="text1"/>
                      <w:spacing w:val="3"/>
                      <w14:textFill>
                        <w14:solidFill>
                          <w14:schemeClr w14:val="tx1"/>
                        </w14:solidFill>
                      </w14:textFill>
                    </w:rPr>
                  </w:pPr>
                  <w:r>
                    <w:rPr>
                      <w:rFonts w:ascii="Times New Roman" w:hAnsi="Times New Roman" w:eastAsia="宋体" w:cs="Times New Roman"/>
                      <w:color w:val="000000" w:themeColor="text1"/>
                      <w:spacing w:val="3"/>
                      <w:lang w:eastAsia="zh-CN"/>
                      <w14:textFill>
                        <w14:solidFill>
                          <w14:schemeClr w14:val="tx1"/>
                        </w14:solidFill>
                      </w14:textFill>
                    </w:rPr>
                    <w:t>碎玻璃</w:t>
                  </w:r>
                </w:p>
              </w:tc>
              <w:tc>
                <w:tcPr>
                  <w:tcW w:w="1929" w:type="pct"/>
                  <w:vAlign w:val="center"/>
                </w:tcPr>
                <w:p w14:paraId="5AEAE150">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集中收集后外售</w:t>
                  </w:r>
                  <w:r>
                    <w:rPr>
                      <w:rFonts w:ascii="Times New Roman" w:hAnsi="Times New Roman" w:cs="Times New Roman"/>
                      <w:color w:val="000000" w:themeColor="text1"/>
                      <w:lang w:eastAsia="zh-CN"/>
                      <w14:textFill>
                        <w14:solidFill>
                          <w14:schemeClr w14:val="tx1"/>
                        </w14:solidFill>
                      </w14:textFill>
                    </w:rPr>
                    <w:t>综合利用</w:t>
                  </w:r>
                </w:p>
              </w:tc>
            </w:tr>
            <w:tr w14:paraId="415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5043CB44">
                  <w:pPr>
                    <w:pStyle w:val="33"/>
                    <w:rPr>
                      <w:rFonts w:ascii="Times New Roman" w:hAnsi="Times New Roman" w:cs="Times New Roman"/>
                    </w:rPr>
                  </w:pPr>
                </w:p>
              </w:tc>
              <w:tc>
                <w:tcPr>
                  <w:tcW w:w="419" w:type="pct"/>
                  <w:vMerge w:val="continue"/>
                  <w:vAlign w:val="center"/>
                </w:tcPr>
                <w:p w14:paraId="53D9C9B1">
                  <w:pPr>
                    <w:pStyle w:val="33"/>
                    <w:rPr>
                      <w:rFonts w:ascii="Times New Roman" w:hAnsi="Times New Roman" w:cs="Times New Roman"/>
                    </w:rPr>
                  </w:pPr>
                </w:p>
              </w:tc>
              <w:tc>
                <w:tcPr>
                  <w:tcW w:w="823" w:type="pct"/>
                  <w:vAlign w:val="center"/>
                </w:tcPr>
                <w:p w14:paraId="651B6AE8">
                  <w:pPr>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cs="Times New Roman"/>
                      <w:color w:val="000000" w:themeColor="text1"/>
                      <w:spacing w:val="3"/>
                      <w:lang w:eastAsia="zh-CN"/>
                      <w14:textFill>
                        <w14:solidFill>
                          <w14:schemeClr w14:val="tx1"/>
                        </w14:solidFill>
                      </w14:textFill>
                    </w:rPr>
                    <w:t>喷塑</w:t>
                  </w:r>
                </w:p>
              </w:tc>
              <w:tc>
                <w:tcPr>
                  <w:tcW w:w="1138" w:type="pct"/>
                  <w:vAlign w:val="center"/>
                </w:tcPr>
                <w:p w14:paraId="67E13DCA">
                  <w:pPr>
                    <w:jc w:val="center"/>
                    <w:rPr>
                      <w:rFonts w:ascii="Times New Roman" w:hAnsi="Times New Roman" w:eastAsia="宋体" w:cs="Times New Roman"/>
                      <w:color w:val="000000" w:themeColor="text1"/>
                      <w:spacing w:val="3"/>
                      <w:lang w:eastAsia="zh-CN"/>
                      <w14:textFill>
                        <w14:solidFill>
                          <w14:schemeClr w14:val="tx1"/>
                        </w14:solidFill>
                      </w14:textFill>
                    </w:rPr>
                  </w:pPr>
                  <w:r>
                    <w:rPr>
                      <w:rFonts w:ascii="Times New Roman" w:hAnsi="Times New Roman" w:cs="Times New Roman"/>
                      <w:color w:val="000000" w:themeColor="text1"/>
                      <w:spacing w:val="3"/>
                      <w:lang w:eastAsia="zh-CN"/>
                      <w14:textFill>
                        <w14:solidFill>
                          <w14:schemeClr w14:val="tx1"/>
                        </w14:solidFill>
                      </w14:textFill>
                    </w:rPr>
                    <w:t>塑粉</w:t>
                  </w:r>
                </w:p>
              </w:tc>
              <w:tc>
                <w:tcPr>
                  <w:tcW w:w="1929" w:type="pct"/>
                  <w:vAlign w:val="center"/>
                </w:tcPr>
                <w:p w14:paraId="470C63B8">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收集后回用生产</w:t>
                  </w:r>
                </w:p>
              </w:tc>
            </w:tr>
            <w:tr w14:paraId="5134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46442480">
                  <w:pPr>
                    <w:pStyle w:val="33"/>
                    <w:rPr>
                      <w:rFonts w:ascii="Times New Roman" w:hAnsi="Times New Roman" w:cs="Times New Roman"/>
                    </w:rPr>
                  </w:pPr>
                </w:p>
              </w:tc>
              <w:tc>
                <w:tcPr>
                  <w:tcW w:w="419" w:type="pct"/>
                  <w:vMerge w:val="continue"/>
                  <w:vAlign w:val="center"/>
                </w:tcPr>
                <w:p w14:paraId="3F392721">
                  <w:pPr>
                    <w:pStyle w:val="33"/>
                    <w:rPr>
                      <w:rFonts w:ascii="Times New Roman" w:hAnsi="Times New Roman" w:cs="Times New Roman"/>
                    </w:rPr>
                  </w:pPr>
                </w:p>
              </w:tc>
              <w:tc>
                <w:tcPr>
                  <w:tcW w:w="823" w:type="pct"/>
                  <w:vAlign w:val="center"/>
                </w:tcPr>
                <w:p w14:paraId="0E9EF4A8">
                  <w:pPr>
                    <w:jc w:val="center"/>
                    <w:rPr>
                      <w:rFonts w:hint="eastAsia" w:ascii="Times New Roman" w:hAnsi="Times New Roman" w:eastAsia="宋体" w:cs="Times New Roman"/>
                      <w:color w:val="000000" w:themeColor="text1"/>
                      <w:spacing w:val="3"/>
                      <w:lang w:eastAsia="zh-CN"/>
                      <w14:textFill>
                        <w14:solidFill>
                          <w14:schemeClr w14:val="tx1"/>
                        </w14:solidFill>
                      </w14:textFill>
                    </w:rPr>
                  </w:pPr>
                  <w:r>
                    <w:rPr>
                      <w:rFonts w:hint="eastAsia" w:ascii="Times New Roman" w:hAnsi="Times New Roman" w:eastAsia="宋体" w:cs="Times New Roman"/>
                      <w:color w:val="000000" w:themeColor="text1"/>
                      <w:spacing w:val="3"/>
                      <w:lang w:val="en-US" w:eastAsia="zh-CN"/>
                      <w14:textFill>
                        <w14:solidFill>
                          <w14:schemeClr w14:val="tx1"/>
                        </w14:solidFill>
                      </w14:textFill>
                    </w:rPr>
                    <w:t>固化</w:t>
                  </w:r>
                </w:p>
              </w:tc>
              <w:tc>
                <w:tcPr>
                  <w:tcW w:w="1138" w:type="pct"/>
                  <w:vAlign w:val="center"/>
                </w:tcPr>
                <w:p w14:paraId="031C9871">
                  <w:pPr>
                    <w:jc w:val="center"/>
                    <w:rPr>
                      <w:rFonts w:ascii="Times New Roman" w:hAnsi="Times New Roman" w:cs="Times New Roman"/>
                      <w:color w:val="000000" w:themeColor="text1"/>
                      <w:spacing w:val="3"/>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t>废活性炭</w:t>
                  </w:r>
                </w:p>
              </w:tc>
              <w:tc>
                <w:tcPr>
                  <w:tcW w:w="1929" w:type="pct"/>
                  <w:vAlign w:val="center"/>
                </w:tcPr>
                <w:p w14:paraId="7B10DE7F">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危废暂存间暂存后委托有资质单位处置</w:t>
                  </w:r>
                </w:p>
              </w:tc>
            </w:tr>
            <w:tr w14:paraId="6522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pct"/>
                  <w:vMerge w:val="continue"/>
                  <w:vAlign w:val="center"/>
                </w:tcPr>
                <w:p w14:paraId="69B2CF13">
                  <w:pPr>
                    <w:pStyle w:val="33"/>
                    <w:rPr>
                      <w:rFonts w:ascii="Times New Roman" w:hAnsi="Times New Roman" w:cs="Times New Roman"/>
                    </w:rPr>
                  </w:pPr>
                </w:p>
              </w:tc>
              <w:tc>
                <w:tcPr>
                  <w:tcW w:w="419" w:type="pct"/>
                  <w:vMerge w:val="continue"/>
                  <w:vAlign w:val="center"/>
                </w:tcPr>
                <w:p w14:paraId="0BBF0B49">
                  <w:pPr>
                    <w:pStyle w:val="33"/>
                    <w:rPr>
                      <w:rFonts w:ascii="Times New Roman" w:hAnsi="Times New Roman" w:cs="Times New Roman"/>
                    </w:rPr>
                  </w:pPr>
                </w:p>
              </w:tc>
              <w:tc>
                <w:tcPr>
                  <w:tcW w:w="823" w:type="pct"/>
                  <w:vAlign w:val="center"/>
                </w:tcPr>
                <w:p w14:paraId="3B209AE7">
                  <w:pPr>
                    <w:jc w:val="center"/>
                    <w:rPr>
                      <w:rFonts w:ascii="Times New Roman" w:hAnsi="Times New Roman" w:cs="Times New Roman"/>
                      <w:color w:val="000000" w:themeColor="text1"/>
                      <w:spacing w:val="3"/>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t>生活区</w:t>
                  </w:r>
                </w:p>
              </w:tc>
              <w:tc>
                <w:tcPr>
                  <w:tcW w:w="1138" w:type="pct"/>
                  <w:vAlign w:val="center"/>
                </w:tcPr>
                <w:p w14:paraId="6CE37046">
                  <w:pPr>
                    <w:jc w:val="center"/>
                    <w:rPr>
                      <w:rFonts w:ascii="Times New Roman" w:hAnsi="Times New Roman" w:cs="Times New Roman"/>
                      <w:color w:val="000000" w:themeColor="text1"/>
                      <w:spacing w:val="3"/>
                      <w14:textFill>
                        <w14:solidFill>
                          <w14:schemeClr w14:val="tx1"/>
                        </w14:solidFill>
                      </w14:textFill>
                    </w:rPr>
                  </w:pPr>
                  <w:r>
                    <w:rPr>
                      <w:rFonts w:ascii="Times New Roman" w:hAnsi="Times New Roman" w:cs="Times New Roman"/>
                      <w:color w:val="000000" w:themeColor="text1"/>
                      <w:spacing w:val="3"/>
                      <w14:textFill>
                        <w14:solidFill>
                          <w14:schemeClr w14:val="tx1"/>
                        </w14:solidFill>
                      </w14:textFill>
                    </w:rPr>
                    <w:t>生活垃圾</w:t>
                  </w:r>
                </w:p>
              </w:tc>
              <w:tc>
                <w:tcPr>
                  <w:tcW w:w="1929" w:type="pct"/>
                  <w:vAlign w:val="center"/>
                </w:tcPr>
                <w:p w14:paraId="6C571DE5">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环卫部门统一清运</w:t>
                  </w:r>
                </w:p>
              </w:tc>
            </w:tr>
          </w:tbl>
          <w:p w14:paraId="0315FDFB">
            <w:pPr>
              <w:spacing w:line="360" w:lineRule="auto"/>
              <w:rPr>
                <w:rFonts w:ascii="Times New Roman" w:hAnsi="Times New Roman" w:cs="Times New Roman"/>
                <w:bCs/>
                <w:sz w:val="24"/>
              </w:rPr>
            </w:pPr>
          </w:p>
        </w:tc>
      </w:tr>
      <w:tr w14:paraId="46747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26" w:type="pct"/>
            <w:vAlign w:val="center"/>
          </w:tcPr>
          <w:p w14:paraId="5DBECC90">
            <w:pPr>
              <w:pStyle w:val="19"/>
              <w:spacing w:before="0" w:beforeAutospacing="0" w:after="0" w:afterAutospacing="0"/>
              <w:jc w:val="center"/>
              <w:rPr>
                <w:rFonts w:ascii="Times New Roman" w:hAnsi="Times New Roman" w:cs="Times New Roman"/>
                <w:szCs w:val="24"/>
              </w:rPr>
            </w:pPr>
            <w:r>
              <w:rPr>
                <w:rFonts w:ascii="Times New Roman" w:hAnsi="Times New Roman" w:cs="Times New Roman"/>
                <w:bCs/>
                <w:kern w:val="2"/>
                <w:szCs w:val="24"/>
              </w:rPr>
              <w:t>与项目有关的原有环境污染问题</w:t>
            </w:r>
          </w:p>
        </w:tc>
        <w:tc>
          <w:tcPr>
            <w:tcW w:w="4573" w:type="pct"/>
            <w:vAlign w:val="center"/>
          </w:tcPr>
          <w:p w14:paraId="7BBA8833">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根据现场踏勘，本项目为新建项目，</w:t>
            </w:r>
            <w:r>
              <w:rPr>
                <w:rFonts w:hint="eastAsia" w:ascii="宋体" w:hAnsi="宋体" w:eastAsia="宋体" w:cs="宋体"/>
                <w:color w:val="000000" w:themeColor="text1"/>
                <w:sz w:val="24"/>
                <w:lang w:eastAsia="zh-CN"/>
                <w14:textFill>
                  <w14:solidFill>
                    <w14:schemeClr w14:val="tx1"/>
                  </w14:solidFill>
                </w14:textFill>
              </w:rPr>
              <w:t>位于安徽</w:t>
            </w:r>
            <w:r>
              <w:rPr>
                <w:rFonts w:hint="eastAsia" w:ascii="宋体" w:hAnsi="宋体" w:eastAsia="宋体" w:cs="宋体"/>
                <w:color w:val="auto"/>
                <w:sz w:val="24"/>
                <w:szCs w:val="24"/>
              </w:rPr>
              <w:t>濉溪经济开发区濉芜产业园区山茶路西侧安徽蓝达建材有限公司厂区内</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本项目租赁</w:t>
            </w:r>
            <w:r>
              <w:rPr>
                <w:rFonts w:hint="eastAsia" w:ascii="宋体" w:hAnsi="宋体" w:eastAsia="宋体" w:cs="宋体"/>
                <w:color w:val="000000" w:themeColor="text1"/>
                <w:sz w:val="24"/>
                <w14:textFill>
                  <w14:solidFill>
                    <w14:schemeClr w14:val="tx1"/>
                  </w14:solidFill>
                </w14:textFill>
              </w:rPr>
              <w:t>厂房为新建厂房</w:t>
            </w:r>
            <w:r>
              <w:rPr>
                <w:rFonts w:hint="eastAsia" w:ascii="宋体" w:hAnsi="宋体" w:eastAsia="宋体" w:cs="宋体"/>
                <w:color w:val="000000" w:themeColor="text1"/>
                <w:sz w:val="24"/>
                <w:lang w:eastAsia="zh-CN"/>
                <w14:textFill>
                  <w14:solidFill>
                    <w14:schemeClr w14:val="tx1"/>
                  </w14:solidFill>
                </w14:textFill>
              </w:rPr>
              <w:t>未进行过生产活动</w:t>
            </w:r>
            <w:r>
              <w:rPr>
                <w:rFonts w:hint="eastAsia" w:ascii="宋体" w:hAnsi="宋体" w:eastAsia="宋体" w:cs="宋体"/>
                <w:color w:val="000000" w:themeColor="text1"/>
                <w:sz w:val="24"/>
                <w14:textFill>
                  <w14:solidFill>
                    <w14:schemeClr w14:val="tx1"/>
                  </w14:solidFill>
                </w14:textFill>
              </w:rPr>
              <w:t>，无</w:t>
            </w:r>
            <w:r>
              <w:rPr>
                <w:rFonts w:hint="eastAsia" w:ascii="宋体" w:hAnsi="宋体" w:eastAsia="宋体" w:cs="宋体"/>
                <w:color w:val="000000" w:themeColor="text1"/>
                <w:sz w:val="24"/>
                <w:lang w:bidi="ar"/>
                <w14:textFill>
                  <w14:solidFill>
                    <w14:schemeClr w14:val="tx1"/>
                  </w14:solidFill>
                </w14:textFill>
              </w:rPr>
              <w:t>与项目有关的原有环境污染</w:t>
            </w:r>
            <w:r>
              <w:rPr>
                <w:rFonts w:hint="eastAsia" w:ascii="宋体" w:hAnsi="宋体" w:eastAsia="宋体" w:cs="宋体"/>
                <w:color w:val="000000" w:themeColor="text1"/>
                <w:sz w:val="24"/>
                <w14:textFill>
                  <w14:solidFill>
                    <w14:schemeClr w14:val="tx1"/>
                  </w14:solidFill>
                </w14:textFill>
              </w:rPr>
              <w:t>问题</w:t>
            </w:r>
            <w:r>
              <w:rPr>
                <w:rFonts w:ascii="Times New Roman" w:hAnsi="Times New Roman" w:cs="Times New Roman"/>
                <w:color w:val="000000" w:themeColor="text1"/>
                <w:sz w:val="24"/>
                <w14:textFill>
                  <w14:solidFill>
                    <w14:schemeClr w14:val="tx1"/>
                  </w14:solidFill>
                </w14:textFill>
              </w:rPr>
              <w:t>。</w:t>
            </w:r>
          </w:p>
          <w:p w14:paraId="3E080F34">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563C0F56">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59254117">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053EE9F3">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59A1B38B">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2B71B20A">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43C7FB9B">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6A0C3835">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71D52D5B">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1A39EFAD">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3BAC7DD0">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636376B7">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79CE48BB">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79C9309B">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365AA21F">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4E0A43D2">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7AD8B0D8">
            <w:pPr>
              <w:adjustRightInd/>
              <w:snapToGrid/>
              <w:spacing w:line="360" w:lineRule="auto"/>
              <w:ind w:firstLine="480" w:firstLineChars="200"/>
              <w:jc w:val="both"/>
              <w:rPr>
                <w:rFonts w:ascii="Times New Roman" w:hAnsi="Times New Roman" w:cs="Times New Roman"/>
                <w:color w:val="000000" w:themeColor="text1"/>
                <w:sz w:val="24"/>
                <w14:textFill>
                  <w14:solidFill>
                    <w14:schemeClr w14:val="tx1"/>
                  </w14:solidFill>
                </w14:textFill>
              </w:rPr>
            </w:pPr>
          </w:p>
          <w:p w14:paraId="71C24F98">
            <w:pPr>
              <w:adjustRightInd/>
              <w:snapToGrid/>
              <w:spacing w:line="360" w:lineRule="auto"/>
              <w:jc w:val="both"/>
              <w:rPr>
                <w:rFonts w:ascii="Times New Roman" w:hAnsi="Times New Roman" w:cs="Times New Roman"/>
                <w:color w:val="000000" w:themeColor="text1"/>
                <w:sz w:val="24"/>
                <w14:textFill>
                  <w14:solidFill>
                    <w14:schemeClr w14:val="tx1"/>
                  </w14:solidFill>
                </w14:textFill>
              </w:rPr>
            </w:pPr>
          </w:p>
        </w:tc>
      </w:tr>
    </w:tbl>
    <w:p w14:paraId="7CDFBA88">
      <w:pPr>
        <w:jc w:val="center"/>
        <w:outlineLvl w:val="0"/>
        <w:rPr>
          <w:rFonts w:ascii="Times New Roman" w:hAnsi="Times New Roman" w:eastAsia="黑体" w:cs="Times New Roman"/>
          <w:color w:val="auto"/>
          <w:sz w:val="30"/>
          <w:szCs w:val="30"/>
        </w:rPr>
        <w:sectPr>
          <w:pgSz w:w="11906" w:h="16838"/>
          <w:pgMar w:top="1440" w:right="1800" w:bottom="1440" w:left="1800" w:header="851" w:footer="992" w:gutter="0"/>
          <w:cols w:space="425" w:num="1"/>
          <w:docGrid w:type="lines" w:linePitch="312" w:charSpace="0"/>
        </w:sectPr>
      </w:pPr>
      <w:bookmarkStart w:id="3" w:name="_Toc24614"/>
      <w:bookmarkStart w:id="4" w:name="_Toc11480"/>
      <w:bookmarkStart w:id="5" w:name="_Toc27254"/>
      <w:bookmarkStart w:id="6" w:name="_Toc5016"/>
      <w:bookmarkStart w:id="7" w:name="_Toc68109904"/>
    </w:p>
    <w:p w14:paraId="2E04001F">
      <w:pPr>
        <w:jc w:val="center"/>
        <w:outlineLvl w:val="0"/>
        <w:rPr>
          <w:rFonts w:hint="eastAsia" w:ascii="宋体" w:hAnsi="宋体" w:eastAsia="宋体" w:cs="宋体"/>
          <w:b/>
          <w:bCs/>
          <w:color w:val="auto"/>
          <w:sz w:val="30"/>
          <w:szCs w:val="30"/>
        </w:rPr>
      </w:pPr>
      <w:r>
        <w:rPr>
          <w:rFonts w:hint="eastAsia" w:ascii="宋体" w:hAnsi="宋体" w:eastAsia="宋体" w:cs="宋体"/>
          <w:b/>
          <w:bCs/>
          <w:color w:val="auto"/>
          <w:sz w:val="30"/>
          <w:szCs w:val="30"/>
        </w:rPr>
        <w:t>三、区域环境质量现状、环境保护目标及评价标准</w:t>
      </w:r>
      <w:bookmarkEnd w:id="3"/>
      <w:bookmarkEnd w:id="4"/>
      <w:bookmarkEnd w:id="5"/>
      <w:bookmarkEnd w:id="6"/>
      <w:bookmarkEnd w:id="7"/>
    </w:p>
    <w:tbl>
      <w:tblPr>
        <w:tblStyle w:val="22"/>
        <w:tblW w:w="536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8712"/>
      </w:tblGrid>
      <w:tr w14:paraId="7F8F7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33" w:type="pct"/>
            <w:tcBorders>
              <w:tl2br w:val="nil"/>
              <w:tr2bl w:val="nil"/>
            </w:tcBorders>
            <w:vAlign w:val="center"/>
          </w:tcPr>
          <w:p w14:paraId="6A8583E5">
            <w:pPr>
              <w:jc w:val="center"/>
              <w:rPr>
                <w:rFonts w:ascii="Times New Roman" w:hAnsi="Times New Roman" w:cs="Times New Roman"/>
                <w:color w:val="auto"/>
              </w:rPr>
            </w:pPr>
            <w:r>
              <w:rPr>
                <w:rFonts w:ascii="Times New Roman" w:hAnsi="Times New Roman" w:cs="Times New Roman"/>
                <w:color w:val="auto"/>
              </w:rPr>
              <w:t>区域</w:t>
            </w:r>
          </w:p>
          <w:p w14:paraId="1F21D1D8">
            <w:pPr>
              <w:jc w:val="center"/>
              <w:rPr>
                <w:rFonts w:ascii="Times New Roman" w:hAnsi="Times New Roman" w:cs="Times New Roman"/>
                <w:color w:val="auto"/>
              </w:rPr>
            </w:pPr>
            <w:r>
              <w:rPr>
                <w:rFonts w:ascii="Times New Roman" w:hAnsi="Times New Roman" w:cs="Times New Roman"/>
                <w:color w:val="auto"/>
              </w:rPr>
              <w:t>环境</w:t>
            </w:r>
          </w:p>
          <w:p w14:paraId="6F7C034A">
            <w:pPr>
              <w:jc w:val="center"/>
              <w:rPr>
                <w:rFonts w:ascii="Times New Roman" w:hAnsi="Times New Roman" w:cs="Times New Roman"/>
                <w:color w:val="auto"/>
              </w:rPr>
            </w:pPr>
            <w:r>
              <w:rPr>
                <w:rFonts w:ascii="Times New Roman" w:hAnsi="Times New Roman" w:cs="Times New Roman"/>
                <w:color w:val="auto"/>
              </w:rPr>
              <w:t>质量</w:t>
            </w:r>
          </w:p>
          <w:p w14:paraId="03971417">
            <w:pPr>
              <w:jc w:val="center"/>
              <w:rPr>
                <w:rFonts w:ascii="Times New Roman" w:hAnsi="Times New Roman" w:cs="Times New Roman"/>
                <w:color w:val="auto"/>
              </w:rPr>
            </w:pPr>
            <w:r>
              <w:rPr>
                <w:rFonts w:ascii="Times New Roman" w:hAnsi="Times New Roman" w:cs="Times New Roman"/>
                <w:color w:val="auto"/>
              </w:rPr>
              <w:t>现状</w:t>
            </w:r>
          </w:p>
        </w:tc>
        <w:tc>
          <w:tcPr>
            <w:tcW w:w="4766" w:type="pct"/>
            <w:tcBorders>
              <w:tl2br w:val="nil"/>
              <w:tr2bl w:val="nil"/>
            </w:tcBorders>
            <w:vAlign w:val="center"/>
          </w:tcPr>
          <w:p w14:paraId="55EA608A">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1、环境空气质量现状</w:t>
            </w:r>
          </w:p>
          <w:p w14:paraId="1B867217">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32"/>
              </w:rPr>
            </w:pPr>
            <w:r>
              <w:rPr>
                <w:rFonts w:ascii="Times New Roman" w:hAnsi="Times New Roman" w:cs="Times New Roman"/>
                <w:color w:val="auto"/>
                <w:sz w:val="24"/>
                <w:szCs w:val="32"/>
              </w:rPr>
              <w:t>项目位于</w:t>
            </w:r>
            <w:r>
              <w:rPr>
                <w:rFonts w:ascii="Times New Roman" w:hAnsi="Times New Roman" w:cs="Times New Roman"/>
                <w:color w:val="auto"/>
                <w:sz w:val="24"/>
                <w:szCs w:val="24"/>
              </w:rPr>
              <w:t>安徽濉溪经济开发区濉芜产业园区山茶路西侧安徽蓝达建材有限公司厂区内</w:t>
            </w:r>
            <w:r>
              <w:rPr>
                <w:rFonts w:ascii="Times New Roman" w:hAnsi="Times New Roman" w:cs="Times New Roman"/>
                <w:color w:val="auto"/>
                <w:sz w:val="24"/>
                <w:szCs w:val="32"/>
              </w:rPr>
              <w:t>，根据淮北市生态环境局202</w:t>
            </w:r>
            <w:r>
              <w:rPr>
                <w:rFonts w:ascii="Times New Roman" w:hAnsi="Times New Roman" w:cs="Times New Roman"/>
                <w:color w:val="auto"/>
                <w:sz w:val="24"/>
                <w:szCs w:val="32"/>
                <w:lang w:eastAsia="zh-CN"/>
              </w:rPr>
              <w:t>4</w:t>
            </w:r>
            <w:r>
              <w:rPr>
                <w:rFonts w:ascii="Times New Roman" w:hAnsi="Times New Roman" w:cs="Times New Roman"/>
                <w:color w:val="auto"/>
                <w:sz w:val="24"/>
                <w:szCs w:val="32"/>
              </w:rPr>
              <w:t>年公布的《</w:t>
            </w:r>
            <w:r>
              <w:rPr>
                <w:rFonts w:ascii="Times New Roman" w:hAnsi="Times New Roman" w:cs="Times New Roman"/>
                <w:color w:val="auto"/>
                <w:sz w:val="24"/>
                <w:szCs w:val="32"/>
                <w:lang w:eastAsia="zh-CN"/>
              </w:rPr>
              <w:t>淮北市2023年度生态环境状况公报</w:t>
            </w:r>
            <w:r>
              <w:rPr>
                <w:rFonts w:ascii="Times New Roman" w:hAnsi="Times New Roman" w:cs="Times New Roman"/>
                <w:color w:val="auto"/>
                <w:sz w:val="24"/>
                <w:szCs w:val="32"/>
              </w:rPr>
              <w:t>》数据显示，项目所在地区域环境质量现状如下：</w:t>
            </w:r>
          </w:p>
          <w:p w14:paraId="0FD39BAC">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32"/>
              </w:rPr>
            </w:pPr>
            <w:r>
              <w:rPr>
                <w:rFonts w:ascii="Times New Roman" w:hAnsi="Times New Roman" w:cs="Times New Roman"/>
                <w:color w:val="auto"/>
                <w:sz w:val="24"/>
                <w:szCs w:val="32"/>
              </w:rPr>
              <w:t>现状评价结果详见下表3-1。</w:t>
            </w:r>
          </w:p>
          <w:p w14:paraId="4407DB9E">
            <w:pPr>
              <w:pStyle w:val="32"/>
              <w:widowControl w:val="0"/>
              <w:kinsoku/>
              <w:autoSpaceDE/>
              <w:autoSpaceDN/>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表3-1  202</w:t>
            </w:r>
            <w:r>
              <w:rPr>
                <w:rFonts w:hint="default" w:ascii="Times New Roman" w:hAnsi="Times New Roman" w:cs="Times New Roman"/>
                <w:color w:val="auto"/>
                <w:sz w:val="24"/>
                <w:szCs w:val="32"/>
                <w:lang w:eastAsia="zh-CN"/>
              </w:rPr>
              <w:t>3</w:t>
            </w:r>
            <w:r>
              <w:rPr>
                <w:rFonts w:hint="default" w:ascii="Times New Roman" w:hAnsi="Times New Roman" w:cs="Times New Roman"/>
                <w:color w:val="auto"/>
                <w:sz w:val="24"/>
                <w:szCs w:val="32"/>
              </w:rPr>
              <w:t>年环境空气基本污染物环境质量现状评价一览表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0"/>
              <w:gridCol w:w="1920"/>
              <w:gridCol w:w="1565"/>
              <w:gridCol w:w="1562"/>
              <w:gridCol w:w="1251"/>
              <w:gridCol w:w="1265"/>
            </w:tblGrid>
            <w:tr w14:paraId="4964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noWrap/>
                  <w:tcMar>
                    <w:top w:w="10" w:type="dxa"/>
                    <w:left w:w="10" w:type="dxa"/>
                    <w:right w:w="10" w:type="dxa"/>
                  </w:tcMar>
                  <w:vAlign w:val="center"/>
                </w:tcPr>
                <w:p w14:paraId="7C8116D5">
                  <w:pPr>
                    <w:pStyle w:val="33"/>
                    <w:rPr>
                      <w:rFonts w:ascii="Times New Roman" w:hAnsi="Times New Roman" w:cs="Times New Roman"/>
                      <w:color w:val="auto"/>
                    </w:rPr>
                  </w:pPr>
                  <w:r>
                    <w:rPr>
                      <w:rFonts w:ascii="Times New Roman" w:hAnsi="Times New Roman" w:cs="Times New Roman"/>
                      <w:color w:val="auto"/>
                    </w:rPr>
                    <w:t>污染物</w:t>
                  </w:r>
                </w:p>
              </w:tc>
              <w:tc>
                <w:tcPr>
                  <w:tcW w:w="1131" w:type="pct"/>
                  <w:noWrap/>
                  <w:tcMar>
                    <w:top w:w="10" w:type="dxa"/>
                    <w:left w:w="10" w:type="dxa"/>
                    <w:right w:w="10" w:type="dxa"/>
                  </w:tcMar>
                  <w:vAlign w:val="center"/>
                </w:tcPr>
                <w:p w14:paraId="7F55F2CB">
                  <w:pPr>
                    <w:pStyle w:val="33"/>
                    <w:rPr>
                      <w:rFonts w:ascii="Times New Roman" w:hAnsi="Times New Roman" w:cs="Times New Roman"/>
                      <w:color w:val="auto"/>
                    </w:rPr>
                  </w:pPr>
                  <w:r>
                    <w:rPr>
                      <w:rFonts w:ascii="Times New Roman" w:hAnsi="Times New Roman" w:cs="Times New Roman"/>
                      <w:color w:val="auto"/>
                    </w:rPr>
                    <w:t>年评价指标</w:t>
                  </w:r>
                </w:p>
              </w:tc>
              <w:tc>
                <w:tcPr>
                  <w:tcW w:w="922" w:type="pct"/>
                  <w:tcMar>
                    <w:top w:w="10" w:type="dxa"/>
                    <w:left w:w="10" w:type="dxa"/>
                    <w:right w:w="10" w:type="dxa"/>
                  </w:tcMar>
                  <w:vAlign w:val="center"/>
                </w:tcPr>
                <w:p w14:paraId="1F505B0C">
                  <w:pPr>
                    <w:pStyle w:val="33"/>
                    <w:rPr>
                      <w:rFonts w:ascii="Times New Roman" w:hAnsi="Times New Roman" w:eastAsia="宋体" w:cs="Times New Roman"/>
                      <w:color w:val="auto"/>
                      <w:lang w:eastAsia="zh-CN"/>
                    </w:rPr>
                  </w:pPr>
                  <w:r>
                    <w:rPr>
                      <w:rFonts w:ascii="Times New Roman" w:hAnsi="Times New Roman" w:cs="Times New Roman"/>
                      <w:color w:val="auto"/>
                    </w:rPr>
                    <w:t>评价标准μg/m</w:t>
                  </w:r>
                  <w:r>
                    <w:rPr>
                      <w:rFonts w:ascii="Times New Roman" w:hAnsi="Times New Roman" w:cs="Times New Roman"/>
                      <w:color w:val="auto"/>
                      <w:vertAlign w:val="superscript"/>
                      <w:lang w:eastAsia="zh-CN"/>
                    </w:rPr>
                    <w:t>3</w:t>
                  </w:r>
                </w:p>
              </w:tc>
              <w:tc>
                <w:tcPr>
                  <w:tcW w:w="920" w:type="pct"/>
                  <w:tcMar>
                    <w:top w:w="10" w:type="dxa"/>
                    <w:left w:w="10" w:type="dxa"/>
                    <w:right w:w="10" w:type="dxa"/>
                  </w:tcMar>
                  <w:vAlign w:val="center"/>
                </w:tcPr>
                <w:p w14:paraId="68C1943A">
                  <w:pPr>
                    <w:pStyle w:val="33"/>
                    <w:rPr>
                      <w:rFonts w:ascii="Times New Roman" w:hAnsi="Times New Roman" w:eastAsia="宋体" w:cs="Times New Roman"/>
                      <w:color w:val="auto"/>
                      <w:lang w:eastAsia="zh-CN"/>
                    </w:rPr>
                  </w:pPr>
                  <w:r>
                    <w:rPr>
                      <w:rFonts w:ascii="Times New Roman" w:hAnsi="Times New Roman" w:cs="Times New Roman"/>
                      <w:color w:val="auto"/>
                    </w:rPr>
                    <w:t>现状浓度μg/m</w:t>
                  </w:r>
                  <w:r>
                    <w:rPr>
                      <w:rFonts w:ascii="Times New Roman" w:hAnsi="Times New Roman" w:cs="Times New Roman"/>
                      <w:color w:val="auto"/>
                      <w:vertAlign w:val="superscript"/>
                      <w:lang w:eastAsia="zh-CN"/>
                    </w:rPr>
                    <w:t>3</w:t>
                  </w:r>
                </w:p>
              </w:tc>
              <w:tc>
                <w:tcPr>
                  <w:tcW w:w="737" w:type="pct"/>
                  <w:tcMar>
                    <w:top w:w="10" w:type="dxa"/>
                    <w:left w:w="10" w:type="dxa"/>
                    <w:right w:w="10" w:type="dxa"/>
                  </w:tcMar>
                  <w:vAlign w:val="center"/>
                </w:tcPr>
                <w:p w14:paraId="6560701A">
                  <w:pPr>
                    <w:pStyle w:val="33"/>
                    <w:rPr>
                      <w:rFonts w:ascii="Times New Roman" w:hAnsi="Times New Roman" w:cs="Times New Roman"/>
                      <w:color w:val="auto"/>
                    </w:rPr>
                  </w:pPr>
                  <w:r>
                    <w:rPr>
                      <w:rFonts w:ascii="Times New Roman" w:hAnsi="Times New Roman" w:cs="Times New Roman"/>
                      <w:color w:val="auto"/>
                    </w:rPr>
                    <w:t>占标率%</w:t>
                  </w:r>
                </w:p>
              </w:tc>
              <w:tc>
                <w:tcPr>
                  <w:tcW w:w="745" w:type="pct"/>
                  <w:noWrap/>
                  <w:tcMar>
                    <w:top w:w="10" w:type="dxa"/>
                    <w:left w:w="10" w:type="dxa"/>
                    <w:right w:w="10" w:type="dxa"/>
                  </w:tcMar>
                  <w:vAlign w:val="center"/>
                </w:tcPr>
                <w:p w14:paraId="3FB97906">
                  <w:pPr>
                    <w:pStyle w:val="33"/>
                    <w:rPr>
                      <w:rFonts w:ascii="Times New Roman" w:hAnsi="Times New Roman" w:cs="Times New Roman"/>
                      <w:color w:val="auto"/>
                    </w:rPr>
                  </w:pPr>
                  <w:r>
                    <w:rPr>
                      <w:rFonts w:ascii="Times New Roman" w:hAnsi="Times New Roman" w:cs="Times New Roman"/>
                      <w:color w:val="auto"/>
                    </w:rPr>
                    <w:t>达标情况</w:t>
                  </w:r>
                </w:p>
              </w:tc>
            </w:tr>
            <w:tr w14:paraId="5E1F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9CE97FA">
                  <w:pPr>
                    <w:pStyle w:val="33"/>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2.5</w:t>
                  </w:r>
                </w:p>
              </w:tc>
              <w:tc>
                <w:tcPr>
                  <w:tcW w:w="1131" w:type="pct"/>
                  <w:shd w:val="clear" w:color="auto" w:fill="auto"/>
                  <w:noWrap/>
                  <w:tcMar>
                    <w:top w:w="10" w:type="dxa"/>
                    <w:left w:w="10" w:type="dxa"/>
                    <w:right w:w="10" w:type="dxa"/>
                  </w:tcMar>
                  <w:vAlign w:val="center"/>
                </w:tcPr>
                <w:p w14:paraId="45A92A63">
                  <w:pPr>
                    <w:pStyle w:val="33"/>
                    <w:rPr>
                      <w:rFonts w:ascii="Times New Roman" w:hAnsi="Times New Roman" w:cs="Times New Roman"/>
                      <w:color w:val="auto"/>
                    </w:rPr>
                  </w:pPr>
                  <w:r>
                    <w:rPr>
                      <w:rFonts w:ascii="Times New Roman" w:hAnsi="Times New Roman" w:cs="Times New Roman"/>
                      <w:color w:val="auto"/>
                    </w:rPr>
                    <w:t>年均浓度</w:t>
                  </w:r>
                </w:p>
              </w:tc>
              <w:tc>
                <w:tcPr>
                  <w:tcW w:w="922" w:type="pct"/>
                  <w:shd w:val="clear" w:color="auto" w:fill="auto"/>
                  <w:noWrap/>
                  <w:tcMar>
                    <w:top w:w="10" w:type="dxa"/>
                    <w:left w:w="10" w:type="dxa"/>
                    <w:right w:w="10" w:type="dxa"/>
                  </w:tcMar>
                  <w:vAlign w:val="center"/>
                </w:tcPr>
                <w:p w14:paraId="05CBE645">
                  <w:pPr>
                    <w:pStyle w:val="33"/>
                    <w:rPr>
                      <w:rFonts w:ascii="Times New Roman" w:hAnsi="Times New Roman" w:cs="Times New Roman"/>
                      <w:color w:val="auto"/>
                    </w:rPr>
                  </w:pPr>
                  <w:r>
                    <w:rPr>
                      <w:rFonts w:ascii="Times New Roman" w:hAnsi="Times New Roman" w:cs="Times New Roman"/>
                      <w:color w:val="auto"/>
                    </w:rPr>
                    <w:t>35</w:t>
                  </w:r>
                </w:p>
              </w:tc>
              <w:tc>
                <w:tcPr>
                  <w:tcW w:w="920" w:type="pct"/>
                  <w:shd w:val="clear" w:color="auto" w:fill="auto"/>
                  <w:noWrap/>
                  <w:tcMar>
                    <w:top w:w="10" w:type="dxa"/>
                    <w:left w:w="10" w:type="dxa"/>
                    <w:right w:w="10" w:type="dxa"/>
                  </w:tcMar>
                  <w:vAlign w:val="center"/>
                </w:tcPr>
                <w:p w14:paraId="7A4D916C">
                  <w:pPr>
                    <w:pStyle w:val="33"/>
                    <w:rPr>
                      <w:rFonts w:ascii="Times New Roman" w:hAnsi="Times New Roman" w:cs="Times New Roman"/>
                      <w:color w:val="auto"/>
                    </w:rPr>
                  </w:pPr>
                  <w:r>
                    <w:rPr>
                      <w:rFonts w:ascii="Times New Roman" w:hAnsi="Times New Roman" w:cs="Times New Roman"/>
                      <w:color w:val="auto"/>
                    </w:rPr>
                    <w:t>42</w:t>
                  </w:r>
                </w:p>
              </w:tc>
              <w:tc>
                <w:tcPr>
                  <w:tcW w:w="737" w:type="pct"/>
                  <w:shd w:val="clear" w:color="000000" w:fill="auto"/>
                  <w:noWrap/>
                  <w:tcMar>
                    <w:top w:w="10" w:type="dxa"/>
                    <w:left w:w="10" w:type="dxa"/>
                    <w:right w:w="10" w:type="dxa"/>
                  </w:tcMar>
                  <w:vAlign w:val="center"/>
                </w:tcPr>
                <w:p w14:paraId="0CD0CA75">
                  <w:pPr>
                    <w:pStyle w:val="33"/>
                    <w:rPr>
                      <w:rFonts w:ascii="Times New Roman" w:hAnsi="Times New Roman" w:cs="Times New Roman"/>
                      <w:color w:val="auto"/>
                    </w:rPr>
                  </w:pPr>
                  <w:r>
                    <w:rPr>
                      <w:rFonts w:ascii="Times New Roman" w:hAnsi="Times New Roman" w:cs="Times New Roman"/>
                      <w:color w:val="auto"/>
                    </w:rPr>
                    <w:t>120</w:t>
                  </w:r>
                </w:p>
              </w:tc>
              <w:tc>
                <w:tcPr>
                  <w:tcW w:w="745" w:type="pct"/>
                  <w:noWrap/>
                  <w:tcMar>
                    <w:top w:w="10" w:type="dxa"/>
                    <w:left w:w="10" w:type="dxa"/>
                    <w:right w:w="10" w:type="dxa"/>
                  </w:tcMar>
                  <w:vAlign w:val="center"/>
                </w:tcPr>
                <w:p w14:paraId="40F3A579">
                  <w:pPr>
                    <w:pStyle w:val="33"/>
                    <w:rPr>
                      <w:rFonts w:ascii="Times New Roman" w:hAnsi="Times New Roman" w:cs="Times New Roman"/>
                      <w:color w:val="auto"/>
                    </w:rPr>
                  </w:pPr>
                  <w:r>
                    <w:rPr>
                      <w:rFonts w:ascii="Times New Roman" w:hAnsi="Times New Roman" w:cs="Times New Roman"/>
                      <w:color w:val="auto"/>
                      <w:lang w:eastAsia="zh-CN"/>
                    </w:rPr>
                    <w:t>超</w:t>
                  </w:r>
                  <w:r>
                    <w:rPr>
                      <w:rFonts w:ascii="Times New Roman" w:hAnsi="Times New Roman" w:cs="Times New Roman"/>
                      <w:color w:val="auto"/>
                    </w:rPr>
                    <w:t>标</w:t>
                  </w:r>
                </w:p>
              </w:tc>
            </w:tr>
            <w:tr w14:paraId="2A19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09844305">
                  <w:pPr>
                    <w:pStyle w:val="33"/>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10</w:t>
                  </w:r>
                </w:p>
              </w:tc>
              <w:tc>
                <w:tcPr>
                  <w:tcW w:w="1131" w:type="pct"/>
                  <w:shd w:val="clear" w:color="auto" w:fill="auto"/>
                  <w:noWrap/>
                  <w:tcMar>
                    <w:top w:w="10" w:type="dxa"/>
                    <w:left w:w="10" w:type="dxa"/>
                    <w:right w:w="10" w:type="dxa"/>
                  </w:tcMar>
                  <w:vAlign w:val="center"/>
                </w:tcPr>
                <w:p w14:paraId="320BBDC8">
                  <w:pPr>
                    <w:pStyle w:val="33"/>
                    <w:rPr>
                      <w:rFonts w:ascii="Times New Roman" w:hAnsi="Times New Roman" w:cs="Times New Roman"/>
                      <w:color w:val="auto"/>
                    </w:rPr>
                  </w:pPr>
                  <w:r>
                    <w:rPr>
                      <w:rFonts w:ascii="Times New Roman" w:hAnsi="Times New Roman" w:cs="Times New Roman"/>
                      <w:color w:val="auto"/>
                    </w:rPr>
                    <w:t>年均浓度</w:t>
                  </w:r>
                </w:p>
              </w:tc>
              <w:tc>
                <w:tcPr>
                  <w:tcW w:w="922" w:type="pct"/>
                  <w:shd w:val="clear" w:color="auto" w:fill="auto"/>
                  <w:noWrap/>
                  <w:tcMar>
                    <w:top w:w="10" w:type="dxa"/>
                    <w:left w:w="10" w:type="dxa"/>
                    <w:right w:w="10" w:type="dxa"/>
                  </w:tcMar>
                  <w:vAlign w:val="center"/>
                </w:tcPr>
                <w:p w14:paraId="077C6685">
                  <w:pPr>
                    <w:pStyle w:val="33"/>
                    <w:rPr>
                      <w:rFonts w:ascii="Times New Roman" w:hAnsi="Times New Roman" w:cs="Times New Roman"/>
                      <w:color w:val="auto"/>
                    </w:rPr>
                  </w:pPr>
                  <w:r>
                    <w:rPr>
                      <w:rFonts w:ascii="Times New Roman" w:hAnsi="Times New Roman" w:cs="Times New Roman"/>
                      <w:color w:val="auto"/>
                    </w:rPr>
                    <w:t>70</w:t>
                  </w:r>
                </w:p>
              </w:tc>
              <w:tc>
                <w:tcPr>
                  <w:tcW w:w="920" w:type="pct"/>
                  <w:shd w:val="clear" w:color="auto" w:fill="auto"/>
                  <w:noWrap/>
                  <w:tcMar>
                    <w:top w:w="10" w:type="dxa"/>
                    <w:left w:w="10" w:type="dxa"/>
                    <w:right w:w="10" w:type="dxa"/>
                  </w:tcMar>
                  <w:vAlign w:val="center"/>
                </w:tcPr>
                <w:p w14:paraId="4A75AD05">
                  <w:pPr>
                    <w:pStyle w:val="33"/>
                    <w:rPr>
                      <w:rFonts w:ascii="Times New Roman" w:hAnsi="Times New Roman" w:cs="Times New Roman"/>
                      <w:color w:val="auto"/>
                    </w:rPr>
                  </w:pPr>
                  <w:r>
                    <w:rPr>
                      <w:rFonts w:ascii="Times New Roman" w:hAnsi="Times New Roman" w:cs="Times New Roman"/>
                      <w:color w:val="auto"/>
                    </w:rPr>
                    <w:t>70</w:t>
                  </w:r>
                </w:p>
              </w:tc>
              <w:tc>
                <w:tcPr>
                  <w:tcW w:w="737" w:type="pct"/>
                  <w:shd w:val="clear" w:color="000000" w:fill="auto"/>
                  <w:noWrap/>
                  <w:tcMar>
                    <w:top w:w="10" w:type="dxa"/>
                    <w:left w:w="10" w:type="dxa"/>
                    <w:right w:w="10" w:type="dxa"/>
                  </w:tcMar>
                  <w:vAlign w:val="center"/>
                </w:tcPr>
                <w:p w14:paraId="1F7B7535">
                  <w:pPr>
                    <w:pStyle w:val="33"/>
                    <w:rPr>
                      <w:rFonts w:ascii="Times New Roman" w:hAnsi="Times New Roman" w:cs="Times New Roman"/>
                      <w:color w:val="auto"/>
                    </w:rPr>
                  </w:pPr>
                  <w:r>
                    <w:rPr>
                      <w:rFonts w:ascii="Times New Roman" w:hAnsi="Times New Roman" w:cs="Times New Roman"/>
                      <w:color w:val="auto"/>
                    </w:rPr>
                    <w:t>100</w:t>
                  </w:r>
                </w:p>
              </w:tc>
              <w:tc>
                <w:tcPr>
                  <w:tcW w:w="745" w:type="pct"/>
                  <w:noWrap/>
                  <w:tcMar>
                    <w:top w:w="10" w:type="dxa"/>
                    <w:left w:w="10" w:type="dxa"/>
                    <w:right w:w="10" w:type="dxa"/>
                  </w:tcMar>
                  <w:vAlign w:val="center"/>
                </w:tcPr>
                <w:p w14:paraId="5E4C244E">
                  <w:pPr>
                    <w:pStyle w:val="33"/>
                    <w:rPr>
                      <w:rFonts w:ascii="Times New Roman" w:hAnsi="Times New Roman" w:cs="Times New Roman"/>
                      <w:color w:val="auto"/>
                    </w:rPr>
                  </w:pPr>
                  <w:r>
                    <w:rPr>
                      <w:rFonts w:ascii="Times New Roman" w:hAnsi="Times New Roman" w:cs="Times New Roman"/>
                      <w:color w:val="auto"/>
                    </w:rPr>
                    <w:t>达标</w:t>
                  </w:r>
                </w:p>
              </w:tc>
            </w:tr>
            <w:tr w14:paraId="6FE2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35C45FC7">
                  <w:pPr>
                    <w:pStyle w:val="33"/>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tc>
              <w:tc>
                <w:tcPr>
                  <w:tcW w:w="1131" w:type="pct"/>
                  <w:shd w:val="clear" w:color="auto" w:fill="auto"/>
                  <w:noWrap/>
                  <w:tcMar>
                    <w:top w:w="10" w:type="dxa"/>
                    <w:left w:w="10" w:type="dxa"/>
                    <w:right w:w="10" w:type="dxa"/>
                  </w:tcMar>
                  <w:vAlign w:val="center"/>
                </w:tcPr>
                <w:p w14:paraId="499B1C66">
                  <w:pPr>
                    <w:pStyle w:val="33"/>
                    <w:rPr>
                      <w:rFonts w:ascii="Times New Roman" w:hAnsi="Times New Roman" w:cs="Times New Roman"/>
                      <w:color w:val="auto"/>
                    </w:rPr>
                  </w:pPr>
                  <w:r>
                    <w:rPr>
                      <w:rFonts w:ascii="Times New Roman" w:hAnsi="Times New Roman" w:cs="Times New Roman"/>
                      <w:color w:val="auto"/>
                    </w:rPr>
                    <w:t>年均浓度</w:t>
                  </w:r>
                </w:p>
              </w:tc>
              <w:tc>
                <w:tcPr>
                  <w:tcW w:w="922" w:type="pct"/>
                  <w:shd w:val="clear" w:color="auto" w:fill="auto"/>
                  <w:noWrap/>
                  <w:tcMar>
                    <w:top w:w="10" w:type="dxa"/>
                    <w:left w:w="10" w:type="dxa"/>
                    <w:right w:w="10" w:type="dxa"/>
                  </w:tcMar>
                  <w:vAlign w:val="center"/>
                </w:tcPr>
                <w:p w14:paraId="5E9D5D5A">
                  <w:pPr>
                    <w:pStyle w:val="33"/>
                    <w:rPr>
                      <w:rFonts w:ascii="Times New Roman" w:hAnsi="Times New Roman" w:cs="Times New Roman"/>
                      <w:color w:val="auto"/>
                    </w:rPr>
                  </w:pPr>
                  <w:r>
                    <w:rPr>
                      <w:rFonts w:ascii="Times New Roman" w:hAnsi="Times New Roman" w:cs="Times New Roman"/>
                      <w:color w:val="auto"/>
                    </w:rPr>
                    <w:t>60</w:t>
                  </w:r>
                </w:p>
              </w:tc>
              <w:tc>
                <w:tcPr>
                  <w:tcW w:w="920" w:type="pct"/>
                  <w:shd w:val="clear" w:color="auto" w:fill="auto"/>
                  <w:noWrap/>
                  <w:tcMar>
                    <w:top w:w="10" w:type="dxa"/>
                    <w:left w:w="10" w:type="dxa"/>
                    <w:right w:w="10" w:type="dxa"/>
                  </w:tcMar>
                  <w:vAlign w:val="center"/>
                </w:tcPr>
                <w:p w14:paraId="56133FE7">
                  <w:pPr>
                    <w:pStyle w:val="33"/>
                    <w:rPr>
                      <w:rFonts w:ascii="Times New Roman" w:hAnsi="Times New Roman" w:cs="Times New Roman"/>
                      <w:color w:val="auto"/>
                    </w:rPr>
                  </w:pPr>
                  <w:r>
                    <w:rPr>
                      <w:rFonts w:ascii="Times New Roman" w:hAnsi="Times New Roman" w:cs="Times New Roman"/>
                      <w:color w:val="auto"/>
                    </w:rPr>
                    <w:t>7</w:t>
                  </w:r>
                </w:p>
              </w:tc>
              <w:tc>
                <w:tcPr>
                  <w:tcW w:w="737" w:type="pct"/>
                  <w:shd w:val="clear" w:color="000000" w:fill="auto"/>
                  <w:noWrap/>
                  <w:tcMar>
                    <w:top w:w="10" w:type="dxa"/>
                    <w:left w:w="10" w:type="dxa"/>
                    <w:right w:w="10" w:type="dxa"/>
                  </w:tcMar>
                  <w:vAlign w:val="center"/>
                </w:tcPr>
                <w:p w14:paraId="3B876493">
                  <w:pPr>
                    <w:pStyle w:val="33"/>
                    <w:rPr>
                      <w:rFonts w:ascii="Times New Roman" w:hAnsi="Times New Roman" w:cs="Times New Roman"/>
                      <w:color w:val="auto"/>
                    </w:rPr>
                  </w:pPr>
                  <w:r>
                    <w:rPr>
                      <w:rFonts w:ascii="Times New Roman" w:hAnsi="Times New Roman" w:cs="Times New Roman"/>
                      <w:color w:val="auto"/>
                    </w:rPr>
                    <w:t>11.67</w:t>
                  </w:r>
                </w:p>
              </w:tc>
              <w:tc>
                <w:tcPr>
                  <w:tcW w:w="745" w:type="pct"/>
                  <w:noWrap/>
                  <w:tcMar>
                    <w:top w:w="10" w:type="dxa"/>
                    <w:left w:w="10" w:type="dxa"/>
                    <w:right w:w="10" w:type="dxa"/>
                  </w:tcMar>
                  <w:vAlign w:val="center"/>
                </w:tcPr>
                <w:p w14:paraId="542A2535">
                  <w:pPr>
                    <w:pStyle w:val="33"/>
                    <w:rPr>
                      <w:rFonts w:ascii="Times New Roman" w:hAnsi="Times New Roman" w:cs="Times New Roman"/>
                      <w:color w:val="auto"/>
                    </w:rPr>
                  </w:pPr>
                  <w:r>
                    <w:rPr>
                      <w:rFonts w:ascii="Times New Roman" w:hAnsi="Times New Roman" w:cs="Times New Roman"/>
                      <w:color w:val="auto"/>
                    </w:rPr>
                    <w:t>达标</w:t>
                  </w:r>
                </w:p>
              </w:tc>
            </w:tr>
            <w:tr w14:paraId="6F67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54AC9BF3">
                  <w:pPr>
                    <w:pStyle w:val="33"/>
                    <w:rPr>
                      <w:rFonts w:ascii="Times New Roman" w:hAnsi="Times New Roman" w:cs="Times New Roman"/>
                      <w:color w:val="auto"/>
                    </w:rPr>
                  </w:pPr>
                  <w:r>
                    <w:rPr>
                      <w:rFonts w:ascii="Times New Roman" w:hAnsi="Times New Roman" w:cs="Times New Roman"/>
                      <w:color w:val="auto"/>
                    </w:rPr>
                    <w:t>NO</w:t>
                  </w:r>
                  <w:r>
                    <w:rPr>
                      <w:rFonts w:ascii="Times New Roman" w:hAnsi="Times New Roman" w:cs="Times New Roman"/>
                      <w:color w:val="auto"/>
                      <w:vertAlign w:val="subscript"/>
                    </w:rPr>
                    <w:t>2</w:t>
                  </w:r>
                </w:p>
              </w:tc>
              <w:tc>
                <w:tcPr>
                  <w:tcW w:w="1131" w:type="pct"/>
                  <w:shd w:val="clear" w:color="auto" w:fill="auto"/>
                  <w:noWrap/>
                  <w:tcMar>
                    <w:top w:w="10" w:type="dxa"/>
                    <w:left w:w="10" w:type="dxa"/>
                    <w:right w:w="10" w:type="dxa"/>
                  </w:tcMar>
                  <w:vAlign w:val="center"/>
                </w:tcPr>
                <w:p w14:paraId="7CE7AA7E">
                  <w:pPr>
                    <w:pStyle w:val="33"/>
                    <w:rPr>
                      <w:rFonts w:ascii="Times New Roman" w:hAnsi="Times New Roman" w:cs="Times New Roman"/>
                      <w:color w:val="auto"/>
                    </w:rPr>
                  </w:pPr>
                  <w:r>
                    <w:rPr>
                      <w:rFonts w:ascii="Times New Roman" w:hAnsi="Times New Roman" w:cs="Times New Roman"/>
                      <w:color w:val="auto"/>
                    </w:rPr>
                    <w:t>年均浓度</w:t>
                  </w:r>
                </w:p>
              </w:tc>
              <w:tc>
                <w:tcPr>
                  <w:tcW w:w="922" w:type="pct"/>
                  <w:shd w:val="clear" w:color="auto" w:fill="auto"/>
                  <w:noWrap/>
                  <w:tcMar>
                    <w:top w:w="10" w:type="dxa"/>
                    <w:left w:w="10" w:type="dxa"/>
                    <w:right w:w="10" w:type="dxa"/>
                  </w:tcMar>
                  <w:vAlign w:val="center"/>
                </w:tcPr>
                <w:p w14:paraId="5E848F38">
                  <w:pPr>
                    <w:pStyle w:val="33"/>
                    <w:rPr>
                      <w:rFonts w:ascii="Times New Roman" w:hAnsi="Times New Roman" w:cs="Times New Roman"/>
                      <w:color w:val="auto"/>
                    </w:rPr>
                  </w:pPr>
                  <w:r>
                    <w:rPr>
                      <w:rFonts w:ascii="Times New Roman" w:hAnsi="Times New Roman" w:cs="Times New Roman"/>
                      <w:color w:val="auto"/>
                    </w:rPr>
                    <w:t>40</w:t>
                  </w:r>
                </w:p>
              </w:tc>
              <w:tc>
                <w:tcPr>
                  <w:tcW w:w="920" w:type="pct"/>
                  <w:shd w:val="clear" w:color="auto" w:fill="auto"/>
                  <w:noWrap/>
                  <w:tcMar>
                    <w:top w:w="10" w:type="dxa"/>
                    <w:left w:w="10" w:type="dxa"/>
                    <w:right w:w="10" w:type="dxa"/>
                  </w:tcMar>
                  <w:vAlign w:val="center"/>
                </w:tcPr>
                <w:p w14:paraId="1E774378">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23</w:t>
                  </w:r>
                </w:p>
              </w:tc>
              <w:tc>
                <w:tcPr>
                  <w:tcW w:w="737" w:type="pct"/>
                  <w:shd w:val="clear" w:color="000000" w:fill="auto"/>
                  <w:noWrap/>
                  <w:tcMar>
                    <w:top w:w="10" w:type="dxa"/>
                    <w:left w:w="10" w:type="dxa"/>
                    <w:right w:w="10" w:type="dxa"/>
                  </w:tcMar>
                  <w:vAlign w:val="center"/>
                </w:tcPr>
                <w:p w14:paraId="60640A30">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57.5</w:t>
                  </w:r>
                </w:p>
              </w:tc>
              <w:tc>
                <w:tcPr>
                  <w:tcW w:w="745" w:type="pct"/>
                  <w:noWrap/>
                  <w:tcMar>
                    <w:top w:w="10" w:type="dxa"/>
                    <w:left w:w="10" w:type="dxa"/>
                    <w:right w:w="10" w:type="dxa"/>
                  </w:tcMar>
                  <w:vAlign w:val="center"/>
                </w:tcPr>
                <w:p w14:paraId="78E7CB18">
                  <w:pPr>
                    <w:pStyle w:val="33"/>
                    <w:rPr>
                      <w:rFonts w:ascii="Times New Roman" w:hAnsi="Times New Roman" w:cs="Times New Roman"/>
                      <w:color w:val="auto"/>
                    </w:rPr>
                  </w:pPr>
                  <w:r>
                    <w:rPr>
                      <w:rFonts w:ascii="Times New Roman" w:hAnsi="Times New Roman" w:cs="Times New Roman"/>
                      <w:color w:val="auto"/>
                    </w:rPr>
                    <w:t>达标</w:t>
                  </w:r>
                </w:p>
              </w:tc>
            </w:tr>
            <w:tr w14:paraId="7B62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6B1AA51A">
                  <w:pPr>
                    <w:pStyle w:val="33"/>
                    <w:rPr>
                      <w:rFonts w:ascii="Times New Roman" w:hAnsi="Times New Roman" w:cs="Times New Roman"/>
                      <w:color w:val="auto"/>
                    </w:rPr>
                  </w:pPr>
                  <w:r>
                    <w:rPr>
                      <w:rFonts w:ascii="Times New Roman" w:hAnsi="Times New Roman" w:cs="Times New Roman"/>
                      <w:color w:val="auto"/>
                    </w:rPr>
                    <w:t>CO</w:t>
                  </w:r>
                </w:p>
              </w:tc>
              <w:tc>
                <w:tcPr>
                  <w:tcW w:w="1131" w:type="pct"/>
                  <w:shd w:val="clear" w:color="auto" w:fill="auto"/>
                  <w:noWrap/>
                  <w:tcMar>
                    <w:top w:w="10" w:type="dxa"/>
                    <w:left w:w="10" w:type="dxa"/>
                    <w:right w:w="10" w:type="dxa"/>
                  </w:tcMar>
                  <w:vAlign w:val="center"/>
                </w:tcPr>
                <w:p w14:paraId="783CC6C2">
                  <w:pPr>
                    <w:pStyle w:val="33"/>
                    <w:rPr>
                      <w:rFonts w:ascii="Times New Roman" w:hAnsi="Times New Roman" w:cs="Times New Roman"/>
                      <w:color w:val="auto"/>
                    </w:rPr>
                  </w:pPr>
                  <w:r>
                    <w:rPr>
                      <w:rFonts w:ascii="Times New Roman" w:hAnsi="Times New Roman" w:cs="Times New Roman"/>
                      <w:color w:val="auto"/>
                    </w:rPr>
                    <w:t>日均浓度</w:t>
                  </w:r>
                </w:p>
              </w:tc>
              <w:tc>
                <w:tcPr>
                  <w:tcW w:w="922" w:type="pct"/>
                  <w:shd w:val="clear" w:color="auto" w:fill="auto"/>
                  <w:noWrap/>
                  <w:tcMar>
                    <w:top w:w="10" w:type="dxa"/>
                    <w:left w:w="10" w:type="dxa"/>
                    <w:right w:w="10" w:type="dxa"/>
                  </w:tcMar>
                  <w:vAlign w:val="center"/>
                </w:tcPr>
                <w:p w14:paraId="4EA20B78">
                  <w:pPr>
                    <w:pStyle w:val="33"/>
                    <w:rPr>
                      <w:rFonts w:ascii="Times New Roman" w:hAnsi="Times New Roman" w:cs="Times New Roman"/>
                      <w:color w:val="auto"/>
                    </w:rPr>
                  </w:pPr>
                  <w:r>
                    <w:rPr>
                      <w:rFonts w:ascii="Times New Roman" w:hAnsi="Times New Roman" w:cs="Times New Roman"/>
                      <w:color w:val="auto"/>
                    </w:rPr>
                    <w:t>4000</w:t>
                  </w:r>
                </w:p>
              </w:tc>
              <w:tc>
                <w:tcPr>
                  <w:tcW w:w="920" w:type="pct"/>
                  <w:shd w:val="clear" w:color="auto" w:fill="auto"/>
                  <w:tcMar>
                    <w:top w:w="10" w:type="dxa"/>
                    <w:left w:w="10" w:type="dxa"/>
                    <w:right w:w="10" w:type="dxa"/>
                  </w:tcMar>
                  <w:vAlign w:val="center"/>
                </w:tcPr>
                <w:p w14:paraId="399ED256">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900</w:t>
                  </w:r>
                </w:p>
              </w:tc>
              <w:tc>
                <w:tcPr>
                  <w:tcW w:w="737" w:type="pct"/>
                  <w:shd w:val="clear" w:color="000000" w:fill="auto"/>
                  <w:noWrap/>
                  <w:tcMar>
                    <w:top w:w="10" w:type="dxa"/>
                    <w:left w:w="10" w:type="dxa"/>
                    <w:right w:w="10" w:type="dxa"/>
                  </w:tcMar>
                  <w:vAlign w:val="center"/>
                </w:tcPr>
                <w:p w14:paraId="1CF7FB9F">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22.5</w:t>
                  </w:r>
                </w:p>
              </w:tc>
              <w:tc>
                <w:tcPr>
                  <w:tcW w:w="745" w:type="pct"/>
                  <w:noWrap/>
                  <w:tcMar>
                    <w:top w:w="10" w:type="dxa"/>
                    <w:left w:w="10" w:type="dxa"/>
                    <w:right w:w="10" w:type="dxa"/>
                  </w:tcMar>
                  <w:vAlign w:val="center"/>
                </w:tcPr>
                <w:p w14:paraId="707CB616">
                  <w:pPr>
                    <w:pStyle w:val="33"/>
                    <w:rPr>
                      <w:rFonts w:ascii="Times New Roman" w:hAnsi="Times New Roman" w:cs="Times New Roman"/>
                      <w:color w:val="auto"/>
                    </w:rPr>
                  </w:pPr>
                  <w:r>
                    <w:rPr>
                      <w:rFonts w:ascii="Times New Roman" w:hAnsi="Times New Roman" w:cs="Times New Roman"/>
                      <w:color w:val="auto"/>
                    </w:rPr>
                    <w:t>达标</w:t>
                  </w:r>
                </w:p>
              </w:tc>
            </w:tr>
            <w:tr w14:paraId="5B55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42" w:type="pct"/>
                  <w:shd w:val="clear" w:color="auto" w:fill="auto"/>
                  <w:noWrap/>
                  <w:tcMar>
                    <w:top w:w="10" w:type="dxa"/>
                    <w:left w:w="10" w:type="dxa"/>
                    <w:right w:w="10" w:type="dxa"/>
                  </w:tcMar>
                  <w:vAlign w:val="center"/>
                </w:tcPr>
                <w:p w14:paraId="0640D7FE">
                  <w:pPr>
                    <w:pStyle w:val="33"/>
                    <w:rPr>
                      <w:rFonts w:ascii="Times New Roman" w:hAnsi="Times New Roman" w:cs="Times New Roman"/>
                      <w:color w:val="auto"/>
                    </w:rPr>
                  </w:pPr>
                  <w:r>
                    <w:rPr>
                      <w:rFonts w:ascii="Times New Roman" w:hAnsi="Times New Roman" w:cs="Times New Roman"/>
                      <w:color w:val="auto"/>
                    </w:rPr>
                    <w:t>O</w:t>
                  </w:r>
                  <w:r>
                    <w:rPr>
                      <w:rFonts w:ascii="Times New Roman" w:hAnsi="Times New Roman" w:cs="Times New Roman"/>
                      <w:color w:val="auto"/>
                      <w:vertAlign w:val="subscript"/>
                    </w:rPr>
                    <w:t>3</w:t>
                  </w:r>
                </w:p>
              </w:tc>
              <w:tc>
                <w:tcPr>
                  <w:tcW w:w="1131" w:type="pct"/>
                  <w:shd w:val="clear" w:color="auto" w:fill="auto"/>
                  <w:tcMar>
                    <w:top w:w="10" w:type="dxa"/>
                    <w:left w:w="10" w:type="dxa"/>
                    <w:right w:w="10" w:type="dxa"/>
                  </w:tcMar>
                  <w:vAlign w:val="center"/>
                </w:tcPr>
                <w:p w14:paraId="00AAD277">
                  <w:pPr>
                    <w:pStyle w:val="33"/>
                    <w:rPr>
                      <w:rFonts w:ascii="Times New Roman" w:hAnsi="Times New Roman" w:cs="Times New Roman"/>
                      <w:color w:val="auto"/>
                    </w:rPr>
                  </w:pPr>
                  <w:r>
                    <w:rPr>
                      <w:rFonts w:ascii="Times New Roman" w:hAnsi="Times New Roman" w:cs="Times New Roman"/>
                      <w:color w:val="auto"/>
                    </w:rPr>
                    <w:t>日均最大8h浓度</w:t>
                  </w:r>
                </w:p>
              </w:tc>
              <w:tc>
                <w:tcPr>
                  <w:tcW w:w="922" w:type="pct"/>
                  <w:shd w:val="clear" w:color="auto" w:fill="auto"/>
                  <w:noWrap/>
                  <w:tcMar>
                    <w:top w:w="10" w:type="dxa"/>
                    <w:left w:w="10" w:type="dxa"/>
                    <w:right w:w="10" w:type="dxa"/>
                  </w:tcMar>
                  <w:vAlign w:val="center"/>
                </w:tcPr>
                <w:p w14:paraId="3458D2A2">
                  <w:pPr>
                    <w:pStyle w:val="33"/>
                    <w:rPr>
                      <w:rFonts w:ascii="Times New Roman" w:hAnsi="Times New Roman" w:cs="Times New Roman"/>
                      <w:color w:val="auto"/>
                    </w:rPr>
                  </w:pPr>
                  <w:r>
                    <w:rPr>
                      <w:rFonts w:ascii="Times New Roman" w:hAnsi="Times New Roman" w:cs="Times New Roman"/>
                      <w:color w:val="auto"/>
                    </w:rPr>
                    <w:t>160</w:t>
                  </w:r>
                </w:p>
              </w:tc>
              <w:tc>
                <w:tcPr>
                  <w:tcW w:w="920" w:type="pct"/>
                  <w:shd w:val="clear" w:color="auto" w:fill="auto"/>
                  <w:noWrap/>
                  <w:tcMar>
                    <w:top w:w="10" w:type="dxa"/>
                    <w:left w:w="10" w:type="dxa"/>
                    <w:right w:w="10" w:type="dxa"/>
                  </w:tcMar>
                  <w:vAlign w:val="center"/>
                </w:tcPr>
                <w:p w14:paraId="4E955B8E">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166</w:t>
                  </w:r>
                </w:p>
              </w:tc>
              <w:tc>
                <w:tcPr>
                  <w:tcW w:w="737" w:type="pct"/>
                  <w:shd w:val="clear" w:color="000000" w:fill="auto"/>
                  <w:noWrap/>
                  <w:tcMar>
                    <w:top w:w="10" w:type="dxa"/>
                    <w:left w:w="10" w:type="dxa"/>
                    <w:right w:w="10" w:type="dxa"/>
                  </w:tcMar>
                  <w:vAlign w:val="center"/>
                </w:tcPr>
                <w:p w14:paraId="52E63F99">
                  <w:pPr>
                    <w:pStyle w:val="33"/>
                    <w:rPr>
                      <w:rFonts w:ascii="Times New Roman" w:hAnsi="Times New Roman" w:eastAsia="宋体" w:cs="Times New Roman"/>
                      <w:color w:val="auto"/>
                      <w:lang w:eastAsia="zh-CN"/>
                    </w:rPr>
                  </w:pPr>
                  <w:r>
                    <w:rPr>
                      <w:rFonts w:ascii="Times New Roman" w:hAnsi="Times New Roman" w:cs="Times New Roman"/>
                      <w:color w:val="auto"/>
                      <w:lang w:eastAsia="zh-CN"/>
                    </w:rPr>
                    <w:t>103.8</w:t>
                  </w:r>
                </w:p>
              </w:tc>
              <w:tc>
                <w:tcPr>
                  <w:tcW w:w="745" w:type="pct"/>
                  <w:noWrap/>
                  <w:tcMar>
                    <w:top w:w="10" w:type="dxa"/>
                    <w:left w:w="10" w:type="dxa"/>
                    <w:right w:w="10" w:type="dxa"/>
                  </w:tcMar>
                  <w:vAlign w:val="center"/>
                </w:tcPr>
                <w:p w14:paraId="6622AD0B">
                  <w:pPr>
                    <w:pStyle w:val="33"/>
                    <w:rPr>
                      <w:rFonts w:ascii="Times New Roman" w:hAnsi="Times New Roman" w:cs="Times New Roman"/>
                      <w:color w:val="auto"/>
                    </w:rPr>
                  </w:pPr>
                  <w:r>
                    <w:rPr>
                      <w:rFonts w:ascii="Times New Roman" w:hAnsi="Times New Roman" w:cs="Times New Roman"/>
                      <w:color w:val="auto"/>
                      <w:lang w:eastAsia="zh-CN"/>
                    </w:rPr>
                    <w:t>超</w:t>
                  </w:r>
                  <w:r>
                    <w:rPr>
                      <w:rFonts w:ascii="Times New Roman" w:hAnsi="Times New Roman" w:cs="Times New Roman"/>
                      <w:color w:val="auto"/>
                    </w:rPr>
                    <w:t>标</w:t>
                  </w:r>
                </w:p>
              </w:tc>
            </w:tr>
          </w:tbl>
          <w:p w14:paraId="751291D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32"/>
              </w:rPr>
            </w:pPr>
            <w:r>
              <w:rPr>
                <w:rFonts w:ascii="Times New Roman" w:hAnsi="Times New Roman" w:eastAsia="宋体" w:cs="Times New Roman"/>
                <w:color w:val="auto"/>
                <w:sz w:val="24"/>
                <w:szCs w:val="32"/>
              </w:rPr>
              <w:t>由以上数据可知，项目所在区域大气污染物年平均质量浓度中PM2.5、臭氧超标，其余四项指标均满足《环境空气质量标准》（GB3095-2012）及其修改单中二级标准的要求，环境空气属于不达标区。</w:t>
            </w:r>
          </w:p>
          <w:p w14:paraId="6471E6CE">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cs="Times New Roman"/>
                <w:color w:val="auto"/>
                <w:sz w:val="24"/>
                <w:lang w:eastAsia="zh-CN"/>
              </w:rPr>
              <w:t>（2）其他污染物环境质量现状</w:t>
            </w:r>
          </w:p>
          <w:p w14:paraId="00B056DD">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本项目运营期排放的主要特征污染物为TSP、非甲烷总烃。</w:t>
            </w:r>
          </w:p>
          <w:p w14:paraId="08011097">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非甲烷总烃、TSP现状检测引用《安徽濉溪开发区总体发展规划（2023-2035）环境影响报告书》中的现状检测数据，检测时间：2023年07月06日至2023年07月12日</w:t>
            </w:r>
            <w:r>
              <w:rPr>
                <w:rFonts w:hint="eastAsia" w:ascii="Times New Roman" w:hAnsi="Times New Roman" w:cs="Times New Roman"/>
                <w:color w:val="auto"/>
                <w:sz w:val="24"/>
                <w:lang w:eastAsia="zh-CN"/>
              </w:rPr>
              <w:t>，</w:t>
            </w:r>
            <w:r>
              <w:rPr>
                <w:rFonts w:ascii="Times New Roman" w:hAnsi="Times New Roman" w:cs="Times New Roman"/>
                <w:color w:val="auto"/>
                <w:sz w:val="24"/>
                <w:lang w:eastAsia="zh-CN"/>
              </w:rPr>
              <w:t>检测单位:安徽春涧检测技术有限公司。引用的</w:t>
            </w:r>
            <w:r>
              <w:rPr>
                <w:rFonts w:hint="eastAsia" w:ascii="Times New Roman" w:hAnsi="Times New Roman" w:cs="Times New Roman"/>
                <w:color w:val="auto"/>
                <w:sz w:val="24"/>
                <w:lang w:eastAsia="zh-CN"/>
              </w:rPr>
              <w:t>监测点位</w:t>
            </w:r>
            <w:r>
              <w:rPr>
                <w:rFonts w:ascii="Times New Roman" w:hAnsi="Times New Roman" w:cs="Times New Roman"/>
                <w:color w:val="auto"/>
                <w:sz w:val="24"/>
                <w:lang w:eastAsia="zh-CN"/>
              </w:rPr>
              <w:t>为 G2开发区管委会，开发区管委会位于本项目西北侧约 2744 米处；引用数据为建设项目周边5km范围内近3年的现有检测数据，引用数据有效可行。</w:t>
            </w:r>
          </w:p>
          <w:p w14:paraId="2BE61C18">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①</w:t>
            </w:r>
            <w:r>
              <w:rPr>
                <w:rFonts w:hint="eastAsia" w:ascii="Times New Roman" w:hAnsi="Times New Roman" w:cs="Times New Roman"/>
                <w:color w:val="auto"/>
                <w:sz w:val="24"/>
                <w:lang w:eastAsia="zh-CN"/>
              </w:rPr>
              <w:t>监测点位</w:t>
            </w:r>
          </w:p>
          <w:p w14:paraId="35D07C47">
            <w:pPr>
              <w:pStyle w:val="2"/>
              <w:kinsoku/>
              <w:adjustRightInd/>
              <w:snapToGrid/>
              <w:spacing w:before="0" w:after="0" w:line="240" w:lineRule="auto"/>
              <w:ind w:right="0"/>
              <w:jc w:val="center"/>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表3-2  监测点位分布</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3092"/>
              <w:gridCol w:w="2122"/>
              <w:gridCol w:w="2122"/>
            </w:tblGrid>
            <w:tr w14:paraId="5707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14:paraId="1A3C90CA">
                  <w:pPr>
                    <w:kinsoku/>
                    <w:jc w:val="center"/>
                    <w:rPr>
                      <w:rFonts w:ascii="Times New Roman" w:hAnsi="Times New Roman" w:eastAsia="宋体" w:cs="Times New Roman"/>
                    </w:rPr>
                  </w:pPr>
                  <w:r>
                    <w:rPr>
                      <w:rFonts w:ascii="Times New Roman" w:hAnsi="Times New Roman" w:eastAsia="宋体" w:cs="Times New Roman"/>
                    </w:rPr>
                    <w:t>序号</w:t>
                  </w:r>
                </w:p>
              </w:tc>
              <w:tc>
                <w:tcPr>
                  <w:tcW w:w="2987" w:type="dxa"/>
                  <w:vAlign w:val="center"/>
                </w:tcPr>
                <w:p w14:paraId="208B6136">
                  <w:pPr>
                    <w:kinsoku/>
                    <w:jc w:val="center"/>
                    <w:rPr>
                      <w:rFonts w:ascii="Times New Roman" w:hAnsi="Times New Roman" w:eastAsia="宋体" w:cs="Times New Roman"/>
                    </w:rPr>
                  </w:pPr>
                  <w:r>
                    <w:rPr>
                      <w:rFonts w:ascii="Times New Roman" w:hAnsi="Times New Roman" w:eastAsia="宋体" w:cs="Times New Roman"/>
                    </w:rPr>
                    <w:t>监测点位</w:t>
                  </w:r>
                </w:p>
              </w:tc>
              <w:tc>
                <w:tcPr>
                  <w:tcW w:w="2050" w:type="dxa"/>
                  <w:vAlign w:val="center"/>
                </w:tcPr>
                <w:p w14:paraId="1E1D2791">
                  <w:pPr>
                    <w:kinsoku/>
                    <w:jc w:val="center"/>
                    <w:rPr>
                      <w:rFonts w:ascii="Times New Roman" w:hAnsi="Times New Roman" w:eastAsia="宋体" w:cs="Times New Roman"/>
                    </w:rPr>
                  </w:pPr>
                  <w:r>
                    <w:rPr>
                      <w:rFonts w:ascii="Times New Roman" w:hAnsi="Times New Roman" w:eastAsia="宋体" w:cs="Times New Roman"/>
                    </w:rPr>
                    <w:t>方位</w:t>
                  </w:r>
                </w:p>
              </w:tc>
              <w:tc>
                <w:tcPr>
                  <w:tcW w:w="2050" w:type="dxa"/>
                  <w:vAlign w:val="center"/>
                </w:tcPr>
                <w:p w14:paraId="5F839C12">
                  <w:pPr>
                    <w:kinsoku/>
                    <w:jc w:val="center"/>
                    <w:rPr>
                      <w:rFonts w:ascii="Times New Roman" w:hAnsi="Times New Roman" w:eastAsia="宋体" w:cs="Times New Roman"/>
                    </w:rPr>
                  </w:pPr>
                  <w:r>
                    <w:rPr>
                      <w:rFonts w:ascii="Times New Roman" w:hAnsi="Times New Roman" w:eastAsia="宋体" w:cs="Times New Roman"/>
                    </w:rPr>
                    <w:t>距离</w:t>
                  </w:r>
                </w:p>
              </w:tc>
            </w:tr>
            <w:tr w14:paraId="5188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vAlign w:val="center"/>
                </w:tcPr>
                <w:p w14:paraId="500CB93B">
                  <w:pPr>
                    <w:kinsoku/>
                    <w:jc w:val="center"/>
                    <w:rPr>
                      <w:rFonts w:ascii="Times New Roman" w:hAnsi="Times New Roman" w:eastAsia="宋体" w:cs="Times New Roman"/>
                    </w:rPr>
                  </w:pPr>
                  <w:r>
                    <w:rPr>
                      <w:rFonts w:ascii="Times New Roman" w:hAnsi="Times New Roman" w:eastAsia="宋体" w:cs="Times New Roman"/>
                    </w:rPr>
                    <w:t>1</w:t>
                  </w:r>
                </w:p>
              </w:tc>
              <w:tc>
                <w:tcPr>
                  <w:tcW w:w="2987" w:type="dxa"/>
                  <w:vAlign w:val="center"/>
                </w:tcPr>
                <w:p w14:paraId="132AE946">
                  <w:pPr>
                    <w:kinsoku/>
                    <w:jc w:val="center"/>
                    <w:rPr>
                      <w:rFonts w:ascii="Times New Roman" w:hAnsi="Times New Roman" w:eastAsia="宋体" w:cs="Times New Roman"/>
                      <w:lang w:eastAsia="zh-CN"/>
                    </w:rPr>
                  </w:pPr>
                  <w:r>
                    <w:rPr>
                      <w:rFonts w:ascii="Times New Roman" w:hAnsi="Times New Roman" w:eastAsia="宋体" w:cs="Times New Roman"/>
                      <w:lang w:eastAsia="zh-CN"/>
                    </w:rPr>
                    <w:t>安徽濉溪开发区管理委员会G2</w:t>
                  </w:r>
                </w:p>
              </w:tc>
              <w:tc>
                <w:tcPr>
                  <w:tcW w:w="2050" w:type="dxa"/>
                  <w:vAlign w:val="center"/>
                </w:tcPr>
                <w:p w14:paraId="7043D7ED">
                  <w:pPr>
                    <w:kinsoku/>
                    <w:jc w:val="center"/>
                    <w:rPr>
                      <w:rFonts w:ascii="Times New Roman" w:hAnsi="Times New Roman" w:eastAsia="宋体" w:cs="Times New Roman"/>
                      <w:lang w:eastAsia="zh-CN"/>
                    </w:rPr>
                  </w:pPr>
                  <w:r>
                    <w:rPr>
                      <w:rFonts w:ascii="Times New Roman" w:hAnsi="Times New Roman" w:eastAsia="宋体" w:cs="Times New Roman"/>
                      <w:lang w:eastAsia="zh-CN"/>
                    </w:rPr>
                    <w:t>SW</w:t>
                  </w:r>
                </w:p>
              </w:tc>
              <w:tc>
                <w:tcPr>
                  <w:tcW w:w="2050" w:type="dxa"/>
                  <w:vAlign w:val="center"/>
                </w:tcPr>
                <w:p w14:paraId="75BF9375">
                  <w:pPr>
                    <w:kinsoku/>
                    <w:jc w:val="center"/>
                    <w:rPr>
                      <w:rFonts w:ascii="Times New Roman" w:hAnsi="Times New Roman" w:eastAsia="宋体" w:cs="Times New Roman"/>
                    </w:rPr>
                  </w:pPr>
                  <w:r>
                    <w:rPr>
                      <w:rFonts w:ascii="Times New Roman" w:hAnsi="Times New Roman" w:cs="Times New Roman"/>
                      <w:lang w:eastAsia="zh-CN"/>
                    </w:rPr>
                    <w:t>2744</w:t>
                  </w:r>
                  <w:r>
                    <w:rPr>
                      <w:rFonts w:ascii="Times New Roman" w:hAnsi="Times New Roman" w:eastAsia="宋体" w:cs="Times New Roman"/>
                    </w:rPr>
                    <w:t>m</w:t>
                  </w:r>
                </w:p>
              </w:tc>
            </w:tr>
          </w:tbl>
          <w:p w14:paraId="0DE4FE8E">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p>
          <w:p w14:paraId="250649D5">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p>
          <w:p w14:paraId="7D4B255A">
            <w:pPr>
              <w:kinsoku/>
              <w:autoSpaceDE/>
              <w:autoSpaceDN/>
              <w:adjustRightInd/>
              <w:snapToGrid/>
              <w:spacing w:line="360" w:lineRule="auto"/>
              <w:ind w:firstLine="480" w:firstLineChars="200"/>
              <w:textAlignment w:val="auto"/>
              <w:rPr>
                <w:rFonts w:ascii="Times New Roman" w:hAnsi="Times New Roman" w:cs="Times New Roman"/>
                <w:color w:val="auto"/>
                <w:sz w:val="24"/>
                <w:lang w:eastAsia="zh-CN"/>
              </w:rPr>
            </w:pPr>
          </w:p>
          <w:p w14:paraId="46E4D7A5">
            <w:pPr>
              <w:kinsoku/>
              <w:autoSpaceDE/>
              <w:autoSpaceDN/>
              <w:adjustRightInd/>
              <w:snapToGrid/>
              <w:spacing w:line="360" w:lineRule="auto"/>
              <w:textAlignment w:val="auto"/>
              <w:rPr>
                <w:rFonts w:ascii="Times New Roman" w:hAnsi="Times New Roman" w:cs="Times New Roman"/>
                <w:color w:val="auto"/>
                <w:sz w:val="24"/>
                <w:lang w:eastAsia="zh-CN"/>
              </w:rPr>
            </w:pPr>
          </w:p>
          <w:p w14:paraId="5431A8C9">
            <w:pPr>
              <w:jc w:val="center"/>
              <w:rPr>
                <w:rFonts w:ascii="Times New Roman" w:hAnsi="Times New Roman" w:cs="Times New Roman"/>
                <w:b/>
                <w:bCs/>
                <w:color w:val="auto"/>
                <w:sz w:val="24"/>
                <w:szCs w:val="32"/>
              </w:rPr>
            </w:pPr>
            <w:r>
              <w:drawing>
                <wp:anchor distT="0" distB="0" distL="114300" distR="114300" simplePos="0" relativeHeight="251665408" behindDoc="0" locked="0" layoutInCell="1" allowOverlap="1">
                  <wp:simplePos x="0" y="0"/>
                  <wp:positionH relativeFrom="column">
                    <wp:posOffset>4730750</wp:posOffset>
                  </wp:positionH>
                  <wp:positionV relativeFrom="paragraph">
                    <wp:posOffset>13970</wp:posOffset>
                  </wp:positionV>
                  <wp:extent cx="635635" cy="671830"/>
                  <wp:effectExtent l="0" t="0" r="4445" b="13970"/>
                  <wp:wrapNone/>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15"/>
                          <a:srcRect l="5889" b="-2476"/>
                          <a:stretch>
                            <a:fillRect/>
                          </a:stretch>
                        </pic:blipFill>
                        <pic:spPr>
                          <a:xfrm>
                            <a:off x="0" y="0"/>
                            <a:ext cx="635635" cy="671830"/>
                          </a:xfrm>
                          <a:prstGeom prst="rect">
                            <a:avLst/>
                          </a:prstGeom>
                          <a:noFill/>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2118360</wp:posOffset>
                      </wp:positionH>
                      <wp:positionV relativeFrom="paragraph">
                        <wp:posOffset>1659890</wp:posOffset>
                      </wp:positionV>
                      <wp:extent cx="474980" cy="206375"/>
                      <wp:effectExtent l="134620" t="0" r="0" b="0"/>
                      <wp:wrapNone/>
                      <wp:docPr id="140" name="文本框 140"/>
                      <wp:cNvGraphicFramePr/>
                      <a:graphic xmlns:a="http://schemas.openxmlformats.org/drawingml/2006/main">
                        <a:graphicData uri="http://schemas.microsoft.com/office/word/2010/wordprocessingShape">
                          <wps:wsp>
                            <wps:cNvSpPr txBox="1"/>
                            <wps:spPr>
                              <a:xfrm rot="3600000">
                                <a:off x="3525520" y="2484755"/>
                                <a:ext cx="474980" cy="206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E5E83">
                                  <w:pPr>
                                    <w:rPr>
                                      <w:rFonts w:ascii="Times New Roman" w:hAnsi="Times New Roman" w:eastAsia="宋体" w:cs="Times New Roman"/>
                                      <w:highlight w:val="yellow"/>
                                      <w:lang w:eastAsia="zh-CN"/>
                                    </w:rPr>
                                  </w:pPr>
                                  <w:r>
                                    <w:rPr>
                                      <w:rFonts w:ascii="Times New Roman" w:hAnsi="Times New Roman" w:eastAsia="宋体" w:cs="Times New Roman"/>
                                      <w:highlight w:val="yellow"/>
                                      <w:lang w:eastAsia="zh-CN"/>
                                    </w:rPr>
                                    <w:t>2744m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6.8pt;margin-top:130.7pt;height:16.25pt;width:37.4pt;rotation:3932160f;z-index:251664384;mso-width-relative:page;mso-height-relative:page;" filled="f" stroked="f" coordsize="21600,21600" o:gfxdata="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LhLz9gAAAALAQAADwAAAAAAAAABACAA&#10;AAAiAAAAZHJzL2Rvd25yZXYueG1sUEsBAhQAFAAAAAgAh07iQElwFyxGAgAAcwQAAA4AAAAAAAAA&#10;AQAgAAAAJwEAAGRycy9lMm9Eb2MueG1sUEsFBgAAAAAGAAYAWQEAAN8FAAAAAA==&#10;">
                      <v:fill on="f" focussize="0,0"/>
                      <v:stroke on="f" weight="0.5pt"/>
                      <v:imagedata o:title=""/>
                      <o:lock v:ext="edit" aspectratio="f"/>
                      <v:textbox inset="0mm,0mm,0mm,0mm">
                        <w:txbxContent>
                          <w:p w14:paraId="550E5E83">
                            <w:pPr>
                              <w:rPr>
                                <w:rFonts w:ascii="Times New Roman" w:hAnsi="Times New Roman" w:eastAsia="宋体" w:cs="Times New Roman"/>
                                <w:highlight w:val="yellow"/>
                                <w:lang w:eastAsia="zh-CN"/>
                              </w:rPr>
                            </w:pPr>
                            <w:r>
                              <w:rPr>
                                <w:rFonts w:ascii="Times New Roman" w:hAnsi="Times New Roman" w:eastAsia="宋体" w:cs="Times New Roman"/>
                                <w:highlight w:val="yellow"/>
                                <w:lang w:eastAsia="zh-CN"/>
                              </w:rPr>
                              <w:t>2744m</w:t>
                            </w:r>
                          </w:p>
                        </w:txbxContent>
                      </v:textbox>
                    </v:shape>
                  </w:pict>
                </mc:Fallback>
              </mc:AlternateContent>
            </w:r>
            <w:r>
              <w:rPr>
                <w:rFonts w:ascii="Times New Roman" w:hAnsi="Times New Roman" w:cs="Times New Roman"/>
              </w:rPr>
              <w:drawing>
                <wp:inline distT="0" distB="0" distL="114300" distR="114300">
                  <wp:extent cx="5385435" cy="3399790"/>
                  <wp:effectExtent l="0" t="0" r="9525" b="13970"/>
                  <wp:docPr id="1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pic:cNvPicPr>
                            <a:picLocks noChangeAspect="1"/>
                          </pic:cNvPicPr>
                        </pic:nvPicPr>
                        <pic:blipFill>
                          <a:blip r:embed="rId16"/>
                          <a:stretch>
                            <a:fillRect/>
                          </a:stretch>
                        </pic:blipFill>
                        <pic:spPr>
                          <a:xfrm>
                            <a:off x="0" y="0"/>
                            <a:ext cx="5385435" cy="3399790"/>
                          </a:xfrm>
                          <a:prstGeom prst="rect">
                            <a:avLst/>
                          </a:prstGeom>
                          <a:noFill/>
                          <a:ln>
                            <a:noFill/>
                          </a:ln>
                        </pic:spPr>
                      </pic:pic>
                    </a:graphicData>
                  </a:graphic>
                </wp:inline>
              </w:drawing>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567690</wp:posOffset>
                      </wp:positionV>
                      <wp:extent cx="1074420" cy="2407920"/>
                      <wp:effectExtent l="10795" t="0" r="12065" b="15240"/>
                      <wp:wrapNone/>
                      <wp:docPr id="139" name="直接箭头连接符 139"/>
                      <wp:cNvGraphicFramePr/>
                      <a:graphic xmlns:a="http://schemas.openxmlformats.org/drawingml/2006/main">
                        <a:graphicData uri="http://schemas.microsoft.com/office/word/2010/wordprocessingShape">
                          <wps:wsp>
                            <wps:cNvCnPr/>
                            <wps:spPr>
                              <a:xfrm flipH="1" flipV="1">
                                <a:off x="2923540" y="1494790"/>
                                <a:ext cx="1074420" cy="24079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35pt;margin-top:44.7pt;height:189.6pt;width:84.6pt;z-index:251663360;mso-width-relative:page;mso-height-relative:page;" filled="f" stroked="t" coordsize="21600,21600" o:gfxdata="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ysfc9gAAAAKAQAADwAAAAAAAAABACAAAAAiAAAAZHJzL2Rvd25yZXYueG1sUEsBAhQAFAAAAAgA&#10;h07iQJkEFjMlAgAACQQAAA4AAAAAAAAAAQAgAAAAJwEAAGRycy9lMm9Eb2MueG1sUEsFBgAAAAAG&#10;AAYAWQEAAL4FAAAAAA==&#10;">
                      <v:fill on="f" focussize="0,0"/>
                      <v:stroke weight="1pt" color="#FF0000 [3204]" miterlimit="8" joinstyle="miter" endarrow="open"/>
                      <v:imagedata o:title=""/>
                      <o:lock v:ext="edit" aspectratio="f"/>
                    </v:shape>
                  </w:pict>
                </mc:Fallback>
              </mc:AlternateContent>
            </w:r>
          </w:p>
          <w:p w14:paraId="10250AAD">
            <w:pPr>
              <w:kinsoku/>
              <w:adjustRightInd/>
              <w:snapToGrid/>
              <w:jc w:val="center"/>
              <w:rPr>
                <w:rFonts w:ascii="Times New Roman" w:hAnsi="Times New Roman" w:cs="Times New Roman"/>
              </w:rPr>
            </w:pPr>
            <w:r>
              <w:rPr>
                <w:rFonts w:ascii="Times New Roman" w:hAnsi="Times New Roman" w:eastAsia="宋体" w:cs="Times New Roman"/>
                <w:b/>
                <w:bCs/>
                <w:sz w:val="24"/>
                <w:lang w:eastAsia="zh-CN"/>
              </w:rPr>
              <w:t>图3-1  监测点位图</w:t>
            </w:r>
          </w:p>
          <w:p w14:paraId="781758A6">
            <w:pPr>
              <w:adjustRightInd/>
              <w:snapToGrid/>
              <w:spacing w:line="360" w:lineRule="auto"/>
              <w:ind w:firstLine="480" w:firstLineChars="200"/>
              <w:rPr>
                <w:rFonts w:ascii="Times New Roman" w:hAnsi="Times New Roman" w:eastAsia="宋体" w:cs="Times New Roman"/>
                <w:color w:val="auto"/>
                <w:sz w:val="24"/>
                <w:szCs w:val="32"/>
                <w:lang w:eastAsia="zh-CN"/>
              </w:rPr>
            </w:pPr>
            <w:r>
              <w:rPr>
                <w:rFonts w:ascii="Times New Roman" w:hAnsi="Times New Roman" w:eastAsia="宋体" w:cs="Times New Roman"/>
                <w:color w:val="auto"/>
                <w:sz w:val="24"/>
                <w:szCs w:val="32"/>
                <w:lang w:eastAsia="zh-CN"/>
              </w:rPr>
              <w:t>②检测及评价结果</w:t>
            </w:r>
          </w:p>
          <w:p w14:paraId="32B0D549">
            <w:pPr>
              <w:adjustRightInd/>
              <w:snapToGrid/>
              <w:spacing w:line="360" w:lineRule="auto"/>
              <w:ind w:firstLine="480" w:firstLineChars="200"/>
              <w:rPr>
                <w:rFonts w:ascii="Times New Roman" w:hAnsi="Times New Roman" w:eastAsia="宋体" w:cs="Times New Roman"/>
                <w:color w:val="auto"/>
                <w:sz w:val="24"/>
                <w:szCs w:val="32"/>
                <w:lang w:eastAsia="zh-CN"/>
              </w:rPr>
            </w:pPr>
            <w:r>
              <w:rPr>
                <w:rFonts w:ascii="Times New Roman" w:hAnsi="Times New Roman" w:eastAsia="宋体" w:cs="Times New Roman"/>
                <w:color w:val="auto"/>
                <w:sz w:val="24"/>
                <w:szCs w:val="32"/>
                <w:lang w:eastAsia="zh-CN"/>
              </w:rPr>
              <w:t>环境空气质量现状监测结果及评价表如下表</w:t>
            </w:r>
          </w:p>
          <w:p w14:paraId="44F32A76">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sz w:val="24"/>
                <w:vertAlign w:val="superscript"/>
                <w:lang w:eastAsia="zh-CN"/>
              </w:rPr>
            </w:pPr>
            <w:r>
              <w:rPr>
                <w:rFonts w:ascii="Times New Roman" w:hAnsi="Times New Roman" w:eastAsia="宋体" w:cs="Times New Roman"/>
                <w:b/>
                <w:bCs/>
                <w:sz w:val="24"/>
                <w:szCs w:val="24"/>
                <w:lang w:eastAsia="zh-CN"/>
              </w:rPr>
              <w:t>表3-3  现状监测结果表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185"/>
              <w:gridCol w:w="1160"/>
              <w:gridCol w:w="1189"/>
              <w:gridCol w:w="1189"/>
              <w:gridCol w:w="1060"/>
              <w:gridCol w:w="955"/>
              <w:gridCol w:w="938"/>
            </w:tblGrid>
            <w:tr w14:paraId="22C3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Align w:val="center"/>
                </w:tcPr>
                <w:p w14:paraId="3FB0BBA5">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监测点位</w:t>
                  </w:r>
                </w:p>
              </w:tc>
              <w:tc>
                <w:tcPr>
                  <w:tcW w:w="701" w:type="pct"/>
                  <w:vAlign w:val="center"/>
                </w:tcPr>
                <w:p w14:paraId="7A1B8D6B">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监测项目</w:t>
                  </w:r>
                </w:p>
              </w:tc>
              <w:tc>
                <w:tcPr>
                  <w:tcW w:w="686" w:type="pct"/>
                  <w:vAlign w:val="center"/>
                </w:tcPr>
                <w:p w14:paraId="0E0D31F8">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平均时间</w:t>
                  </w:r>
                </w:p>
              </w:tc>
              <w:tc>
                <w:tcPr>
                  <w:tcW w:w="696" w:type="pct"/>
                  <w:vAlign w:val="center"/>
                </w:tcPr>
                <w:p w14:paraId="2B42A061">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最小值</w:t>
                  </w:r>
                </w:p>
                <w:p w14:paraId="360F864D">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（mg/m³）</w:t>
                  </w:r>
                </w:p>
              </w:tc>
              <w:tc>
                <w:tcPr>
                  <w:tcW w:w="689" w:type="pct"/>
                  <w:vAlign w:val="center"/>
                </w:tcPr>
                <w:p w14:paraId="0CA00261">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最大值（mg/m³）</w:t>
                  </w:r>
                </w:p>
              </w:tc>
              <w:tc>
                <w:tcPr>
                  <w:tcW w:w="627" w:type="pct"/>
                  <w:vAlign w:val="center"/>
                </w:tcPr>
                <w:p w14:paraId="718804DF">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最小占标率（%）</w:t>
                  </w:r>
                </w:p>
              </w:tc>
              <w:tc>
                <w:tcPr>
                  <w:tcW w:w="565" w:type="pct"/>
                  <w:vAlign w:val="center"/>
                </w:tcPr>
                <w:p w14:paraId="0A2FE3B7">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最大占标率（%）</w:t>
                  </w:r>
                </w:p>
              </w:tc>
              <w:tc>
                <w:tcPr>
                  <w:tcW w:w="555" w:type="pct"/>
                  <w:vAlign w:val="center"/>
                </w:tcPr>
                <w:p w14:paraId="6A3F8AF7">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超标率（%）</w:t>
                  </w:r>
                </w:p>
              </w:tc>
            </w:tr>
            <w:tr w14:paraId="4EAB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vAlign w:val="center"/>
                </w:tcPr>
                <w:p w14:paraId="31FDC5BB">
                  <w:pPr>
                    <w:kinsoku/>
                    <w:jc w:val="center"/>
                    <w:rPr>
                      <w:rFonts w:ascii="Times New Roman" w:hAnsi="Times New Roman" w:eastAsia="宋体" w:cs="Times New Roman"/>
                      <w:bCs/>
                      <w:lang w:eastAsia="zh-CN"/>
                    </w:rPr>
                  </w:pPr>
                  <w:r>
                    <w:rPr>
                      <w:rFonts w:ascii="Times New Roman" w:hAnsi="Times New Roman" w:eastAsia="宋体" w:cs="Times New Roman"/>
                      <w:lang w:eastAsia="zh-CN"/>
                    </w:rPr>
                    <w:t>G2</w:t>
                  </w:r>
                </w:p>
              </w:tc>
              <w:tc>
                <w:tcPr>
                  <w:tcW w:w="701" w:type="pct"/>
                  <w:vAlign w:val="center"/>
                </w:tcPr>
                <w:p w14:paraId="6F9775F1">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非甲烷总烃</w:t>
                  </w:r>
                </w:p>
              </w:tc>
              <w:tc>
                <w:tcPr>
                  <w:tcW w:w="686" w:type="pct"/>
                  <w:vAlign w:val="center"/>
                </w:tcPr>
                <w:p w14:paraId="209484AE">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小时浓度</w:t>
                  </w:r>
                </w:p>
              </w:tc>
              <w:tc>
                <w:tcPr>
                  <w:tcW w:w="696" w:type="pct"/>
                  <w:vAlign w:val="center"/>
                </w:tcPr>
                <w:p w14:paraId="7CB2D0DD">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0.35</w:t>
                  </w:r>
                </w:p>
              </w:tc>
              <w:tc>
                <w:tcPr>
                  <w:tcW w:w="689" w:type="pct"/>
                  <w:vAlign w:val="center"/>
                </w:tcPr>
                <w:p w14:paraId="73039D53">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0.51</w:t>
                  </w:r>
                </w:p>
              </w:tc>
              <w:tc>
                <w:tcPr>
                  <w:tcW w:w="627" w:type="pct"/>
                  <w:vAlign w:val="center"/>
                </w:tcPr>
                <w:p w14:paraId="6CB780D8">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17.5</w:t>
                  </w:r>
                </w:p>
              </w:tc>
              <w:tc>
                <w:tcPr>
                  <w:tcW w:w="565" w:type="pct"/>
                  <w:vAlign w:val="center"/>
                </w:tcPr>
                <w:p w14:paraId="56D6DCDF">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25.5</w:t>
                  </w:r>
                </w:p>
              </w:tc>
              <w:tc>
                <w:tcPr>
                  <w:tcW w:w="555" w:type="pct"/>
                  <w:vAlign w:val="center"/>
                </w:tcPr>
                <w:p w14:paraId="0BE44157">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0</w:t>
                  </w:r>
                </w:p>
              </w:tc>
            </w:tr>
            <w:tr w14:paraId="5F2A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continue"/>
                  <w:vAlign w:val="center"/>
                </w:tcPr>
                <w:p w14:paraId="1D38D9FC">
                  <w:pPr>
                    <w:kinsoku/>
                    <w:jc w:val="center"/>
                    <w:rPr>
                      <w:rFonts w:ascii="Times New Roman" w:hAnsi="Times New Roman" w:eastAsia="宋体" w:cs="Times New Roman"/>
                      <w:lang w:eastAsia="zh-CN"/>
                    </w:rPr>
                  </w:pPr>
                </w:p>
              </w:tc>
              <w:tc>
                <w:tcPr>
                  <w:tcW w:w="701" w:type="pct"/>
                  <w:vAlign w:val="center"/>
                </w:tcPr>
                <w:p w14:paraId="290F6C78">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TSP</w:t>
                  </w:r>
                </w:p>
              </w:tc>
              <w:tc>
                <w:tcPr>
                  <w:tcW w:w="686" w:type="pct"/>
                  <w:vAlign w:val="center"/>
                </w:tcPr>
                <w:p w14:paraId="4FC0FBDA">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日均浓度</w:t>
                  </w:r>
                </w:p>
              </w:tc>
              <w:tc>
                <w:tcPr>
                  <w:tcW w:w="696" w:type="pct"/>
                  <w:vAlign w:val="center"/>
                </w:tcPr>
                <w:p w14:paraId="398AC63E">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72</w:t>
                  </w:r>
                </w:p>
              </w:tc>
              <w:tc>
                <w:tcPr>
                  <w:tcW w:w="689" w:type="pct"/>
                  <w:vAlign w:val="center"/>
                </w:tcPr>
                <w:p w14:paraId="1BE40F85">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84</w:t>
                  </w:r>
                </w:p>
              </w:tc>
              <w:tc>
                <w:tcPr>
                  <w:tcW w:w="627" w:type="pct"/>
                  <w:vAlign w:val="center"/>
                </w:tcPr>
                <w:p w14:paraId="17341060">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24.00</w:t>
                  </w:r>
                </w:p>
              </w:tc>
              <w:tc>
                <w:tcPr>
                  <w:tcW w:w="565" w:type="pct"/>
                  <w:vAlign w:val="center"/>
                </w:tcPr>
                <w:p w14:paraId="4364E90C">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28.00</w:t>
                  </w:r>
                </w:p>
              </w:tc>
              <w:tc>
                <w:tcPr>
                  <w:tcW w:w="555" w:type="pct"/>
                  <w:vAlign w:val="center"/>
                </w:tcPr>
                <w:p w14:paraId="114D57B7">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0</w:t>
                  </w:r>
                </w:p>
              </w:tc>
            </w:tr>
          </w:tbl>
          <w:p w14:paraId="060552A9">
            <w:pPr>
              <w:kinsoku/>
              <w:adjustRightInd/>
              <w:snapToGrid/>
              <w:spacing w:line="360" w:lineRule="auto"/>
              <w:ind w:firstLine="480" w:firstLineChars="200"/>
              <w:rPr>
                <w:rFonts w:ascii="Times New Roman" w:hAnsi="Times New Roman" w:cs="Times New Roman"/>
                <w:b/>
                <w:bCs/>
                <w:color w:val="auto"/>
                <w:sz w:val="24"/>
                <w:szCs w:val="32"/>
              </w:rPr>
            </w:pPr>
            <w:r>
              <w:rPr>
                <w:rFonts w:ascii="Times New Roman" w:hAnsi="Times New Roman" w:eastAsia="宋体" w:cs="Times New Roman"/>
                <w:sz w:val="24"/>
                <w:lang w:eastAsia="zh-CN"/>
              </w:rPr>
              <w:t>现状监测结果表明：非甲烷总烃监测浓度符合《大气污染物综合排放标准》详解中的标准限值要求；</w:t>
            </w:r>
            <w:r>
              <w:rPr>
                <w:rFonts w:ascii="Times New Roman" w:hAnsi="Times New Roman" w:eastAsia="宋体" w:cs="Times New Roman"/>
                <w:color w:val="auto"/>
                <w:sz w:val="24"/>
                <w:lang w:eastAsia="zh-CN"/>
              </w:rPr>
              <w:t>TSP满足《环境空气质量标准》（GB3095-2012）中二级标准中的标准限值要求。</w:t>
            </w:r>
          </w:p>
          <w:p w14:paraId="1540DD76">
            <w:pPr>
              <w:ind w:firstLine="482"/>
              <w:rPr>
                <w:rFonts w:ascii="Times New Roman" w:hAnsi="Times New Roman" w:cs="Times New Roman"/>
                <w:b/>
                <w:bCs/>
                <w:color w:val="auto"/>
                <w:sz w:val="24"/>
                <w:szCs w:val="32"/>
              </w:rPr>
            </w:pPr>
            <w:r>
              <w:rPr>
                <w:rFonts w:ascii="Times New Roman" w:hAnsi="Times New Roman" w:cs="Times New Roman"/>
                <w:b/>
                <w:bCs/>
                <w:color w:val="auto"/>
                <w:sz w:val="24"/>
                <w:szCs w:val="32"/>
              </w:rPr>
              <w:t>2、地表水环境质量现状</w:t>
            </w:r>
            <w:bookmarkStart w:id="8" w:name="_Toc27404"/>
            <w:bookmarkStart w:id="9" w:name="_Toc22044"/>
            <w:bookmarkStart w:id="10" w:name="_Toc32651"/>
          </w:p>
          <w:bookmarkEnd w:id="8"/>
          <w:bookmarkEnd w:id="9"/>
          <w:bookmarkEnd w:id="10"/>
          <w:p w14:paraId="747CB6F4">
            <w:pPr>
              <w:pStyle w:val="19"/>
              <w:adjustRightInd/>
              <w:snapToGrid/>
              <w:spacing w:before="0" w:beforeAutospacing="0" w:after="0" w:afterAutospacing="0" w:line="360" w:lineRule="auto"/>
              <w:ind w:firstLine="480" w:firstLineChars="200"/>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地表</w:t>
            </w:r>
            <w:r>
              <w:rPr>
                <w:rFonts w:ascii="Times New Roman" w:hAnsi="Times New Roman" w:eastAsia="宋体" w:cs="Times New Roman"/>
                <w:color w:val="auto"/>
                <w:lang w:eastAsia="zh-CN"/>
              </w:rPr>
              <w:t>水体为王引河</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巴河</w:t>
            </w:r>
            <w:r>
              <w:rPr>
                <w:rFonts w:ascii="Times New Roman" w:hAnsi="Times New Roman" w:eastAsia="宋体" w:cs="Times New Roman"/>
                <w:color w:val="auto"/>
                <w:lang w:eastAsia="zh-CN"/>
              </w:rPr>
              <w:t>，王引</w:t>
            </w:r>
            <w:r>
              <w:rPr>
                <w:rFonts w:hint="eastAsia" w:ascii="Times New Roman" w:hAnsi="Times New Roman" w:eastAsia="宋体" w:cs="Times New Roman"/>
                <w:color w:val="auto"/>
                <w:lang w:eastAsia="zh-CN"/>
              </w:rPr>
              <w:t>河、</w:t>
            </w:r>
            <w:r>
              <w:rPr>
                <w:rFonts w:hint="eastAsia" w:ascii="Times New Roman" w:hAnsi="Times New Roman" w:eastAsia="宋体" w:cs="Times New Roman"/>
                <w:color w:val="auto"/>
                <w:lang w:val="en-US" w:eastAsia="zh-CN"/>
              </w:rPr>
              <w:t>巴河</w:t>
            </w:r>
            <w:r>
              <w:rPr>
                <w:rFonts w:ascii="Times New Roman" w:hAnsi="Times New Roman" w:eastAsia="宋体" w:cs="Times New Roman"/>
                <w:color w:val="auto"/>
                <w:lang w:eastAsia="zh-CN"/>
              </w:rPr>
              <w:t>地表水环境质量数据引用《安徽濉溪经济开发区总体发展规划（2023~2035）环境影响报告书 》中的检测数据，</w:t>
            </w:r>
            <w:r>
              <w:rPr>
                <w:rFonts w:ascii="Times New Roman" w:hAnsi="Times New Roman" w:cs="Times New Roman"/>
                <w:color w:val="auto"/>
                <w:szCs w:val="24"/>
                <w:lang w:eastAsia="zh-CN"/>
              </w:rPr>
              <w:t>W1~W9监测时间为</w:t>
            </w:r>
            <w:r>
              <w:rPr>
                <w:rFonts w:ascii="Times New Roman" w:hAnsi="Times New Roman" w:cs="Times New Roman"/>
                <w:color w:val="auto"/>
                <w:szCs w:val="24"/>
              </w:rPr>
              <w:t>202</w:t>
            </w:r>
            <w:r>
              <w:rPr>
                <w:rFonts w:ascii="Times New Roman" w:hAnsi="Times New Roman" w:cs="Times New Roman"/>
                <w:color w:val="auto"/>
                <w:szCs w:val="24"/>
                <w:lang w:eastAsia="zh-CN"/>
              </w:rPr>
              <w:t>3</w:t>
            </w:r>
            <w:r>
              <w:rPr>
                <w:rFonts w:ascii="Times New Roman" w:hAnsi="Times New Roman" w:cs="Times New Roman"/>
                <w:color w:val="auto"/>
                <w:szCs w:val="24"/>
              </w:rPr>
              <w:t>年</w:t>
            </w:r>
            <w:r>
              <w:rPr>
                <w:rFonts w:ascii="Times New Roman" w:hAnsi="Times New Roman" w:cs="Times New Roman"/>
                <w:color w:val="auto"/>
                <w:szCs w:val="24"/>
                <w:lang w:eastAsia="zh-CN"/>
              </w:rPr>
              <w:t>7</w:t>
            </w:r>
            <w:r>
              <w:rPr>
                <w:rFonts w:ascii="Times New Roman" w:hAnsi="Times New Roman" w:cs="Times New Roman"/>
                <w:color w:val="auto"/>
                <w:szCs w:val="24"/>
              </w:rPr>
              <w:t>月1</w:t>
            </w:r>
            <w:r>
              <w:rPr>
                <w:rFonts w:ascii="Times New Roman" w:hAnsi="Times New Roman" w:cs="Times New Roman"/>
                <w:color w:val="auto"/>
                <w:szCs w:val="24"/>
                <w:lang w:eastAsia="zh-CN"/>
              </w:rPr>
              <w:t>0</w:t>
            </w:r>
            <w:r>
              <w:rPr>
                <w:rFonts w:ascii="Times New Roman" w:hAnsi="Times New Roman" w:cs="Times New Roman"/>
                <w:color w:val="auto"/>
                <w:szCs w:val="24"/>
              </w:rPr>
              <w:t>日~</w:t>
            </w:r>
            <w:r>
              <w:rPr>
                <w:rFonts w:ascii="Times New Roman" w:hAnsi="Times New Roman" w:cs="Times New Roman"/>
                <w:color w:val="auto"/>
                <w:szCs w:val="24"/>
                <w:lang w:eastAsia="zh-CN"/>
              </w:rPr>
              <w:t>7</w:t>
            </w:r>
            <w:r>
              <w:rPr>
                <w:rFonts w:ascii="Times New Roman" w:hAnsi="Times New Roman" w:cs="Times New Roman"/>
                <w:color w:val="auto"/>
                <w:szCs w:val="24"/>
              </w:rPr>
              <w:t>月</w:t>
            </w:r>
            <w:r>
              <w:rPr>
                <w:rFonts w:ascii="Times New Roman" w:hAnsi="Times New Roman" w:cs="Times New Roman"/>
                <w:color w:val="auto"/>
                <w:szCs w:val="24"/>
                <w:lang w:eastAsia="zh-CN"/>
              </w:rPr>
              <w:t>12</w:t>
            </w:r>
            <w:r>
              <w:rPr>
                <w:rFonts w:ascii="Times New Roman" w:hAnsi="Times New Roman" w:cs="Times New Roman"/>
                <w:color w:val="auto"/>
                <w:szCs w:val="24"/>
              </w:rPr>
              <w:t>日连续3天，每天采样一次</w:t>
            </w:r>
            <w:r>
              <w:rPr>
                <w:rFonts w:ascii="Times New Roman" w:hAnsi="Times New Roman" w:eastAsia="宋体" w:cs="Times New Roman"/>
                <w:color w:val="auto"/>
                <w:szCs w:val="24"/>
                <w:lang w:eastAsia="zh-CN"/>
              </w:rPr>
              <w:t>。</w:t>
            </w:r>
            <w:r>
              <w:rPr>
                <w:rFonts w:ascii="Times New Roman" w:hAnsi="Times New Roman" w:eastAsia="宋体" w:cs="Times New Roman"/>
                <w:color w:val="auto"/>
                <w:lang w:eastAsia="zh-CN"/>
              </w:rPr>
              <w:t>满足《建设项目环境影响报告表编制技术指南（污染影响类）》：引用与建设项目距离近的有效数据，包括近3年的规划环境影响评价的检测数据，所在流域控制单元内国家、地方控制断面</w:t>
            </w:r>
            <w:r>
              <w:rPr>
                <w:rFonts w:ascii="Times New Roman" w:hAnsi="Times New Roman" w:cs="Times New Roman"/>
                <w:color w:val="auto"/>
                <w:lang w:eastAsia="zh-CN"/>
              </w:rPr>
              <w:t>监测数据</w:t>
            </w:r>
            <w:r>
              <w:rPr>
                <w:rFonts w:ascii="Times New Roman" w:hAnsi="Times New Roman" w:eastAsia="宋体" w:cs="Times New Roman"/>
                <w:color w:val="auto"/>
                <w:lang w:eastAsia="zh-CN"/>
              </w:rPr>
              <w:t>，生态环境主管部门发布的水环境质量数据或地表水达标情况的结论。</w:t>
            </w:r>
          </w:p>
          <w:p w14:paraId="6F83AC98">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（1）检测因子</w:t>
            </w:r>
          </w:p>
          <w:p w14:paraId="29812A19">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pH、COD、BOD</w:t>
            </w:r>
            <w:r>
              <w:rPr>
                <w:rFonts w:ascii="Times New Roman" w:hAnsi="Times New Roman" w:eastAsia="宋体" w:cs="Times New Roman"/>
                <w:color w:val="auto"/>
                <w:sz w:val="24"/>
                <w:vertAlign w:val="subscript"/>
                <w:lang w:eastAsia="zh-CN"/>
              </w:rPr>
              <w:t>5</w:t>
            </w:r>
            <w:r>
              <w:rPr>
                <w:rFonts w:ascii="Times New Roman" w:hAnsi="Times New Roman" w:eastAsia="宋体" w:cs="Times New Roman"/>
                <w:color w:val="auto"/>
                <w:sz w:val="24"/>
                <w:lang w:eastAsia="zh-CN"/>
              </w:rPr>
              <w:t>、NH</w:t>
            </w:r>
            <w:r>
              <w:rPr>
                <w:rFonts w:ascii="Times New Roman" w:hAnsi="Times New Roman" w:eastAsia="宋体" w:cs="Times New Roman"/>
                <w:color w:val="auto"/>
                <w:sz w:val="24"/>
                <w:vertAlign w:val="subscript"/>
                <w:lang w:eastAsia="zh-CN"/>
              </w:rPr>
              <w:t>3</w:t>
            </w:r>
            <w:r>
              <w:rPr>
                <w:rFonts w:ascii="Times New Roman" w:hAnsi="Times New Roman" w:eastAsia="宋体" w:cs="Times New Roman"/>
                <w:color w:val="auto"/>
                <w:sz w:val="24"/>
                <w:lang w:eastAsia="zh-CN"/>
              </w:rPr>
              <w:t>-N、总磷、石油类。</w:t>
            </w:r>
          </w:p>
          <w:p w14:paraId="5B38C3B1">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（2）监测点位</w:t>
            </w:r>
          </w:p>
          <w:p w14:paraId="2BB84980">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地表水监测断面一览表见下表。</w:t>
            </w:r>
          </w:p>
          <w:p w14:paraId="57E87210">
            <w:pPr>
              <w:pStyle w:val="32"/>
              <w:widowControl w:val="0"/>
              <w:kinsoku/>
              <w:autoSpaceDE/>
              <w:autoSpaceDN/>
              <w:adjustRightInd/>
              <w:snapToGrid/>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w:t>
            </w:r>
            <w:r>
              <w:rPr>
                <w:rFonts w:hint="default" w:ascii="Times New Roman" w:hAnsi="Times New Roman" w:eastAsia="宋体" w:cs="Times New Roman"/>
                <w:color w:val="auto"/>
                <w:sz w:val="24"/>
                <w:szCs w:val="32"/>
                <w:lang w:eastAsia="zh-CN"/>
              </w:rPr>
              <w:t>-4</w:t>
            </w:r>
            <w:r>
              <w:rPr>
                <w:rFonts w:hint="default" w:ascii="Times New Roman" w:hAnsi="Times New Roman" w:cs="Times New Roman"/>
                <w:color w:val="auto"/>
                <w:sz w:val="24"/>
                <w:szCs w:val="32"/>
              </w:rPr>
              <w:t xml:space="preserve">  地表水现状监测断面设置一览表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219"/>
              <w:gridCol w:w="4577"/>
              <w:gridCol w:w="1722"/>
            </w:tblGrid>
            <w:tr w14:paraId="3E2D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Align w:val="center"/>
                </w:tcPr>
                <w:p w14:paraId="0B6CC35B">
                  <w:pPr>
                    <w:pStyle w:val="33"/>
                    <w:rPr>
                      <w:rFonts w:ascii="Times New Roman" w:hAnsi="Times New Roman" w:cs="Times New Roman"/>
                      <w:color w:val="auto"/>
                    </w:rPr>
                  </w:pPr>
                  <w:r>
                    <w:rPr>
                      <w:rFonts w:ascii="Times New Roman" w:hAnsi="Times New Roman" w:cs="Times New Roman"/>
                      <w:color w:val="auto"/>
                    </w:rPr>
                    <w:t>河流</w:t>
                  </w:r>
                </w:p>
              </w:tc>
              <w:tc>
                <w:tcPr>
                  <w:tcW w:w="718" w:type="pct"/>
                  <w:vAlign w:val="center"/>
                </w:tcPr>
                <w:p w14:paraId="668F30FB">
                  <w:pPr>
                    <w:pStyle w:val="33"/>
                    <w:rPr>
                      <w:rFonts w:ascii="Times New Roman" w:hAnsi="Times New Roman" w:cs="Times New Roman"/>
                      <w:color w:val="auto"/>
                    </w:rPr>
                  </w:pPr>
                  <w:r>
                    <w:rPr>
                      <w:rFonts w:ascii="Times New Roman" w:hAnsi="Times New Roman" w:cs="Times New Roman"/>
                      <w:color w:val="auto"/>
                    </w:rPr>
                    <w:t>断面编号</w:t>
                  </w:r>
                </w:p>
              </w:tc>
              <w:tc>
                <w:tcPr>
                  <w:tcW w:w="2696" w:type="pct"/>
                  <w:vAlign w:val="center"/>
                </w:tcPr>
                <w:p w14:paraId="1E56EC7F">
                  <w:pPr>
                    <w:pStyle w:val="33"/>
                    <w:rPr>
                      <w:rFonts w:ascii="Times New Roman" w:hAnsi="Times New Roman" w:cs="Times New Roman"/>
                      <w:color w:val="auto"/>
                    </w:rPr>
                  </w:pPr>
                  <w:r>
                    <w:rPr>
                      <w:rFonts w:ascii="Times New Roman" w:hAnsi="Times New Roman" w:cs="Times New Roman"/>
                      <w:color w:val="auto"/>
                    </w:rPr>
                    <w:t>断面位置</w:t>
                  </w:r>
                </w:p>
              </w:tc>
              <w:tc>
                <w:tcPr>
                  <w:tcW w:w="1014" w:type="pct"/>
                  <w:vAlign w:val="center"/>
                </w:tcPr>
                <w:p w14:paraId="07BB796A">
                  <w:pPr>
                    <w:pStyle w:val="33"/>
                    <w:rPr>
                      <w:rFonts w:ascii="Times New Roman" w:hAnsi="Times New Roman" w:cs="Times New Roman"/>
                      <w:color w:val="auto"/>
                    </w:rPr>
                  </w:pPr>
                  <w:r>
                    <w:rPr>
                      <w:rFonts w:ascii="Times New Roman" w:hAnsi="Times New Roman" w:cs="Times New Roman"/>
                      <w:color w:val="auto"/>
                    </w:rPr>
                    <w:t>监测项目</w:t>
                  </w:r>
                </w:p>
              </w:tc>
            </w:tr>
            <w:tr w14:paraId="08D4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restart"/>
                  <w:vAlign w:val="center"/>
                </w:tcPr>
                <w:p w14:paraId="75114D84">
                  <w:pPr>
                    <w:pStyle w:val="33"/>
                    <w:rPr>
                      <w:rFonts w:ascii="Times New Roman" w:hAnsi="Times New Roman" w:eastAsia="宋体" w:cs="Times New Roman"/>
                      <w:color w:val="auto"/>
                      <w:lang w:eastAsia="zh-CN"/>
                    </w:rPr>
                  </w:pPr>
                  <w:r>
                    <w:rPr>
                      <w:rFonts w:ascii="Times New Roman" w:hAnsi="Times New Roman" w:eastAsia="宋体" w:cs="Times New Roman"/>
                      <w:color w:val="auto"/>
                      <w:lang w:eastAsia="zh-CN"/>
                    </w:rPr>
                    <w:t>王引河</w:t>
                  </w:r>
                </w:p>
              </w:tc>
              <w:tc>
                <w:tcPr>
                  <w:tcW w:w="718" w:type="pct"/>
                  <w:vAlign w:val="center"/>
                </w:tcPr>
                <w:p w14:paraId="33D7BE89">
                  <w:pPr>
                    <w:widowControl w:val="0"/>
                    <w:kinsoku/>
                    <w:autoSpaceDE/>
                    <w:autoSpaceDN/>
                    <w:jc w:val="center"/>
                    <w:textAlignment w:val="auto"/>
                    <w:rPr>
                      <w:rFonts w:ascii="Times New Roman" w:hAnsi="Times New Roman" w:cs="Times New Roman"/>
                      <w:color w:val="auto"/>
                      <w:lang w:eastAsia="zh-CN"/>
                    </w:rPr>
                  </w:pPr>
                  <w:r>
                    <w:rPr>
                      <w:rFonts w:ascii="Times New Roman" w:hAnsi="Times New Roman" w:eastAsia="宋体" w:cs="Times New Roman"/>
                      <w:color w:val="auto"/>
                      <w:lang w:eastAsia="zh-CN"/>
                    </w:rPr>
                    <w:t>W1</w:t>
                  </w:r>
                </w:p>
              </w:tc>
              <w:tc>
                <w:tcPr>
                  <w:tcW w:w="2696" w:type="pct"/>
                  <w:vAlign w:val="center"/>
                </w:tcPr>
                <w:p w14:paraId="76B551BA">
                  <w:pPr>
                    <w:widowControl w:val="0"/>
                    <w:kinsoku/>
                    <w:autoSpaceDE/>
                    <w:autoSpaceDN/>
                    <w:jc w:val="center"/>
                    <w:textAlignment w:val="auto"/>
                    <w:rPr>
                      <w:rFonts w:ascii="Times New Roman" w:hAnsi="Times New Roman" w:cs="Times New Roman"/>
                      <w:color w:val="auto"/>
                      <w:lang w:eastAsia="zh-CN"/>
                    </w:rPr>
                  </w:pPr>
                  <w:r>
                    <w:rPr>
                      <w:rFonts w:ascii="Times New Roman" w:hAnsi="Times New Roman" w:eastAsia="宋体" w:cs="Times New Roman"/>
                      <w:color w:val="auto"/>
                      <w:lang w:eastAsia="zh-CN"/>
                    </w:rPr>
                    <w:t>王引河入开发区前500m处断面</w:t>
                  </w:r>
                </w:p>
              </w:tc>
              <w:tc>
                <w:tcPr>
                  <w:tcW w:w="1014" w:type="pct"/>
                  <w:vMerge w:val="restart"/>
                  <w:vAlign w:val="center"/>
                </w:tcPr>
                <w:p w14:paraId="250D431C">
                  <w:pPr>
                    <w:pStyle w:val="33"/>
                    <w:rPr>
                      <w:rFonts w:ascii="Times New Roman" w:hAnsi="Times New Roman" w:cs="Times New Roman"/>
                      <w:color w:val="auto"/>
                    </w:rPr>
                  </w:pPr>
                  <w:r>
                    <w:rPr>
                      <w:rFonts w:ascii="Times New Roman" w:hAnsi="Times New Roman" w:cs="Times New Roman"/>
                      <w:color w:val="auto"/>
                      <w:lang w:eastAsia="zh-CN"/>
                    </w:rPr>
                    <w:t>pH、COD、BOD</w:t>
                  </w:r>
                  <w:r>
                    <w:rPr>
                      <w:rFonts w:ascii="Times New Roman" w:hAnsi="Times New Roman" w:cs="Times New Roman"/>
                      <w:color w:val="auto"/>
                      <w:vertAlign w:val="subscript"/>
                      <w:lang w:eastAsia="zh-CN"/>
                    </w:rPr>
                    <w:t>5</w:t>
                  </w:r>
                  <w:r>
                    <w:rPr>
                      <w:rFonts w:ascii="Times New Roman" w:hAnsi="Times New Roman" w:cs="Times New Roman"/>
                      <w:color w:val="auto"/>
                      <w:lang w:eastAsia="zh-CN"/>
                    </w:rPr>
                    <w:t>、NH</w:t>
                  </w:r>
                  <w:r>
                    <w:rPr>
                      <w:rFonts w:ascii="Times New Roman" w:hAnsi="Times New Roman" w:cs="Times New Roman"/>
                      <w:color w:val="auto"/>
                      <w:vertAlign w:val="subscript"/>
                      <w:lang w:eastAsia="zh-CN"/>
                    </w:rPr>
                    <w:t>3</w:t>
                  </w:r>
                  <w:r>
                    <w:rPr>
                      <w:rFonts w:ascii="Times New Roman" w:hAnsi="Times New Roman" w:cs="Times New Roman"/>
                      <w:color w:val="auto"/>
                      <w:lang w:eastAsia="zh-CN"/>
                    </w:rPr>
                    <w:t>-N、总磷、石油类</w:t>
                  </w:r>
                </w:p>
              </w:tc>
            </w:tr>
            <w:tr w14:paraId="4EB6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5338662E">
                  <w:pPr>
                    <w:pStyle w:val="33"/>
                    <w:rPr>
                      <w:rFonts w:ascii="Times New Roman" w:hAnsi="Times New Roman" w:cs="Times New Roman"/>
                      <w:color w:val="auto"/>
                    </w:rPr>
                  </w:pPr>
                </w:p>
              </w:tc>
              <w:tc>
                <w:tcPr>
                  <w:tcW w:w="718" w:type="pct"/>
                  <w:vAlign w:val="center"/>
                </w:tcPr>
                <w:p w14:paraId="35B4D518">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W2</w:t>
                  </w:r>
                </w:p>
              </w:tc>
              <w:tc>
                <w:tcPr>
                  <w:tcW w:w="2696" w:type="pct"/>
                  <w:vAlign w:val="center"/>
                </w:tcPr>
                <w:p w14:paraId="755FC026">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rPr>
                    <w:t>王引河与巴河交汇处上游500 米（王引河上）</w:t>
                  </w:r>
                </w:p>
              </w:tc>
              <w:tc>
                <w:tcPr>
                  <w:tcW w:w="1014" w:type="pct"/>
                  <w:vMerge w:val="continue"/>
                  <w:vAlign w:val="center"/>
                </w:tcPr>
                <w:p w14:paraId="755B681D">
                  <w:pPr>
                    <w:pStyle w:val="33"/>
                    <w:rPr>
                      <w:rFonts w:ascii="Times New Roman" w:hAnsi="Times New Roman" w:cs="Times New Roman"/>
                      <w:color w:val="auto"/>
                    </w:rPr>
                  </w:pPr>
                </w:p>
              </w:tc>
            </w:tr>
            <w:tr w14:paraId="19C0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70" w:type="pct"/>
                  <w:vMerge w:val="continue"/>
                  <w:vAlign w:val="center"/>
                </w:tcPr>
                <w:p w14:paraId="3AFED0D3">
                  <w:pPr>
                    <w:pStyle w:val="33"/>
                    <w:rPr>
                      <w:rFonts w:ascii="Times New Roman" w:hAnsi="Times New Roman" w:cs="Times New Roman"/>
                      <w:color w:val="auto"/>
                    </w:rPr>
                  </w:pPr>
                </w:p>
              </w:tc>
              <w:tc>
                <w:tcPr>
                  <w:tcW w:w="718" w:type="pct"/>
                  <w:vAlign w:val="center"/>
                </w:tcPr>
                <w:p w14:paraId="5C9DF4A2">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W3</w:t>
                  </w:r>
                </w:p>
              </w:tc>
              <w:tc>
                <w:tcPr>
                  <w:tcW w:w="2696" w:type="pct"/>
                  <w:vAlign w:val="center"/>
                </w:tcPr>
                <w:p w14:paraId="32BEDDB8">
                  <w:pPr>
                    <w:widowControl w:val="0"/>
                    <w:kinsoku/>
                    <w:autoSpaceDE/>
                    <w:autoSpaceDN/>
                    <w:jc w:val="center"/>
                    <w:textAlignment w:val="auto"/>
                    <w:rPr>
                      <w:rFonts w:ascii="Times New Roman" w:hAnsi="Times New Roman" w:cs="Times New Roman"/>
                      <w:color w:val="auto"/>
                    </w:rPr>
                  </w:pPr>
                  <w:r>
                    <w:rPr>
                      <w:rFonts w:ascii="Times New Roman" w:hAnsi="Times New Roman" w:eastAsia="宋体" w:cs="Times New Roman"/>
                      <w:color w:val="auto"/>
                      <w:lang w:eastAsia="zh-CN"/>
                    </w:rPr>
                    <w:t>王引河与巴河交汇处下游500米断面</w:t>
                  </w:r>
                </w:p>
              </w:tc>
              <w:tc>
                <w:tcPr>
                  <w:tcW w:w="1014" w:type="pct"/>
                  <w:vMerge w:val="continue"/>
                  <w:vAlign w:val="center"/>
                </w:tcPr>
                <w:p w14:paraId="5F4CA0C7">
                  <w:pPr>
                    <w:pStyle w:val="33"/>
                    <w:rPr>
                      <w:rFonts w:ascii="Times New Roman" w:hAnsi="Times New Roman" w:cs="Times New Roman"/>
                      <w:color w:val="auto"/>
                    </w:rPr>
                  </w:pPr>
                </w:p>
              </w:tc>
            </w:tr>
            <w:tr w14:paraId="023C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1504FEC9">
                  <w:pPr>
                    <w:pStyle w:val="33"/>
                    <w:rPr>
                      <w:rFonts w:ascii="Times New Roman" w:hAnsi="Times New Roman" w:cs="Times New Roman"/>
                      <w:color w:val="auto"/>
                    </w:rPr>
                  </w:pPr>
                </w:p>
              </w:tc>
              <w:tc>
                <w:tcPr>
                  <w:tcW w:w="718" w:type="pct"/>
                  <w:vAlign w:val="center"/>
                </w:tcPr>
                <w:p w14:paraId="7BAF1771">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W4</w:t>
                  </w:r>
                </w:p>
              </w:tc>
              <w:tc>
                <w:tcPr>
                  <w:tcW w:w="2696" w:type="pct"/>
                  <w:vAlign w:val="center"/>
                </w:tcPr>
                <w:p w14:paraId="0723539F">
                  <w:pPr>
                    <w:widowControl w:val="0"/>
                    <w:kinsoku/>
                    <w:autoSpaceDE/>
                    <w:autoSpaceDN/>
                    <w:jc w:val="center"/>
                    <w:textAlignment w:val="auto"/>
                    <w:rPr>
                      <w:rFonts w:ascii="Times New Roman" w:hAnsi="Times New Roman" w:cs="Times New Roman"/>
                      <w:color w:val="auto"/>
                    </w:rPr>
                  </w:pPr>
                  <w:r>
                    <w:rPr>
                      <w:rFonts w:ascii="Times New Roman" w:hAnsi="Times New Roman" w:eastAsia="宋体" w:cs="Times New Roman"/>
                      <w:color w:val="auto"/>
                      <w:lang w:eastAsia="zh-CN"/>
                    </w:rPr>
                    <w:t>王引河与巴河交汇处下游2000米断面</w:t>
                  </w:r>
                </w:p>
              </w:tc>
              <w:tc>
                <w:tcPr>
                  <w:tcW w:w="1014" w:type="pct"/>
                  <w:vMerge w:val="continue"/>
                  <w:vAlign w:val="center"/>
                </w:tcPr>
                <w:p w14:paraId="714BC11E">
                  <w:pPr>
                    <w:pStyle w:val="33"/>
                    <w:rPr>
                      <w:rFonts w:ascii="Times New Roman" w:hAnsi="Times New Roman" w:cs="Times New Roman"/>
                      <w:color w:val="auto"/>
                    </w:rPr>
                  </w:pPr>
                </w:p>
              </w:tc>
            </w:tr>
            <w:tr w14:paraId="3B9F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restart"/>
                  <w:vAlign w:val="center"/>
                </w:tcPr>
                <w:p w14:paraId="709E33F5">
                  <w:pPr>
                    <w:pStyle w:val="33"/>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巴河</w:t>
                  </w:r>
                </w:p>
              </w:tc>
              <w:tc>
                <w:tcPr>
                  <w:tcW w:w="718" w:type="pct"/>
                  <w:vAlign w:val="center"/>
                </w:tcPr>
                <w:p w14:paraId="491D4F34">
                  <w:pPr>
                    <w:widowControl w:val="0"/>
                    <w:kinsoku/>
                    <w:autoSpaceDE/>
                    <w:autoSpaceDN/>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W5</w:t>
                  </w:r>
                </w:p>
              </w:tc>
              <w:tc>
                <w:tcPr>
                  <w:tcW w:w="2696" w:type="pct"/>
                  <w:vAlign w:val="center"/>
                </w:tcPr>
                <w:p w14:paraId="7CB0F936">
                  <w:pPr>
                    <w:widowControl w:val="0"/>
                    <w:kinsoku/>
                    <w:autoSpaceDE/>
                    <w:autoSpaceDN/>
                    <w:jc w:val="center"/>
                    <w:textAlignment w:val="auto"/>
                    <w:rPr>
                      <w:rFonts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濉溪第二</w:t>
                  </w:r>
                  <w:r>
                    <w:rPr>
                      <w:rFonts w:hint="default" w:ascii="Times New Roman" w:hAnsi="Times New Roman" w:eastAsia="宋体" w:cs="Times New Roman"/>
                      <w:color w:val="auto"/>
                      <w:lang w:eastAsia="zh-CN"/>
                    </w:rPr>
                    <w:t>污水处理厂排污口上游500米断面</w:t>
                  </w:r>
                </w:p>
              </w:tc>
              <w:tc>
                <w:tcPr>
                  <w:tcW w:w="1014" w:type="pct"/>
                  <w:vMerge w:val="continue"/>
                  <w:vAlign w:val="center"/>
                </w:tcPr>
                <w:p w14:paraId="0A20B634">
                  <w:pPr>
                    <w:pStyle w:val="33"/>
                    <w:rPr>
                      <w:rFonts w:ascii="Times New Roman" w:hAnsi="Times New Roman" w:cs="Times New Roman"/>
                      <w:color w:val="auto"/>
                    </w:rPr>
                  </w:pPr>
                </w:p>
              </w:tc>
            </w:tr>
            <w:tr w14:paraId="3C4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vMerge w:val="continue"/>
                  <w:vAlign w:val="center"/>
                </w:tcPr>
                <w:p w14:paraId="386B8D6C">
                  <w:pPr>
                    <w:pStyle w:val="33"/>
                    <w:rPr>
                      <w:rFonts w:ascii="Times New Roman" w:hAnsi="Times New Roman" w:cs="Times New Roman"/>
                      <w:color w:val="auto"/>
                    </w:rPr>
                  </w:pPr>
                </w:p>
              </w:tc>
              <w:tc>
                <w:tcPr>
                  <w:tcW w:w="718" w:type="pct"/>
                  <w:vAlign w:val="center"/>
                </w:tcPr>
                <w:p w14:paraId="4C11427F">
                  <w:pPr>
                    <w:widowControl w:val="0"/>
                    <w:kinsoku/>
                    <w:autoSpaceDE/>
                    <w:autoSpaceDN/>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W6</w:t>
                  </w:r>
                </w:p>
              </w:tc>
              <w:tc>
                <w:tcPr>
                  <w:tcW w:w="2696" w:type="pct"/>
                  <w:vAlign w:val="center"/>
                </w:tcPr>
                <w:p w14:paraId="60F3E5CE">
                  <w:pPr>
                    <w:widowControl w:val="0"/>
                    <w:kinsoku/>
                    <w:autoSpaceDE/>
                    <w:autoSpaceDN/>
                    <w:jc w:val="center"/>
                    <w:textAlignment w:val="auto"/>
                    <w:rPr>
                      <w:rFonts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濉溪第二</w:t>
                  </w:r>
                  <w:r>
                    <w:rPr>
                      <w:rFonts w:hint="default" w:ascii="Times New Roman" w:hAnsi="Times New Roman" w:eastAsia="宋体" w:cs="Times New Roman"/>
                      <w:color w:val="auto"/>
                      <w:lang w:eastAsia="zh-CN"/>
                    </w:rPr>
                    <w:t>污水处理厂排污口下游500米断面</w:t>
                  </w:r>
                </w:p>
              </w:tc>
              <w:tc>
                <w:tcPr>
                  <w:tcW w:w="1014" w:type="pct"/>
                  <w:vMerge w:val="continue"/>
                  <w:vAlign w:val="center"/>
                </w:tcPr>
                <w:p w14:paraId="0F67AAB8">
                  <w:pPr>
                    <w:pStyle w:val="33"/>
                    <w:rPr>
                      <w:rFonts w:ascii="Times New Roman" w:hAnsi="Times New Roman" w:cs="Times New Roman"/>
                      <w:color w:val="auto"/>
                    </w:rPr>
                  </w:pPr>
                </w:p>
              </w:tc>
            </w:tr>
          </w:tbl>
          <w:p w14:paraId="67B6A05D">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（3）监测结果</w:t>
            </w:r>
          </w:p>
          <w:p w14:paraId="6432FDA1">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监测结果见下表。</w:t>
            </w:r>
          </w:p>
          <w:p w14:paraId="13390546">
            <w:pPr>
              <w:pStyle w:val="32"/>
              <w:widowControl w:val="0"/>
              <w:kinsoku/>
              <w:autoSpaceDE/>
              <w:autoSpaceDN/>
              <w:adjustRightInd/>
              <w:snapToGrid/>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default" w:ascii="Times New Roman" w:hAnsi="Times New Roman" w:eastAsia="宋体" w:cs="Times New Roman"/>
                <w:color w:val="auto"/>
                <w:sz w:val="24"/>
                <w:szCs w:val="32"/>
                <w:lang w:eastAsia="zh-CN"/>
              </w:rPr>
              <w:t>5</w:t>
            </w:r>
            <w:r>
              <w:rPr>
                <w:rFonts w:hint="default" w:ascii="Times New Roman" w:hAnsi="Times New Roman" w:eastAsia="宋体" w:cs="Times New Roman"/>
                <w:color w:val="auto"/>
                <w:sz w:val="24"/>
                <w:szCs w:val="32"/>
              </w:rPr>
              <w:t xml:space="preserve">  地表水现状监测结果  单位：mg/L，pH无量纲</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188"/>
              <w:gridCol w:w="1188"/>
              <w:gridCol w:w="1188"/>
              <w:gridCol w:w="1275"/>
              <w:gridCol w:w="1275"/>
              <w:gridCol w:w="1187"/>
            </w:tblGrid>
            <w:tr w14:paraId="5537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0D8C049B">
                  <w:pPr>
                    <w:pStyle w:val="33"/>
                    <w:widowControl w:val="0"/>
                    <w:kinsoku/>
                    <w:autoSpaceDE/>
                    <w:autoSpaceDN/>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rPr>
                    <w:t>断面</w:t>
                  </w:r>
                </w:p>
              </w:tc>
              <w:tc>
                <w:tcPr>
                  <w:tcW w:w="700" w:type="pct"/>
                  <w:vAlign w:val="center"/>
                </w:tcPr>
                <w:p w14:paraId="4F996E4C">
                  <w:pPr>
                    <w:pStyle w:val="33"/>
                    <w:widowControl w:val="0"/>
                    <w:kinsoku/>
                    <w:autoSpaceDE/>
                    <w:autoSpaceDN/>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pH</w:t>
                  </w:r>
                </w:p>
              </w:tc>
              <w:tc>
                <w:tcPr>
                  <w:tcW w:w="700" w:type="pct"/>
                  <w:vAlign w:val="center"/>
                </w:tcPr>
                <w:p w14:paraId="4C293818">
                  <w:pPr>
                    <w:pStyle w:val="33"/>
                    <w:widowControl w:val="0"/>
                    <w:kinsoku/>
                    <w:autoSpaceDE/>
                    <w:autoSpaceDN/>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p>
              </w:tc>
              <w:tc>
                <w:tcPr>
                  <w:tcW w:w="700" w:type="pct"/>
                  <w:vAlign w:val="center"/>
                </w:tcPr>
                <w:p w14:paraId="6459CC6E">
                  <w:pPr>
                    <w:pStyle w:val="33"/>
                    <w:widowControl w:val="0"/>
                    <w:kinsoku/>
                    <w:autoSpaceDE/>
                    <w:autoSpaceDN/>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rPr>
                    <w:t>COD</w:t>
                  </w:r>
                </w:p>
              </w:tc>
              <w:tc>
                <w:tcPr>
                  <w:tcW w:w="751" w:type="pct"/>
                  <w:vAlign w:val="center"/>
                </w:tcPr>
                <w:p w14:paraId="64047E63">
                  <w:pPr>
                    <w:pStyle w:val="33"/>
                    <w:widowControl w:val="0"/>
                    <w:kinsoku/>
                    <w:autoSpaceDE/>
                    <w:autoSpaceDN/>
                    <w:adjustRightInd/>
                    <w:snapToGrid/>
                    <w:textAlignment w:val="auto"/>
                    <w:rPr>
                      <w:rFonts w:ascii="Times New Roman" w:hAnsi="Times New Roman" w:eastAsia="宋体" w:cs="Times New Roman"/>
                      <w:color w:val="auto"/>
                    </w:rPr>
                  </w:pPr>
                  <w:r>
                    <w:rPr>
                      <w:rFonts w:ascii="Times New Roman" w:hAnsi="Times New Roman" w:eastAsia="宋体" w:cs="Times New Roman"/>
                      <w:color w:val="auto"/>
                    </w:rPr>
                    <w:t>NH</w:t>
                  </w:r>
                  <w:r>
                    <w:rPr>
                      <w:rFonts w:ascii="Times New Roman" w:hAnsi="Times New Roman" w:eastAsia="宋体" w:cs="Times New Roman"/>
                      <w:color w:val="auto"/>
                      <w:vertAlign w:val="subscript"/>
                    </w:rPr>
                    <w:t>3</w:t>
                  </w:r>
                  <w:r>
                    <w:rPr>
                      <w:rFonts w:ascii="Times New Roman" w:hAnsi="Times New Roman" w:eastAsia="宋体" w:cs="Times New Roman"/>
                      <w:color w:val="auto"/>
                    </w:rPr>
                    <w:t>-N</w:t>
                  </w:r>
                </w:p>
              </w:tc>
              <w:tc>
                <w:tcPr>
                  <w:tcW w:w="751" w:type="pct"/>
                  <w:vAlign w:val="center"/>
                </w:tcPr>
                <w:p w14:paraId="1B71816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TP</w:t>
                  </w:r>
                </w:p>
              </w:tc>
              <w:tc>
                <w:tcPr>
                  <w:tcW w:w="699" w:type="pct"/>
                  <w:vAlign w:val="center"/>
                </w:tcPr>
                <w:p w14:paraId="6C7EBD76">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石油类</w:t>
                  </w:r>
                </w:p>
              </w:tc>
            </w:tr>
            <w:tr w14:paraId="2FA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436C080D">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W1</w:t>
                  </w:r>
                </w:p>
              </w:tc>
              <w:tc>
                <w:tcPr>
                  <w:tcW w:w="700" w:type="pct"/>
                  <w:vAlign w:val="center"/>
                </w:tcPr>
                <w:p w14:paraId="227DC413">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7.2~7.4</w:t>
                  </w:r>
                </w:p>
              </w:tc>
              <w:tc>
                <w:tcPr>
                  <w:tcW w:w="700" w:type="pct"/>
                  <w:vAlign w:val="center"/>
                </w:tcPr>
                <w:p w14:paraId="4DD7CF37">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6.2~7.4</w:t>
                  </w:r>
                </w:p>
              </w:tc>
              <w:tc>
                <w:tcPr>
                  <w:tcW w:w="700" w:type="pct"/>
                  <w:vAlign w:val="center"/>
                </w:tcPr>
                <w:p w14:paraId="6B35414D">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25~31</w:t>
                  </w:r>
                </w:p>
              </w:tc>
              <w:tc>
                <w:tcPr>
                  <w:tcW w:w="751" w:type="pct"/>
                  <w:vAlign w:val="center"/>
                </w:tcPr>
                <w:p w14:paraId="75171C62">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0.611~0.706</w:t>
                  </w:r>
                </w:p>
              </w:tc>
              <w:tc>
                <w:tcPr>
                  <w:tcW w:w="751" w:type="pct"/>
                  <w:vAlign w:val="center"/>
                </w:tcPr>
                <w:p w14:paraId="12A8CDB8">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0.16~0.26</w:t>
                  </w:r>
                </w:p>
              </w:tc>
              <w:tc>
                <w:tcPr>
                  <w:tcW w:w="699" w:type="pct"/>
                  <w:vAlign w:val="center"/>
                </w:tcPr>
                <w:p w14:paraId="70E8D7E5">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ND</w:t>
                  </w:r>
                </w:p>
              </w:tc>
            </w:tr>
            <w:tr w14:paraId="0032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7437FA8B">
                  <w:pPr>
                    <w:widowControl w:val="0"/>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W2</w:t>
                  </w:r>
                </w:p>
              </w:tc>
              <w:tc>
                <w:tcPr>
                  <w:tcW w:w="700" w:type="pct"/>
                  <w:vAlign w:val="center"/>
                </w:tcPr>
                <w:p w14:paraId="22938A74">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7.4~7.6</w:t>
                  </w:r>
                </w:p>
              </w:tc>
              <w:tc>
                <w:tcPr>
                  <w:tcW w:w="700" w:type="pct"/>
                  <w:vAlign w:val="center"/>
                </w:tcPr>
                <w:p w14:paraId="1133439C">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6.2~7.9</w:t>
                  </w:r>
                </w:p>
              </w:tc>
              <w:tc>
                <w:tcPr>
                  <w:tcW w:w="700" w:type="pct"/>
                  <w:vAlign w:val="center"/>
                </w:tcPr>
                <w:p w14:paraId="76B56560">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29~35</w:t>
                  </w:r>
                </w:p>
              </w:tc>
              <w:tc>
                <w:tcPr>
                  <w:tcW w:w="751" w:type="pct"/>
                  <w:vAlign w:val="center"/>
                </w:tcPr>
                <w:p w14:paraId="27FF0C70">
                  <w:pPr>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0.128~0.218</w:t>
                  </w:r>
                </w:p>
              </w:tc>
              <w:tc>
                <w:tcPr>
                  <w:tcW w:w="751" w:type="pct"/>
                  <w:vAlign w:val="center"/>
                </w:tcPr>
                <w:p w14:paraId="7E8CE233">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0.21~0.26</w:t>
                  </w:r>
                </w:p>
              </w:tc>
              <w:tc>
                <w:tcPr>
                  <w:tcW w:w="699" w:type="pct"/>
                  <w:vAlign w:val="center"/>
                </w:tcPr>
                <w:p w14:paraId="7DCEC399">
                  <w:pPr>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ND</w:t>
                  </w:r>
                </w:p>
              </w:tc>
            </w:tr>
            <w:tr w14:paraId="712A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345E3FAB">
                  <w:pPr>
                    <w:widowControl w:val="0"/>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W3</w:t>
                  </w:r>
                </w:p>
              </w:tc>
              <w:tc>
                <w:tcPr>
                  <w:tcW w:w="700" w:type="pct"/>
                  <w:vAlign w:val="center"/>
                </w:tcPr>
                <w:p w14:paraId="1EBD4A4F">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7.4~7.6</w:t>
                  </w:r>
                </w:p>
              </w:tc>
              <w:tc>
                <w:tcPr>
                  <w:tcW w:w="700" w:type="pct"/>
                  <w:vAlign w:val="center"/>
                </w:tcPr>
                <w:p w14:paraId="5ED869A0">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6.2~7.8</w:t>
                  </w:r>
                </w:p>
              </w:tc>
              <w:tc>
                <w:tcPr>
                  <w:tcW w:w="700" w:type="pct"/>
                  <w:vAlign w:val="center"/>
                </w:tcPr>
                <w:p w14:paraId="2F59106B">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25~33</w:t>
                  </w:r>
                </w:p>
              </w:tc>
              <w:tc>
                <w:tcPr>
                  <w:tcW w:w="751" w:type="pct"/>
                  <w:vAlign w:val="center"/>
                </w:tcPr>
                <w:p w14:paraId="06D7A4ED">
                  <w:pPr>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0.051~0.528</w:t>
                  </w:r>
                </w:p>
              </w:tc>
              <w:tc>
                <w:tcPr>
                  <w:tcW w:w="751" w:type="pct"/>
                  <w:vAlign w:val="center"/>
                </w:tcPr>
                <w:p w14:paraId="19DED996">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0.26~0.28</w:t>
                  </w:r>
                </w:p>
              </w:tc>
              <w:tc>
                <w:tcPr>
                  <w:tcW w:w="699" w:type="pct"/>
                  <w:vAlign w:val="center"/>
                </w:tcPr>
                <w:p w14:paraId="154E1FE5">
                  <w:pPr>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ND</w:t>
                  </w:r>
                </w:p>
              </w:tc>
            </w:tr>
            <w:tr w14:paraId="0CF7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7D79A363">
                  <w:pPr>
                    <w:widowControl w:val="0"/>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W4</w:t>
                  </w:r>
                </w:p>
              </w:tc>
              <w:tc>
                <w:tcPr>
                  <w:tcW w:w="700" w:type="pct"/>
                  <w:vAlign w:val="center"/>
                </w:tcPr>
                <w:p w14:paraId="3E7DF8C9">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7.4~7.9</w:t>
                  </w:r>
                </w:p>
              </w:tc>
              <w:tc>
                <w:tcPr>
                  <w:tcW w:w="700" w:type="pct"/>
                  <w:vAlign w:val="center"/>
                </w:tcPr>
                <w:p w14:paraId="01BE1F8C">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6.0~7.1</w:t>
                  </w:r>
                </w:p>
              </w:tc>
              <w:tc>
                <w:tcPr>
                  <w:tcW w:w="700" w:type="pct"/>
                  <w:vAlign w:val="center"/>
                </w:tcPr>
                <w:p w14:paraId="75CD003E">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20~35</w:t>
                  </w:r>
                </w:p>
              </w:tc>
              <w:tc>
                <w:tcPr>
                  <w:tcW w:w="751" w:type="pct"/>
                  <w:vAlign w:val="center"/>
                </w:tcPr>
                <w:p w14:paraId="548F482E">
                  <w:pPr>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0.353~0.373</w:t>
                  </w:r>
                </w:p>
              </w:tc>
              <w:tc>
                <w:tcPr>
                  <w:tcW w:w="751" w:type="pct"/>
                  <w:vAlign w:val="center"/>
                </w:tcPr>
                <w:p w14:paraId="17D0EEA5">
                  <w:pPr>
                    <w:pStyle w:val="53"/>
                    <w:tabs>
                      <w:tab w:val="left" w:pos="324"/>
                    </w:tabs>
                    <w:kinsoku/>
                    <w:autoSpaceDE/>
                    <w:autoSpaceDN/>
                    <w:adjustRightInd/>
                    <w:snapToGrid/>
                    <w:textAlignment w:val="auto"/>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0.2~0.25</w:t>
                  </w:r>
                </w:p>
              </w:tc>
              <w:tc>
                <w:tcPr>
                  <w:tcW w:w="699" w:type="pct"/>
                  <w:vAlign w:val="center"/>
                </w:tcPr>
                <w:p w14:paraId="455FF2ED">
                  <w:pPr>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eastAsia="zh-CN"/>
                    </w:rPr>
                    <w:t>ND</w:t>
                  </w:r>
                </w:p>
              </w:tc>
            </w:tr>
            <w:tr w14:paraId="6678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1B7B42B2">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W5</w:t>
                  </w:r>
                </w:p>
              </w:tc>
              <w:tc>
                <w:tcPr>
                  <w:tcW w:w="1188" w:type="dxa"/>
                  <w:vAlign w:val="center"/>
                </w:tcPr>
                <w:p w14:paraId="5E0A9AA1">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7.1~8.0</w:t>
                  </w:r>
                </w:p>
              </w:tc>
              <w:tc>
                <w:tcPr>
                  <w:tcW w:w="1188" w:type="dxa"/>
                  <w:vAlign w:val="center"/>
                </w:tcPr>
                <w:p w14:paraId="34E3279D">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6.2~7.0</w:t>
                  </w:r>
                </w:p>
              </w:tc>
              <w:tc>
                <w:tcPr>
                  <w:tcW w:w="1188" w:type="dxa"/>
                  <w:vAlign w:val="center"/>
                </w:tcPr>
                <w:p w14:paraId="7B6BA643">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30~35</w:t>
                  </w:r>
                </w:p>
              </w:tc>
              <w:tc>
                <w:tcPr>
                  <w:tcW w:w="1275" w:type="dxa"/>
                  <w:vAlign w:val="center"/>
                </w:tcPr>
                <w:p w14:paraId="7A7F04B1">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0.303~0.318</w:t>
                  </w:r>
                </w:p>
              </w:tc>
              <w:tc>
                <w:tcPr>
                  <w:tcW w:w="1275" w:type="dxa"/>
                  <w:vAlign w:val="center"/>
                </w:tcPr>
                <w:p w14:paraId="14130A26">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0.25~0.26</w:t>
                  </w:r>
                </w:p>
              </w:tc>
              <w:tc>
                <w:tcPr>
                  <w:tcW w:w="699" w:type="pct"/>
                  <w:vAlign w:val="center"/>
                </w:tcPr>
                <w:p w14:paraId="6482DBBE">
                  <w:pPr>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ND</w:t>
                  </w:r>
                </w:p>
              </w:tc>
            </w:tr>
            <w:tr w14:paraId="0C47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pct"/>
                  <w:vAlign w:val="center"/>
                </w:tcPr>
                <w:p w14:paraId="74F4B57B">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W6</w:t>
                  </w:r>
                </w:p>
              </w:tc>
              <w:tc>
                <w:tcPr>
                  <w:tcW w:w="1188" w:type="dxa"/>
                  <w:vAlign w:val="center"/>
                </w:tcPr>
                <w:p w14:paraId="616F1C7C">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7.2~7.3</w:t>
                  </w:r>
                </w:p>
              </w:tc>
              <w:tc>
                <w:tcPr>
                  <w:tcW w:w="1188" w:type="dxa"/>
                  <w:vAlign w:val="center"/>
                </w:tcPr>
                <w:p w14:paraId="66A550B1">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6.2~7.3</w:t>
                  </w:r>
                </w:p>
              </w:tc>
              <w:tc>
                <w:tcPr>
                  <w:tcW w:w="1188" w:type="dxa"/>
                  <w:vAlign w:val="center"/>
                </w:tcPr>
                <w:p w14:paraId="37D5653A">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18~35</w:t>
                  </w:r>
                </w:p>
              </w:tc>
              <w:tc>
                <w:tcPr>
                  <w:tcW w:w="1275" w:type="dxa"/>
                  <w:vAlign w:val="center"/>
                </w:tcPr>
                <w:p w14:paraId="03219CE2">
                  <w:pPr>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0.281~0.336</w:t>
                  </w:r>
                </w:p>
              </w:tc>
              <w:tc>
                <w:tcPr>
                  <w:tcW w:w="1275" w:type="dxa"/>
                  <w:vAlign w:val="center"/>
                </w:tcPr>
                <w:p w14:paraId="147F271F">
                  <w:pPr>
                    <w:pStyle w:val="53"/>
                    <w:keepNext w:val="0"/>
                    <w:keepLines w:val="0"/>
                    <w:pageBreakBefore w:val="0"/>
                    <w:widowControl/>
                    <w:tabs>
                      <w:tab w:val="left" w:pos="324"/>
                    </w:tabs>
                    <w:kinsoku/>
                    <w:wordWrap/>
                    <w:overflowPunct/>
                    <w:topLinePunct w:val="0"/>
                    <w:autoSpaceDE/>
                    <w:autoSpaceDN/>
                    <w:bidi w:val="0"/>
                    <w:adjustRightInd w:val="0"/>
                    <w:snapToGrid w:val="0"/>
                    <w:spacing w:before="0" w:after="0" w:line="240" w:lineRule="auto"/>
                    <w:ind w:firstLine="0" w:firstLineChars="0"/>
                    <w:textAlignment w:val="auto"/>
                    <w:rPr>
                      <w:rFonts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0.16~0.28</w:t>
                  </w:r>
                </w:p>
              </w:tc>
              <w:tc>
                <w:tcPr>
                  <w:tcW w:w="699" w:type="pct"/>
                  <w:vAlign w:val="center"/>
                </w:tcPr>
                <w:p w14:paraId="4102B7CA">
                  <w:pPr>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ND</w:t>
                  </w:r>
                </w:p>
              </w:tc>
            </w:tr>
          </w:tbl>
          <w:p w14:paraId="07C8BA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lang w:eastAsia="zh-CN"/>
              </w:rPr>
              <w:t>由监测结果可知：</w:t>
            </w:r>
            <w:r>
              <w:rPr>
                <w:rFonts w:hint="default" w:ascii="Times New Roman" w:hAnsi="Times New Roman" w:cs="Times New Roman"/>
                <w:color w:val="auto"/>
                <w:sz w:val="24"/>
                <w:szCs w:val="24"/>
                <w:highlight w:val="none"/>
                <w:lang w:val="en-US" w:eastAsia="zh-CN"/>
              </w:rPr>
              <w:t>王引河W1、W2、W3、W4监测断面化学需氧量、五日生化需氧量、总磷</w:t>
            </w:r>
            <w:r>
              <w:rPr>
                <w:rFonts w:hint="eastAsia" w:ascii="Times New Roman" w:hAnsi="Times New Roman" w:cs="Times New Roman"/>
                <w:color w:val="auto"/>
                <w:sz w:val="24"/>
                <w:szCs w:val="24"/>
                <w:highlight w:val="none"/>
                <w:lang w:val="en-US" w:eastAsia="zh-CN"/>
              </w:rPr>
              <w:t>超标</w:t>
            </w:r>
            <w:r>
              <w:rPr>
                <w:rFonts w:hint="default" w:ascii="Times New Roman" w:hAnsi="Times New Roman" w:cs="Times New Roman"/>
                <w:color w:val="auto"/>
                <w:sz w:val="24"/>
                <w:szCs w:val="24"/>
                <w:highlight w:val="none"/>
                <w:lang w:val="en-US" w:eastAsia="zh-CN"/>
              </w:rPr>
              <w:t>，水质不能达到</w:t>
            </w:r>
            <w:r>
              <w:rPr>
                <w:rFonts w:hint="default" w:ascii="Times New Roman" w:hAnsi="Times New Roman" w:cs="Times New Roman"/>
                <w:color w:val="auto"/>
                <w:sz w:val="24"/>
                <w:szCs w:val="24"/>
                <w:highlight w:val="none"/>
              </w:rPr>
              <w:t>《地表水环境质量标准》（GB3838-2002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3 \* ROMAN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III</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类水质标准的要求；</w:t>
            </w:r>
            <w:r>
              <w:rPr>
                <w:rFonts w:hint="default" w:ascii="Times New Roman" w:hAnsi="Times New Roman" w:cs="Times New Roman"/>
                <w:color w:val="auto"/>
                <w:sz w:val="24"/>
                <w:szCs w:val="24"/>
                <w:highlight w:val="none"/>
                <w:lang w:val="en-US" w:eastAsia="zh-CN"/>
              </w:rPr>
              <w:t>巴河W5</w:t>
            </w:r>
            <w:r>
              <w:rPr>
                <w:rFonts w:hint="eastAsia" w:ascii="Times New Roman" w:hAnsi="Times New Roman" w:cs="Times New Roman"/>
                <w:color w:val="auto"/>
                <w:sz w:val="24"/>
                <w:szCs w:val="24"/>
                <w:highlight w:val="none"/>
                <w:lang w:val="en-US" w:eastAsia="zh-CN"/>
              </w:rPr>
              <w:t>、W6</w:t>
            </w:r>
            <w:r>
              <w:rPr>
                <w:rFonts w:hint="default" w:ascii="Times New Roman" w:hAnsi="Times New Roman" w:cs="Times New Roman"/>
                <w:color w:val="auto"/>
                <w:sz w:val="24"/>
                <w:szCs w:val="24"/>
                <w:highlight w:val="none"/>
                <w:lang w:val="en-US" w:eastAsia="zh-CN"/>
              </w:rPr>
              <w:t>监测断面化学需氧量、五日生化需氧量、总磷</w:t>
            </w:r>
            <w:r>
              <w:rPr>
                <w:rFonts w:hint="eastAsia" w:ascii="Times New Roman" w:hAnsi="Times New Roman" w:cs="Times New Roman"/>
                <w:color w:val="auto"/>
                <w:sz w:val="24"/>
                <w:szCs w:val="24"/>
                <w:highlight w:val="none"/>
                <w:lang w:val="en-US" w:eastAsia="zh-CN"/>
              </w:rPr>
              <w:t>超标</w:t>
            </w:r>
            <w:r>
              <w:rPr>
                <w:rFonts w:hint="default" w:ascii="Times New Roman" w:hAnsi="Times New Roman" w:cs="Times New Roman"/>
                <w:color w:val="auto"/>
                <w:sz w:val="24"/>
                <w:szCs w:val="24"/>
                <w:highlight w:val="none"/>
                <w:lang w:val="en-US" w:eastAsia="zh-CN"/>
              </w:rPr>
              <w:t>不能达到</w:t>
            </w:r>
            <w:r>
              <w:rPr>
                <w:rFonts w:hint="default" w:ascii="Times New Roman" w:hAnsi="Times New Roman" w:cs="Times New Roman"/>
                <w:color w:val="auto"/>
                <w:sz w:val="24"/>
                <w:szCs w:val="24"/>
                <w:highlight w:val="none"/>
              </w:rPr>
              <w:t>《地表水环境质量标准》（GB3838-2002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4 \* ROMAN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IV</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类水质标准的要求；</w:t>
            </w:r>
          </w:p>
          <w:p w14:paraId="3A9E1EAA">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3、声环境质量现状</w:t>
            </w:r>
          </w:p>
          <w:p w14:paraId="5F0B2B6F">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项目位</w:t>
            </w:r>
            <w:r>
              <w:rPr>
                <w:rFonts w:hint="eastAsia" w:ascii="宋体" w:hAnsi="宋体" w:eastAsia="宋体" w:cs="宋体"/>
                <w:color w:val="auto"/>
                <w:sz w:val="24"/>
                <w:lang w:eastAsia="zh-CN"/>
              </w:rPr>
              <w:t>于安徽</w:t>
            </w:r>
            <w:r>
              <w:rPr>
                <w:rFonts w:hint="eastAsia" w:ascii="宋体" w:hAnsi="宋体" w:eastAsia="宋体" w:cs="宋体"/>
                <w:color w:val="auto"/>
                <w:sz w:val="24"/>
                <w:szCs w:val="24"/>
              </w:rPr>
              <w:t>濉溪经济开发</w:t>
            </w:r>
            <w:r>
              <w:rPr>
                <w:rFonts w:ascii="Times New Roman" w:hAnsi="Times New Roman" w:cs="Times New Roman"/>
                <w:color w:val="auto"/>
                <w:sz w:val="24"/>
                <w:szCs w:val="24"/>
              </w:rPr>
              <w:t>区濉芜产业园区山茶路西侧安徽蓝达建材有限公司厂区内</w:t>
            </w:r>
            <w:r>
              <w:rPr>
                <w:rFonts w:ascii="Times New Roman" w:hAnsi="Times New Roman" w:eastAsia="宋体" w:cs="Times New Roman"/>
                <w:color w:val="auto"/>
                <w:sz w:val="24"/>
                <w:lang w:eastAsia="zh-CN"/>
              </w:rPr>
              <w:t>，周边50m范围内无敏感保护目标，无需开展噪声现状监测。</w:t>
            </w:r>
          </w:p>
          <w:p w14:paraId="4A8E2CB2">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4、生态环境</w:t>
            </w:r>
          </w:p>
          <w:p w14:paraId="4B558DAB">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w:t>
            </w:r>
            <w:r>
              <w:rPr>
                <w:rFonts w:ascii="Times New Roman" w:hAnsi="Times New Roman" w:cs="Times New Roman"/>
                <w:color w:val="auto"/>
                <w:sz w:val="24"/>
                <w:lang w:eastAsia="zh-CN"/>
              </w:rPr>
              <w:t>位于</w:t>
            </w:r>
            <w:r>
              <w:rPr>
                <w:rFonts w:hint="eastAsia" w:ascii="宋体" w:hAnsi="宋体" w:eastAsia="宋体" w:cs="宋体"/>
                <w:color w:val="auto"/>
                <w:sz w:val="24"/>
                <w:lang w:eastAsia="zh-CN"/>
              </w:rPr>
              <w:t>安徽</w:t>
            </w:r>
            <w:r>
              <w:rPr>
                <w:rFonts w:hint="eastAsia" w:ascii="宋体" w:hAnsi="宋体" w:eastAsia="宋体" w:cs="宋体"/>
                <w:color w:val="auto"/>
                <w:sz w:val="24"/>
                <w:szCs w:val="24"/>
              </w:rPr>
              <w:t>濉溪经济开发</w:t>
            </w:r>
            <w:r>
              <w:rPr>
                <w:rFonts w:ascii="Times New Roman" w:hAnsi="Times New Roman" w:cs="Times New Roman"/>
                <w:color w:val="auto"/>
                <w:sz w:val="24"/>
                <w:szCs w:val="24"/>
              </w:rPr>
              <w:t>区濉芜产业园区山茶路西侧安徽蓝达建材有限公司厂区内</w:t>
            </w:r>
            <w:r>
              <w:rPr>
                <w:rFonts w:ascii="Times New Roman" w:hAnsi="Times New Roman" w:cs="Times New Roman"/>
                <w:color w:val="auto"/>
                <w:sz w:val="24"/>
                <w:lang w:eastAsia="zh-CN"/>
              </w:rPr>
              <w:t>，项目不新增用地且所在用地范围内</w:t>
            </w:r>
            <w:r>
              <w:rPr>
                <w:rFonts w:ascii="Times New Roman" w:hAnsi="Times New Roman" w:eastAsia="宋体" w:cs="Times New Roman"/>
                <w:color w:val="auto"/>
                <w:sz w:val="24"/>
                <w:lang w:eastAsia="zh-CN"/>
              </w:rPr>
              <w:t>无生态环境保护目标，</w:t>
            </w:r>
            <w:r>
              <w:rPr>
                <w:rFonts w:ascii="Times New Roman" w:hAnsi="Times New Roman" w:cs="Times New Roman"/>
                <w:color w:val="auto"/>
                <w:sz w:val="24"/>
                <w:lang w:eastAsia="zh-CN"/>
              </w:rPr>
              <w:t>可</w:t>
            </w:r>
            <w:r>
              <w:rPr>
                <w:rFonts w:ascii="Times New Roman" w:hAnsi="Times New Roman" w:eastAsia="宋体" w:cs="Times New Roman"/>
                <w:color w:val="auto"/>
                <w:sz w:val="24"/>
                <w:lang w:eastAsia="zh-CN"/>
              </w:rPr>
              <w:t>不进行生态现状调查。</w:t>
            </w:r>
          </w:p>
          <w:p w14:paraId="2C28AD44">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5、电磁辐射</w:t>
            </w:r>
          </w:p>
          <w:p w14:paraId="2F8BE2DE">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本项目不涉及电磁辐射，不属于电磁辐射类项目，无需根据相关技术导则对项目电磁辐射现状开展监测与评价。</w:t>
            </w:r>
          </w:p>
          <w:p w14:paraId="248B3E55">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6、地下水、土壤环境</w:t>
            </w:r>
          </w:p>
          <w:p w14:paraId="0CE31AFF">
            <w:pPr>
              <w:widowControl w:val="0"/>
              <w:kinsoku/>
              <w:autoSpaceDE/>
              <w:autoSpaceDN/>
              <w:adjustRightInd/>
              <w:snapToGrid/>
              <w:spacing w:line="360" w:lineRule="auto"/>
              <w:ind w:firstLine="480" w:firstLineChars="200"/>
              <w:textAlignment w:val="auto"/>
              <w:rPr>
                <w:rFonts w:ascii="Times New Roman" w:hAnsi="Times New Roman" w:cs="Times New Roman"/>
                <w:color w:val="auto"/>
              </w:rPr>
            </w:pPr>
            <w:r>
              <w:rPr>
                <w:rFonts w:ascii="Times New Roman" w:hAnsi="Times New Roman" w:eastAsia="宋体" w:cs="Times New Roman"/>
                <w:color w:val="auto"/>
                <w:sz w:val="24"/>
                <w:lang w:eastAsia="zh-CN"/>
              </w:rPr>
              <w:t>本项目对新增可能对地下水、土壤造成污染的污染源拟采取分区防渗措施，因此建设项目原则上不存在地下水、土壤污染途径，不再开展地下水、土壤环境质量现状调查</w:t>
            </w:r>
            <w:r>
              <w:rPr>
                <w:rFonts w:ascii="Times New Roman" w:hAnsi="Times New Roman" w:cs="Times New Roman"/>
                <w:color w:val="auto"/>
              </w:rPr>
              <w:tab/>
            </w:r>
          </w:p>
        </w:tc>
      </w:tr>
      <w:tr w14:paraId="27DF3D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33" w:type="pct"/>
            <w:tcBorders>
              <w:tl2br w:val="nil"/>
              <w:tr2bl w:val="nil"/>
            </w:tcBorders>
            <w:vAlign w:val="center"/>
          </w:tcPr>
          <w:p w14:paraId="3D4E6DDC">
            <w:pPr>
              <w:jc w:val="center"/>
              <w:rPr>
                <w:rFonts w:ascii="Times New Roman" w:hAnsi="Times New Roman" w:cs="Times New Roman"/>
                <w:color w:val="auto"/>
              </w:rPr>
            </w:pPr>
            <w:r>
              <w:rPr>
                <w:rFonts w:ascii="Times New Roman" w:hAnsi="Times New Roman" w:cs="Times New Roman"/>
                <w:color w:val="auto"/>
              </w:rPr>
              <w:t>环境</w:t>
            </w:r>
          </w:p>
          <w:p w14:paraId="04D956AF">
            <w:pPr>
              <w:jc w:val="center"/>
              <w:rPr>
                <w:rFonts w:ascii="Times New Roman" w:hAnsi="Times New Roman" w:cs="Times New Roman"/>
                <w:color w:val="auto"/>
              </w:rPr>
            </w:pPr>
            <w:r>
              <w:rPr>
                <w:rFonts w:ascii="Times New Roman" w:hAnsi="Times New Roman" w:cs="Times New Roman"/>
                <w:color w:val="auto"/>
              </w:rPr>
              <w:t>保护</w:t>
            </w:r>
          </w:p>
          <w:p w14:paraId="20DF2F2C">
            <w:pPr>
              <w:jc w:val="center"/>
              <w:rPr>
                <w:rFonts w:ascii="Times New Roman" w:hAnsi="Times New Roman" w:cs="Times New Roman"/>
                <w:color w:val="auto"/>
              </w:rPr>
            </w:pPr>
            <w:r>
              <w:rPr>
                <w:rFonts w:ascii="Times New Roman" w:hAnsi="Times New Roman" w:cs="Times New Roman"/>
                <w:color w:val="auto"/>
              </w:rPr>
              <w:t>目标</w:t>
            </w:r>
          </w:p>
        </w:tc>
        <w:tc>
          <w:tcPr>
            <w:tcW w:w="4766" w:type="pct"/>
            <w:tcBorders>
              <w:tl2br w:val="nil"/>
              <w:tr2bl w:val="nil"/>
            </w:tcBorders>
            <w:vAlign w:val="center"/>
          </w:tcPr>
          <w:p w14:paraId="2D217C48">
            <w:pPr>
              <w:widowControl w:val="0"/>
              <w:kinsoku/>
              <w:autoSpaceDE/>
              <w:autoSpaceDN/>
              <w:adjustRightInd/>
              <w:snapToGrid/>
              <w:spacing w:line="360" w:lineRule="auto"/>
              <w:ind w:firstLine="480" w:firstLineChars="200"/>
              <w:textAlignment w:val="auto"/>
              <w:rPr>
                <w:rFonts w:ascii="Times New Roman" w:hAnsi="Times New Roman" w:cs="Times New Roman"/>
                <w:b/>
                <w:bCs/>
                <w:color w:val="auto"/>
                <w:sz w:val="24"/>
                <w:szCs w:val="24"/>
              </w:rPr>
            </w:pPr>
            <w:r>
              <w:rPr>
                <w:rFonts w:ascii="Times New Roman" w:hAnsi="Times New Roman" w:cs="Times New Roman"/>
                <w:b/>
                <w:bCs/>
                <w:color w:val="auto"/>
                <w:sz w:val="24"/>
                <w:szCs w:val="24"/>
              </w:rPr>
              <w:t>1、大气环境保护目标</w:t>
            </w:r>
          </w:p>
          <w:p w14:paraId="78A9B310">
            <w:pPr>
              <w:jc w:val="center"/>
              <w:rPr>
                <w:rFonts w:ascii="Times New Roman" w:hAnsi="Times New Roman" w:cs="Times New Roman"/>
                <w:b/>
                <w:bCs/>
                <w:sz w:val="24"/>
                <w:szCs w:val="32"/>
              </w:rPr>
            </w:pPr>
            <w:r>
              <w:rPr>
                <w:rFonts w:ascii="Times New Roman" w:hAnsi="Times New Roman" w:cs="Times New Roman"/>
                <w:b/>
                <w:bCs/>
                <w:sz w:val="24"/>
                <w:szCs w:val="32"/>
              </w:rPr>
              <w:t>表3-</w:t>
            </w:r>
            <w:r>
              <w:rPr>
                <w:rFonts w:ascii="Times New Roman" w:hAnsi="Times New Roman" w:eastAsia="宋体" w:cs="Times New Roman"/>
                <w:b/>
                <w:bCs/>
                <w:sz w:val="24"/>
                <w:szCs w:val="32"/>
                <w:lang w:eastAsia="zh-CN"/>
              </w:rPr>
              <w:t>6</w:t>
            </w:r>
            <w:r>
              <w:rPr>
                <w:rFonts w:ascii="Times New Roman" w:hAnsi="Times New Roman" w:cs="Times New Roman"/>
                <w:b/>
                <w:bCs/>
                <w:sz w:val="24"/>
                <w:szCs w:val="32"/>
              </w:rPr>
              <w:t xml:space="preserve">  大气环境保护目标一览表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598"/>
              <w:gridCol w:w="674"/>
              <w:gridCol w:w="866"/>
              <w:gridCol w:w="1245"/>
              <w:gridCol w:w="2191"/>
              <w:gridCol w:w="903"/>
              <w:gridCol w:w="1085"/>
            </w:tblGrid>
            <w:tr w14:paraId="6FDE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vMerge w:val="restart"/>
                  <w:vAlign w:val="center"/>
                </w:tcPr>
                <w:p w14:paraId="21477602">
                  <w:pPr>
                    <w:pStyle w:val="49"/>
                    <w:spacing w:line="240" w:lineRule="auto"/>
                    <w:ind w:left="0"/>
                    <w:rPr>
                      <w:rFonts w:cs="Times New Roman"/>
                    </w:rPr>
                  </w:pPr>
                  <w:r>
                    <w:rPr>
                      <w:rFonts w:cs="Times New Roman"/>
                    </w:rPr>
                    <w:t>名称</w:t>
                  </w:r>
                </w:p>
              </w:tc>
              <w:tc>
                <w:tcPr>
                  <w:tcW w:w="749" w:type="pct"/>
                  <w:gridSpan w:val="2"/>
                  <w:vAlign w:val="center"/>
                </w:tcPr>
                <w:p w14:paraId="4D86F4AE">
                  <w:pPr>
                    <w:pStyle w:val="49"/>
                    <w:spacing w:line="240" w:lineRule="auto"/>
                    <w:ind w:left="0"/>
                    <w:rPr>
                      <w:rFonts w:cs="Times New Roman"/>
                    </w:rPr>
                  </w:pPr>
                  <w:r>
                    <w:rPr>
                      <w:rFonts w:cs="Times New Roman"/>
                    </w:rPr>
                    <w:t>坐标/m</w:t>
                  </w:r>
                </w:p>
              </w:tc>
              <w:tc>
                <w:tcPr>
                  <w:tcW w:w="510" w:type="pct"/>
                  <w:vMerge w:val="restart"/>
                  <w:vAlign w:val="center"/>
                </w:tcPr>
                <w:p w14:paraId="4D659BC4">
                  <w:pPr>
                    <w:pStyle w:val="49"/>
                    <w:spacing w:line="240" w:lineRule="auto"/>
                    <w:ind w:left="0"/>
                    <w:rPr>
                      <w:rFonts w:cs="Times New Roman"/>
                    </w:rPr>
                  </w:pPr>
                  <w:r>
                    <w:rPr>
                      <w:rFonts w:cs="Times New Roman"/>
                    </w:rPr>
                    <w:t>保护对象</w:t>
                  </w:r>
                </w:p>
              </w:tc>
              <w:tc>
                <w:tcPr>
                  <w:tcW w:w="733" w:type="pct"/>
                  <w:vMerge w:val="restart"/>
                  <w:vAlign w:val="center"/>
                </w:tcPr>
                <w:p w14:paraId="4E157EE6">
                  <w:pPr>
                    <w:pStyle w:val="49"/>
                    <w:spacing w:line="240" w:lineRule="auto"/>
                    <w:ind w:left="0"/>
                    <w:rPr>
                      <w:rFonts w:cs="Times New Roman"/>
                    </w:rPr>
                  </w:pPr>
                  <w:r>
                    <w:rPr>
                      <w:rFonts w:cs="Times New Roman"/>
                    </w:rPr>
                    <w:t>保护内容</w:t>
                  </w:r>
                </w:p>
              </w:tc>
              <w:tc>
                <w:tcPr>
                  <w:tcW w:w="1290" w:type="pct"/>
                  <w:vMerge w:val="restart"/>
                  <w:vAlign w:val="center"/>
                </w:tcPr>
                <w:p w14:paraId="29B22F73">
                  <w:pPr>
                    <w:pStyle w:val="49"/>
                    <w:spacing w:line="240" w:lineRule="auto"/>
                    <w:ind w:left="0"/>
                    <w:rPr>
                      <w:rFonts w:cs="Times New Roman"/>
                    </w:rPr>
                  </w:pPr>
                  <w:r>
                    <w:rPr>
                      <w:rFonts w:cs="Times New Roman"/>
                    </w:rPr>
                    <w:t>环境要求及保护级别</w:t>
                  </w:r>
                </w:p>
              </w:tc>
              <w:tc>
                <w:tcPr>
                  <w:tcW w:w="532" w:type="pct"/>
                  <w:vMerge w:val="restart"/>
                  <w:vAlign w:val="center"/>
                </w:tcPr>
                <w:p w14:paraId="33D305DA">
                  <w:pPr>
                    <w:pStyle w:val="49"/>
                    <w:spacing w:line="240" w:lineRule="auto"/>
                    <w:ind w:left="0"/>
                    <w:rPr>
                      <w:rFonts w:cs="Times New Roman"/>
                    </w:rPr>
                  </w:pPr>
                  <w:r>
                    <w:rPr>
                      <w:rFonts w:cs="Times New Roman"/>
                    </w:rPr>
                    <w:t>相对厂址方位</w:t>
                  </w:r>
                </w:p>
              </w:tc>
              <w:tc>
                <w:tcPr>
                  <w:tcW w:w="639" w:type="pct"/>
                  <w:vMerge w:val="restart"/>
                  <w:vAlign w:val="center"/>
                </w:tcPr>
                <w:p w14:paraId="41944314">
                  <w:pPr>
                    <w:pStyle w:val="49"/>
                    <w:spacing w:line="240" w:lineRule="auto"/>
                    <w:ind w:left="0"/>
                    <w:rPr>
                      <w:rFonts w:cs="Times New Roman"/>
                    </w:rPr>
                  </w:pPr>
                  <w:r>
                    <w:rPr>
                      <w:rFonts w:cs="Times New Roman"/>
                    </w:rPr>
                    <w:t>相对场界距离/m</w:t>
                  </w:r>
                </w:p>
              </w:tc>
            </w:tr>
            <w:tr w14:paraId="56BE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vMerge w:val="continue"/>
                  <w:vAlign w:val="center"/>
                </w:tcPr>
                <w:p w14:paraId="38F1189A">
                  <w:pPr>
                    <w:pStyle w:val="49"/>
                    <w:spacing w:line="240" w:lineRule="auto"/>
                    <w:ind w:left="0"/>
                    <w:rPr>
                      <w:rFonts w:cs="Times New Roman"/>
                    </w:rPr>
                  </w:pPr>
                </w:p>
              </w:tc>
              <w:tc>
                <w:tcPr>
                  <w:tcW w:w="352" w:type="pct"/>
                  <w:vAlign w:val="center"/>
                </w:tcPr>
                <w:p w14:paraId="1449AE7B">
                  <w:pPr>
                    <w:pStyle w:val="49"/>
                    <w:spacing w:line="240" w:lineRule="auto"/>
                    <w:ind w:left="0"/>
                    <w:rPr>
                      <w:rFonts w:cs="Times New Roman"/>
                    </w:rPr>
                  </w:pPr>
                  <w:r>
                    <w:rPr>
                      <w:rFonts w:cs="Times New Roman"/>
                    </w:rPr>
                    <w:t>x</w:t>
                  </w:r>
                </w:p>
              </w:tc>
              <w:tc>
                <w:tcPr>
                  <w:tcW w:w="397" w:type="pct"/>
                  <w:vAlign w:val="center"/>
                </w:tcPr>
                <w:p w14:paraId="69B752B0">
                  <w:pPr>
                    <w:pStyle w:val="49"/>
                    <w:spacing w:line="240" w:lineRule="auto"/>
                    <w:ind w:left="0"/>
                    <w:rPr>
                      <w:rFonts w:cs="Times New Roman"/>
                    </w:rPr>
                  </w:pPr>
                  <w:r>
                    <w:rPr>
                      <w:rFonts w:cs="Times New Roman"/>
                    </w:rPr>
                    <w:t>y</w:t>
                  </w:r>
                </w:p>
              </w:tc>
              <w:tc>
                <w:tcPr>
                  <w:tcW w:w="510" w:type="pct"/>
                  <w:vMerge w:val="continue"/>
                  <w:vAlign w:val="center"/>
                </w:tcPr>
                <w:p w14:paraId="38EC1802">
                  <w:pPr>
                    <w:pStyle w:val="49"/>
                    <w:spacing w:line="240" w:lineRule="auto"/>
                    <w:ind w:left="0"/>
                    <w:rPr>
                      <w:rFonts w:cs="Times New Roman"/>
                    </w:rPr>
                  </w:pPr>
                </w:p>
              </w:tc>
              <w:tc>
                <w:tcPr>
                  <w:tcW w:w="733" w:type="pct"/>
                  <w:vMerge w:val="continue"/>
                  <w:vAlign w:val="center"/>
                </w:tcPr>
                <w:p w14:paraId="5461D80C">
                  <w:pPr>
                    <w:pStyle w:val="49"/>
                    <w:spacing w:line="240" w:lineRule="auto"/>
                    <w:ind w:left="0"/>
                    <w:rPr>
                      <w:rFonts w:cs="Times New Roman"/>
                    </w:rPr>
                  </w:pPr>
                </w:p>
              </w:tc>
              <w:tc>
                <w:tcPr>
                  <w:tcW w:w="1290" w:type="pct"/>
                  <w:vMerge w:val="continue"/>
                  <w:vAlign w:val="center"/>
                </w:tcPr>
                <w:p w14:paraId="48AA1D99">
                  <w:pPr>
                    <w:pStyle w:val="49"/>
                    <w:spacing w:line="240" w:lineRule="auto"/>
                    <w:ind w:left="0"/>
                    <w:rPr>
                      <w:rFonts w:cs="Times New Roman"/>
                    </w:rPr>
                  </w:pPr>
                </w:p>
              </w:tc>
              <w:tc>
                <w:tcPr>
                  <w:tcW w:w="532" w:type="pct"/>
                  <w:vMerge w:val="continue"/>
                  <w:vAlign w:val="center"/>
                </w:tcPr>
                <w:p w14:paraId="413E5D3C">
                  <w:pPr>
                    <w:pStyle w:val="49"/>
                    <w:spacing w:line="240" w:lineRule="auto"/>
                    <w:ind w:left="0"/>
                    <w:rPr>
                      <w:rFonts w:cs="Times New Roman"/>
                    </w:rPr>
                  </w:pPr>
                </w:p>
              </w:tc>
              <w:tc>
                <w:tcPr>
                  <w:tcW w:w="639" w:type="pct"/>
                  <w:vMerge w:val="continue"/>
                  <w:vAlign w:val="center"/>
                </w:tcPr>
                <w:p w14:paraId="108B9ACB">
                  <w:pPr>
                    <w:pStyle w:val="49"/>
                    <w:spacing w:line="240" w:lineRule="auto"/>
                    <w:ind w:left="0"/>
                    <w:rPr>
                      <w:rFonts w:cs="Times New Roman"/>
                    </w:rPr>
                  </w:pPr>
                </w:p>
              </w:tc>
            </w:tr>
            <w:tr w14:paraId="2385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4" w:type="pct"/>
                  <w:vAlign w:val="center"/>
                </w:tcPr>
                <w:p w14:paraId="5836C062">
                  <w:pPr>
                    <w:jc w:val="center"/>
                    <w:rPr>
                      <w:rFonts w:ascii="Times New Roman" w:hAnsi="Times New Roman" w:eastAsia="宋体" w:cs="Times New Roman"/>
                      <w:lang w:eastAsia="zh-CN"/>
                    </w:rPr>
                  </w:pPr>
                  <w:r>
                    <w:rPr>
                      <w:rFonts w:ascii="Times New Roman" w:hAnsi="Times New Roman" w:eastAsia="宋体" w:cs="Times New Roman"/>
                      <w:lang w:eastAsia="zh-CN"/>
                    </w:rPr>
                    <w:t>濉溪开发区双创人才公寓</w:t>
                  </w:r>
                </w:p>
              </w:tc>
              <w:tc>
                <w:tcPr>
                  <w:tcW w:w="352" w:type="pct"/>
                  <w:vAlign w:val="center"/>
                </w:tcPr>
                <w:p w14:paraId="477F46F8">
                  <w:pPr>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200</w:t>
                  </w:r>
                </w:p>
              </w:tc>
              <w:tc>
                <w:tcPr>
                  <w:tcW w:w="397" w:type="pct"/>
                  <w:vAlign w:val="center"/>
                </w:tcPr>
                <w:p w14:paraId="78D269FD">
                  <w:pPr>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-22</w:t>
                  </w:r>
                </w:p>
              </w:tc>
              <w:tc>
                <w:tcPr>
                  <w:tcW w:w="510" w:type="pct"/>
                  <w:vAlign w:val="center"/>
                </w:tcPr>
                <w:p w14:paraId="3B38FD35">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居民点</w:t>
                  </w:r>
                </w:p>
              </w:tc>
              <w:tc>
                <w:tcPr>
                  <w:tcW w:w="733" w:type="pct"/>
                  <w:vAlign w:val="center"/>
                </w:tcPr>
                <w:p w14:paraId="14569C1E">
                  <w:pPr>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300人</w:t>
                  </w:r>
                </w:p>
              </w:tc>
              <w:tc>
                <w:tcPr>
                  <w:tcW w:w="1290" w:type="pct"/>
                  <w:vAlign w:val="center"/>
                </w:tcPr>
                <w:p w14:paraId="59AFF7C6">
                  <w:pPr>
                    <w:pStyle w:val="49"/>
                    <w:spacing w:line="240" w:lineRule="auto"/>
                    <w:ind w:left="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《环境空气质量标准》（GB3095-2012）及其修改单中的二级标准</w:t>
                  </w:r>
                </w:p>
              </w:tc>
              <w:tc>
                <w:tcPr>
                  <w:tcW w:w="532" w:type="pct"/>
                  <w:vAlign w:val="center"/>
                </w:tcPr>
                <w:p w14:paraId="4EC14EB4">
                  <w:pPr>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东</w:t>
                  </w:r>
                  <w:r>
                    <w:rPr>
                      <w:rFonts w:ascii="Times New Roman" w:hAnsi="Times New Roman" w:eastAsia="宋体" w:cs="Times New Roman"/>
                      <w:color w:val="000000" w:themeColor="text1"/>
                      <w:lang w:eastAsia="zh-CN"/>
                      <w14:textFill>
                        <w14:solidFill>
                          <w14:schemeClr w14:val="tx1"/>
                        </w14:solidFill>
                      </w14:textFill>
                    </w:rPr>
                    <w:t>南</w:t>
                  </w:r>
                </w:p>
              </w:tc>
              <w:tc>
                <w:tcPr>
                  <w:tcW w:w="639" w:type="pct"/>
                  <w:vAlign w:val="center"/>
                </w:tcPr>
                <w:p w14:paraId="68F53F2E">
                  <w:pPr>
                    <w:jc w:val="center"/>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218</w:t>
                  </w:r>
                </w:p>
              </w:tc>
            </w:tr>
          </w:tbl>
          <w:p w14:paraId="5E5EAD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bCs/>
                <w:color w:val="auto"/>
                <w:sz w:val="24"/>
                <w:szCs w:val="24"/>
              </w:rPr>
            </w:pPr>
            <w:r>
              <w:rPr>
                <w:rFonts w:ascii="Times New Roman" w:hAnsi="Times New Roman" w:cs="Times New Roman"/>
                <w:b/>
                <w:bCs/>
                <w:color w:val="auto"/>
                <w:sz w:val="24"/>
                <w:szCs w:val="24"/>
              </w:rPr>
              <w:t>2、声环境保护目标</w:t>
            </w:r>
          </w:p>
          <w:p w14:paraId="7125ED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项目50m范围内无声环境保护目标。</w:t>
            </w:r>
          </w:p>
          <w:p w14:paraId="570833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szCs w:val="24"/>
              </w:rPr>
            </w:pPr>
            <w:r>
              <w:rPr>
                <w:rFonts w:ascii="Times New Roman" w:hAnsi="Times New Roman" w:eastAsia="宋体" w:cs="Times New Roman"/>
                <w:b/>
                <w:bCs/>
                <w:color w:val="auto"/>
                <w:sz w:val="24"/>
                <w:szCs w:val="24"/>
                <w:lang w:eastAsia="zh-CN"/>
              </w:rPr>
              <w:t>3</w:t>
            </w:r>
            <w:r>
              <w:rPr>
                <w:rFonts w:ascii="Times New Roman" w:hAnsi="Times New Roman" w:cs="Times New Roman"/>
                <w:b/>
                <w:bCs/>
                <w:color w:val="auto"/>
                <w:sz w:val="24"/>
                <w:szCs w:val="24"/>
              </w:rPr>
              <w:t>、地下水环境敏感目标</w:t>
            </w:r>
          </w:p>
          <w:p w14:paraId="70BF0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color w:val="auto"/>
                <w:sz w:val="24"/>
                <w:lang w:eastAsia="zh-CN"/>
              </w:rPr>
            </w:pPr>
            <w:r>
              <w:rPr>
                <w:rFonts w:ascii="Times New Roman" w:hAnsi="Times New Roman" w:cs="Times New Roman"/>
                <w:color w:val="auto"/>
                <w:sz w:val="24"/>
                <w:szCs w:val="24"/>
              </w:rPr>
              <w:t>项目厂界外500米范围内无地下水集中式饮用水水源和热水、矿泉水、温泉等特殊地下水资源。</w:t>
            </w:r>
          </w:p>
          <w:p w14:paraId="6BAAEC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sz w:val="24"/>
                <w:szCs w:val="24"/>
              </w:rPr>
            </w:pPr>
            <w:r>
              <w:rPr>
                <w:rFonts w:ascii="Times New Roman" w:hAnsi="Times New Roman" w:eastAsia="宋体" w:cs="Times New Roman"/>
                <w:b/>
                <w:bCs/>
                <w:color w:val="auto"/>
                <w:sz w:val="24"/>
                <w:szCs w:val="24"/>
                <w:lang w:eastAsia="zh-CN"/>
              </w:rPr>
              <w:t>4</w:t>
            </w:r>
            <w:r>
              <w:rPr>
                <w:rFonts w:ascii="Times New Roman" w:hAnsi="Times New Roman" w:cs="Times New Roman"/>
                <w:b/>
                <w:bCs/>
                <w:color w:val="auto"/>
                <w:sz w:val="24"/>
                <w:szCs w:val="24"/>
              </w:rPr>
              <w:t>、生态环境保护目标</w:t>
            </w:r>
          </w:p>
          <w:p w14:paraId="1736AEDE">
            <w:pPr>
              <w:pStyle w:val="39"/>
              <w:keepNext w:val="0"/>
              <w:keepLines w:val="0"/>
              <w:pageBreakBefore w:val="0"/>
              <w:widowControl w:val="0"/>
              <w:wordWrap/>
              <w:overflowPunct/>
              <w:topLinePunct w:val="0"/>
              <w:bidi w:val="0"/>
              <w:adjustRightInd/>
              <w:snapToGrid/>
              <w:spacing w:line="360" w:lineRule="auto"/>
              <w:ind w:firstLine="480"/>
              <w:rPr>
                <w:rFonts w:eastAsia="宋体" w:cs="Times New Roman"/>
                <w:color w:val="auto"/>
                <w:lang w:eastAsia="zh-CN"/>
              </w:rPr>
            </w:pPr>
            <w:r>
              <w:rPr>
                <w:rFonts w:eastAsia="Arial" w:cs="Times New Roman"/>
                <w:color w:val="auto"/>
                <w:szCs w:val="24"/>
              </w:rPr>
              <w:t>本项目建设地点位于安徽濉溪经济开发区内，</w:t>
            </w:r>
            <w:r>
              <w:rPr>
                <w:rFonts w:eastAsia="宋体" w:cs="Times New Roman"/>
                <w:color w:val="auto"/>
                <w:lang w:eastAsia="zh-CN"/>
              </w:rPr>
              <w:t>用地范围内，无生态环境保护目标。</w:t>
            </w:r>
          </w:p>
        </w:tc>
      </w:tr>
      <w:tr w14:paraId="19C6A2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33" w:type="pct"/>
            <w:tcBorders>
              <w:tl2br w:val="nil"/>
              <w:tr2bl w:val="nil"/>
            </w:tcBorders>
            <w:vAlign w:val="center"/>
          </w:tcPr>
          <w:p w14:paraId="3A38396F">
            <w:pPr>
              <w:jc w:val="center"/>
              <w:rPr>
                <w:rFonts w:ascii="Times New Roman" w:hAnsi="Times New Roman" w:cs="Times New Roman"/>
                <w:color w:val="auto"/>
              </w:rPr>
            </w:pPr>
            <w:r>
              <w:rPr>
                <w:rFonts w:ascii="Times New Roman" w:hAnsi="Times New Roman" w:cs="Times New Roman"/>
                <w:color w:val="auto"/>
              </w:rPr>
              <w:t>污染物排放控制标准</w:t>
            </w:r>
          </w:p>
        </w:tc>
        <w:tc>
          <w:tcPr>
            <w:tcW w:w="4766" w:type="pct"/>
            <w:tcBorders>
              <w:tl2br w:val="nil"/>
              <w:tr2bl w:val="nil"/>
            </w:tcBorders>
            <w:vAlign w:val="center"/>
          </w:tcPr>
          <w:p w14:paraId="1A001E22">
            <w:pPr>
              <w:kinsoku/>
              <w:adjustRightInd/>
              <w:snapToGrid/>
              <w:spacing w:line="360" w:lineRule="auto"/>
              <w:ind w:firstLine="482"/>
              <w:rPr>
                <w:rFonts w:ascii="Times New Roman" w:hAnsi="Times New Roman" w:cs="Times New Roman"/>
                <w:b/>
                <w:bCs/>
                <w:color w:val="auto"/>
                <w:sz w:val="24"/>
                <w:szCs w:val="32"/>
              </w:rPr>
            </w:pPr>
            <w:r>
              <w:rPr>
                <w:rFonts w:ascii="Times New Roman" w:hAnsi="Times New Roman" w:cs="Times New Roman"/>
                <w:b/>
                <w:bCs/>
                <w:color w:val="auto"/>
                <w:sz w:val="24"/>
                <w:szCs w:val="32"/>
              </w:rPr>
              <w:t>1、废气</w:t>
            </w:r>
          </w:p>
          <w:p w14:paraId="1190CAC8">
            <w:pPr>
              <w:kinsoku/>
              <w:adjustRightInd/>
              <w:snapToGrid/>
              <w:spacing w:line="360" w:lineRule="auto"/>
              <w:ind w:firstLine="480" w:firstLineChars="200"/>
              <w:rPr>
                <w:rFonts w:ascii="Times New Roman" w:hAnsi="Times New Roman" w:cs="Times New Roman"/>
                <w:sz w:val="24"/>
                <w:szCs w:val="24"/>
              </w:rPr>
            </w:pPr>
            <w:r>
              <w:rPr>
                <w:rFonts w:ascii="Times New Roman" w:hAnsi="Times New Roman" w:eastAsia="宋体" w:cs="Times New Roman"/>
                <w:color w:val="auto"/>
                <w:sz w:val="24"/>
                <w:szCs w:val="24"/>
                <w:lang w:eastAsia="zh-CN"/>
              </w:rPr>
              <w:t>本项目产生的颗粒物执行《大气污染物综合排放标准》（GB16297-1996）中二级标准限值要求，固化产生的非甲烷总烃有组织排放执行安徽省《固定源挥发性有机物</w:t>
            </w:r>
            <w:r>
              <w:rPr>
                <w:rFonts w:ascii="Times New Roman" w:hAnsi="Times New Roman" w:cs="Times New Roman"/>
                <w:color w:val="auto"/>
                <w:sz w:val="24"/>
                <w:szCs w:val="24"/>
                <w:lang w:eastAsia="zh-CN"/>
              </w:rPr>
              <w:t>综合排放标准</w:t>
            </w:r>
            <w:r>
              <w:rPr>
                <w:rFonts w:ascii="Times New Roman" w:hAnsi="Times New Roman" w:eastAsia="宋体" w:cs="Times New Roman"/>
                <w:color w:val="auto"/>
                <w:sz w:val="24"/>
                <w:szCs w:val="24"/>
                <w:lang w:eastAsia="zh-CN"/>
              </w:rPr>
              <w:t>第</w:t>
            </w:r>
            <w:r>
              <w:rPr>
                <w:rFonts w:ascii="Times New Roman" w:hAnsi="Times New Roman" w:cs="Times New Roman"/>
                <w:color w:val="auto"/>
                <w:sz w:val="24"/>
                <w:szCs w:val="24"/>
                <w:lang w:eastAsia="zh-CN"/>
              </w:rPr>
              <w:t>6</w:t>
            </w:r>
            <w:r>
              <w:rPr>
                <w:rFonts w:ascii="Times New Roman" w:hAnsi="Times New Roman" w:eastAsia="宋体" w:cs="Times New Roman"/>
                <w:color w:val="auto"/>
                <w:sz w:val="24"/>
                <w:szCs w:val="24"/>
                <w:lang w:eastAsia="zh-CN"/>
              </w:rPr>
              <w:t>部分：其他行业》（DB34/4812.6-2024）中表1标准限值要求，非甲烷总烃无组织排放执行安徽省《固定源挥发性有机物</w:t>
            </w:r>
            <w:r>
              <w:rPr>
                <w:rFonts w:ascii="Times New Roman" w:hAnsi="Times New Roman" w:cs="Times New Roman"/>
                <w:color w:val="auto"/>
                <w:sz w:val="24"/>
                <w:szCs w:val="24"/>
                <w:lang w:eastAsia="zh-CN"/>
              </w:rPr>
              <w:t>综合排放标准</w:t>
            </w:r>
            <w:r>
              <w:rPr>
                <w:rFonts w:ascii="Times New Roman" w:hAnsi="Times New Roman" w:eastAsia="宋体" w:cs="Times New Roman"/>
                <w:color w:val="auto"/>
                <w:sz w:val="24"/>
                <w:szCs w:val="24"/>
                <w:lang w:eastAsia="zh-CN"/>
              </w:rPr>
              <w:t>第</w:t>
            </w:r>
            <w:r>
              <w:rPr>
                <w:rFonts w:ascii="Times New Roman" w:hAnsi="Times New Roman" w:cs="Times New Roman"/>
                <w:color w:val="auto"/>
                <w:sz w:val="24"/>
                <w:szCs w:val="24"/>
                <w:lang w:eastAsia="zh-CN"/>
              </w:rPr>
              <w:t>6</w:t>
            </w:r>
            <w:r>
              <w:rPr>
                <w:rFonts w:ascii="Times New Roman" w:hAnsi="Times New Roman" w:eastAsia="宋体" w:cs="Times New Roman"/>
                <w:color w:val="auto"/>
                <w:sz w:val="24"/>
                <w:szCs w:val="24"/>
                <w:lang w:eastAsia="zh-CN"/>
              </w:rPr>
              <w:t>部分：其他行业》（DB34/4812.6-2024）中表1标准限值要求，</w:t>
            </w:r>
            <w:r>
              <w:rPr>
                <w:rFonts w:ascii="Times New Roman" w:hAnsi="Times New Roman" w:cs="Times New Roman"/>
                <w:sz w:val="24"/>
              </w:rPr>
              <w:t>天然气燃烧废气参照执行《工业炉窑大气污染物排放标准》（GB9078-1996）表2相关标准要求及“关于印发《工业炉窑大气污染综合治理方案》的通知”（环大气〔2019〕56号）中“重点区域原则上按照颗粒物、二氧化硫、氮氧化物原则上按照排放限值分别不高于30、200、300毫克/立方米实施改造”</w:t>
            </w:r>
            <w:r>
              <w:rPr>
                <w:rFonts w:ascii="Times New Roman" w:hAnsi="Times New Roman" w:cs="Times New Roman"/>
                <w:color w:val="auto"/>
                <w:sz w:val="24"/>
                <w:szCs w:val="24"/>
                <w:lang w:eastAsia="zh-CN"/>
              </w:rPr>
              <w:t>，</w:t>
            </w:r>
            <w:r>
              <w:rPr>
                <w:rFonts w:ascii="Times New Roman" w:hAnsi="Times New Roman" w:eastAsia="宋体" w:cs="Times New Roman"/>
                <w:color w:val="auto"/>
                <w:sz w:val="24"/>
                <w:szCs w:val="24"/>
                <w:lang w:eastAsia="zh-CN"/>
              </w:rPr>
              <w:t>具体限值</w:t>
            </w:r>
            <w:r>
              <w:rPr>
                <w:rFonts w:ascii="Times New Roman" w:hAnsi="Times New Roman" w:eastAsia="宋体" w:cs="Times New Roman"/>
                <w:bCs/>
                <w:color w:val="auto"/>
                <w:sz w:val="24"/>
                <w:szCs w:val="24"/>
                <w:lang w:eastAsia="zh-CN"/>
              </w:rPr>
              <w:t>见下表</w:t>
            </w:r>
            <w:r>
              <w:rPr>
                <w:rFonts w:ascii="Times New Roman" w:hAnsi="Times New Roman" w:eastAsia="宋体" w:cs="Times New Roman"/>
                <w:color w:val="auto"/>
                <w:sz w:val="24"/>
                <w:szCs w:val="24"/>
                <w:lang w:eastAsia="zh-CN"/>
              </w:rPr>
              <w:t>。</w:t>
            </w:r>
          </w:p>
          <w:p w14:paraId="7AC0189E">
            <w:pPr>
              <w:kinsoku/>
              <w:adjustRightInd/>
              <w:snapToGrid/>
              <w:jc w:val="center"/>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表3-7</w:t>
            </w:r>
            <w:r>
              <w:rPr>
                <w:rFonts w:ascii="Times New Roman" w:hAnsi="Times New Roman" w:cs="Times New Roman"/>
                <w:b/>
                <w:bCs/>
                <w:sz w:val="24"/>
                <w:szCs w:val="24"/>
                <w:lang w:eastAsia="zh-CN"/>
              </w:rPr>
              <w:t xml:space="preserve">  </w:t>
            </w:r>
            <w:r>
              <w:rPr>
                <w:rFonts w:ascii="Times New Roman" w:hAnsi="Times New Roman" w:eastAsia="宋体" w:cs="Times New Roman"/>
                <w:b/>
                <w:bCs/>
                <w:sz w:val="24"/>
                <w:szCs w:val="24"/>
                <w:lang w:eastAsia="zh-CN"/>
              </w:rPr>
              <w:t>大气污染物排放标准</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988"/>
              <w:gridCol w:w="1142"/>
              <w:gridCol w:w="1012"/>
              <w:gridCol w:w="1525"/>
              <w:gridCol w:w="755"/>
              <w:gridCol w:w="2265"/>
            </w:tblGrid>
            <w:tr w14:paraId="1F92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14:paraId="367D6DEB">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污染物</w:t>
                  </w:r>
                </w:p>
              </w:tc>
              <w:tc>
                <w:tcPr>
                  <w:tcW w:w="584" w:type="pct"/>
                  <w:vAlign w:val="center"/>
                </w:tcPr>
                <w:p w14:paraId="04EEA86A">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排气筒高度</w:t>
                  </w:r>
                </w:p>
              </w:tc>
              <w:tc>
                <w:tcPr>
                  <w:tcW w:w="675" w:type="pct"/>
                  <w:vAlign w:val="center"/>
                </w:tcPr>
                <w:p w14:paraId="52BFAE64">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允许排放限值</w:t>
                  </w:r>
                </w:p>
              </w:tc>
              <w:tc>
                <w:tcPr>
                  <w:tcW w:w="598" w:type="pct"/>
                  <w:vAlign w:val="center"/>
                </w:tcPr>
                <w:p w14:paraId="1E9221E6">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排放速率</w:t>
                  </w:r>
                </w:p>
                <w:p w14:paraId="672B39C9">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（kg/h）</w:t>
                  </w:r>
                </w:p>
              </w:tc>
              <w:tc>
                <w:tcPr>
                  <w:tcW w:w="900" w:type="pct"/>
                  <w:vAlign w:val="center"/>
                </w:tcPr>
                <w:p w14:paraId="0054CDEF">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无组织排放监控浓度限值（mg/m</w:t>
                  </w:r>
                  <w:r>
                    <w:rPr>
                      <w:rFonts w:ascii="Times New Roman" w:hAnsi="Times New Roman" w:eastAsia="宋体" w:cs="Times New Roman"/>
                      <w:bCs/>
                      <w:spacing w:val="0"/>
                      <w:sz w:val="21"/>
                      <w:szCs w:val="21"/>
                      <w:vertAlign w:val="superscript"/>
                      <w:lang w:eastAsia="zh-CN"/>
                    </w:rPr>
                    <w:t>3</w:t>
                  </w:r>
                  <w:r>
                    <w:rPr>
                      <w:rFonts w:ascii="Times New Roman" w:hAnsi="Times New Roman" w:eastAsia="宋体" w:cs="Times New Roman"/>
                      <w:bCs/>
                      <w:spacing w:val="0"/>
                      <w:sz w:val="21"/>
                      <w:szCs w:val="21"/>
                      <w:lang w:eastAsia="zh-CN"/>
                    </w:rPr>
                    <w:t>）</w:t>
                  </w:r>
                </w:p>
              </w:tc>
              <w:tc>
                <w:tcPr>
                  <w:tcW w:w="446" w:type="pct"/>
                  <w:vAlign w:val="center"/>
                </w:tcPr>
                <w:p w14:paraId="506CEB3E">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监控位置</w:t>
                  </w:r>
                </w:p>
              </w:tc>
              <w:tc>
                <w:tcPr>
                  <w:tcW w:w="1325" w:type="pct"/>
                  <w:vAlign w:val="center"/>
                </w:tcPr>
                <w:p w14:paraId="7D8983CF">
                  <w:pPr>
                    <w:pStyle w:val="52"/>
                    <w:kinsoku/>
                    <w:spacing w:line="240" w:lineRule="auto"/>
                    <w:ind w:firstLine="0" w:firstLineChars="0"/>
                    <w:textAlignment w:val="auto"/>
                    <w:rPr>
                      <w:rFonts w:ascii="Times New Roman" w:hAnsi="Times New Roman" w:eastAsia="宋体" w:cs="Times New Roman"/>
                      <w:bCs/>
                      <w:spacing w:val="0"/>
                      <w:sz w:val="21"/>
                      <w:szCs w:val="21"/>
                    </w:rPr>
                  </w:pPr>
                  <w:r>
                    <w:rPr>
                      <w:rFonts w:ascii="Times New Roman" w:hAnsi="Times New Roman" w:eastAsia="宋体" w:cs="Times New Roman"/>
                      <w:bCs/>
                      <w:spacing w:val="0"/>
                      <w:sz w:val="21"/>
                      <w:szCs w:val="21"/>
                    </w:rPr>
                    <w:t>标准来源</w:t>
                  </w:r>
                </w:p>
              </w:tc>
            </w:tr>
            <w:tr w14:paraId="1CD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14:paraId="57F9BC68">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非甲烷总烃</w:t>
                  </w:r>
                </w:p>
              </w:tc>
              <w:tc>
                <w:tcPr>
                  <w:tcW w:w="584" w:type="pct"/>
                  <w:vAlign w:val="center"/>
                </w:tcPr>
                <w:p w14:paraId="22BDC0A5">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15</w:t>
                  </w:r>
                </w:p>
              </w:tc>
              <w:tc>
                <w:tcPr>
                  <w:tcW w:w="675" w:type="pct"/>
                  <w:vAlign w:val="center"/>
                </w:tcPr>
                <w:p w14:paraId="64942BC4">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70mg/m</w:t>
                  </w:r>
                  <w:r>
                    <w:rPr>
                      <w:rFonts w:ascii="Times New Roman" w:hAnsi="Times New Roman" w:eastAsia="宋体" w:cs="Times New Roman"/>
                      <w:bCs/>
                      <w:spacing w:val="0"/>
                      <w:sz w:val="21"/>
                      <w:szCs w:val="21"/>
                      <w:vertAlign w:val="superscript"/>
                      <w:lang w:eastAsia="zh-CN"/>
                    </w:rPr>
                    <w:t>3</w:t>
                  </w:r>
                </w:p>
              </w:tc>
              <w:tc>
                <w:tcPr>
                  <w:tcW w:w="598" w:type="pct"/>
                  <w:vAlign w:val="center"/>
                </w:tcPr>
                <w:p w14:paraId="235FF664">
                  <w:pPr>
                    <w:pStyle w:val="52"/>
                    <w:kinsoku/>
                    <w:spacing w:line="240" w:lineRule="auto"/>
                    <w:ind w:firstLine="0" w:firstLineChars="0"/>
                    <w:textAlignment w:val="auto"/>
                    <w:rPr>
                      <w:rFonts w:ascii="Times New Roman" w:hAnsi="Times New Roman" w:eastAsia="宋体" w:cs="Times New Roman"/>
                      <w:bCs/>
                      <w:color w:val="000000" w:themeColor="text1"/>
                      <w:spacing w:val="0"/>
                      <w:sz w:val="21"/>
                      <w:szCs w:val="21"/>
                      <w:lang w:eastAsia="zh-CN"/>
                      <w14:textFill>
                        <w14:solidFill>
                          <w14:schemeClr w14:val="tx1"/>
                        </w14:solidFill>
                      </w14:textFill>
                    </w:rPr>
                  </w:pPr>
                  <w:r>
                    <w:rPr>
                      <w:rFonts w:ascii="Times New Roman" w:hAnsi="Times New Roman" w:eastAsia="宋体" w:cs="Times New Roman"/>
                      <w:bCs/>
                      <w:color w:val="000000" w:themeColor="text1"/>
                      <w:spacing w:val="0"/>
                      <w:sz w:val="21"/>
                      <w:szCs w:val="21"/>
                      <w:lang w:eastAsia="zh-CN"/>
                      <w14:textFill>
                        <w14:solidFill>
                          <w14:schemeClr w14:val="tx1"/>
                        </w14:solidFill>
                      </w14:textFill>
                    </w:rPr>
                    <w:t>3.0</w:t>
                  </w:r>
                </w:p>
              </w:tc>
              <w:tc>
                <w:tcPr>
                  <w:tcW w:w="900" w:type="pct"/>
                  <w:vAlign w:val="center"/>
                </w:tcPr>
                <w:p w14:paraId="337C1B4B">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w:t>
                  </w:r>
                </w:p>
              </w:tc>
              <w:tc>
                <w:tcPr>
                  <w:tcW w:w="446" w:type="pct"/>
                  <w:vAlign w:val="center"/>
                </w:tcPr>
                <w:p w14:paraId="3B2FD23B">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厂界</w:t>
                  </w:r>
                </w:p>
              </w:tc>
              <w:tc>
                <w:tcPr>
                  <w:tcW w:w="1325" w:type="pct"/>
                  <w:vAlign w:val="center"/>
                </w:tcPr>
                <w:p w14:paraId="34A0EDF0">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《固定源挥发性有机物综合排放标准第六部分：其他行业》（DB34/4812.6-2024）</w:t>
                  </w:r>
                </w:p>
              </w:tc>
            </w:tr>
            <w:tr w14:paraId="5D98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14:paraId="2C00E44C">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颗粒物</w:t>
                  </w:r>
                </w:p>
              </w:tc>
              <w:tc>
                <w:tcPr>
                  <w:tcW w:w="584" w:type="pct"/>
                  <w:vAlign w:val="center"/>
                </w:tcPr>
                <w:p w14:paraId="39430FE0">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15</w:t>
                  </w:r>
                </w:p>
              </w:tc>
              <w:tc>
                <w:tcPr>
                  <w:tcW w:w="675" w:type="pct"/>
                  <w:vAlign w:val="center"/>
                </w:tcPr>
                <w:p w14:paraId="5CC4DD2A">
                  <w:pPr>
                    <w:kinsoku/>
                    <w:jc w:val="center"/>
                    <w:rPr>
                      <w:rFonts w:ascii="Times New Roman" w:hAnsi="Times New Roman" w:eastAsia="宋体" w:cs="Times New Roman"/>
                      <w:bCs/>
                      <w:lang w:eastAsia="zh-CN"/>
                    </w:rPr>
                  </w:pPr>
                  <w:r>
                    <w:rPr>
                      <w:rFonts w:ascii="Times New Roman" w:hAnsi="Times New Roman" w:eastAsia="宋体" w:cs="Times New Roman"/>
                      <w:bCs/>
                      <w:lang w:eastAsia="zh-CN"/>
                    </w:rPr>
                    <w:t>120mg/m</w:t>
                  </w:r>
                  <w:r>
                    <w:rPr>
                      <w:rFonts w:ascii="Times New Roman" w:hAnsi="Times New Roman" w:eastAsia="宋体" w:cs="Times New Roman"/>
                      <w:bCs/>
                      <w:vertAlign w:val="superscript"/>
                      <w:lang w:eastAsia="zh-CN"/>
                    </w:rPr>
                    <w:t>3</w:t>
                  </w:r>
                </w:p>
              </w:tc>
              <w:tc>
                <w:tcPr>
                  <w:tcW w:w="598" w:type="pct"/>
                  <w:vAlign w:val="center"/>
                </w:tcPr>
                <w:p w14:paraId="07657777">
                  <w:pPr>
                    <w:pStyle w:val="52"/>
                    <w:kinsoku/>
                    <w:spacing w:line="240" w:lineRule="auto"/>
                    <w:ind w:firstLine="0" w:firstLineChars="0"/>
                    <w:textAlignment w:val="auto"/>
                    <w:rPr>
                      <w:rFonts w:ascii="Times New Roman" w:hAnsi="Times New Roman" w:eastAsia="宋体" w:cs="Times New Roman"/>
                      <w:bCs/>
                      <w:color w:val="000000" w:themeColor="text1"/>
                      <w:spacing w:val="0"/>
                      <w:sz w:val="21"/>
                      <w:szCs w:val="21"/>
                      <w:lang w:eastAsia="zh-CN"/>
                      <w14:textFill>
                        <w14:solidFill>
                          <w14:schemeClr w14:val="tx1"/>
                        </w14:solidFill>
                      </w14:textFill>
                    </w:rPr>
                  </w:pPr>
                  <w:r>
                    <w:rPr>
                      <w:rFonts w:ascii="Times New Roman" w:hAnsi="Times New Roman" w:eastAsia="宋体" w:cs="Times New Roman"/>
                      <w:bCs/>
                      <w:color w:val="000000" w:themeColor="text1"/>
                      <w:spacing w:val="0"/>
                      <w:sz w:val="21"/>
                      <w:szCs w:val="21"/>
                      <w:lang w:eastAsia="zh-CN"/>
                      <w14:textFill>
                        <w14:solidFill>
                          <w14:schemeClr w14:val="tx1"/>
                        </w14:solidFill>
                      </w14:textFill>
                    </w:rPr>
                    <w:t>5.9</w:t>
                  </w:r>
                </w:p>
              </w:tc>
              <w:tc>
                <w:tcPr>
                  <w:tcW w:w="900" w:type="pct"/>
                  <w:vAlign w:val="center"/>
                </w:tcPr>
                <w:p w14:paraId="5AA4D696">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1.0</w:t>
                  </w:r>
                </w:p>
              </w:tc>
              <w:tc>
                <w:tcPr>
                  <w:tcW w:w="446" w:type="pct"/>
                  <w:vAlign w:val="center"/>
                </w:tcPr>
                <w:p w14:paraId="00C927D7">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厂界</w:t>
                  </w:r>
                </w:p>
              </w:tc>
              <w:tc>
                <w:tcPr>
                  <w:tcW w:w="1325" w:type="pct"/>
                  <w:vAlign w:val="center"/>
                </w:tcPr>
                <w:p w14:paraId="400A136F">
                  <w:pPr>
                    <w:pStyle w:val="52"/>
                    <w:kinsoku/>
                    <w:spacing w:line="240" w:lineRule="auto"/>
                    <w:ind w:firstLine="0" w:firstLineChars="0"/>
                    <w:textAlignment w:val="auto"/>
                    <w:rPr>
                      <w:rFonts w:ascii="Times New Roman" w:hAnsi="Times New Roman" w:eastAsia="宋体" w:cs="Times New Roman"/>
                      <w:bCs/>
                      <w:spacing w:val="0"/>
                      <w:sz w:val="21"/>
                      <w:szCs w:val="21"/>
                      <w:lang w:eastAsia="zh-CN"/>
                    </w:rPr>
                  </w:pPr>
                  <w:r>
                    <w:rPr>
                      <w:rFonts w:ascii="Times New Roman" w:hAnsi="Times New Roman" w:eastAsia="宋体" w:cs="Times New Roman"/>
                      <w:bCs/>
                      <w:spacing w:val="0"/>
                      <w:sz w:val="21"/>
                      <w:szCs w:val="21"/>
                      <w:lang w:eastAsia="zh-CN"/>
                    </w:rPr>
                    <w:t>《大气污染物综合排放标准》（GB16297-1996）</w:t>
                  </w:r>
                </w:p>
              </w:tc>
            </w:tr>
          </w:tbl>
          <w:p w14:paraId="3B09F4EB">
            <w:pPr>
              <w:kinsoku/>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cs="Times New Roman"/>
                <w:b/>
                <w:color w:val="auto"/>
                <w:sz w:val="24"/>
              </w:rPr>
              <w:t>表</w:t>
            </w:r>
            <w:r>
              <w:rPr>
                <w:rFonts w:ascii="Times New Roman" w:hAnsi="Times New Roman" w:eastAsia="宋体" w:cs="Times New Roman"/>
                <w:b/>
                <w:color w:val="auto"/>
                <w:sz w:val="24"/>
                <w:lang w:eastAsia="zh-CN"/>
              </w:rPr>
              <w:t xml:space="preserve">3-8 </w:t>
            </w:r>
            <w:r>
              <w:rPr>
                <w:rFonts w:ascii="Times New Roman" w:hAnsi="Times New Roman" w:cs="Times New Roman"/>
                <w:b/>
                <w:color w:val="auto"/>
                <w:sz w:val="24"/>
                <w:lang w:eastAsia="zh-CN"/>
              </w:rPr>
              <w:t xml:space="preserve"> 工业炉窑大气污染综合治理方案</w:t>
            </w:r>
            <w:r>
              <w:rPr>
                <w:rFonts w:ascii="Times New Roman" w:hAnsi="Times New Roman" w:cs="Times New Roman"/>
                <w:b/>
                <w:color w:val="auto"/>
                <w:sz w:val="24"/>
              </w:rPr>
              <w:t xml:space="preserve"> </w:t>
            </w:r>
            <w:r>
              <w:rPr>
                <w:rFonts w:ascii="Times New Roman" w:hAnsi="Times New Roman" w:cs="Times New Roman"/>
                <w:b/>
                <w:color w:val="auto"/>
                <w:sz w:val="24"/>
                <w:lang w:eastAsia="zh-CN"/>
              </w:rPr>
              <w:t xml:space="preserve"> </w:t>
            </w:r>
            <w:r>
              <w:rPr>
                <w:rFonts w:ascii="Times New Roman" w:hAnsi="Times New Roman" w:cs="Times New Roman"/>
                <w:b/>
                <w:color w:val="auto"/>
                <w:sz w:val="24"/>
              </w:rPr>
              <w:t>单位：mg/m³</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4401"/>
              <w:gridCol w:w="2829"/>
            </w:tblGrid>
            <w:tr w14:paraId="5B4A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vAlign w:val="center"/>
                </w:tcPr>
                <w:p w14:paraId="0805B836">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序号</w:t>
                  </w:r>
                </w:p>
              </w:tc>
              <w:tc>
                <w:tcPr>
                  <w:tcW w:w="2592" w:type="pct"/>
                  <w:vAlign w:val="center"/>
                </w:tcPr>
                <w:p w14:paraId="5E78A51D">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污染物种类</w:t>
                  </w:r>
                </w:p>
              </w:tc>
              <w:tc>
                <w:tcPr>
                  <w:tcW w:w="1666" w:type="pct"/>
                  <w:vAlign w:val="center"/>
                </w:tcPr>
                <w:p w14:paraId="55633DE6">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最高允许排放浓度排放</w:t>
                  </w:r>
                </w:p>
              </w:tc>
            </w:tr>
            <w:tr w14:paraId="40C6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vAlign w:val="center"/>
                </w:tcPr>
                <w:p w14:paraId="53C7A08B">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2592" w:type="pct"/>
                  <w:vAlign w:val="center"/>
                </w:tcPr>
                <w:p w14:paraId="2C66D442">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1666" w:type="pct"/>
                  <w:vAlign w:val="center"/>
                </w:tcPr>
                <w:p w14:paraId="7FE9A0B2">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30</w:t>
                  </w:r>
                  <w:r>
                    <w:rPr>
                      <w:rFonts w:ascii="Times New Roman" w:hAnsi="Times New Roman" w:eastAsia="宋体" w:cs="Times New Roman"/>
                      <w:bCs/>
                      <w:lang w:eastAsia="zh-CN"/>
                    </w:rPr>
                    <w:t>mg/m</w:t>
                  </w:r>
                  <w:r>
                    <w:rPr>
                      <w:rFonts w:ascii="Times New Roman" w:hAnsi="Times New Roman" w:eastAsia="宋体" w:cs="Times New Roman"/>
                      <w:bCs/>
                      <w:vertAlign w:val="superscript"/>
                      <w:lang w:eastAsia="zh-CN"/>
                    </w:rPr>
                    <w:t>3</w:t>
                  </w:r>
                </w:p>
              </w:tc>
            </w:tr>
            <w:tr w14:paraId="3F98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vAlign w:val="center"/>
                </w:tcPr>
                <w:p w14:paraId="22D1334D">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2592" w:type="pct"/>
                  <w:vAlign w:val="center"/>
                </w:tcPr>
                <w:p w14:paraId="4EA9D30F">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二氧化硫</w:t>
                  </w:r>
                </w:p>
              </w:tc>
              <w:tc>
                <w:tcPr>
                  <w:tcW w:w="1666" w:type="pct"/>
                  <w:vAlign w:val="center"/>
                </w:tcPr>
                <w:p w14:paraId="6412C83B">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200</w:t>
                  </w:r>
                  <w:r>
                    <w:rPr>
                      <w:rFonts w:ascii="Times New Roman" w:hAnsi="Times New Roman" w:eastAsia="宋体" w:cs="Times New Roman"/>
                      <w:bCs/>
                      <w:lang w:eastAsia="zh-CN"/>
                    </w:rPr>
                    <w:t>mg/m</w:t>
                  </w:r>
                  <w:r>
                    <w:rPr>
                      <w:rFonts w:ascii="Times New Roman" w:hAnsi="Times New Roman" w:eastAsia="宋体" w:cs="Times New Roman"/>
                      <w:bCs/>
                      <w:vertAlign w:val="superscript"/>
                      <w:lang w:eastAsia="zh-CN"/>
                    </w:rPr>
                    <w:t>3</w:t>
                  </w:r>
                </w:p>
              </w:tc>
            </w:tr>
            <w:tr w14:paraId="3E92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pct"/>
                  <w:vAlign w:val="center"/>
                </w:tcPr>
                <w:p w14:paraId="52E20163">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p>
              </w:tc>
              <w:tc>
                <w:tcPr>
                  <w:tcW w:w="2592" w:type="pct"/>
                  <w:vAlign w:val="center"/>
                </w:tcPr>
                <w:p w14:paraId="435C028A">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氮氧化物</w:t>
                  </w:r>
                </w:p>
              </w:tc>
              <w:tc>
                <w:tcPr>
                  <w:tcW w:w="1666" w:type="pct"/>
                  <w:vAlign w:val="center"/>
                </w:tcPr>
                <w:p w14:paraId="3BDA3E3A">
                  <w:pPr>
                    <w:widowControl w:val="0"/>
                    <w:kinsoku/>
                    <w:autoSpaceDE/>
                    <w:autoSpaceDN/>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300</w:t>
                  </w:r>
                  <w:r>
                    <w:rPr>
                      <w:rFonts w:ascii="Times New Roman" w:hAnsi="Times New Roman" w:eastAsia="宋体" w:cs="Times New Roman"/>
                      <w:bCs/>
                      <w:lang w:eastAsia="zh-CN"/>
                    </w:rPr>
                    <w:t>mg/m</w:t>
                  </w:r>
                  <w:r>
                    <w:rPr>
                      <w:rFonts w:ascii="Times New Roman" w:hAnsi="Times New Roman" w:eastAsia="宋体" w:cs="Times New Roman"/>
                      <w:bCs/>
                      <w:vertAlign w:val="superscript"/>
                      <w:lang w:eastAsia="zh-CN"/>
                    </w:rPr>
                    <w:t>3</w:t>
                  </w:r>
                </w:p>
              </w:tc>
            </w:tr>
          </w:tbl>
          <w:p w14:paraId="02ED7FD9">
            <w:pPr>
              <w:kinsoku/>
              <w:adjustRightInd/>
              <w:snapToGrid/>
              <w:contextualSpacing/>
              <w:jc w:val="center"/>
              <w:rPr>
                <w:rFonts w:ascii="Times New Roman" w:hAnsi="Times New Roman" w:eastAsia="宋体" w:cs="Times New Roman"/>
                <w:b/>
                <w:color w:val="auto"/>
                <w:sz w:val="24"/>
                <w:szCs w:val="24"/>
                <w:lang w:eastAsia="zh-CN"/>
              </w:rPr>
            </w:pPr>
            <w:r>
              <w:rPr>
                <w:rFonts w:ascii="Times New Roman" w:hAnsi="Times New Roman" w:eastAsia="宋体" w:cs="Times New Roman"/>
                <w:b/>
                <w:color w:val="auto"/>
                <w:sz w:val="24"/>
                <w:szCs w:val="24"/>
                <w:lang w:eastAsia="zh-CN"/>
              </w:rPr>
              <w:t>表3-9</w:t>
            </w:r>
            <w:r>
              <w:rPr>
                <w:rFonts w:ascii="Times New Roman" w:hAnsi="Times New Roman" w:cs="Times New Roman"/>
                <w:b/>
                <w:color w:val="auto"/>
                <w:sz w:val="24"/>
                <w:szCs w:val="24"/>
                <w:lang w:eastAsia="zh-CN"/>
              </w:rPr>
              <w:t xml:space="preserve"> </w:t>
            </w:r>
            <w:r>
              <w:rPr>
                <w:rFonts w:ascii="Times New Roman" w:hAnsi="Times New Roman" w:eastAsia="宋体" w:cs="Times New Roman"/>
                <w:b/>
                <w:color w:val="auto"/>
                <w:sz w:val="24"/>
                <w:szCs w:val="24"/>
                <w:lang w:eastAsia="zh-CN"/>
              </w:rPr>
              <w:t xml:space="preserve"> 厂区内VOCs无组织排放标准</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50"/>
              <w:gridCol w:w="2077"/>
              <w:gridCol w:w="1931"/>
              <w:gridCol w:w="3128"/>
            </w:tblGrid>
            <w:tr w14:paraId="1014A4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Align w:val="center"/>
                </w:tcPr>
                <w:p w14:paraId="6C4E6353">
                  <w:pPr>
                    <w:kinsoku/>
                    <w:jc w:val="center"/>
                    <w:rPr>
                      <w:rFonts w:ascii="Times New Roman" w:hAnsi="Times New Roman" w:eastAsia="宋体" w:cs="Times New Roman"/>
                      <w:color w:val="auto"/>
                    </w:rPr>
                  </w:pPr>
                  <w:r>
                    <w:rPr>
                      <w:rFonts w:ascii="Times New Roman" w:hAnsi="Times New Roman" w:eastAsia="宋体" w:cs="Times New Roman"/>
                      <w:color w:val="auto"/>
                    </w:rPr>
                    <w:t>污染物</w:t>
                  </w:r>
                </w:p>
              </w:tc>
              <w:tc>
                <w:tcPr>
                  <w:tcW w:w="1223" w:type="pct"/>
                  <w:vAlign w:val="center"/>
                </w:tcPr>
                <w:p w14:paraId="1645498A">
                  <w:pPr>
                    <w:kinsoku/>
                    <w:jc w:val="center"/>
                    <w:rPr>
                      <w:rFonts w:ascii="Times New Roman" w:hAnsi="Times New Roman" w:eastAsia="宋体" w:cs="Times New Roman"/>
                      <w:color w:val="auto"/>
                    </w:rPr>
                  </w:pPr>
                  <w:r>
                    <w:rPr>
                      <w:rFonts w:ascii="Times New Roman" w:hAnsi="Times New Roman" w:eastAsia="宋体" w:cs="Times New Roman"/>
                      <w:bCs/>
                      <w:color w:val="auto"/>
                    </w:rPr>
                    <w:t>浓度值</w:t>
                  </w:r>
                  <w:r>
                    <w:rPr>
                      <w:rFonts w:ascii="Times New Roman" w:hAnsi="Times New Roman" w:eastAsia="宋体" w:cs="Times New Roman"/>
                      <w:color w:val="auto"/>
                    </w:rPr>
                    <w:t>（mg/m</w:t>
                  </w:r>
                  <w:r>
                    <w:rPr>
                      <w:rFonts w:ascii="Times New Roman" w:hAnsi="Times New Roman" w:eastAsia="宋体" w:cs="Times New Roman"/>
                      <w:color w:val="auto"/>
                      <w:vertAlign w:val="superscript"/>
                    </w:rPr>
                    <w:t>3</w:t>
                  </w:r>
                  <w:r>
                    <w:rPr>
                      <w:rFonts w:ascii="Times New Roman" w:hAnsi="Times New Roman" w:eastAsia="宋体" w:cs="Times New Roman"/>
                      <w:color w:val="auto"/>
                    </w:rPr>
                    <w:t>）</w:t>
                  </w:r>
                </w:p>
              </w:tc>
              <w:tc>
                <w:tcPr>
                  <w:tcW w:w="1137" w:type="pct"/>
                  <w:vAlign w:val="center"/>
                </w:tcPr>
                <w:p w14:paraId="7B22EA34">
                  <w:pPr>
                    <w:kinsoku/>
                    <w:jc w:val="center"/>
                    <w:rPr>
                      <w:rFonts w:ascii="Times New Roman" w:hAnsi="Times New Roman" w:eastAsia="宋体" w:cs="Times New Roman"/>
                      <w:color w:val="auto"/>
                    </w:rPr>
                  </w:pPr>
                  <w:r>
                    <w:rPr>
                      <w:rFonts w:ascii="Times New Roman" w:hAnsi="Times New Roman" w:eastAsia="宋体" w:cs="Times New Roman"/>
                      <w:color w:val="auto"/>
                    </w:rPr>
                    <w:t>监控点</w:t>
                  </w:r>
                </w:p>
              </w:tc>
              <w:tc>
                <w:tcPr>
                  <w:tcW w:w="1842" w:type="pct"/>
                  <w:vAlign w:val="center"/>
                </w:tcPr>
                <w:p w14:paraId="057FBA24">
                  <w:pPr>
                    <w:kinsoku/>
                    <w:jc w:val="center"/>
                    <w:rPr>
                      <w:rFonts w:ascii="Times New Roman" w:hAnsi="Times New Roman" w:eastAsia="宋体" w:cs="Times New Roman"/>
                      <w:color w:val="auto"/>
                    </w:rPr>
                  </w:pPr>
                  <w:r>
                    <w:rPr>
                      <w:rFonts w:ascii="Times New Roman" w:hAnsi="Times New Roman" w:eastAsia="宋体" w:cs="Times New Roman"/>
                      <w:color w:val="auto"/>
                    </w:rPr>
                    <w:t>标准来源</w:t>
                  </w:r>
                </w:p>
              </w:tc>
            </w:tr>
            <w:tr w14:paraId="2A26A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restart"/>
                  <w:vAlign w:val="center"/>
                </w:tcPr>
                <w:p w14:paraId="02EE6620">
                  <w:pPr>
                    <w:kinsoku/>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非甲烷总烃</w:t>
                  </w:r>
                </w:p>
              </w:tc>
              <w:tc>
                <w:tcPr>
                  <w:tcW w:w="1223" w:type="pct"/>
                  <w:vAlign w:val="center"/>
                </w:tcPr>
                <w:p w14:paraId="0ED08D8E">
                  <w:pPr>
                    <w:kinsoku/>
                    <w:jc w:val="center"/>
                    <w:rPr>
                      <w:rFonts w:ascii="Times New Roman" w:hAnsi="Times New Roman" w:eastAsia="宋体" w:cs="Times New Roman"/>
                      <w:color w:val="auto"/>
                    </w:rPr>
                  </w:pPr>
                  <w:r>
                    <w:rPr>
                      <w:rFonts w:ascii="Times New Roman" w:hAnsi="Times New Roman" w:eastAsia="宋体" w:cs="Times New Roman"/>
                      <w:color w:val="auto"/>
                    </w:rPr>
                    <w:t>6</w:t>
                  </w:r>
                </w:p>
              </w:tc>
              <w:tc>
                <w:tcPr>
                  <w:tcW w:w="1137" w:type="pct"/>
                  <w:vAlign w:val="center"/>
                </w:tcPr>
                <w:p w14:paraId="71D32F57">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厂区内监控点处1h平均浓度值</w:t>
                  </w:r>
                </w:p>
              </w:tc>
              <w:tc>
                <w:tcPr>
                  <w:tcW w:w="1842" w:type="pct"/>
                  <w:vMerge w:val="restart"/>
                  <w:vAlign w:val="center"/>
                </w:tcPr>
                <w:p w14:paraId="4DCC1AA2">
                  <w:pPr>
                    <w:kinsoku/>
                    <w:jc w:val="center"/>
                    <w:rPr>
                      <w:rFonts w:ascii="Times New Roman" w:hAnsi="Times New Roman" w:eastAsia="宋体" w:cs="Times New Roman"/>
                      <w:color w:val="auto"/>
                      <w:lang w:eastAsia="zh-CN"/>
                    </w:rPr>
                  </w:pPr>
                  <w:r>
                    <w:rPr>
                      <w:rFonts w:ascii="Times New Roman" w:hAnsi="Times New Roman" w:eastAsia="宋体" w:cs="Times New Roman"/>
                      <w:bCs/>
                    </w:rPr>
                    <w:t>《</w:t>
                  </w:r>
                  <w:r>
                    <w:rPr>
                      <w:rFonts w:ascii="Times New Roman" w:hAnsi="Times New Roman" w:eastAsia="宋体" w:cs="Times New Roman"/>
                      <w:bCs/>
                      <w:lang w:eastAsia="zh-CN"/>
                    </w:rPr>
                    <w:t>固定源挥发性有机物综合排放标准第6部分：其他行业</w:t>
                  </w:r>
                  <w:r>
                    <w:rPr>
                      <w:rFonts w:ascii="Times New Roman" w:hAnsi="Times New Roman" w:eastAsia="宋体" w:cs="Times New Roman"/>
                      <w:bCs/>
                    </w:rPr>
                    <w:t>：其他行业》（DB34/4812.6-2024）</w:t>
                  </w:r>
                </w:p>
              </w:tc>
            </w:tr>
            <w:tr w14:paraId="2727C9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pct"/>
                  <w:vMerge w:val="continue"/>
                  <w:vAlign w:val="center"/>
                </w:tcPr>
                <w:p w14:paraId="27D8BF51">
                  <w:pPr>
                    <w:kinsoku/>
                    <w:jc w:val="center"/>
                    <w:rPr>
                      <w:rFonts w:ascii="Times New Roman" w:hAnsi="Times New Roman" w:eastAsia="宋体" w:cs="Times New Roman"/>
                      <w:color w:val="auto"/>
                      <w:lang w:eastAsia="zh-CN"/>
                    </w:rPr>
                  </w:pPr>
                </w:p>
              </w:tc>
              <w:tc>
                <w:tcPr>
                  <w:tcW w:w="1223" w:type="pct"/>
                  <w:vAlign w:val="center"/>
                </w:tcPr>
                <w:p w14:paraId="4130418B">
                  <w:pPr>
                    <w:kinsoku/>
                    <w:jc w:val="center"/>
                    <w:rPr>
                      <w:rFonts w:ascii="Times New Roman" w:hAnsi="Times New Roman" w:eastAsia="宋体" w:cs="Times New Roman"/>
                      <w:color w:val="auto"/>
                    </w:rPr>
                  </w:pPr>
                  <w:r>
                    <w:rPr>
                      <w:rFonts w:ascii="Times New Roman" w:hAnsi="Times New Roman" w:eastAsia="宋体" w:cs="Times New Roman"/>
                      <w:color w:val="auto"/>
                    </w:rPr>
                    <w:t>20</w:t>
                  </w:r>
                </w:p>
              </w:tc>
              <w:tc>
                <w:tcPr>
                  <w:tcW w:w="1137" w:type="pct"/>
                  <w:vAlign w:val="center"/>
                </w:tcPr>
                <w:p w14:paraId="734F5765">
                  <w:pPr>
                    <w:kinsoku/>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厂区内监控点处任意一次浓度值</w:t>
                  </w:r>
                </w:p>
              </w:tc>
              <w:tc>
                <w:tcPr>
                  <w:tcW w:w="1842" w:type="pct"/>
                  <w:vMerge w:val="continue"/>
                  <w:vAlign w:val="center"/>
                </w:tcPr>
                <w:p w14:paraId="45D8BF18">
                  <w:pPr>
                    <w:kinsoku/>
                    <w:jc w:val="center"/>
                    <w:rPr>
                      <w:rFonts w:ascii="Times New Roman" w:hAnsi="Times New Roman" w:eastAsia="宋体" w:cs="Times New Roman"/>
                      <w:bCs/>
                      <w:color w:val="auto"/>
                      <w:lang w:eastAsia="zh-CN"/>
                    </w:rPr>
                  </w:pPr>
                </w:p>
              </w:tc>
            </w:tr>
          </w:tbl>
          <w:p w14:paraId="3C7834CC">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2、废水</w:t>
            </w:r>
          </w:p>
          <w:p w14:paraId="6A8E4635">
            <w:pPr>
              <w:widowControl w:val="0"/>
              <w:kinsoku/>
              <w:autoSpaceDE/>
              <w:autoSpaceDN/>
              <w:adjustRightInd/>
              <w:snapToGrid/>
              <w:spacing w:line="360" w:lineRule="auto"/>
              <w:ind w:firstLine="480" w:firstLineChars="200"/>
              <w:textAlignment w:val="auto"/>
              <w:rPr>
                <w:rFonts w:ascii="Times New Roman" w:hAnsi="Times New Roman" w:cs="Times New Roman"/>
                <w:color w:val="auto"/>
              </w:rPr>
            </w:pPr>
            <w:r>
              <w:rPr>
                <w:rFonts w:ascii="Times New Roman" w:hAnsi="Times New Roman" w:eastAsia="宋体" w:cs="Times New Roman"/>
                <w:color w:val="auto"/>
                <w:sz w:val="24"/>
                <w:szCs w:val="24"/>
                <w:lang w:eastAsia="zh-CN"/>
              </w:rPr>
              <w:t>生活污水经化粪池经污水处理站预处理后排入园区污水管网，满足《污水综合排放标准》（GB8978-1996）三级标准同时满足濉溪县第二污水处理厂接管要求，经濉溪县第二污水处理厂处理达标后尾水排入</w:t>
            </w:r>
            <w:r>
              <w:rPr>
                <w:rFonts w:hint="eastAsia" w:ascii="Times New Roman" w:hAnsi="Times New Roman" w:eastAsia="宋体" w:cs="Times New Roman"/>
                <w:color w:val="auto"/>
                <w:sz w:val="24"/>
                <w:szCs w:val="24"/>
                <w:lang w:val="en-US" w:eastAsia="zh-CN"/>
              </w:rPr>
              <w:t>巴河</w:t>
            </w:r>
            <w:r>
              <w:rPr>
                <w:rFonts w:ascii="Times New Roman" w:hAnsi="Times New Roman" w:eastAsia="宋体" w:cs="Times New Roman"/>
                <w:color w:val="auto"/>
                <w:sz w:val="24"/>
                <w:szCs w:val="24"/>
                <w:lang w:eastAsia="zh-CN"/>
              </w:rPr>
              <w:t>，具体内容如下所示。</w:t>
            </w:r>
          </w:p>
          <w:p w14:paraId="6F283FC2">
            <w:pPr>
              <w:pStyle w:val="32"/>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w:t>
            </w:r>
            <w:r>
              <w:rPr>
                <w:rFonts w:hint="default" w:ascii="Times New Roman" w:hAnsi="Times New Roman" w:cs="Times New Roman"/>
                <w:color w:val="auto"/>
                <w:sz w:val="24"/>
                <w:szCs w:val="32"/>
                <w:lang w:eastAsia="zh-CN"/>
              </w:rPr>
              <w:t>10</w:t>
            </w:r>
            <w:r>
              <w:rPr>
                <w:rFonts w:hint="default" w:ascii="Times New Roman" w:hAnsi="Times New Roman" w:cs="Times New Roman"/>
                <w:color w:val="auto"/>
                <w:sz w:val="24"/>
                <w:szCs w:val="32"/>
              </w:rPr>
              <w:t xml:space="preserve">  废水污染物排放标准一览表    单位：mg/L</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763"/>
              <w:gridCol w:w="1805"/>
              <w:gridCol w:w="2744"/>
              <w:gridCol w:w="1427"/>
            </w:tblGrid>
            <w:tr w14:paraId="52C0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7622F3E1">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序号</w:t>
                  </w:r>
                </w:p>
              </w:tc>
              <w:tc>
                <w:tcPr>
                  <w:tcW w:w="1039" w:type="pct"/>
                  <w:vAlign w:val="center"/>
                </w:tcPr>
                <w:p w14:paraId="35F2E91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项目</w:t>
                  </w:r>
                </w:p>
              </w:tc>
              <w:tc>
                <w:tcPr>
                  <w:tcW w:w="1064" w:type="pct"/>
                  <w:vAlign w:val="center"/>
                </w:tcPr>
                <w:p w14:paraId="42E3DB1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污水处理厂接管限值</w:t>
                  </w:r>
                </w:p>
              </w:tc>
              <w:tc>
                <w:tcPr>
                  <w:tcW w:w="1617" w:type="pct"/>
                  <w:vAlign w:val="center"/>
                </w:tcPr>
                <w:p w14:paraId="3A57BCE5">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《污水综合排放标准》（GB8978-1996）三级标准</w:t>
                  </w:r>
                </w:p>
              </w:tc>
              <w:tc>
                <w:tcPr>
                  <w:tcW w:w="841" w:type="pct"/>
                  <w:vAlign w:val="center"/>
                </w:tcPr>
                <w:p w14:paraId="52F66CFD">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本项目执行</w:t>
                  </w:r>
                </w:p>
              </w:tc>
            </w:tr>
            <w:tr w14:paraId="38AE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2D557CCF">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1</w:t>
                  </w:r>
                </w:p>
              </w:tc>
              <w:tc>
                <w:tcPr>
                  <w:tcW w:w="1039" w:type="pct"/>
                  <w:vAlign w:val="center"/>
                </w:tcPr>
                <w:p w14:paraId="43A1D396">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pH（无量纲）</w:t>
                  </w:r>
                </w:p>
              </w:tc>
              <w:tc>
                <w:tcPr>
                  <w:tcW w:w="1064" w:type="pct"/>
                  <w:vAlign w:val="center"/>
                </w:tcPr>
                <w:p w14:paraId="323EF8C9">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6～9</w:t>
                  </w:r>
                </w:p>
              </w:tc>
              <w:tc>
                <w:tcPr>
                  <w:tcW w:w="1617" w:type="pct"/>
                  <w:vAlign w:val="center"/>
                </w:tcPr>
                <w:p w14:paraId="34DB01F3">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6～9</w:t>
                  </w:r>
                </w:p>
              </w:tc>
              <w:tc>
                <w:tcPr>
                  <w:tcW w:w="841" w:type="pct"/>
                  <w:vAlign w:val="center"/>
                </w:tcPr>
                <w:p w14:paraId="50E69354">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6～9</w:t>
                  </w:r>
                </w:p>
              </w:tc>
            </w:tr>
            <w:tr w14:paraId="0095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28A2178C">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2</w:t>
                  </w:r>
                </w:p>
              </w:tc>
              <w:tc>
                <w:tcPr>
                  <w:tcW w:w="1039" w:type="pct"/>
                  <w:vAlign w:val="center"/>
                </w:tcPr>
                <w:p w14:paraId="6D6E2BE0">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COD</w:t>
                  </w:r>
                </w:p>
              </w:tc>
              <w:tc>
                <w:tcPr>
                  <w:tcW w:w="1064" w:type="pct"/>
                  <w:vAlign w:val="center"/>
                </w:tcPr>
                <w:p w14:paraId="36961E4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420</w:t>
                  </w:r>
                </w:p>
              </w:tc>
              <w:tc>
                <w:tcPr>
                  <w:tcW w:w="1617" w:type="pct"/>
                  <w:vAlign w:val="center"/>
                </w:tcPr>
                <w:p w14:paraId="38150F1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≤500</w:t>
                  </w:r>
                </w:p>
              </w:tc>
              <w:tc>
                <w:tcPr>
                  <w:tcW w:w="841" w:type="pct"/>
                  <w:vAlign w:val="center"/>
                </w:tcPr>
                <w:p w14:paraId="1AEFE7A1">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420</w:t>
                  </w:r>
                </w:p>
              </w:tc>
            </w:tr>
            <w:tr w14:paraId="69A4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0CFC8DB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3</w:t>
                  </w:r>
                </w:p>
              </w:tc>
              <w:tc>
                <w:tcPr>
                  <w:tcW w:w="1039" w:type="pct"/>
                  <w:vAlign w:val="center"/>
                </w:tcPr>
                <w:p w14:paraId="4FD4B038">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BOD</w:t>
                  </w:r>
                  <w:r>
                    <w:rPr>
                      <w:rFonts w:ascii="Times New Roman" w:hAnsi="Times New Roman" w:cs="Times New Roman"/>
                      <w:color w:val="auto"/>
                      <w:vertAlign w:val="subscript"/>
                    </w:rPr>
                    <w:t>5</w:t>
                  </w:r>
                </w:p>
              </w:tc>
              <w:tc>
                <w:tcPr>
                  <w:tcW w:w="1064" w:type="pct"/>
                  <w:vAlign w:val="center"/>
                </w:tcPr>
                <w:p w14:paraId="2D792F6C">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150</w:t>
                  </w:r>
                </w:p>
              </w:tc>
              <w:tc>
                <w:tcPr>
                  <w:tcW w:w="1617" w:type="pct"/>
                  <w:vAlign w:val="center"/>
                </w:tcPr>
                <w:p w14:paraId="1D1D0094">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≤300</w:t>
                  </w:r>
                </w:p>
              </w:tc>
              <w:tc>
                <w:tcPr>
                  <w:tcW w:w="841" w:type="pct"/>
                  <w:vAlign w:val="center"/>
                </w:tcPr>
                <w:p w14:paraId="7CABE609">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150</w:t>
                  </w:r>
                </w:p>
              </w:tc>
            </w:tr>
            <w:tr w14:paraId="7522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72EFA5B4">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4</w:t>
                  </w:r>
                </w:p>
              </w:tc>
              <w:tc>
                <w:tcPr>
                  <w:tcW w:w="1039" w:type="pct"/>
                  <w:vAlign w:val="center"/>
                </w:tcPr>
                <w:p w14:paraId="6EB4DE87">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SS</w:t>
                  </w:r>
                </w:p>
              </w:tc>
              <w:tc>
                <w:tcPr>
                  <w:tcW w:w="1064" w:type="pct"/>
                  <w:vAlign w:val="center"/>
                </w:tcPr>
                <w:p w14:paraId="2BC9CFDD">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250</w:t>
                  </w:r>
                </w:p>
              </w:tc>
              <w:tc>
                <w:tcPr>
                  <w:tcW w:w="1617" w:type="pct"/>
                  <w:vAlign w:val="center"/>
                </w:tcPr>
                <w:p w14:paraId="78381DA2">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≤400</w:t>
                  </w:r>
                </w:p>
              </w:tc>
              <w:tc>
                <w:tcPr>
                  <w:tcW w:w="841" w:type="pct"/>
                  <w:vAlign w:val="center"/>
                </w:tcPr>
                <w:p w14:paraId="1BD5D394">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250</w:t>
                  </w:r>
                </w:p>
              </w:tc>
            </w:tr>
            <w:tr w14:paraId="2DFD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pct"/>
                  <w:vAlign w:val="center"/>
                </w:tcPr>
                <w:p w14:paraId="4AB46E78">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5</w:t>
                  </w:r>
                </w:p>
              </w:tc>
              <w:tc>
                <w:tcPr>
                  <w:tcW w:w="1039" w:type="pct"/>
                  <w:vAlign w:val="center"/>
                </w:tcPr>
                <w:p w14:paraId="06FEC957">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氨氮</w:t>
                  </w:r>
                </w:p>
              </w:tc>
              <w:tc>
                <w:tcPr>
                  <w:tcW w:w="1064" w:type="pct"/>
                  <w:vAlign w:val="center"/>
                </w:tcPr>
                <w:p w14:paraId="777EB69D">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30</w:t>
                  </w:r>
                </w:p>
              </w:tc>
              <w:tc>
                <w:tcPr>
                  <w:tcW w:w="1617" w:type="pct"/>
                  <w:vAlign w:val="center"/>
                </w:tcPr>
                <w:p w14:paraId="5330A516">
                  <w:pPr>
                    <w:pStyle w:val="33"/>
                    <w:widowControl w:val="0"/>
                    <w:kinsoku/>
                    <w:autoSpaceDE/>
                    <w:autoSpaceDN/>
                    <w:adjustRightInd/>
                    <w:snapToGrid/>
                    <w:textAlignment w:val="auto"/>
                    <w:rPr>
                      <w:rFonts w:ascii="Times New Roman" w:hAnsi="Times New Roman" w:cs="Times New Roman"/>
                      <w:color w:val="auto"/>
                    </w:rPr>
                  </w:pPr>
                  <w:r>
                    <w:rPr>
                      <w:rFonts w:ascii="Times New Roman" w:hAnsi="Times New Roman" w:cs="Times New Roman"/>
                      <w:color w:val="auto"/>
                    </w:rPr>
                    <w:t>-</w:t>
                  </w:r>
                </w:p>
              </w:tc>
              <w:tc>
                <w:tcPr>
                  <w:tcW w:w="841" w:type="pct"/>
                  <w:vAlign w:val="center"/>
                </w:tcPr>
                <w:p w14:paraId="0C3A272B">
                  <w:pPr>
                    <w:pStyle w:val="33"/>
                    <w:widowControl w:val="0"/>
                    <w:kinsoku/>
                    <w:autoSpaceDE/>
                    <w:autoSpaceDN/>
                    <w:adjustRightInd/>
                    <w:snapToGrid/>
                    <w:textAlignment w:val="auto"/>
                    <w:rPr>
                      <w:rFonts w:ascii="Times New Roman" w:hAnsi="Times New Roman" w:eastAsia="宋体" w:cs="Times New Roman"/>
                      <w:color w:val="auto"/>
                      <w:lang w:eastAsia="zh-CN"/>
                    </w:rPr>
                  </w:pPr>
                  <w:r>
                    <w:rPr>
                      <w:rFonts w:ascii="Times New Roman" w:hAnsi="Times New Roman" w:cs="Times New Roman"/>
                      <w:color w:val="auto"/>
                    </w:rPr>
                    <w:t>≤</w:t>
                  </w:r>
                  <w:r>
                    <w:rPr>
                      <w:rFonts w:ascii="Times New Roman" w:hAnsi="Times New Roman" w:eastAsia="宋体" w:cs="Times New Roman"/>
                      <w:color w:val="auto"/>
                      <w:lang w:eastAsia="zh-CN"/>
                    </w:rPr>
                    <w:t>30</w:t>
                  </w:r>
                </w:p>
              </w:tc>
            </w:tr>
          </w:tbl>
          <w:p w14:paraId="6C2CE746">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3、噪声</w:t>
            </w:r>
          </w:p>
          <w:p w14:paraId="11B161F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运营期厂界噪声执行《工业企业厂界环境噪声排放标准》（GB12348-2008）中3类标准，具体标准限值见下表。</w:t>
            </w:r>
          </w:p>
          <w:p w14:paraId="5D080C2F">
            <w:pPr>
              <w:pStyle w:val="32"/>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default" w:ascii="Times New Roman" w:hAnsi="Times New Roman" w:eastAsia="宋体" w:cs="Times New Roman"/>
                <w:color w:val="auto"/>
                <w:sz w:val="24"/>
                <w:szCs w:val="32"/>
                <w:lang w:eastAsia="zh-CN"/>
              </w:rPr>
              <w:t>11</w:t>
            </w:r>
            <w:r>
              <w:rPr>
                <w:rFonts w:hint="default" w:ascii="Times New Roman" w:hAnsi="Times New Roman" w:eastAsia="宋体" w:cs="Times New Roman"/>
                <w:color w:val="auto"/>
                <w:sz w:val="24"/>
                <w:szCs w:val="32"/>
              </w:rPr>
              <w:t xml:space="preserve">  工业企业厂界环境噪声排放标准  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1"/>
              <w:gridCol w:w="3803"/>
            </w:tblGrid>
            <w:tr w14:paraId="4131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758" w:type="pct"/>
                  <w:vAlign w:val="center"/>
                </w:tcPr>
                <w:p w14:paraId="18C83D8B">
                  <w:pPr>
                    <w:pStyle w:val="33"/>
                    <w:rPr>
                      <w:rFonts w:ascii="Times New Roman" w:hAnsi="Times New Roman" w:cs="Times New Roman"/>
                      <w:color w:val="auto"/>
                    </w:rPr>
                  </w:pPr>
                  <w:r>
                    <w:rPr>
                      <w:rFonts w:ascii="Times New Roman" w:hAnsi="Times New Roman" w:cs="Times New Roman"/>
                      <w:color w:val="auto"/>
                    </w:rPr>
                    <w:t>标准</w:t>
                  </w:r>
                </w:p>
              </w:tc>
              <w:tc>
                <w:tcPr>
                  <w:tcW w:w="2241" w:type="pct"/>
                  <w:vAlign w:val="center"/>
                </w:tcPr>
                <w:p w14:paraId="54EDC880">
                  <w:pPr>
                    <w:pStyle w:val="33"/>
                    <w:rPr>
                      <w:rFonts w:ascii="Times New Roman" w:hAnsi="Times New Roman" w:cs="Times New Roman"/>
                      <w:color w:val="auto"/>
                    </w:rPr>
                  </w:pPr>
                  <w:r>
                    <w:rPr>
                      <w:rFonts w:ascii="Times New Roman" w:hAnsi="Times New Roman" w:cs="Times New Roman"/>
                      <w:color w:val="auto"/>
                    </w:rPr>
                    <w:t>昼间</w:t>
                  </w:r>
                </w:p>
              </w:tc>
            </w:tr>
            <w:tr w14:paraId="2D7E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58" w:type="pct"/>
                  <w:vAlign w:val="center"/>
                </w:tcPr>
                <w:p w14:paraId="2941370C">
                  <w:pPr>
                    <w:pStyle w:val="33"/>
                    <w:rPr>
                      <w:rFonts w:ascii="Times New Roman" w:hAnsi="Times New Roman" w:cs="Times New Roman"/>
                      <w:color w:val="auto"/>
                    </w:rPr>
                  </w:pPr>
                  <w:r>
                    <w:rPr>
                      <w:rFonts w:ascii="Times New Roman" w:hAnsi="Times New Roman" w:cs="Times New Roman"/>
                      <w:color w:val="auto"/>
                    </w:rPr>
                    <w:t>GB12348-2008中3类标准</w:t>
                  </w:r>
                </w:p>
              </w:tc>
              <w:tc>
                <w:tcPr>
                  <w:tcW w:w="2241" w:type="pct"/>
                  <w:vAlign w:val="center"/>
                </w:tcPr>
                <w:p w14:paraId="45E99822">
                  <w:pPr>
                    <w:pStyle w:val="33"/>
                    <w:rPr>
                      <w:rFonts w:ascii="Times New Roman" w:hAnsi="Times New Roman" w:cs="Times New Roman"/>
                      <w:color w:val="auto"/>
                    </w:rPr>
                  </w:pPr>
                  <w:r>
                    <w:rPr>
                      <w:rFonts w:ascii="Times New Roman" w:hAnsi="Times New Roman" w:cs="Times New Roman"/>
                      <w:color w:val="auto"/>
                    </w:rPr>
                    <w:t>65</w:t>
                  </w:r>
                </w:p>
              </w:tc>
            </w:tr>
          </w:tbl>
          <w:p w14:paraId="5B0BB825">
            <w:pPr>
              <w:ind w:firstLine="482"/>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4、固体废弃物</w:t>
            </w:r>
          </w:p>
          <w:p w14:paraId="6BA4510F">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eastAsia="宋体" w:cs="Times New Roman"/>
                <w:color w:val="auto"/>
                <w:sz w:val="24"/>
                <w:lang w:eastAsia="zh-CN"/>
              </w:rPr>
              <w:t>一般工业固体废物和危险固废的暂存及污染控制分别按《一般工业固体废物贮存和填埋污染控制标准》（GB18599-2020）、《危险废物贮存污染控制标准》（GB18597-2023）执行。</w:t>
            </w:r>
          </w:p>
        </w:tc>
      </w:tr>
      <w:tr w14:paraId="441E6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233" w:type="pct"/>
            <w:tcBorders>
              <w:tl2br w:val="nil"/>
              <w:tr2bl w:val="nil"/>
            </w:tcBorders>
            <w:tcMar>
              <w:left w:w="28" w:type="dxa"/>
              <w:right w:w="28" w:type="dxa"/>
            </w:tcMar>
            <w:vAlign w:val="center"/>
          </w:tcPr>
          <w:p w14:paraId="745C05B0">
            <w:pPr>
              <w:jc w:val="center"/>
              <w:rPr>
                <w:rFonts w:ascii="Times New Roman" w:hAnsi="Times New Roman" w:cs="Times New Roman"/>
                <w:color w:val="auto"/>
              </w:rPr>
            </w:pPr>
            <w:r>
              <w:rPr>
                <w:rFonts w:ascii="Times New Roman" w:hAnsi="Times New Roman" w:cs="Times New Roman"/>
                <w:color w:val="auto"/>
              </w:rPr>
              <w:t>总量</w:t>
            </w:r>
          </w:p>
          <w:p w14:paraId="09532348">
            <w:pPr>
              <w:jc w:val="center"/>
              <w:rPr>
                <w:rFonts w:ascii="Times New Roman" w:hAnsi="Times New Roman" w:cs="Times New Roman"/>
                <w:color w:val="auto"/>
              </w:rPr>
            </w:pPr>
            <w:r>
              <w:rPr>
                <w:rFonts w:ascii="Times New Roman" w:hAnsi="Times New Roman" w:cs="Times New Roman"/>
                <w:color w:val="auto"/>
              </w:rPr>
              <w:t>控制</w:t>
            </w:r>
          </w:p>
          <w:p w14:paraId="557D3BD3">
            <w:pPr>
              <w:jc w:val="center"/>
              <w:rPr>
                <w:rFonts w:ascii="Times New Roman" w:hAnsi="Times New Roman" w:cs="Times New Roman"/>
                <w:color w:val="auto"/>
              </w:rPr>
            </w:pPr>
            <w:r>
              <w:rPr>
                <w:rFonts w:ascii="Times New Roman" w:hAnsi="Times New Roman" w:cs="Times New Roman"/>
                <w:color w:val="auto"/>
              </w:rPr>
              <w:t>指标</w:t>
            </w:r>
          </w:p>
        </w:tc>
        <w:tc>
          <w:tcPr>
            <w:tcW w:w="4766" w:type="pct"/>
            <w:tcBorders>
              <w:tl2br w:val="nil"/>
              <w:tr2bl w:val="nil"/>
            </w:tcBorders>
            <w:vAlign w:val="center"/>
          </w:tcPr>
          <w:p w14:paraId="406CF01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szCs w:val="24"/>
              </w:rPr>
            </w:pPr>
            <w:r>
              <w:rPr>
                <w:rFonts w:ascii="Times New Roman" w:hAnsi="Times New Roman" w:cs="Times New Roman"/>
                <w:color w:val="auto"/>
                <w:sz w:val="24"/>
                <w:szCs w:val="24"/>
              </w:rPr>
              <w:t>本项目</w:t>
            </w:r>
            <w:r>
              <w:rPr>
                <w:rFonts w:ascii="Times New Roman" w:hAnsi="Times New Roman" w:cs="Times New Roman"/>
                <w:color w:val="auto"/>
                <w:sz w:val="24"/>
                <w:szCs w:val="24"/>
                <w:lang w:eastAsia="zh-CN"/>
              </w:rPr>
              <w:t>外排废水仅涉及生活污水</w:t>
            </w:r>
            <w:r>
              <w:rPr>
                <w:rFonts w:ascii="Times New Roman" w:hAnsi="Times New Roman" w:cs="Times New Roman"/>
                <w:color w:val="auto"/>
                <w:sz w:val="24"/>
                <w:szCs w:val="24"/>
              </w:rPr>
              <w:t>，生活污水经化粪池处理</w:t>
            </w:r>
            <w:r>
              <w:rPr>
                <w:rFonts w:ascii="Times New Roman" w:hAnsi="Times New Roman" w:cs="Times New Roman"/>
                <w:color w:val="auto"/>
                <w:sz w:val="24"/>
                <w:szCs w:val="24"/>
                <w:lang w:eastAsia="zh-CN"/>
              </w:rPr>
              <w:t>后</w:t>
            </w:r>
            <w:r>
              <w:rPr>
                <w:rFonts w:ascii="Times New Roman" w:hAnsi="Times New Roman" w:cs="Times New Roman"/>
                <w:color w:val="auto"/>
                <w:sz w:val="24"/>
                <w:szCs w:val="24"/>
              </w:rPr>
              <w:t>进入</w:t>
            </w:r>
            <w:r>
              <w:rPr>
                <w:rFonts w:hint="eastAsia" w:ascii="Times New Roman" w:hAnsi="Times New Roman" w:eastAsia="宋体" w:cs="Times New Roman"/>
                <w:color w:val="auto"/>
                <w:sz w:val="24"/>
                <w:szCs w:val="24"/>
                <w:lang w:eastAsia="zh-CN"/>
              </w:rPr>
              <w:t>濉溪县第二污水处理厂</w:t>
            </w:r>
            <w:r>
              <w:rPr>
                <w:rFonts w:ascii="Times New Roman" w:hAnsi="Times New Roman" w:cs="Times New Roman"/>
                <w:color w:val="auto"/>
                <w:sz w:val="24"/>
                <w:szCs w:val="24"/>
              </w:rPr>
              <w:t>。水污染物排放总量纳入</w:t>
            </w:r>
            <w:r>
              <w:rPr>
                <w:rFonts w:hint="eastAsia" w:ascii="Times New Roman" w:hAnsi="Times New Roman" w:eastAsia="宋体" w:cs="Times New Roman"/>
                <w:color w:val="auto"/>
                <w:sz w:val="24"/>
                <w:szCs w:val="24"/>
                <w:lang w:eastAsia="zh-CN"/>
              </w:rPr>
              <w:t>濉溪县第二污水处理厂</w:t>
            </w:r>
            <w:r>
              <w:rPr>
                <w:rFonts w:ascii="Times New Roman" w:hAnsi="Times New Roman" w:eastAsia="宋体" w:cs="Times New Roman"/>
                <w:color w:val="auto"/>
                <w:sz w:val="24"/>
                <w:szCs w:val="24"/>
              </w:rPr>
              <w:t>总量指标中，不需单独申请总量。</w:t>
            </w:r>
          </w:p>
          <w:p w14:paraId="2E442F9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根据主要环境影响和保护措施分析计算，本</w:t>
            </w:r>
            <w:r>
              <w:rPr>
                <w:rFonts w:ascii="Times New Roman" w:hAnsi="Times New Roman" w:eastAsia="宋体" w:cs="Times New Roman"/>
                <w:color w:val="auto"/>
                <w:sz w:val="24"/>
                <w:szCs w:val="24"/>
              </w:rPr>
              <w:t>项目运营期排放的废气污染物</w:t>
            </w:r>
            <w:r>
              <w:rPr>
                <w:rFonts w:ascii="Times New Roman" w:hAnsi="Times New Roman" w:eastAsia="宋体" w:cs="Times New Roman"/>
                <w:color w:val="auto"/>
                <w:sz w:val="24"/>
                <w:szCs w:val="24"/>
                <w:lang w:eastAsia="zh-CN"/>
              </w:rPr>
              <w:t>排放量为：颗粒物：</w:t>
            </w:r>
            <w:r>
              <w:rPr>
                <w:rFonts w:hint="eastAsia" w:ascii="Times New Roman" w:hAnsi="Times New Roman" w:cs="Times New Roman"/>
                <w:color w:val="auto"/>
                <w:sz w:val="24"/>
                <w:szCs w:val="24"/>
                <w:lang w:eastAsia="zh-CN"/>
              </w:rPr>
              <w:t>0.469</w:t>
            </w:r>
            <w:r>
              <w:rPr>
                <w:rFonts w:ascii="Times New Roman" w:hAnsi="Times New Roman" w:eastAsia="宋体" w:cs="Times New Roman"/>
                <w:color w:val="auto"/>
                <w:sz w:val="24"/>
                <w:szCs w:val="24"/>
                <w:lang w:eastAsia="zh-CN"/>
              </w:rPr>
              <w:t>t/a；挥发性有机物：</w:t>
            </w:r>
            <w:r>
              <w:rPr>
                <w:rFonts w:hint="eastAsia" w:ascii="Times New Roman" w:hAnsi="Times New Roman" w:cs="Times New Roman"/>
                <w:color w:val="auto"/>
                <w:sz w:val="24"/>
                <w:szCs w:val="24"/>
                <w:lang w:eastAsia="zh-CN"/>
              </w:rPr>
              <w:t>0.031</w:t>
            </w:r>
            <w:r>
              <w:rPr>
                <w:rFonts w:ascii="Times New Roman" w:hAnsi="Times New Roman" w:eastAsia="宋体" w:cs="Times New Roman"/>
                <w:color w:val="auto"/>
                <w:sz w:val="24"/>
                <w:szCs w:val="24"/>
                <w:lang w:eastAsia="zh-CN"/>
              </w:rPr>
              <w:t>t/a、SO</w:t>
            </w:r>
            <w:r>
              <w:rPr>
                <w:rFonts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02</w:t>
            </w:r>
            <w:r>
              <w:rPr>
                <w:rFonts w:ascii="Times New Roman" w:hAnsi="Times New Roman" w:eastAsia="宋体" w:cs="Times New Roman"/>
                <w:color w:val="auto"/>
                <w:sz w:val="24"/>
                <w:szCs w:val="24"/>
                <w:lang w:eastAsia="zh-CN"/>
              </w:rPr>
              <w:t>t/a、NO</w:t>
            </w:r>
            <w:r>
              <w:rPr>
                <w:rFonts w:ascii="Times New Roman" w:hAnsi="Times New Roman" w:eastAsia="宋体" w:cs="Times New Roman"/>
                <w:color w:val="auto"/>
                <w:sz w:val="24"/>
                <w:szCs w:val="24"/>
                <w:vertAlign w:val="subscript"/>
                <w:lang w:eastAsia="zh-CN"/>
              </w:rPr>
              <w:t>X</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066</w:t>
            </w:r>
            <w:r>
              <w:rPr>
                <w:rFonts w:ascii="Times New Roman" w:hAnsi="Times New Roman" w:eastAsia="宋体" w:cs="Times New Roman"/>
                <w:color w:val="auto"/>
                <w:sz w:val="24"/>
                <w:szCs w:val="24"/>
                <w:lang w:eastAsia="zh-CN"/>
              </w:rPr>
              <w:t>t/a。</w:t>
            </w:r>
          </w:p>
          <w:p w14:paraId="08E1E63C">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5D4A3861">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p>
          <w:p w14:paraId="0361BE01">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57C2DAE5">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69545550">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6359BAE6">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0463E56C">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076507E0">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49EBD339">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77130A0B">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30754E1E">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1F42B422">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5D055105">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30021066">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5A3BDBE4">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3E3D7860">
            <w:pPr>
              <w:widowControl w:val="0"/>
              <w:kinsoku/>
              <w:autoSpaceDE/>
              <w:autoSpaceDN/>
              <w:adjustRightInd/>
              <w:snapToGrid/>
              <w:spacing w:line="360" w:lineRule="auto"/>
              <w:textAlignment w:val="auto"/>
              <w:rPr>
                <w:rFonts w:ascii="Times New Roman" w:hAnsi="Times New Roman" w:eastAsia="宋体" w:cs="Times New Roman"/>
                <w:color w:val="auto"/>
                <w:sz w:val="24"/>
                <w:szCs w:val="24"/>
                <w:lang w:eastAsia="zh-CN"/>
              </w:rPr>
            </w:pPr>
          </w:p>
          <w:p w14:paraId="573FC2BB">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p>
        </w:tc>
      </w:tr>
    </w:tbl>
    <w:p w14:paraId="5C8365CC">
      <w:pPr>
        <w:pStyle w:val="19"/>
        <w:kinsoku/>
        <w:adjustRightInd/>
        <w:snapToGrid/>
        <w:spacing w:before="0" w:beforeAutospacing="0" w:after="0" w:afterAutospacing="0" w:line="360" w:lineRule="auto"/>
        <w:jc w:val="center"/>
        <w:outlineLvl w:val="0"/>
        <w:rPr>
          <w:rFonts w:ascii="Times New Roman" w:hAnsi="Times New Roman" w:eastAsia="宋体" w:cs="Times New Roman"/>
          <w:b/>
          <w:bCs/>
          <w:color w:val="auto"/>
          <w:sz w:val="30"/>
          <w:szCs w:val="30"/>
          <w:lang w:eastAsia="zh-CN"/>
        </w:rPr>
        <w:sectPr>
          <w:pgSz w:w="11906" w:h="16838"/>
          <w:pgMar w:top="1440" w:right="1800" w:bottom="1440" w:left="1800" w:header="851" w:footer="992" w:gutter="0"/>
          <w:cols w:space="425" w:num="1"/>
          <w:docGrid w:type="lines" w:linePitch="312" w:charSpace="0"/>
        </w:sectPr>
      </w:pPr>
    </w:p>
    <w:p w14:paraId="37E52A83">
      <w:pPr>
        <w:pStyle w:val="19"/>
        <w:kinsoku/>
        <w:adjustRightInd/>
        <w:snapToGrid/>
        <w:spacing w:before="0" w:beforeAutospacing="0" w:after="0" w:afterAutospacing="0" w:line="360" w:lineRule="auto"/>
        <w:jc w:val="center"/>
        <w:outlineLvl w:val="0"/>
        <w:rPr>
          <w:rFonts w:ascii="Times New Roman" w:hAnsi="Times New Roman" w:eastAsia="宋体" w:cs="Times New Roman"/>
          <w:b/>
          <w:bCs/>
          <w:color w:val="auto"/>
          <w:sz w:val="30"/>
          <w:szCs w:val="30"/>
          <w:lang w:eastAsia="zh-CN"/>
        </w:rPr>
      </w:pPr>
      <w:r>
        <w:rPr>
          <w:rFonts w:ascii="Times New Roman" w:hAnsi="Times New Roman" w:eastAsia="宋体" w:cs="Times New Roman"/>
          <w:b/>
          <w:bCs/>
          <w:color w:val="auto"/>
          <w:sz w:val="30"/>
          <w:szCs w:val="30"/>
          <w:lang w:eastAsia="zh-CN"/>
        </w:rPr>
        <w:t>四、主要环境影响和保护措施</w:t>
      </w: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8776"/>
      </w:tblGrid>
      <w:tr w14:paraId="295F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575" w:type="dxa"/>
            <w:tcMar>
              <w:left w:w="28" w:type="dxa"/>
              <w:right w:w="28" w:type="dxa"/>
            </w:tcMar>
            <w:vAlign w:val="center"/>
          </w:tcPr>
          <w:p w14:paraId="6D9CB08A">
            <w:pPr>
              <w:pStyle w:val="19"/>
              <w:kinsoku/>
              <w:adjustRightInd/>
              <w:snapToGrid/>
              <w:spacing w:before="0" w:beforeAutospacing="0" w:after="0" w:afterAutospacing="0"/>
              <w:jc w:val="center"/>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施工</w:t>
            </w:r>
          </w:p>
          <w:p w14:paraId="2F2D8CE1">
            <w:pPr>
              <w:pStyle w:val="19"/>
              <w:kinsoku/>
              <w:adjustRightInd/>
              <w:snapToGrid/>
              <w:spacing w:before="0" w:beforeAutospacing="0" w:after="0" w:afterAutospacing="0"/>
              <w:jc w:val="center"/>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期环</w:t>
            </w:r>
          </w:p>
          <w:p w14:paraId="01825933">
            <w:pPr>
              <w:pStyle w:val="19"/>
              <w:kinsoku/>
              <w:adjustRightInd/>
              <w:snapToGrid/>
              <w:spacing w:before="0" w:beforeAutospacing="0" w:after="0" w:afterAutospacing="0"/>
              <w:jc w:val="center"/>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境保</w:t>
            </w:r>
          </w:p>
          <w:p w14:paraId="00A4BB9E">
            <w:pPr>
              <w:pStyle w:val="19"/>
              <w:kinsoku/>
              <w:adjustRightInd/>
              <w:snapToGrid/>
              <w:spacing w:before="0" w:beforeAutospacing="0" w:after="0" w:afterAutospacing="0"/>
              <w:jc w:val="center"/>
              <w:rPr>
                <w:rFonts w:ascii="Times New Roman" w:hAnsi="Times New Roman" w:eastAsia="宋体" w:cs="Times New Roman"/>
                <w:color w:val="auto"/>
                <w:kern w:val="2"/>
                <w:szCs w:val="24"/>
              </w:rPr>
            </w:pPr>
            <w:r>
              <w:rPr>
                <w:rFonts w:ascii="Times New Roman" w:hAnsi="Times New Roman" w:eastAsia="宋体" w:cs="Times New Roman"/>
                <w:color w:val="auto"/>
                <w:kern w:val="2"/>
                <w:szCs w:val="24"/>
              </w:rPr>
              <w:t>护措</w:t>
            </w:r>
          </w:p>
          <w:p w14:paraId="4ABE57D1">
            <w:pPr>
              <w:pStyle w:val="19"/>
              <w:kinsoku/>
              <w:adjustRightInd/>
              <w:snapToGrid/>
              <w:spacing w:before="0" w:beforeAutospacing="0" w:after="0" w:afterAutospacing="0"/>
              <w:jc w:val="center"/>
              <w:rPr>
                <w:rFonts w:ascii="Times New Roman" w:hAnsi="Times New Roman" w:eastAsia="宋体" w:cs="Times New Roman"/>
                <w:bCs/>
                <w:color w:val="auto"/>
                <w:kern w:val="2"/>
                <w:szCs w:val="24"/>
              </w:rPr>
            </w:pPr>
            <w:r>
              <w:rPr>
                <w:rFonts w:ascii="Times New Roman" w:hAnsi="Times New Roman" w:eastAsia="宋体" w:cs="Times New Roman"/>
                <w:color w:val="auto"/>
                <w:kern w:val="2"/>
                <w:szCs w:val="24"/>
              </w:rPr>
              <w:t>施</w:t>
            </w:r>
          </w:p>
        </w:tc>
        <w:tc>
          <w:tcPr>
            <w:tcW w:w="8776" w:type="dxa"/>
            <w:vAlign w:val="center"/>
          </w:tcPr>
          <w:p w14:paraId="033BD3D7">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bookmarkStart w:id="11" w:name="OLE_LINK3"/>
            <w:r>
              <w:rPr>
                <w:rFonts w:ascii="Times New Roman" w:hAnsi="Times New Roman" w:eastAsia="宋体" w:cs="Times New Roman"/>
                <w:color w:val="auto"/>
                <w:sz w:val="24"/>
                <w:szCs w:val="24"/>
                <w:lang w:eastAsia="zh-CN"/>
              </w:rPr>
              <w:t>本项目</w:t>
            </w:r>
            <w:r>
              <w:rPr>
                <w:rFonts w:ascii="Times New Roman" w:hAnsi="Times New Roman" w:eastAsia="宋体" w:cs="Times New Roman"/>
                <w:color w:val="auto"/>
                <w:kern w:val="2"/>
                <w:sz w:val="24"/>
                <w:szCs w:val="24"/>
                <w:lang w:eastAsia="zh-CN"/>
              </w:rPr>
              <w:t>租赁安徽蓝达建材有限公司已建厂房</w:t>
            </w:r>
            <w:r>
              <w:rPr>
                <w:rFonts w:ascii="Times New Roman" w:hAnsi="Times New Roman" w:eastAsia="宋体" w:cs="Times New Roman"/>
                <w:color w:val="auto"/>
                <w:sz w:val="24"/>
                <w:szCs w:val="24"/>
                <w:lang w:eastAsia="zh-CN"/>
              </w:rPr>
              <w:t>进行生产</w:t>
            </w:r>
            <w:r>
              <w:rPr>
                <w:rFonts w:ascii="Times New Roman" w:hAnsi="Times New Roman" w:cs="Times New Roman"/>
                <w:color w:val="auto"/>
                <w:sz w:val="24"/>
                <w:szCs w:val="24"/>
                <w:lang w:eastAsia="zh-CN"/>
              </w:rPr>
              <w:t>。根据后期生产需要，厂房内部重新布局及设备安装，</w:t>
            </w:r>
            <w:r>
              <w:rPr>
                <w:rFonts w:ascii="Times New Roman" w:hAnsi="Times New Roman" w:eastAsia="宋体" w:cs="Times New Roman"/>
                <w:color w:val="auto"/>
                <w:sz w:val="24"/>
                <w:szCs w:val="24"/>
                <w:lang w:eastAsia="zh-CN"/>
              </w:rPr>
              <w:t>施工期不涉及土建施工，具体施工环境保护措施分析如下：</w:t>
            </w:r>
          </w:p>
          <w:p w14:paraId="293AA158">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1、废气防治措施</w:t>
            </w:r>
          </w:p>
          <w:p w14:paraId="494C7653">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本项目不涉及土建工程，故施工过程中无施工扬尘，仅在施工过程中涉及金属焊接</w:t>
            </w:r>
            <w:r>
              <w:rPr>
                <w:rFonts w:hint="eastAsia" w:ascii="Times New Roman" w:hAnsi="Times New Roman" w:eastAsia="宋体" w:cs="Times New Roman"/>
                <w:color w:val="auto"/>
                <w:sz w:val="24"/>
                <w:szCs w:val="24"/>
                <w:lang w:eastAsia="zh-CN"/>
              </w:rPr>
              <w:t>和设备组装</w:t>
            </w:r>
            <w:r>
              <w:rPr>
                <w:rFonts w:ascii="Times New Roman" w:hAnsi="Times New Roman" w:eastAsia="宋体" w:cs="Times New Roman"/>
                <w:color w:val="auto"/>
                <w:sz w:val="24"/>
                <w:szCs w:val="24"/>
                <w:lang w:eastAsia="zh-CN"/>
              </w:rPr>
              <w:t>，产生的废气中含有烟尘。该部分废气产生量极少，且产生时间有限。通过</w:t>
            </w:r>
            <w:r>
              <w:rPr>
                <w:rFonts w:hint="eastAsia" w:ascii="Times New Roman" w:hAnsi="Times New Roman" w:eastAsia="宋体" w:cs="Times New Roman"/>
                <w:color w:val="auto"/>
                <w:sz w:val="24"/>
                <w:szCs w:val="24"/>
                <w:lang w:eastAsia="zh-CN"/>
              </w:rPr>
              <w:t>加强通风和焊接过程使用移动式焊接烟尘净化器，</w:t>
            </w:r>
            <w:r>
              <w:rPr>
                <w:rFonts w:ascii="Times New Roman" w:hAnsi="Times New Roman" w:eastAsia="宋体" w:cs="Times New Roman"/>
                <w:color w:val="auto"/>
                <w:sz w:val="24"/>
                <w:szCs w:val="24"/>
                <w:lang w:eastAsia="zh-CN"/>
              </w:rPr>
              <w:t>可有效减少废气产生。</w:t>
            </w:r>
          </w:p>
          <w:p w14:paraId="15643854">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2、废水防治措施</w:t>
            </w:r>
          </w:p>
          <w:p w14:paraId="40D1B0C1">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因涉及设备安装，故在施工期间，会产生施工人员生活污水。本项目施工期间，施工人数最多8人，根据《建筑施工计算手册》中施工现场生活用水定额为 20~60L/人·d，本项目取生活用水定额为 40L/人·d，故施工期间生活用水量为 0.32m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/d，根据《给排水设计手册》，生活污水产生量按用水量的 80%计故施工过程中生活污水产生量为 0.256m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/d，经化粪池处理后进入</w:t>
            </w:r>
            <w:r>
              <w:rPr>
                <w:rFonts w:hint="eastAsia" w:ascii="Times New Roman" w:hAnsi="Times New Roman" w:eastAsia="宋体" w:cs="Times New Roman"/>
                <w:color w:val="auto"/>
                <w:sz w:val="24"/>
                <w:szCs w:val="24"/>
                <w:lang w:val="en-US" w:eastAsia="zh-CN"/>
              </w:rPr>
              <w:t>濉溪县第二污水处理厂</w:t>
            </w:r>
            <w:r>
              <w:rPr>
                <w:rFonts w:ascii="Times New Roman" w:hAnsi="Times New Roman" w:cs="Times New Roman"/>
                <w:color w:val="auto"/>
                <w:sz w:val="24"/>
                <w:szCs w:val="24"/>
                <w:lang w:eastAsia="zh-CN"/>
              </w:rPr>
              <w:t>进行处理</w:t>
            </w:r>
            <w:r>
              <w:rPr>
                <w:rFonts w:ascii="Times New Roman" w:hAnsi="Times New Roman" w:eastAsia="宋体" w:cs="Times New Roman"/>
                <w:color w:val="auto"/>
                <w:sz w:val="24"/>
                <w:szCs w:val="24"/>
                <w:lang w:eastAsia="zh-CN"/>
              </w:rPr>
              <w:t>。</w:t>
            </w:r>
          </w:p>
          <w:p w14:paraId="4776A578">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3、噪声防治措施</w:t>
            </w:r>
          </w:p>
          <w:p w14:paraId="2DB6BFC4">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本项目施工期不涉及基建项目，仅为简单的设备安装，故施工过程中的噪声为点焊接、吊车等，设备噪声源强较小，</w:t>
            </w:r>
            <w:r>
              <w:rPr>
                <w:rFonts w:ascii="Times New Roman" w:hAnsi="Times New Roman" w:cs="Times New Roman"/>
                <w:color w:val="auto"/>
                <w:sz w:val="24"/>
                <w:szCs w:val="24"/>
                <w:lang w:eastAsia="zh-CN"/>
              </w:rPr>
              <w:t>且项目周边无居民点，</w:t>
            </w:r>
            <w:r>
              <w:rPr>
                <w:rFonts w:ascii="Times New Roman" w:hAnsi="Times New Roman" w:eastAsia="宋体" w:cs="Times New Roman"/>
                <w:color w:val="auto"/>
                <w:sz w:val="24"/>
                <w:szCs w:val="24"/>
                <w:lang w:eastAsia="zh-CN"/>
              </w:rPr>
              <w:t>施工期场界噪声对周边影响较小。</w:t>
            </w:r>
          </w:p>
          <w:p w14:paraId="56E78D81">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4、固体废物防治措施</w:t>
            </w:r>
          </w:p>
          <w:p w14:paraId="0C2C7CC3">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施工期产生的固体废物主要是废弃的装修材料、设备安装边角料、材料包装箱、袋和生活垃圾等，上述垃圾由环卫统一清运处置，无随意倾倒现象，故不会对周围环境造成影响。</w:t>
            </w:r>
          </w:p>
          <w:bookmarkEnd w:id="11"/>
          <w:p w14:paraId="21BAF1B9">
            <w:pPr>
              <w:pStyle w:val="2"/>
              <w:kinsoku/>
              <w:adjustRightInd/>
              <w:snapToGrid/>
              <w:spacing w:line="360" w:lineRule="auto"/>
              <w:ind w:firstLine="440" w:firstLineChars="200"/>
              <w:rPr>
                <w:rFonts w:ascii="Times New Roman" w:hAnsi="Times New Roman" w:eastAsia="宋体" w:cs="Times New Roman"/>
                <w:bCs/>
                <w:color w:val="auto"/>
                <w:spacing w:val="-10"/>
                <w:sz w:val="24"/>
                <w:szCs w:val="24"/>
                <w:lang w:eastAsia="zh-CN"/>
              </w:rPr>
            </w:pPr>
          </w:p>
          <w:p w14:paraId="1BD8187B">
            <w:pPr>
              <w:rPr>
                <w:rFonts w:ascii="Times New Roman" w:hAnsi="Times New Roman" w:cs="Times New Roman"/>
                <w:color w:val="auto"/>
                <w:lang w:eastAsia="zh-CN"/>
              </w:rPr>
            </w:pPr>
          </w:p>
          <w:p w14:paraId="4C2FEB18">
            <w:pPr>
              <w:rPr>
                <w:rFonts w:ascii="Times New Roman" w:hAnsi="Times New Roman" w:cs="Times New Roman"/>
                <w:color w:val="auto"/>
                <w:lang w:eastAsia="zh-CN"/>
              </w:rPr>
            </w:pPr>
          </w:p>
          <w:p w14:paraId="655ACB56">
            <w:pPr>
              <w:rPr>
                <w:rFonts w:ascii="Times New Roman" w:hAnsi="Times New Roman" w:cs="Times New Roman"/>
                <w:color w:val="auto"/>
                <w:lang w:eastAsia="zh-CN"/>
              </w:rPr>
            </w:pPr>
          </w:p>
          <w:p w14:paraId="6737975A">
            <w:pPr>
              <w:rPr>
                <w:rFonts w:ascii="Times New Roman" w:hAnsi="Times New Roman" w:cs="Times New Roman"/>
                <w:color w:val="auto"/>
                <w:lang w:eastAsia="zh-CN"/>
              </w:rPr>
            </w:pPr>
          </w:p>
          <w:p w14:paraId="5AB6543A">
            <w:pPr>
              <w:rPr>
                <w:rFonts w:ascii="Times New Roman" w:hAnsi="Times New Roman" w:cs="Times New Roman"/>
                <w:color w:val="auto"/>
                <w:lang w:eastAsia="zh-CN"/>
              </w:rPr>
            </w:pPr>
          </w:p>
          <w:p w14:paraId="1FCA0A91">
            <w:pPr>
              <w:rPr>
                <w:rFonts w:ascii="Times New Roman" w:hAnsi="Times New Roman" w:cs="Times New Roman"/>
                <w:color w:val="auto"/>
                <w:lang w:eastAsia="zh-CN"/>
              </w:rPr>
            </w:pPr>
          </w:p>
          <w:p w14:paraId="16DB00CD">
            <w:pPr>
              <w:pStyle w:val="4"/>
              <w:rPr>
                <w:lang w:eastAsia="zh-CN"/>
              </w:rPr>
            </w:pPr>
          </w:p>
          <w:p w14:paraId="29256FDF">
            <w:pPr>
              <w:pStyle w:val="4"/>
              <w:rPr>
                <w:lang w:eastAsia="zh-CN"/>
              </w:rPr>
            </w:pPr>
          </w:p>
          <w:p w14:paraId="37D4BF2D">
            <w:pPr>
              <w:pStyle w:val="4"/>
              <w:rPr>
                <w:lang w:eastAsia="zh-CN"/>
              </w:rPr>
            </w:pPr>
          </w:p>
          <w:p w14:paraId="74C628F9">
            <w:pPr>
              <w:pStyle w:val="4"/>
              <w:rPr>
                <w:lang w:eastAsia="zh-CN"/>
              </w:rPr>
            </w:pPr>
          </w:p>
          <w:p w14:paraId="46199A84">
            <w:pPr>
              <w:pStyle w:val="4"/>
              <w:rPr>
                <w:lang w:eastAsia="zh-CN"/>
              </w:rPr>
            </w:pPr>
          </w:p>
        </w:tc>
      </w:tr>
      <w:tr w14:paraId="2E96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0" w:hRule="atLeast"/>
          <w:jc w:val="center"/>
        </w:trPr>
        <w:tc>
          <w:tcPr>
            <w:tcW w:w="575" w:type="dxa"/>
            <w:tcMar>
              <w:left w:w="28" w:type="dxa"/>
              <w:right w:w="28" w:type="dxa"/>
            </w:tcMar>
            <w:vAlign w:val="center"/>
          </w:tcPr>
          <w:p w14:paraId="47866264">
            <w:pPr>
              <w:kinsoku/>
              <w:adjustRightInd/>
              <w:snapToGrid/>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运营</w:t>
            </w:r>
          </w:p>
          <w:p w14:paraId="09796E86">
            <w:pPr>
              <w:kinsoku/>
              <w:adjustRightInd/>
              <w:snapToGrid/>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期环</w:t>
            </w:r>
          </w:p>
          <w:p w14:paraId="1291B624">
            <w:pPr>
              <w:kinsoku/>
              <w:adjustRightInd/>
              <w:snapToGrid/>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境影</w:t>
            </w:r>
          </w:p>
          <w:p w14:paraId="7B05440A">
            <w:pPr>
              <w:kinsoku/>
              <w:adjustRightInd/>
              <w:snapToGrid/>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响和</w:t>
            </w:r>
          </w:p>
          <w:p w14:paraId="14101FFB">
            <w:pPr>
              <w:kinsoku/>
              <w:adjustRightInd/>
              <w:snapToGrid/>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保护</w:t>
            </w:r>
          </w:p>
          <w:p w14:paraId="49A7ACD6">
            <w:pPr>
              <w:pStyle w:val="19"/>
              <w:kinsoku/>
              <w:adjustRightInd/>
              <w:snapToGrid/>
              <w:spacing w:before="0" w:beforeAutospacing="0" w:after="0" w:afterAutospacing="0"/>
              <w:jc w:val="center"/>
              <w:rPr>
                <w:rFonts w:ascii="Times New Roman" w:hAnsi="Times New Roman" w:eastAsia="宋体" w:cs="Times New Roman"/>
                <w:color w:val="auto"/>
                <w:kern w:val="2"/>
                <w:szCs w:val="24"/>
                <w:lang w:eastAsia="zh-CN"/>
              </w:rPr>
            </w:pPr>
            <w:r>
              <w:rPr>
                <w:rFonts w:ascii="Times New Roman" w:hAnsi="Times New Roman" w:eastAsia="宋体" w:cs="Times New Roman"/>
                <w:bCs/>
                <w:color w:val="auto"/>
                <w:lang w:eastAsia="zh-CN"/>
              </w:rPr>
              <w:t>措施</w:t>
            </w:r>
          </w:p>
        </w:tc>
        <w:tc>
          <w:tcPr>
            <w:tcW w:w="8776" w:type="dxa"/>
            <w:vAlign w:val="center"/>
          </w:tcPr>
          <w:p w14:paraId="409E609D">
            <w:pPr>
              <w:kinsoku/>
              <w:adjustRightInd/>
              <w:snapToGrid/>
              <w:spacing w:line="360" w:lineRule="auto"/>
              <w:rPr>
                <w:rFonts w:ascii="Times New Roman" w:hAnsi="Times New Roman" w:eastAsia="宋体" w:cs="Times New Roman"/>
                <w:b/>
                <w:bCs/>
                <w:color w:val="auto"/>
                <w:sz w:val="24"/>
                <w:lang w:eastAsia="zh-CN"/>
              </w:rPr>
            </w:pPr>
            <w:r>
              <w:rPr>
                <w:rFonts w:ascii="Times New Roman" w:hAnsi="Times New Roman" w:eastAsia="宋体" w:cs="Times New Roman"/>
                <w:color w:val="auto"/>
                <w:sz w:val="24"/>
                <w:lang w:eastAsia="zh-CN"/>
              </w:rPr>
              <w:t>一、</w:t>
            </w:r>
            <w:r>
              <w:rPr>
                <w:rFonts w:ascii="Times New Roman" w:hAnsi="Times New Roman" w:eastAsia="宋体" w:cs="Times New Roman"/>
                <w:b/>
                <w:bCs/>
                <w:color w:val="auto"/>
                <w:sz w:val="24"/>
                <w:lang w:eastAsia="zh-CN"/>
              </w:rPr>
              <w:t>大气污染</w:t>
            </w:r>
          </w:p>
          <w:p w14:paraId="16ED3CD5">
            <w:pPr>
              <w:kinsoku/>
              <w:adjustRightInd/>
              <w:snapToGrid/>
              <w:spacing w:line="360" w:lineRule="auto"/>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1、污染源强核算</w:t>
            </w:r>
          </w:p>
          <w:p w14:paraId="26436A08">
            <w:pPr>
              <w:pStyle w:val="13"/>
              <w:numPr>
                <w:ilvl w:val="0"/>
                <w:numId w:val="0"/>
              </w:numPr>
              <w:kinsoku/>
              <w:adjustRightInd/>
              <w:snapToGrid/>
              <w:spacing w:line="360" w:lineRule="auto"/>
              <w:ind w:firstLine="480" w:firstLineChars="200"/>
              <w:rPr>
                <w:rFonts w:ascii="Times New Roman" w:hAnsi="Times New Roman" w:eastAsia="宋体" w:cs="Times New Roman"/>
                <w:color w:val="auto"/>
                <w:lang w:eastAsia="zh-CN"/>
              </w:rPr>
            </w:pPr>
            <w:r>
              <w:rPr>
                <w:rFonts w:ascii="Times New Roman" w:hAnsi="Times New Roman" w:eastAsia="宋体" w:cs="Times New Roman"/>
                <w:color w:val="auto"/>
                <w:sz w:val="24"/>
                <w:lang w:eastAsia="zh-CN"/>
              </w:rPr>
              <w:t>项目生产过程废气主要为切割下料粉尘、焊接烟尘、</w:t>
            </w:r>
            <w:r>
              <w:rPr>
                <w:rFonts w:ascii="Times New Roman" w:hAnsi="Times New Roman" w:cs="Times New Roman"/>
                <w:color w:val="auto"/>
                <w:sz w:val="24"/>
                <w:lang w:eastAsia="zh-CN"/>
              </w:rPr>
              <w:t>抛光</w:t>
            </w:r>
            <w:r>
              <w:rPr>
                <w:rFonts w:ascii="Times New Roman" w:hAnsi="Times New Roman" w:eastAsia="宋体" w:cs="Times New Roman"/>
                <w:color w:val="auto"/>
                <w:sz w:val="24"/>
                <w:lang w:eastAsia="zh-CN"/>
              </w:rPr>
              <w:t>粉尘、</w:t>
            </w:r>
            <w:r>
              <w:rPr>
                <w:rFonts w:ascii="Times New Roman" w:hAnsi="Times New Roman" w:cs="Times New Roman"/>
                <w:color w:val="auto"/>
                <w:sz w:val="24"/>
                <w:lang w:eastAsia="zh-CN"/>
              </w:rPr>
              <w:t>，</w:t>
            </w:r>
            <w:r>
              <w:rPr>
                <w:rFonts w:ascii="Times New Roman" w:hAnsi="Times New Roman" w:eastAsia="宋体" w:cs="Times New Roman"/>
                <w:color w:val="auto"/>
                <w:sz w:val="24"/>
                <w:lang w:eastAsia="zh-CN"/>
              </w:rPr>
              <w:t>固化产生的废气，下料、焊接、抛光、喷塑工段产生的污染因子主要为颗粒物；固化工段污染因子主要为非甲烷总烃；</w:t>
            </w:r>
          </w:p>
          <w:p w14:paraId="034786A8">
            <w:pPr>
              <w:pStyle w:val="47"/>
              <w:widowControl w:val="0"/>
              <w:kinsoku/>
              <w:autoSpaceDE/>
              <w:autoSpaceDN/>
              <w:adjustRightInd/>
              <w:snapToGrid/>
              <w:spacing w:line="360" w:lineRule="auto"/>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（1）下料废气（颗粒物）</w:t>
            </w:r>
          </w:p>
          <w:p w14:paraId="6A059506">
            <w:pPr>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根据《排放源统计调查产排污核算方法和系数手册》中“33-37、43机械行业系数手册”中“04下料核算环节”“钢板、铝板、铝合金板、</w:t>
            </w:r>
            <w:r>
              <w:rPr>
                <w:rFonts w:ascii="Times New Roman" w:hAnsi="Times New Roman" w:cs="Times New Roman"/>
                <w:color w:val="auto"/>
                <w:sz w:val="24"/>
                <w:lang w:eastAsia="zh-CN"/>
              </w:rPr>
              <w:t>其他</w:t>
            </w:r>
            <w:r>
              <w:rPr>
                <w:rFonts w:ascii="Times New Roman" w:hAnsi="Times New Roman" w:eastAsia="宋体" w:cs="Times New Roman"/>
                <w:color w:val="auto"/>
                <w:sz w:val="24"/>
                <w:lang w:eastAsia="zh-CN"/>
              </w:rPr>
              <w:t>金属材料-等离子切割”工艺产污系数为1.10kg/t-原料。项目</w:t>
            </w:r>
            <w:r>
              <w:rPr>
                <w:rFonts w:ascii="Times New Roman" w:hAnsi="Times New Roman" w:cs="Times New Roman"/>
                <w:color w:val="auto"/>
                <w:sz w:val="24"/>
                <w:lang w:eastAsia="zh-CN"/>
              </w:rPr>
              <w:t>采用激光下料机，参照等离子切割工艺产污系数，项目</w:t>
            </w:r>
            <w:r>
              <w:rPr>
                <w:rFonts w:ascii="Times New Roman" w:hAnsi="Times New Roman" w:eastAsia="宋体" w:cs="Times New Roman"/>
                <w:color w:val="auto"/>
                <w:sz w:val="24"/>
                <w:lang w:eastAsia="zh-CN"/>
              </w:rPr>
              <w:t>年使用工件量为</w:t>
            </w:r>
            <w:r>
              <w:rPr>
                <w:rFonts w:ascii="Times New Roman" w:hAnsi="Times New Roman" w:cs="Times New Roman"/>
                <w:color w:val="auto"/>
                <w:sz w:val="24"/>
                <w:lang w:eastAsia="zh-CN"/>
              </w:rPr>
              <w:t>2510</w:t>
            </w:r>
            <w:r>
              <w:rPr>
                <w:rFonts w:ascii="Times New Roman" w:hAnsi="Times New Roman" w:eastAsia="宋体" w:cs="Times New Roman"/>
                <w:color w:val="auto"/>
                <w:sz w:val="24"/>
                <w:lang w:eastAsia="zh-CN"/>
              </w:rPr>
              <w:t>t/a。</w:t>
            </w:r>
          </w:p>
          <w:p w14:paraId="7332F7A6">
            <w:pPr>
              <w:pStyle w:val="47"/>
              <w:widowControl w:val="0"/>
              <w:kinsoku/>
              <w:autoSpaceDE/>
              <w:autoSpaceDN/>
              <w:adjustRightInd/>
              <w:snapToGrid/>
              <w:spacing w:line="360" w:lineRule="auto"/>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由此计算项目下料颗粒物产生总量为2.761t/a。项目采用先进激光切割设备，废气通过设备自带下吸式集气罩收集后经管道进入布袋除尘（TA001）处理后通过15m高排气筒排放（DA001），收集效率为95%，处理效率为95%，则有组织颗粒物产生量为0.132t/a，无组织排放量为0.138t/a。</w:t>
            </w:r>
          </w:p>
          <w:p w14:paraId="05537E70">
            <w:pPr>
              <w:kinsoku/>
              <w:autoSpaceDE/>
              <w:autoSpaceDN/>
              <w:adjustRightIn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风量计算：</w:t>
            </w:r>
          </w:p>
          <w:p w14:paraId="6F264E26">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根据《环境工程设计手册》（修订版），单个集气罩集气风量计算公式：</w:t>
            </w:r>
          </w:p>
          <w:p w14:paraId="2B91023D">
            <w:pPr>
              <w:widowControl w:val="0"/>
              <w:kinsoku/>
              <w:autoSpaceDE/>
              <w:autoSpaceDN/>
              <w:adjustRightInd/>
              <w:snapToGrid/>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750FB081">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75F3369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0E82A7F6">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w:t>
            </w:r>
            <w:r>
              <w:rPr>
                <w:rFonts w:ascii="Times New Roman" w:hAnsi="Times New Roman" w:cs="Times New Roman"/>
                <w:color w:val="auto"/>
                <w:sz w:val="24"/>
                <w:szCs w:val="24"/>
                <w:lang w:eastAsia="zh-CN"/>
              </w:rPr>
              <w:t>7</w:t>
            </w:r>
            <w:r>
              <w:rPr>
                <w:rFonts w:ascii="Times New Roman" w:hAnsi="Times New Roman" w:eastAsia="宋体" w:cs="Times New Roman"/>
                <w:color w:val="auto"/>
                <w:sz w:val="24"/>
                <w:szCs w:val="24"/>
                <w:lang w:eastAsia="zh-CN"/>
              </w:rPr>
              <w:t>m；</w:t>
            </w:r>
          </w:p>
          <w:p w14:paraId="45723F24">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ascii="Times New Roman" w:hAnsi="Times New Roman" w:cs="Times New Roman"/>
                <w:color w:val="auto"/>
                <w:sz w:val="24"/>
                <w:szCs w:val="24"/>
                <w:lang w:eastAsia="zh-CN"/>
              </w:rPr>
              <w:t>1</w:t>
            </w:r>
            <w:r>
              <w:rPr>
                <w:rFonts w:ascii="Times New Roman" w:hAnsi="Times New Roman" w:eastAsia="宋体" w:cs="Times New Roman"/>
                <w:color w:val="auto"/>
                <w:sz w:val="24"/>
                <w:szCs w:val="24"/>
                <w:lang w:eastAsia="zh-CN"/>
              </w:rPr>
              <w:t>m；</w:t>
            </w:r>
          </w:p>
          <w:p w14:paraId="4AED197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Vx：污染源气体流速，一般在0.5m/s~1.5m/s，按照《环境工程设计手册》中的有关公式，烟尘废气收集系统或设备的控制风速要在0.6m/s以上</w:t>
            </w:r>
            <w:r>
              <w:rPr>
                <w:rFonts w:ascii="Times New Roman" w:hAnsi="Times New Roman" w:cs="Times New Roman"/>
                <w:color w:val="auto"/>
                <w:sz w:val="24"/>
                <w:szCs w:val="24"/>
                <w:lang w:eastAsia="zh-CN"/>
              </w:rPr>
              <w:t>，</w:t>
            </w:r>
            <w:r>
              <w:rPr>
                <w:rFonts w:ascii="Times New Roman" w:hAnsi="Times New Roman" w:eastAsia="宋体" w:cs="Times New Roman"/>
                <w:color w:val="auto"/>
                <w:sz w:val="24"/>
                <w:szCs w:val="24"/>
                <w:lang w:eastAsia="zh-CN"/>
              </w:rPr>
              <w:t>本次评价取均值</w:t>
            </w:r>
            <w:r>
              <w:rPr>
                <w:rFonts w:ascii="Times New Roman" w:hAnsi="Times New Roman" w:cs="Times New Roman"/>
                <w:color w:val="auto"/>
                <w:sz w:val="24"/>
                <w:szCs w:val="24"/>
                <w:lang w:eastAsia="zh-CN"/>
              </w:rPr>
              <w:t>1.0</w:t>
            </w:r>
            <w:r>
              <w:rPr>
                <w:rFonts w:ascii="Times New Roman" w:hAnsi="Times New Roman" w:eastAsia="宋体" w:cs="Times New Roman"/>
                <w:color w:val="auto"/>
                <w:sz w:val="24"/>
                <w:szCs w:val="24"/>
                <w:lang w:eastAsia="zh-CN"/>
              </w:rPr>
              <w:t>m/s。</w:t>
            </w:r>
          </w:p>
          <w:p w14:paraId="04F634A9">
            <w:pPr>
              <w:widowControl w:val="0"/>
              <w:kinsoku/>
              <w:autoSpaceDE/>
              <w:autoSpaceDN/>
              <w:adjustRightInd/>
              <w:snapToGrid/>
              <w:spacing w:line="360" w:lineRule="auto"/>
              <w:ind w:firstLine="480" w:firstLineChars="200"/>
              <w:textAlignment w:val="auto"/>
              <w:rPr>
                <w:rFonts w:ascii="Times New Roman" w:hAnsi="Times New Roman" w:eastAsia="宋体" w:cs="Times New Roman"/>
                <w:b/>
                <w:bCs/>
                <w:color w:val="auto"/>
                <w:lang w:eastAsia="zh-CN"/>
              </w:rPr>
            </w:pPr>
            <w:r>
              <w:rPr>
                <w:rFonts w:ascii="Times New Roman" w:hAnsi="Times New Roman" w:eastAsia="宋体" w:cs="Times New Roman"/>
                <w:color w:val="auto"/>
                <w:sz w:val="24"/>
                <w:szCs w:val="24"/>
                <w:lang w:eastAsia="zh-CN"/>
              </w:rPr>
              <w:t>根据建设单位提供资料</w:t>
            </w:r>
            <w:r>
              <w:rPr>
                <w:rFonts w:ascii="Times New Roman" w:hAnsi="Times New Roman" w:cs="Times New Roman"/>
                <w:color w:val="auto"/>
                <w:sz w:val="24"/>
                <w:szCs w:val="24"/>
                <w:lang w:eastAsia="zh-CN"/>
              </w:rPr>
              <w:t>：</w:t>
            </w:r>
          </w:p>
          <w:p w14:paraId="744EEFBD">
            <w:pPr>
              <w:pStyle w:val="47"/>
              <w:widowControl w:val="0"/>
              <w:kinsoku/>
              <w:autoSpaceDE/>
              <w:autoSpaceDN/>
              <w:adjustRightInd/>
              <w:snapToGrid/>
              <w:spacing w:line="360" w:lineRule="auto"/>
              <w:textAlignment w:val="auto"/>
              <w:rPr>
                <w:rFonts w:ascii="Times New Roman" w:hAnsi="Times New Roman" w:eastAsia="宋体" w:cs="Times New Roman"/>
                <w:b/>
                <w:bCs/>
                <w:color w:val="auto"/>
                <w:lang w:eastAsia="zh-CN"/>
              </w:rPr>
            </w:pPr>
            <w:r>
              <w:rPr>
                <w:rFonts w:ascii="Times New Roman" w:hAnsi="Times New Roman" w:eastAsia="宋体" w:cs="Times New Roman"/>
                <w:color w:val="auto"/>
                <w:lang w:eastAsia="zh-CN"/>
              </w:rPr>
              <w:t>项目共设置1台激光下料机及1个集气罩，根据建设单位提供的资料，</w:t>
            </w:r>
            <w:r>
              <w:rPr>
                <w:rFonts w:ascii="Times New Roman" w:hAnsi="Times New Roman" w:eastAsia="宋体" w:cs="Times New Roman"/>
                <w:color w:val="auto"/>
                <w:szCs w:val="24"/>
                <w:lang w:eastAsia="zh-CN"/>
              </w:rPr>
              <w:t>排风罩口敞开面尺寸为2m×1.5m，则敞开面周长为7m，则风机风量不低于2116m</w:t>
            </w:r>
            <w:r>
              <w:rPr>
                <w:rFonts w:ascii="Times New Roman" w:hAnsi="Times New Roman" w:eastAsia="宋体" w:cs="Times New Roman"/>
                <w:color w:val="auto"/>
                <w:szCs w:val="24"/>
                <w:vertAlign w:val="superscript"/>
                <w:lang w:eastAsia="zh-CN"/>
              </w:rPr>
              <w:t>3</w:t>
            </w:r>
            <w:r>
              <w:rPr>
                <w:rFonts w:ascii="Times New Roman" w:hAnsi="Times New Roman" w:eastAsia="宋体" w:cs="Times New Roman"/>
                <w:color w:val="auto"/>
                <w:szCs w:val="24"/>
                <w:lang w:eastAsia="zh-CN"/>
              </w:rPr>
              <w:t>/h。</w:t>
            </w:r>
          </w:p>
          <w:p w14:paraId="13501648">
            <w:pPr>
              <w:pStyle w:val="47"/>
              <w:widowControl w:val="0"/>
              <w:kinsoku/>
              <w:autoSpaceDE/>
              <w:autoSpaceDN/>
              <w:adjustRightInd/>
              <w:snapToGrid/>
              <w:spacing w:line="360" w:lineRule="auto"/>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（2）焊接废气（颗粒物）</w:t>
            </w:r>
          </w:p>
          <w:p w14:paraId="02737BF0">
            <w:pPr>
              <w:pStyle w:val="47"/>
              <w:widowControl w:val="0"/>
              <w:kinsoku/>
              <w:autoSpaceDE/>
              <w:autoSpaceDN/>
              <w:adjustRightInd/>
              <w:snapToGrid/>
              <w:spacing w:line="360" w:lineRule="auto"/>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该项目在焊接过程中会产生焊接烟气，主要成分为焊接烟尘。该项目焊接方式分为氩弧焊、二氧化碳保护焊、埋弧焊等，年使用实芯焊丝10t/a。根据《排放源统计调查产排污核算方法和系数手册》中“09焊接-焊接件-实心焊丝-二氧化碳保护焊/埋弧焊/氩弧焊-中颗粒物产生系数为9.19kg/t原料”。</w:t>
            </w:r>
          </w:p>
          <w:p w14:paraId="23664702">
            <w:pPr>
              <w:pStyle w:val="47"/>
              <w:widowControl w:val="0"/>
              <w:kinsoku/>
              <w:autoSpaceDE/>
              <w:autoSpaceDN/>
              <w:adjustRightInd/>
              <w:snapToGrid/>
              <w:spacing w:line="360" w:lineRule="auto"/>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由此计算项目颗粒物产生量为0.092t/a，项目焊接烟尘通过集气罩+布袋除尘器（TA001）收集处理后通过15m排气筒排放（DA001），收集效率为90%，处理效率为95%，则焊接烟尘有组织排放量为0.004t/a，无组织排放量为0.009t/a。</w:t>
            </w:r>
          </w:p>
          <w:p w14:paraId="25BEE0A3">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风量计算：</w:t>
            </w:r>
          </w:p>
          <w:p w14:paraId="26BC8D95">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根据《环境工程设计手册》（修订版），单个集气罩集气风量计算公式：</w:t>
            </w:r>
          </w:p>
          <w:p w14:paraId="2A9041BB">
            <w:pPr>
              <w:widowControl w:val="0"/>
              <w:kinsoku/>
              <w:autoSpaceDE/>
              <w:autoSpaceDN/>
              <w:adjustRightInd/>
              <w:snapToGrid/>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7B366A0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718EE9EE">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12B149AC">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P——排风罩口敞开面的周长，单位为m；</w:t>
            </w:r>
          </w:p>
          <w:p w14:paraId="366408D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ascii="Times New Roman" w:hAnsi="Times New Roman" w:cs="Times New Roman"/>
                <w:color w:val="auto"/>
                <w:sz w:val="24"/>
                <w:szCs w:val="24"/>
                <w:lang w:eastAsia="zh-CN"/>
              </w:rPr>
              <w:t>3</w:t>
            </w:r>
            <w:r>
              <w:rPr>
                <w:rFonts w:ascii="Times New Roman" w:hAnsi="Times New Roman" w:eastAsia="宋体" w:cs="Times New Roman"/>
                <w:color w:val="auto"/>
                <w:sz w:val="24"/>
                <w:szCs w:val="24"/>
                <w:lang w:eastAsia="zh-CN"/>
              </w:rPr>
              <w:t>m；</w:t>
            </w:r>
          </w:p>
          <w:p w14:paraId="36B463F8">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Vx：污染源气体流速，一般在0.5m/s~1.5m/s，按照《环境工程设计手册》中的有关公式，烟尘废气收集系统或设备的控制风速要在0.6m/s以上，本次评价取均值</w:t>
            </w:r>
            <w:r>
              <w:rPr>
                <w:rFonts w:ascii="Times New Roman" w:hAnsi="Times New Roman" w:cs="Times New Roman"/>
                <w:color w:val="auto"/>
                <w:sz w:val="24"/>
                <w:szCs w:val="24"/>
                <w:lang w:eastAsia="zh-CN"/>
              </w:rPr>
              <w:t>1.0</w:t>
            </w:r>
            <w:r>
              <w:rPr>
                <w:rFonts w:ascii="Times New Roman" w:hAnsi="Times New Roman" w:eastAsia="宋体" w:cs="Times New Roman"/>
                <w:color w:val="auto"/>
                <w:sz w:val="24"/>
                <w:szCs w:val="24"/>
                <w:lang w:eastAsia="zh-CN"/>
              </w:rPr>
              <w:t>m/s。</w:t>
            </w:r>
          </w:p>
          <w:p w14:paraId="416BF39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根据建设单位提供资料，焊接固定6个工位，采用柔性软管集气罩收集经布袋除尘器处理，排风罩口敞开面</w:t>
            </w:r>
            <w:r>
              <w:rPr>
                <w:rFonts w:ascii="Times New Roman" w:hAnsi="Times New Roman" w:cs="Times New Roman"/>
                <w:color w:val="auto"/>
                <w:sz w:val="24"/>
                <w:szCs w:val="24"/>
                <w:lang w:eastAsia="zh-CN"/>
              </w:rPr>
              <w:t>尺寸为0.05m</w:t>
            </w:r>
            <w:r>
              <w:rPr>
                <w:rFonts w:ascii="Times New Roman" w:hAnsi="Times New Roman" w:eastAsia="宋体" w:cs="Times New Roman"/>
                <w:color w:val="auto"/>
                <w:sz w:val="24"/>
                <w:szCs w:val="24"/>
                <w:lang w:eastAsia="zh-CN"/>
              </w:rPr>
              <w:t>×0.05m的圆形，则周长</w:t>
            </w:r>
            <w:r>
              <w:rPr>
                <w:rFonts w:ascii="Times New Roman" w:hAnsi="Times New Roman" w:cs="Times New Roman"/>
                <w:color w:val="auto"/>
                <w:sz w:val="24"/>
                <w:szCs w:val="24"/>
                <w:lang w:eastAsia="zh-CN"/>
              </w:rPr>
              <w:t>约为0.314</w:t>
            </w:r>
            <w:r>
              <w:rPr>
                <w:rFonts w:ascii="Times New Roman" w:hAnsi="Times New Roman" w:eastAsia="宋体" w:cs="Times New Roman"/>
                <w:color w:val="auto"/>
                <w:sz w:val="24"/>
                <w:szCs w:val="24"/>
                <w:lang w:eastAsia="zh-CN"/>
              </w:rPr>
              <w:t>m，经计算本项目设置的单个集气罩集气风量最低为</w:t>
            </w:r>
            <w:r>
              <w:rPr>
                <w:rFonts w:ascii="Times New Roman" w:hAnsi="Times New Roman" w:cs="Times New Roman"/>
                <w:color w:val="auto"/>
                <w:sz w:val="24"/>
                <w:szCs w:val="24"/>
                <w:lang w:eastAsia="zh-CN"/>
              </w:rPr>
              <w:t>475</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/h，风机总设计风量为</w:t>
            </w:r>
            <w:r>
              <w:rPr>
                <w:rFonts w:ascii="Times New Roman" w:hAnsi="Times New Roman" w:cs="Times New Roman"/>
                <w:color w:val="auto"/>
                <w:sz w:val="24"/>
                <w:szCs w:val="24"/>
                <w:lang w:eastAsia="zh-CN"/>
              </w:rPr>
              <w:t>2850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656CC12B">
            <w:pPr>
              <w:pStyle w:val="13"/>
              <w:widowControl w:val="0"/>
              <w:numPr>
                <w:ilvl w:val="0"/>
                <w:numId w:val="0"/>
              </w:num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（3）</w:t>
            </w:r>
            <w:r>
              <w:rPr>
                <w:rFonts w:ascii="Times New Roman" w:hAnsi="Times New Roman" w:cs="Times New Roman"/>
                <w:color w:val="auto"/>
                <w:sz w:val="24"/>
                <w:lang w:eastAsia="zh-CN"/>
              </w:rPr>
              <w:t>抛光</w:t>
            </w:r>
            <w:r>
              <w:rPr>
                <w:rFonts w:ascii="Times New Roman" w:hAnsi="Times New Roman" w:eastAsia="宋体" w:cs="Times New Roman"/>
                <w:color w:val="auto"/>
                <w:sz w:val="24"/>
                <w:lang w:eastAsia="zh-CN"/>
              </w:rPr>
              <w:t>废气（颗粒物）</w:t>
            </w:r>
          </w:p>
          <w:p w14:paraId="183B7C3E">
            <w:pPr>
              <w:pStyle w:val="13"/>
              <w:widowControl w:val="0"/>
              <w:numPr>
                <w:ilvl w:val="0"/>
                <w:numId w:val="0"/>
              </w:numPr>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lang w:eastAsia="zh-CN"/>
              </w:rPr>
            </w:pPr>
            <w:r>
              <w:rPr>
                <w:rFonts w:ascii="Times New Roman" w:hAnsi="Times New Roman" w:cs="Times New Roman"/>
                <w:color w:val="auto"/>
                <w:sz w:val="24"/>
                <w:lang w:eastAsia="zh-CN"/>
              </w:rPr>
              <w:t>经焊接后的工件，采用抛光处理，抛光产生的打磨粉尘粒径、质量较小。根据《</w:t>
            </w:r>
            <w:r>
              <w:rPr>
                <w:rFonts w:ascii="Times New Roman" w:hAnsi="Times New Roman" w:eastAsia="宋体" w:cs="Times New Roman"/>
                <w:color w:val="auto"/>
                <w:sz w:val="24"/>
                <w:lang w:eastAsia="zh-CN"/>
              </w:rPr>
              <w:t>排放源统计调查产排污核算方法和系数手册》中“33-37、43机械行业系数手册”预处理环节“打磨、抛光”工序中颗粒物产污系数为2.19kg/吨</w:t>
            </w:r>
            <w:r>
              <w:rPr>
                <w:rFonts w:ascii="Times New Roman" w:hAnsi="Times New Roman" w:cs="Times New Roman"/>
                <w:color w:val="auto"/>
                <w:sz w:val="24"/>
                <w:lang w:eastAsia="zh-CN"/>
              </w:rPr>
              <w:t>-</w:t>
            </w:r>
            <w:r>
              <w:rPr>
                <w:rFonts w:ascii="Times New Roman" w:hAnsi="Times New Roman" w:eastAsia="宋体" w:cs="Times New Roman"/>
                <w:color w:val="auto"/>
                <w:sz w:val="24"/>
                <w:lang w:eastAsia="zh-CN"/>
              </w:rPr>
              <w:t>原料。根据业主提供的资料，本项目抛光量为2210t/a，则项目粉尘产生量约为4.84t/a，抛光设置固定工位，在抛光机上方和侧面设置集气罩对抛光粉尘进行收集，收集后的粉尘通过管道经布袋除尘器（TA001）处理后通过15m高排气筒排放（DA00</w:t>
            </w:r>
            <w:r>
              <w:rPr>
                <w:rFonts w:ascii="Times New Roman" w:hAnsi="Times New Roman" w:cs="Times New Roman"/>
                <w:color w:val="auto"/>
                <w:sz w:val="24"/>
                <w:lang w:eastAsia="zh-CN"/>
              </w:rPr>
              <w:t>1</w:t>
            </w:r>
            <w:r>
              <w:rPr>
                <w:rFonts w:ascii="Times New Roman" w:hAnsi="Times New Roman" w:eastAsia="宋体" w:cs="Times New Roman"/>
                <w:color w:val="auto"/>
                <w:sz w:val="24"/>
                <w:lang w:eastAsia="zh-CN"/>
              </w:rPr>
              <w:t>），收集效率为90%，处理效率为95%，则打磨/抛光有组织排放量为0.218t/a，无组织排放量为0.484t/a。</w:t>
            </w:r>
          </w:p>
          <w:p w14:paraId="3D1A2666">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风量计算：</w:t>
            </w:r>
          </w:p>
          <w:p w14:paraId="2F3FE2A9">
            <w:pPr>
              <w:widowControl w:val="0"/>
              <w:kinsoku/>
              <w:autoSpaceDE/>
              <w:autoSpaceDN/>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根据《环境工程设计手册》（修订版），单个集气罩集气风量计算公式：</w:t>
            </w:r>
          </w:p>
          <w:p w14:paraId="40E72B6F">
            <w:pPr>
              <w:widowControl w:val="0"/>
              <w:kinsoku/>
              <w:autoSpaceDE/>
              <w:autoSpaceDN/>
              <w:spacing w:line="360" w:lineRule="auto"/>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L=kPHVx</w:t>
            </w:r>
          </w:p>
          <w:p w14:paraId="7F7A2A72">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式中：L——为集气罩集气风量，单位为m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0CBB518D">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K——为安全系数1.4；</w:t>
            </w:r>
          </w:p>
          <w:p w14:paraId="093444B3">
            <w:pPr>
              <w:widowControl w:val="0"/>
              <w:kinsoku/>
              <w:autoSpaceDE/>
              <w:autoSpaceDN/>
              <w:adjustRightInd/>
              <w:snapToGrid/>
              <w:spacing w:line="360" w:lineRule="auto"/>
              <w:ind w:firstLine="1200" w:firstLineChars="5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P——排风罩口敞开面的周长，单位为m；</w:t>
            </w:r>
          </w:p>
          <w:p w14:paraId="353C3C87">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H——为罩口至污染源的距离，单位为m，本次取0.</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lang w:eastAsia="zh-CN"/>
              </w:rPr>
              <w:t>m；</w:t>
            </w:r>
          </w:p>
          <w:p w14:paraId="62EAD50B">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 xml:space="preserve">      Vx：污染源气体流速，一般在0.5m/s~1.5m/s，按照《环境工程设计手册》中的有关公式，烟尘废气收集系统或设备的控制风速要在0.6m/s以上，本次评价取均值</w:t>
            </w:r>
            <w:r>
              <w:rPr>
                <w:rFonts w:ascii="Times New Roman" w:hAnsi="Times New Roman" w:cs="Times New Roman"/>
                <w:color w:val="auto"/>
                <w:sz w:val="24"/>
                <w:szCs w:val="24"/>
                <w:lang w:eastAsia="zh-CN"/>
              </w:rPr>
              <w:t>1.0</w:t>
            </w:r>
            <w:r>
              <w:rPr>
                <w:rFonts w:ascii="Times New Roman" w:hAnsi="Times New Roman" w:eastAsia="宋体" w:cs="Times New Roman"/>
                <w:color w:val="auto"/>
                <w:sz w:val="24"/>
                <w:szCs w:val="24"/>
                <w:lang w:eastAsia="zh-CN"/>
              </w:rPr>
              <w:t>m/s。</w:t>
            </w:r>
          </w:p>
          <w:p w14:paraId="65FBE43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根据建设单位提供资料，抛光</w:t>
            </w:r>
            <w:r>
              <w:rPr>
                <w:rFonts w:hint="eastAsia" w:ascii="Times New Roman" w:hAnsi="Times New Roman" w:eastAsia="宋体" w:cs="Times New Roman"/>
                <w:color w:val="auto"/>
                <w:sz w:val="24"/>
                <w:szCs w:val="24"/>
                <w:lang w:val="en-US" w:eastAsia="zh-CN"/>
              </w:rPr>
              <w:t>设置</w:t>
            </w:r>
            <w:r>
              <w:rPr>
                <w:rFonts w:ascii="Times New Roman" w:hAnsi="Times New Roman" w:eastAsia="宋体" w:cs="Times New Roman"/>
                <w:color w:val="auto"/>
                <w:sz w:val="24"/>
                <w:szCs w:val="24"/>
                <w:lang w:eastAsia="zh-CN"/>
              </w:rPr>
              <w:t>固定8个工位，采用柔性软管集气罩由布袋除尘器处理，排风罩口敞开面</w:t>
            </w:r>
            <w:r>
              <w:rPr>
                <w:rFonts w:hint="eastAsia" w:ascii="Times New Roman" w:hAnsi="Times New Roman" w:eastAsia="宋体" w:cs="Times New Roman"/>
                <w:color w:val="auto"/>
                <w:sz w:val="24"/>
                <w:szCs w:val="24"/>
                <w:lang w:val="en-US" w:eastAsia="zh-CN"/>
              </w:rPr>
              <w:t>直径为0.4m</w:t>
            </w:r>
            <w:r>
              <w:rPr>
                <w:rFonts w:ascii="Times New Roman" w:hAnsi="Times New Roman" w:cs="Times New Roman"/>
                <w:color w:val="auto"/>
                <w:sz w:val="24"/>
                <w:szCs w:val="24"/>
                <w:lang w:eastAsia="zh-CN"/>
              </w:rPr>
              <w:t>圆形集气罩，</w:t>
            </w:r>
            <w:r>
              <w:rPr>
                <w:rFonts w:ascii="Times New Roman" w:hAnsi="Times New Roman" w:eastAsia="宋体" w:cs="Times New Roman"/>
                <w:color w:val="auto"/>
                <w:sz w:val="24"/>
                <w:szCs w:val="24"/>
                <w:lang w:eastAsia="zh-CN"/>
              </w:rPr>
              <w:t>周长</w:t>
            </w:r>
            <w:r>
              <w:rPr>
                <w:rFonts w:ascii="Times New Roman" w:hAnsi="Times New Roman" w:cs="Times New Roman"/>
                <w:color w:val="auto"/>
                <w:sz w:val="24"/>
                <w:szCs w:val="24"/>
                <w:lang w:eastAsia="zh-CN"/>
              </w:rPr>
              <w:t>约</w:t>
            </w:r>
            <w:r>
              <w:rPr>
                <w:rFonts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val="en-US" w:eastAsia="zh-CN"/>
              </w:rPr>
              <w:t>1.25</w:t>
            </w:r>
            <w:r>
              <w:rPr>
                <w:rFonts w:ascii="Times New Roman" w:hAnsi="Times New Roman" w:eastAsia="宋体" w:cs="Times New Roman"/>
                <w:color w:val="auto"/>
                <w:sz w:val="24"/>
                <w:szCs w:val="24"/>
                <w:lang w:eastAsia="zh-CN"/>
              </w:rPr>
              <w:t>m，经计算本项目设置的单个集气罩集气风量最低为</w:t>
            </w:r>
            <w:r>
              <w:rPr>
                <w:rFonts w:hint="eastAsia" w:ascii="Times New Roman" w:hAnsi="Times New Roman" w:cs="Times New Roman"/>
                <w:color w:val="auto"/>
                <w:sz w:val="24"/>
                <w:szCs w:val="24"/>
                <w:lang w:val="en-US" w:eastAsia="zh-CN"/>
              </w:rPr>
              <w:t>1260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/h，风机总设计风量为</w:t>
            </w:r>
            <w:r>
              <w:rPr>
                <w:rFonts w:hint="eastAsia" w:ascii="Times New Roman" w:hAnsi="Times New Roman" w:cs="Times New Roman"/>
                <w:color w:val="auto"/>
                <w:sz w:val="24"/>
                <w:szCs w:val="24"/>
                <w:lang w:val="en-US" w:eastAsia="zh-CN"/>
              </w:rPr>
              <w:t>10080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w:t>
            </w:r>
          </w:p>
          <w:p w14:paraId="0B6E9D99">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综上，项目下料、焊接、抛光均有集气罩收集后通过一套布袋除尘器处理后由一根15m高排气筒排放（DA001），由以上计算所需风机总风量为</w:t>
            </w:r>
            <w:r>
              <w:rPr>
                <w:rFonts w:hint="eastAsia" w:ascii="Times New Roman" w:hAnsi="Times New Roman" w:cs="Times New Roman"/>
                <w:color w:val="auto"/>
                <w:sz w:val="24"/>
                <w:szCs w:val="24"/>
                <w:lang w:val="en-US" w:eastAsia="zh-CN"/>
              </w:rPr>
              <w:t>15046</w:t>
            </w:r>
            <w:r>
              <w:rPr>
                <w:rFonts w:ascii="Times New Roman" w:hAnsi="Times New Roman" w:cs="Times New Roman"/>
                <w:color w:val="auto"/>
                <w:sz w:val="24"/>
                <w:szCs w:val="24"/>
                <w:lang w:eastAsia="zh-CN"/>
              </w:rPr>
              <w:t>m³/h，考虑到风阻，则风机总风量为</w:t>
            </w:r>
            <w:r>
              <w:rPr>
                <w:rFonts w:hint="eastAsia" w:ascii="Times New Roman" w:hAnsi="Times New Roman" w:cs="Times New Roman"/>
                <w:color w:val="auto"/>
                <w:sz w:val="24"/>
                <w:szCs w:val="24"/>
                <w:lang w:val="en-US" w:eastAsia="zh-CN"/>
              </w:rPr>
              <w:t>17000</w:t>
            </w:r>
            <w:r>
              <w:rPr>
                <w:rFonts w:ascii="Times New Roman" w:hAnsi="Times New Roman" w:cs="Times New Roman"/>
                <w:color w:val="auto"/>
                <w:sz w:val="24"/>
                <w:szCs w:val="24"/>
                <w:lang w:eastAsia="zh-CN"/>
              </w:rPr>
              <w:t>m³/h。</w:t>
            </w:r>
          </w:p>
          <w:p w14:paraId="2DA0AFFB">
            <w:pPr>
              <w:pStyle w:val="13"/>
              <w:numPr>
                <w:ilvl w:val="0"/>
                <w:numId w:val="0"/>
              </w:numPr>
              <w:kinsoku/>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（3）喷塑废气（颗粒物）</w:t>
            </w:r>
          </w:p>
          <w:p w14:paraId="088BE8E8">
            <w:pPr>
              <w:pStyle w:val="27"/>
              <w:keepNext w:val="0"/>
              <w:keepLines w:val="0"/>
              <w:pageBreakBefore w:val="0"/>
              <w:widowControl/>
              <w:numPr>
                <w:ilvl w:val="1"/>
                <w:numId w:val="0"/>
              </w:numPr>
              <w:kinsoku w:val="0"/>
              <w:wordWrap/>
              <w:overflowPunct/>
              <w:topLinePunct w:val="0"/>
              <w:autoSpaceDE w:val="0"/>
              <w:autoSpaceDN w:val="0"/>
              <w:bidi w:val="0"/>
              <w:adjustRightInd/>
              <w:snapToGrid/>
              <w:spacing w:line="360" w:lineRule="auto"/>
              <w:ind w:firstLine="440" w:firstLineChars="200"/>
              <w:jc w:val="both"/>
              <w:textAlignment w:val="baseline"/>
              <w:rPr>
                <w:rFonts w:ascii="Times New Roman" w:hAnsi="Times New Roman"/>
                <w:color w:val="auto"/>
                <w:kern w:val="24"/>
                <w:szCs w:val="20"/>
              </w:rPr>
            </w:pPr>
            <w:r>
              <w:rPr>
                <w:rFonts w:ascii="Times New Roman" w:hAnsi="Times New Roman"/>
                <w:bCs/>
                <w:color w:val="auto"/>
                <w:spacing w:val="-10"/>
              </w:rPr>
              <w:t>根据前文塑粉用量核算和</w:t>
            </w:r>
            <w:r>
              <w:rPr>
                <w:rFonts w:ascii="Times New Roman" w:hAnsi="Times New Roman"/>
                <w:color w:val="auto"/>
                <w:kern w:val="24"/>
                <w:szCs w:val="20"/>
              </w:rPr>
              <w:t>建设单位提供的资料，项目塑粉使用量为35.07t/a。根据《排放源统计调查产排污核算方法和系数手册》（环境部公告2021年24号）33金属制品业行业系数手册中表14涂装系数表相关参数可知，涂装件喷塑工序产污系数为300千克/吨-原料，因此本项目喷塑粉尘产生量为35.07×300/10</w:t>
            </w:r>
            <w:r>
              <w:rPr>
                <w:rFonts w:ascii="Times New Roman" w:hAnsi="Times New Roman"/>
                <w:color w:val="auto"/>
                <w:kern w:val="24"/>
                <w:szCs w:val="20"/>
                <w:vertAlign w:val="superscript"/>
              </w:rPr>
              <w:t>-3</w:t>
            </w:r>
            <w:r>
              <w:rPr>
                <w:rFonts w:ascii="Times New Roman" w:hAnsi="Times New Roman"/>
                <w:color w:val="auto"/>
                <w:kern w:val="24"/>
                <w:szCs w:val="20"/>
              </w:rPr>
              <w:t>=10.521t/a。本项目喷塑房内安装的集气系统，废气经密闭收集+滤芯除尘+布袋除尘器</w:t>
            </w:r>
            <w:r>
              <w:rPr>
                <w:rFonts w:ascii="Times New Roman" w:hAnsi="Times New Roman"/>
                <w:color w:val="auto"/>
              </w:rPr>
              <w:t>（TA003）处理后由15m高排气筒排放（DA003），收集</w:t>
            </w:r>
            <w:r>
              <w:rPr>
                <w:rFonts w:ascii="Times New Roman" w:hAnsi="Times New Roman"/>
                <w:color w:val="auto"/>
                <w:kern w:val="24"/>
                <w:szCs w:val="20"/>
              </w:rPr>
              <w:t>效率95%，处理效率达99%，收集后粉尘回用于生产中，则粉尘有组织排放量为0.1t/a，无组织排放量为0.526t/a。</w:t>
            </w:r>
          </w:p>
          <w:p w14:paraId="7A72D303">
            <w:pPr>
              <w:kinsoku/>
              <w:autoSpaceDE/>
              <w:autoSpaceDN/>
              <w:adjustRightInd/>
              <w:snapToGrid/>
              <w:spacing w:line="360" w:lineRule="auto"/>
              <w:ind w:firstLine="480" w:firstLineChars="200"/>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风量计算：</w:t>
            </w:r>
          </w:p>
          <w:p w14:paraId="221605EA">
            <w:pPr>
              <w:widowControl w:val="0"/>
              <w:kinsoku/>
              <w:autoSpaceDE/>
              <w:autoSpaceDN/>
              <w:adjustRightInd/>
              <w:snapToGrid/>
              <w:spacing w:line="360" w:lineRule="auto"/>
              <w:ind w:firstLine="480" w:firstLineChars="200"/>
              <w:textAlignment w:val="auto"/>
              <w:rPr>
                <w:rFonts w:ascii="Times New Roman" w:hAnsi="Times New Roman" w:cs="Times New Roman"/>
                <w:color w:val="auto"/>
                <w:kern w:val="2"/>
                <w:sz w:val="24"/>
                <w:szCs w:val="24"/>
                <w:lang w:eastAsia="zh-CN"/>
              </w:rPr>
            </w:pPr>
            <w:r>
              <w:rPr>
                <w:rFonts w:ascii="Times New Roman" w:hAnsi="Times New Roman" w:cs="Times New Roman"/>
                <w:color w:val="auto"/>
                <w:kern w:val="2"/>
                <w:sz w:val="24"/>
                <w:szCs w:val="24"/>
                <w:lang w:eastAsia="zh-CN"/>
              </w:rPr>
              <w:t>项目喷塑房尺寸L</w:t>
            </w:r>
            <w:r>
              <w:rPr>
                <w:rFonts w:hint="eastAsia" w:ascii="Times New Roman" w:hAnsi="Times New Roman" w:cs="Times New Roman"/>
                <w:color w:val="auto"/>
                <w:kern w:val="2"/>
                <w:sz w:val="24"/>
                <w:szCs w:val="24"/>
                <w:lang w:eastAsia="zh-CN"/>
              </w:rPr>
              <w:t>6</w:t>
            </w:r>
            <w:r>
              <w:rPr>
                <w:rFonts w:ascii="Times New Roman" w:hAnsi="Times New Roman" w:cs="Times New Roman"/>
                <w:color w:val="auto"/>
                <w:kern w:val="2"/>
                <w:sz w:val="24"/>
                <w:szCs w:val="24"/>
                <w:lang w:eastAsia="zh-CN"/>
              </w:rPr>
              <w:t>×W</w:t>
            </w:r>
            <w:r>
              <w:rPr>
                <w:rFonts w:hint="eastAsia" w:ascii="Times New Roman" w:hAnsi="Times New Roman" w:cs="Times New Roman"/>
                <w:color w:val="auto"/>
                <w:kern w:val="2"/>
                <w:sz w:val="24"/>
                <w:szCs w:val="24"/>
                <w:lang w:eastAsia="zh-CN"/>
              </w:rPr>
              <w:t>3.8</w:t>
            </w:r>
            <w:r>
              <w:rPr>
                <w:rFonts w:ascii="Times New Roman" w:hAnsi="Times New Roman" w:cs="Times New Roman"/>
                <w:color w:val="auto"/>
                <w:kern w:val="2"/>
                <w:sz w:val="24"/>
                <w:szCs w:val="24"/>
                <w:lang w:eastAsia="zh-CN"/>
              </w:rPr>
              <w:t>×H</w:t>
            </w:r>
            <w:r>
              <w:rPr>
                <w:rFonts w:hint="eastAsia" w:ascii="Times New Roman" w:hAnsi="Times New Roman" w:cs="Times New Roman"/>
                <w:color w:val="auto"/>
                <w:kern w:val="2"/>
                <w:sz w:val="24"/>
                <w:szCs w:val="24"/>
                <w:lang w:eastAsia="zh-CN"/>
              </w:rPr>
              <w:t>2.8</w:t>
            </w:r>
            <w:r>
              <w:rPr>
                <w:rFonts w:ascii="Times New Roman" w:hAnsi="Times New Roman" w:cs="Times New Roman"/>
                <w:color w:val="auto"/>
                <w:kern w:val="2"/>
                <w:sz w:val="24"/>
                <w:szCs w:val="24"/>
                <w:lang w:eastAsia="zh-CN"/>
              </w:rPr>
              <w:t>(m)，1小时换气20次，则风量为</w:t>
            </w:r>
            <w:r>
              <w:rPr>
                <w:rFonts w:hint="eastAsia" w:ascii="Times New Roman" w:hAnsi="Times New Roman" w:cs="Times New Roman"/>
                <w:color w:val="auto"/>
                <w:kern w:val="2"/>
                <w:sz w:val="24"/>
                <w:szCs w:val="24"/>
                <w:lang w:eastAsia="zh-CN"/>
              </w:rPr>
              <w:t>1915</w:t>
            </w:r>
            <w:r>
              <w:rPr>
                <w:rFonts w:ascii="Times New Roman" w:hAnsi="Times New Roman" w:cs="Times New Roman"/>
                <w:color w:val="auto"/>
                <w:kern w:val="2"/>
                <w:sz w:val="24"/>
                <w:szCs w:val="24"/>
                <w:lang w:eastAsia="zh-CN"/>
              </w:rPr>
              <w:t>m</w:t>
            </w:r>
            <w:r>
              <w:rPr>
                <w:rFonts w:ascii="Times New Roman" w:hAnsi="Times New Roman" w:cs="Times New Roman"/>
                <w:color w:val="auto"/>
                <w:kern w:val="2"/>
                <w:sz w:val="24"/>
                <w:szCs w:val="24"/>
                <w:vertAlign w:val="superscript"/>
                <w:lang w:eastAsia="zh-CN"/>
              </w:rPr>
              <w:t>3</w:t>
            </w:r>
            <w:r>
              <w:rPr>
                <w:rFonts w:ascii="Times New Roman" w:hAnsi="Times New Roman" w:cs="Times New Roman"/>
                <w:color w:val="auto"/>
                <w:kern w:val="2"/>
                <w:sz w:val="24"/>
                <w:szCs w:val="24"/>
                <w:lang w:eastAsia="zh-CN"/>
              </w:rPr>
              <w:t>/h，考虑管道损耗，则风机风量为</w:t>
            </w:r>
            <w:r>
              <w:rPr>
                <w:rFonts w:hint="eastAsia" w:ascii="Times New Roman" w:hAnsi="Times New Roman" w:cs="Times New Roman"/>
                <w:color w:val="auto"/>
                <w:kern w:val="2"/>
                <w:sz w:val="24"/>
                <w:szCs w:val="24"/>
                <w:lang w:eastAsia="zh-CN"/>
              </w:rPr>
              <w:t>3000</w:t>
            </w:r>
            <w:r>
              <w:rPr>
                <w:rFonts w:ascii="Times New Roman" w:hAnsi="Times New Roman" w:cs="Times New Roman"/>
                <w:color w:val="auto"/>
                <w:kern w:val="2"/>
                <w:sz w:val="24"/>
                <w:szCs w:val="24"/>
                <w:lang w:eastAsia="zh-CN"/>
              </w:rPr>
              <w:t>m</w:t>
            </w:r>
            <w:r>
              <w:rPr>
                <w:rFonts w:ascii="Times New Roman" w:hAnsi="Times New Roman" w:cs="Times New Roman"/>
                <w:color w:val="auto"/>
                <w:kern w:val="2"/>
                <w:sz w:val="24"/>
                <w:szCs w:val="24"/>
                <w:vertAlign w:val="superscript"/>
                <w:lang w:eastAsia="zh-CN"/>
              </w:rPr>
              <w:t>3</w:t>
            </w:r>
            <w:r>
              <w:rPr>
                <w:rFonts w:ascii="Times New Roman" w:hAnsi="Times New Roman" w:cs="Times New Roman"/>
                <w:color w:val="auto"/>
                <w:kern w:val="2"/>
                <w:sz w:val="24"/>
                <w:szCs w:val="24"/>
                <w:lang w:eastAsia="zh-CN"/>
              </w:rPr>
              <w:t>/h。</w:t>
            </w:r>
          </w:p>
          <w:p w14:paraId="41EDA42B">
            <w:pPr>
              <w:widowControl w:val="0"/>
              <w:kinsoku/>
              <w:autoSpaceDE/>
              <w:autoSpaceDN/>
              <w:adjustRightInd/>
              <w:snapToGrid/>
              <w:spacing w:line="360" w:lineRule="auto"/>
              <w:ind w:firstLine="480" w:firstLineChars="200"/>
              <w:textAlignment w:val="auto"/>
              <w:rPr>
                <w:rFonts w:ascii="Times New Roman" w:hAnsi="Times New Roman" w:cs="Times New Roman"/>
                <w:color w:val="auto"/>
                <w:kern w:val="2"/>
                <w:sz w:val="24"/>
                <w:szCs w:val="24"/>
                <w:lang w:eastAsia="zh-CN"/>
              </w:rPr>
            </w:pPr>
            <w:r>
              <w:rPr>
                <w:rFonts w:ascii="Times New Roman" w:hAnsi="Times New Roman" w:cs="Times New Roman"/>
                <w:color w:val="auto"/>
                <w:kern w:val="2"/>
                <w:sz w:val="24"/>
                <w:szCs w:val="24"/>
                <w:lang w:eastAsia="zh-CN"/>
              </w:rPr>
              <w:t>根据企业以往生产经验，项目年喷塑时间约为1800h，经计算得出，排放速率为0.05</w:t>
            </w:r>
            <w:r>
              <w:rPr>
                <w:rFonts w:hint="eastAsia" w:ascii="Times New Roman" w:hAnsi="Times New Roman" w:cs="Times New Roman"/>
                <w:color w:val="auto"/>
                <w:kern w:val="2"/>
                <w:sz w:val="24"/>
                <w:szCs w:val="24"/>
                <w:lang w:eastAsia="zh-CN"/>
              </w:rPr>
              <w:t>6</w:t>
            </w:r>
            <w:r>
              <w:rPr>
                <w:rFonts w:ascii="Times New Roman" w:hAnsi="Times New Roman" w:cs="Times New Roman"/>
                <w:color w:val="auto"/>
                <w:kern w:val="2"/>
                <w:sz w:val="24"/>
                <w:szCs w:val="24"/>
                <w:lang w:eastAsia="zh-CN"/>
              </w:rPr>
              <w:t>kg/h，排放浓度为</w:t>
            </w:r>
            <w:r>
              <w:rPr>
                <w:rFonts w:hint="eastAsia" w:ascii="Times New Roman" w:hAnsi="Times New Roman" w:cs="Times New Roman"/>
                <w:color w:val="auto"/>
                <w:kern w:val="2"/>
                <w:sz w:val="24"/>
                <w:szCs w:val="24"/>
                <w:lang w:eastAsia="zh-CN"/>
              </w:rPr>
              <w:t>18.67</w:t>
            </w:r>
            <w:r>
              <w:rPr>
                <w:rFonts w:ascii="Times New Roman" w:hAnsi="Times New Roman" w:cs="Times New Roman"/>
                <w:color w:val="auto"/>
                <w:kern w:val="2"/>
                <w:sz w:val="24"/>
                <w:szCs w:val="24"/>
                <w:lang w:eastAsia="zh-CN"/>
              </w:rPr>
              <w:t>mg/m³。</w:t>
            </w:r>
          </w:p>
          <w:p w14:paraId="54BFEE5F">
            <w:pPr>
              <w:widowControl w:val="0"/>
              <w:kinsoku/>
              <w:autoSpaceDE/>
              <w:autoSpaceDN/>
              <w:adjustRightInd/>
              <w:snapToGrid/>
              <w:spacing w:line="360" w:lineRule="auto"/>
              <w:ind w:left="479" w:leftChars="228"/>
              <w:textAlignment w:val="auto"/>
              <w:rPr>
                <w:rFonts w:ascii="Times New Roman" w:hAnsi="Times New Roman" w:cs="Times New Roman"/>
                <w:color w:val="auto"/>
                <w:sz w:val="24"/>
                <w:szCs w:val="24"/>
              </w:rPr>
            </w:pPr>
            <w:r>
              <w:rPr>
                <w:rFonts w:ascii="Times New Roman" w:hAnsi="Times New Roman" w:eastAsia="宋体" w:cs="Times New Roman"/>
                <w:color w:val="auto"/>
                <w:kern w:val="24"/>
                <w:sz w:val="24"/>
                <w:szCs w:val="20"/>
                <w:lang w:eastAsia="zh-CN"/>
              </w:rPr>
              <w:t>（</w:t>
            </w:r>
            <w:r>
              <w:rPr>
                <w:rFonts w:ascii="Times New Roman" w:hAnsi="Times New Roman" w:cs="Times New Roman"/>
                <w:color w:val="auto"/>
                <w:kern w:val="24"/>
                <w:sz w:val="24"/>
                <w:szCs w:val="20"/>
                <w:lang w:eastAsia="zh-CN"/>
              </w:rPr>
              <w:t>5</w:t>
            </w:r>
            <w:r>
              <w:rPr>
                <w:rFonts w:ascii="Times New Roman" w:hAnsi="Times New Roman" w:eastAsia="宋体" w:cs="Times New Roman"/>
                <w:color w:val="auto"/>
                <w:kern w:val="24"/>
                <w:sz w:val="24"/>
                <w:szCs w:val="20"/>
                <w:lang w:eastAsia="zh-CN"/>
              </w:rPr>
              <w:t>）固化废气（非甲烷总烃）</w:t>
            </w:r>
            <w:r>
              <w:rPr>
                <w:rFonts w:ascii="Times New Roman" w:hAnsi="Times New Roman" w:eastAsia="宋体" w:cs="Times New Roman"/>
                <w:color w:val="auto"/>
                <w:kern w:val="24"/>
                <w:sz w:val="24"/>
                <w:szCs w:val="20"/>
                <w:lang w:eastAsia="zh-CN"/>
              </w:rPr>
              <w:br w:type="textWrapping"/>
            </w:r>
            <w:r>
              <w:rPr>
                <w:rFonts w:ascii="Times New Roman" w:hAnsi="Times New Roman" w:cs="Times New Roman"/>
                <w:color w:val="auto"/>
                <w:sz w:val="24"/>
                <w:szCs w:val="24"/>
                <w:lang w:eastAsia="zh-CN"/>
              </w:rPr>
              <w:t>本项目</w:t>
            </w:r>
            <w:r>
              <w:rPr>
                <w:rFonts w:ascii="Times New Roman" w:hAnsi="Times New Roman" w:cs="Times New Roman"/>
                <w:color w:val="auto"/>
                <w:sz w:val="24"/>
                <w:szCs w:val="24"/>
              </w:rPr>
              <w:t>固化过程仅有少量有机</w:t>
            </w:r>
            <w:r>
              <w:rPr>
                <w:rFonts w:ascii="Times New Roman" w:hAnsi="Times New Roman" w:cs="Times New Roman"/>
                <w:color w:val="auto"/>
                <w:sz w:val="24"/>
                <w:szCs w:val="24"/>
                <w:lang w:eastAsia="zh-CN"/>
              </w:rPr>
              <w:t>气体逸出</w:t>
            </w:r>
            <w:r>
              <w:rPr>
                <w:rFonts w:ascii="Times New Roman" w:hAnsi="Times New Roman" w:cs="Times New Roman"/>
                <w:color w:val="auto"/>
                <w:sz w:val="24"/>
                <w:szCs w:val="24"/>
              </w:rPr>
              <w:t>，以非甲烷总烃计。</w:t>
            </w:r>
          </w:p>
          <w:p w14:paraId="622889CD">
            <w:pPr>
              <w:adjustRightInd/>
              <w:snapToGrid/>
              <w:spacing w:line="360" w:lineRule="auto"/>
              <w:ind w:firstLine="480" w:firstLineChars="200"/>
              <w:jc w:val="both"/>
              <w:rPr>
                <w:rFonts w:ascii="Times New Roman" w:hAnsi="Times New Roman" w:cs="Times New Roman"/>
                <w:color w:val="auto"/>
                <w:sz w:val="24"/>
                <w:szCs w:val="24"/>
                <w:lang w:eastAsia="zh-CN"/>
              </w:rPr>
            </w:pPr>
            <w:r>
              <w:rPr>
                <w:rFonts w:ascii="Times New Roman" w:hAnsi="Times New Roman" w:eastAsia="宋体" w:cs="Times New Roman"/>
                <w:color w:val="auto"/>
                <w:sz w:val="24"/>
                <w:szCs w:val="24"/>
                <w:lang w:eastAsia="zh-CN"/>
              </w:rPr>
              <w:t>本次固化有机废气采用类比法，类比对象为</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安徽益鑫金属制品有限公司年产280吨安全消防金属配件项目竣工环境保护验收监测报告表</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项目生产线主要工艺为：</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下料-机加工-焊接-打磨-喷塑-固化-组装-调试检验</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本项目主要工艺为：</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激光下料-焊接-抛光-喷塑-固化</w:t>
            </w:r>
            <w:r>
              <w:rPr>
                <w:rFonts w:hint="eastAsia"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两项目喷塑固化工艺流程一致，且有机废气收集后皆通过二级活性炭处理排放，生产工艺流程及废气处理措施相似，具备可类比性。</w:t>
            </w:r>
          </w:p>
          <w:p w14:paraId="483B6EC4">
            <w:pPr>
              <w:pStyle w:val="27"/>
              <w:numPr>
                <w:ilvl w:val="1"/>
                <w:numId w:val="0"/>
              </w:numPr>
              <w:kinsoku/>
              <w:adjustRightInd/>
              <w:snapToGrid/>
              <w:spacing w:line="360" w:lineRule="auto"/>
              <w:ind w:firstLine="480" w:firstLineChars="200"/>
              <w:textAlignment w:val="auto"/>
              <w:rPr>
                <w:rFonts w:ascii="Times New Roman" w:hAnsi="Times New Roman"/>
                <w:b/>
                <w:bCs/>
                <w:color w:val="auto"/>
              </w:rPr>
            </w:pPr>
            <w:r>
              <w:rPr>
                <w:rFonts w:ascii="Times New Roman" w:hAnsi="Times New Roman"/>
                <w:color w:val="auto"/>
              </w:rPr>
              <w:t>可行性说明：安徽益鑫金属制品有限公司与本项目所使用的原料均为环保型树脂，故原料可行；安徽益鑫金属制品有限公司烘干温度在200℃左右，本项目温度在180-200℃左右，故温度类比可行。安徽益鑫金属制品有限公司固化时间约20分钟，本项目固化时间约20分钟。故固化时间类别可行。</w:t>
            </w:r>
          </w:p>
          <w:p w14:paraId="2B152142">
            <w:pPr>
              <w:pStyle w:val="47"/>
              <w:widowControl w:val="0"/>
              <w:kinsoku/>
              <w:autoSpaceDE/>
              <w:autoSpaceDN/>
              <w:adjustRightInd/>
              <w:snapToGrid/>
              <w:spacing w:line="360" w:lineRule="auto"/>
              <w:jc w:val="both"/>
              <w:textAlignment w:val="auto"/>
              <w:rPr>
                <w:rFonts w:ascii="Times New Roman" w:hAnsi="Times New Roman" w:eastAsia="宋体" w:cs="Times New Roman"/>
                <w:color w:val="auto"/>
                <w:szCs w:val="24"/>
                <w:lang w:eastAsia="zh-CN"/>
              </w:rPr>
            </w:pPr>
            <w:r>
              <w:rPr>
                <w:rFonts w:ascii="Times New Roman" w:hAnsi="Times New Roman" w:eastAsia="宋体" w:cs="Times New Roman"/>
                <w:color w:val="auto"/>
                <w:szCs w:val="24"/>
                <w:lang w:eastAsia="zh-CN"/>
              </w:rPr>
              <w:t>根据《安徽益鑫金属制品有限公司年产280吨安全消防金属配件项目竣工环境保护验收监测报告表》中喷粉固化废气排气筒最大进口浓度为7.55mg/m³，进口速率为1.96×10</w:t>
            </w:r>
            <w:r>
              <w:rPr>
                <w:rFonts w:ascii="Times New Roman" w:hAnsi="Times New Roman" w:eastAsia="宋体" w:cs="Times New Roman"/>
                <w:color w:val="auto"/>
                <w:szCs w:val="24"/>
                <w:vertAlign w:val="superscript"/>
                <w:lang w:eastAsia="zh-CN"/>
              </w:rPr>
              <w:t>-2</w:t>
            </w:r>
            <w:r>
              <w:rPr>
                <w:rFonts w:ascii="Times New Roman" w:hAnsi="Times New Roman" w:eastAsia="宋体" w:cs="Times New Roman"/>
                <w:color w:val="auto"/>
                <w:szCs w:val="24"/>
                <w:lang w:eastAsia="zh-CN"/>
              </w:rPr>
              <w:t>kg/h，该项目年固化工作时间为900h，即固化废气非甲烷总烃年产生量约0.018t/a。本项目固化年工作时间为1800h，经计算非甲烷总烃产生量为0.324t/a。</w:t>
            </w:r>
          </w:p>
          <w:p w14:paraId="64A9A276">
            <w:pPr>
              <w:pStyle w:val="2"/>
              <w:kinsoku/>
              <w:adjustRightInd/>
              <w:snapToGrid/>
              <w:spacing w:before="0" w:after="0" w:line="360" w:lineRule="auto"/>
              <w:ind w:right="0" w:firstLine="480" w:firstLineChars="200"/>
              <w:jc w:val="both"/>
              <w:rPr>
                <w:rFonts w:ascii="Times New Roman" w:hAnsi="Times New Roman" w:cs="Times New Roman"/>
                <w:color w:val="auto"/>
                <w:kern w:val="2"/>
                <w:sz w:val="24"/>
                <w:szCs w:val="24"/>
                <w:lang w:eastAsia="zh-CN"/>
              </w:rPr>
            </w:pPr>
            <w:r>
              <w:rPr>
                <w:rFonts w:ascii="Times New Roman" w:hAnsi="Times New Roman" w:eastAsia="宋体" w:cs="Times New Roman"/>
                <w:color w:val="auto"/>
                <w:kern w:val="24"/>
                <w:sz w:val="24"/>
                <w:lang w:eastAsia="zh-CN"/>
              </w:rPr>
              <w:t>固化工序</w:t>
            </w:r>
            <w:r>
              <w:rPr>
                <w:rFonts w:ascii="Times New Roman" w:hAnsi="Times New Roman" w:cs="Times New Roman"/>
                <w:color w:val="auto"/>
                <w:kern w:val="24"/>
                <w:sz w:val="24"/>
                <w:lang w:eastAsia="zh-CN"/>
              </w:rPr>
              <w:t>年</w:t>
            </w:r>
            <w:r>
              <w:rPr>
                <w:rFonts w:ascii="Times New Roman" w:hAnsi="Times New Roman" w:eastAsia="宋体" w:cs="Times New Roman"/>
                <w:color w:val="auto"/>
                <w:kern w:val="24"/>
                <w:sz w:val="24"/>
                <w:lang w:eastAsia="zh-CN"/>
              </w:rPr>
              <w:t>工作时间为1800h</w:t>
            </w:r>
            <w:r>
              <w:rPr>
                <w:rFonts w:ascii="Times New Roman" w:hAnsi="Times New Roman" w:cs="Times New Roman"/>
                <w:color w:val="auto"/>
                <w:kern w:val="24"/>
                <w:sz w:val="24"/>
                <w:lang w:eastAsia="zh-CN"/>
              </w:rPr>
              <w:t>，</w:t>
            </w:r>
            <w:r>
              <w:rPr>
                <w:rFonts w:ascii="Times New Roman" w:hAnsi="Times New Roman" w:cs="Times New Roman"/>
                <w:color w:val="auto"/>
                <w:sz w:val="24"/>
                <w:szCs w:val="24"/>
              </w:rPr>
              <w:t>粉末</w:t>
            </w:r>
            <w:r>
              <w:rPr>
                <w:rFonts w:ascii="Times New Roman" w:hAnsi="Times New Roman" w:cs="Times New Roman"/>
                <w:color w:val="auto"/>
                <w:sz w:val="24"/>
                <w:szCs w:val="24"/>
                <w:lang w:eastAsia="zh-CN"/>
              </w:rPr>
              <w:t>固化</w:t>
            </w:r>
            <w:r>
              <w:rPr>
                <w:rFonts w:ascii="Times New Roman" w:hAnsi="Times New Roman" w:cs="Times New Roman"/>
                <w:color w:val="auto"/>
                <w:sz w:val="24"/>
                <w:szCs w:val="24"/>
              </w:rPr>
              <w:t>过程</w:t>
            </w:r>
            <w:r>
              <w:rPr>
                <w:rFonts w:hint="eastAsia" w:ascii="Times New Roman" w:hAnsi="Times New Roman" w:eastAsia="宋体" w:cs="Times New Roman"/>
                <w:color w:val="auto"/>
                <w:sz w:val="24"/>
                <w:szCs w:val="24"/>
                <w:lang w:eastAsia="zh-CN"/>
              </w:rPr>
              <w:t>在密闭固化房内进行</w:t>
            </w:r>
            <w:r>
              <w:rPr>
                <w:rFonts w:ascii="Times New Roman" w:hAnsi="Times New Roman" w:cs="Times New Roman"/>
                <w:color w:val="auto"/>
                <w:sz w:val="24"/>
                <w:szCs w:val="24"/>
                <w:lang w:eastAsia="zh-CN"/>
              </w:rPr>
              <w:t>，天然气燃烧产生的热气直接接触产品表面，使其塑粉固化</w:t>
            </w:r>
            <w:r>
              <w:rPr>
                <w:rFonts w:ascii="Times New Roman" w:hAnsi="Times New Roman" w:cs="Times New Roman"/>
                <w:color w:val="auto"/>
                <w:sz w:val="24"/>
                <w:szCs w:val="24"/>
              </w:rPr>
              <w:t>，</w:t>
            </w:r>
            <w:r>
              <w:rPr>
                <w:rFonts w:ascii="Times New Roman" w:hAnsi="Times New Roman" w:eastAsia="宋体" w:cs="Times New Roman"/>
                <w:color w:val="auto"/>
                <w:sz w:val="24"/>
                <w:szCs w:val="24"/>
                <w:lang w:eastAsia="zh-CN"/>
              </w:rPr>
              <w:t>固化房</w:t>
            </w:r>
            <w:r>
              <w:rPr>
                <w:rFonts w:ascii="Times New Roman" w:hAnsi="Times New Roman" w:cs="Times New Roman"/>
                <w:color w:val="auto"/>
                <w:spacing w:val="-5"/>
                <w:sz w:val="24"/>
                <w:szCs w:val="24"/>
                <w:lang w:eastAsia="zh-CN"/>
              </w:rPr>
              <w:t>尺寸为</w:t>
            </w:r>
            <w:r>
              <w:rPr>
                <w:rFonts w:ascii="Times New Roman" w:hAnsi="Times New Roman" w:eastAsia="宋体" w:cs="Times New Roman"/>
                <w:color w:val="auto"/>
                <w:kern w:val="24"/>
                <w:sz w:val="24"/>
                <w:lang w:eastAsia="zh-CN"/>
              </w:rPr>
              <w:t>：L6.9m×W2.9m×H2.8m，</w:t>
            </w:r>
            <w:r>
              <w:rPr>
                <w:rFonts w:ascii="Times New Roman" w:hAnsi="Times New Roman" w:cs="Times New Roman"/>
                <w:color w:val="auto"/>
                <w:kern w:val="2"/>
                <w:sz w:val="24"/>
                <w:szCs w:val="24"/>
                <w:lang w:eastAsia="zh-CN"/>
              </w:rPr>
              <w:t>1小时换气20次，则项目固化房风量为1120m³/h，</w:t>
            </w:r>
            <w:r>
              <w:rPr>
                <w:rFonts w:ascii="Times New Roman" w:hAnsi="Times New Roman" w:eastAsia="宋体" w:cs="Times New Roman"/>
                <w:kern w:val="24"/>
                <w:sz w:val="24"/>
                <w:lang w:eastAsia="zh-CN"/>
              </w:rPr>
              <w:t>考虑管道损耗，则风机风量为</w:t>
            </w:r>
            <w:r>
              <w:rPr>
                <w:rFonts w:hint="eastAsia" w:ascii="Times New Roman" w:hAnsi="Times New Roman" w:eastAsia="宋体" w:cs="Times New Roman"/>
                <w:kern w:val="24"/>
                <w:sz w:val="24"/>
                <w:lang w:eastAsia="zh-CN"/>
              </w:rPr>
              <w:t>3</w:t>
            </w:r>
            <w:r>
              <w:rPr>
                <w:rFonts w:ascii="Times New Roman" w:hAnsi="Times New Roman" w:cs="Times New Roman"/>
                <w:kern w:val="24"/>
                <w:sz w:val="24"/>
                <w:lang w:eastAsia="zh-CN"/>
              </w:rPr>
              <w:t>000</w:t>
            </w:r>
            <w:r>
              <w:rPr>
                <w:rFonts w:ascii="Times New Roman" w:hAnsi="Times New Roman" w:eastAsia="宋体" w:cs="Times New Roman"/>
                <w:kern w:val="24"/>
                <w:sz w:val="24"/>
                <w:lang w:eastAsia="zh-CN"/>
              </w:rPr>
              <w:t>m</w:t>
            </w:r>
            <w:r>
              <w:rPr>
                <w:rFonts w:ascii="Times New Roman" w:hAnsi="Times New Roman" w:eastAsia="宋体" w:cs="Times New Roman"/>
                <w:kern w:val="24"/>
                <w:sz w:val="24"/>
                <w:vertAlign w:val="superscript"/>
                <w:lang w:eastAsia="zh-CN"/>
              </w:rPr>
              <w:t>3</w:t>
            </w:r>
            <w:r>
              <w:rPr>
                <w:rFonts w:ascii="Times New Roman" w:hAnsi="Times New Roman" w:eastAsia="宋体" w:cs="Times New Roman"/>
                <w:kern w:val="24"/>
                <w:sz w:val="24"/>
                <w:lang w:eastAsia="zh-CN"/>
              </w:rPr>
              <w:t>/h。</w:t>
            </w:r>
          </w:p>
          <w:p w14:paraId="5ACA7FA1">
            <w:pPr>
              <w:pStyle w:val="2"/>
              <w:kinsoku/>
              <w:adjustRightInd/>
              <w:snapToGrid/>
              <w:spacing w:before="0" w:after="0" w:line="360" w:lineRule="auto"/>
              <w:ind w:right="0" w:firstLine="480" w:firstLineChars="200"/>
              <w:jc w:val="both"/>
              <w:rPr>
                <w:rFonts w:ascii="Times New Roman" w:hAnsi="Times New Roman" w:cs="Times New Roman"/>
                <w:color w:val="auto"/>
                <w:kern w:val="2"/>
                <w:sz w:val="24"/>
                <w:szCs w:val="24"/>
                <w:lang w:eastAsia="zh-CN"/>
              </w:rPr>
            </w:pPr>
            <w:r>
              <w:rPr>
                <w:rFonts w:ascii="Times New Roman" w:hAnsi="Times New Roman" w:eastAsia="宋体" w:cs="Times New Roman"/>
                <w:color w:val="auto"/>
                <w:kern w:val="24"/>
                <w:sz w:val="24"/>
                <w:lang w:eastAsia="zh-CN"/>
              </w:rPr>
              <w:t>天然气燃烧废气由低氮燃烧器处理，</w:t>
            </w:r>
            <w:r>
              <w:rPr>
                <w:rFonts w:ascii="Times New Roman" w:hAnsi="Times New Roman" w:cs="Times New Roman"/>
                <w:color w:val="auto"/>
                <w:spacing w:val="-1"/>
                <w:sz w:val="24"/>
                <w:szCs w:val="24"/>
              </w:rPr>
              <w:t>固化</w:t>
            </w:r>
            <w:r>
              <w:rPr>
                <w:rFonts w:ascii="Times New Roman" w:hAnsi="Times New Roman" w:eastAsia="宋体" w:cs="Times New Roman"/>
                <w:color w:val="auto"/>
                <w:spacing w:val="-1"/>
                <w:sz w:val="24"/>
                <w:szCs w:val="24"/>
                <w:lang w:eastAsia="zh-CN"/>
              </w:rPr>
              <w:t>废气经集气罩</w:t>
            </w:r>
            <w:r>
              <w:rPr>
                <w:rFonts w:ascii="Times New Roman" w:hAnsi="Times New Roman" w:cs="Times New Roman"/>
                <w:color w:val="auto"/>
                <w:sz w:val="24"/>
                <w:szCs w:val="24"/>
                <w:lang w:eastAsia="zh-CN"/>
              </w:rPr>
              <w:t>+风冷+二级活性炭吸附处理后</w:t>
            </w:r>
            <w:r>
              <w:rPr>
                <w:rFonts w:ascii="Times New Roman" w:hAnsi="Times New Roman" w:cs="Times New Roman"/>
                <w:color w:val="auto"/>
                <w:kern w:val="2"/>
                <w:sz w:val="24"/>
                <w:szCs w:val="24"/>
                <w:lang w:eastAsia="zh-CN"/>
              </w:rPr>
              <w:t>通过一根15m高排气筒排放（DA003）收集效率为95%，处理效率为90%，则项目非甲烷总烃有组织排放为0.031t/a，无组织排放量为0.032t/a。</w:t>
            </w:r>
          </w:p>
          <w:p w14:paraId="258F1982">
            <w:pPr>
              <w:pStyle w:val="2"/>
              <w:kinsoku/>
              <w:adjustRightInd/>
              <w:snapToGrid/>
              <w:spacing w:before="0" w:after="0" w:line="360" w:lineRule="auto"/>
              <w:ind w:right="0" w:firstLine="480" w:firstLineChars="200"/>
              <w:jc w:val="both"/>
              <w:rPr>
                <w:rFonts w:ascii="Times New Roman" w:hAnsi="Times New Roman" w:cs="Times New Roman"/>
                <w:color w:val="auto"/>
                <w:sz w:val="24"/>
                <w:lang w:eastAsia="zh-CN" w:bidi="ar"/>
              </w:rPr>
            </w:pPr>
            <w:r>
              <w:rPr>
                <w:rFonts w:ascii="Times New Roman" w:hAnsi="Times New Roman" w:eastAsia="宋体" w:cs="Times New Roman"/>
                <w:color w:val="auto"/>
                <w:kern w:val="2"/>
                <w:sz w:val="24"/>
                <w:lang w:eastAsia="zh-CN" w:bidi="ar"/>
              </w:rPr>
              <w:t>（6）</w:t>
            </w:r>
            <w:r>
              <w:rPr>
                <w:rFonts w:ascii="Times New Roman" w:hAnsi="Times New Roman" w:cs="Times New Roman"/>
                <w:color w:val="auto"/>
                <w:sz w:val="24"/>
                <w:lang w:eastAsia="zh-CN" w:bidi="ar"/>
              </w:rPr>
              <w:t>天然气燃烧废气</w:t>
            </w:r>
          </w:p>
          <w:p w14:paraId="7DD257C8">
            <w:pPr>
              <w:pStyle w:val="2"/>
              <w:kinsoku/>
              <w:adjustRightInd/>
              <w:snapToGrid/>
              <w:spacing w:before="0" w:after="0" w:line="360" w:lineRule="auto"/>
              <w:ind w:right="0"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项目天然气燃烧机配备低氮燃烧装置，固化烘道装置配套1台</w:t>
            </w:r>
            <w:r>
              <w:rPr>
                <w:rFonts w:ascii="Times New Roman" w:hAnsi="Times New Roman" w:cs="Times New Roman"/>
                <w:color w:val="auto"/>
                <w:sz w:val="24"/>
                <w:lang w:eastAsia="zh-CN"/>
              </w:rPr>
              <w:t>（20万大卡）</w:t>
            </w:r>
            <w:r>
              <w:rPr>
                <w:rFonts w:ascii="Times New Roman" w:hAnsi="Times New Roman" w:eastAsia="宋体" w:cs="Times New Roman"/>
                <w:color w:val="auto"/>
                <w:sz w:val="24"/>
                <w:lang w:eastAsia="zh-CN"/>
              </w:rPr>
              <w:t>，降低空气氮燃烧率，</w:t>
            </w:r>
            <w:r>
              <w:rPr>
                <w:rFonts w:ascii="Times New Roman" w:hAnsi="Times New Roman" w:cs="Times New Roman"/>
                <w:color w:val="auto"/>
                <w:sz w:val="24"/>
                <w:lang w:eastAsia="zh-CN"/>
              </w:rPr>
              <w:t>减少</w:t>
            </w:r>
            <w:r>
              <w:rPr>
                <w:rFonts w:ascii="Times New Roman" w:hAnsi="Times New Roman" w:eastAsia="宋体" w:cs="Times New Roman"/>
                <w:color w:val="auto"/>
                <w:sz w:val="24"/>
                <w:lang w:eastAsia="zh-CN"/>
              </w:rPr>
              <w:t>氮氧化物排放。项目天然气年用为5万m³/a</w:t>
            </w:r>
            <w:r>
              <w:rPr>
                <w:rFonts w:hint="eastAsia" w:ascii="Times New Roman" w:hAnsi="Times New Roman" w:eastAsia="宋体" w:cs="Times New Roman"/>
                <w:color w:val="auto"/>
                <w:sz w:val="24"/>
                <w:lang w:eastAsia="zh-CN"/>
              </w:rPr>
              <w:t>。</w:t>
            </w:r>
          </w:p>
          <w:p w14:paraId="097E7F68">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t>据《排放源统计调查产排污核算方法和系数手册》中机械行业系数手册，参照涂装工段中天然气工业炉窑废气量产生量系数13.6立方米/立方米-原料，天然气燃烧污染排放系数如下：</w:t>
            </w:r>
          </w:p>
          <w:p w14:paraId="54EA740C">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 1 \* GB3 \* MERGEFORMAT </w:instrText>
            </w:r>
            <w:r>
              <w:rPr>
                <w:rFonts w:ascii="Times New Roman" w:hAnsi="Times New Roman" w:cs="Times New Roman"/>
                <w:color w:val="auto"/>
                <w:sz w:val="24"/>
              </w:rPr>
              <w:fldChar w:fldCharType="separate"/>
            </w:r>
            <w:r>
              <w:rPr>
                <w:rFonts w:ascii="Times New Roman" w:hAnsi="Times New Roman" w:cs="Times New Roman"/>
                <w:color w:val="auto"/>
                <w:sz w:val="24"/>
              </w:rPr>
              <w:t>①</w:t>
            </w:r>
            <w:r>
              <w:rPr>
                <w:rFonts w:ascii="Times New Roman" w:hAnsi="Times New Roman" w:cs="Times New Roman"/>
                <w:color w:val="auto"/>
                <w:sz w:val="24"/>
              </w:rPr>
              <w:fldChar w:fldCharType="end"/>
            </w:r>
            <w:r>
              <w:rPr>
                <w:rFonts w:ascii="Times New Roman" w:hAnsi="Times New Roman" w:cs="Times New Roman"/>
                <w:color w:val="auto"/>
                <w:sz w:val="24"/>
              </w:rPr>
              <w:t>SO</w:t>
            </w:r>
            <w:r>
              <w:rPr>
                <w:rFonts w:ascii="Times New Roman" w:hAnsi="Times New Roman" w:cs="Times New Roman"/>
                <w:color w:val="auto"/>
                <w:sz w:val="24"/>
                <w:vertAlign w:val="subscript"/>
              </w:rPr>
              <w:t>2</w:t>
            </w:r>
            <w:r>
              <w:rPr>
                <w:rFonts w:ascii="Times New Roman" w:hAnsi="Times New Roman" w:cs="Times New Roman"/>
                <w:color w:val="auto"/>
                <w:sz w:val="24"/>
              </w:rPr>
              <w:t>产污系数：Gso</w:t>
            </w:r>
            <w:r>
              <w:rPr>
                <w:rFonts w:ascii="Times New Roman" w:hAnsi="Times New Roman" w:cs="Times New Roman"/>
                <w:color w:val="auto"/>
                <w:sz w:val="24"/>
                <w:vertAlign w:val="subscript"/>
              </w:rPr>
              <w:t>2</w:t>
            </w:r>
            <w:r>
              <w:rPr>
                <w:rFonts w:ascii="Times New Roman" w:hAnsi="Times New Roman" w:cs="Times New Roman"/>
                <w:color w:val="auto"/>
                <w:sz w:val="24"/>
              </w:rPr>
              <w:t>=0.02S=4kg/万m</w:t>
            </w:r>
            <w:r>
              <w:rPr>
                <w:rFonts w:ascii="Times New Roman" w:hAnsi="Times New Roman" w:cs="Times New Roman"/>
                <w:color w:val="auto"/>
                <w:sz w:val="24"/>
                <w:vertAlign w:val="superscript"/>
              </w:rPr>
              <w:t>3</w:t>
            </w:r>
            <w:r>
              <w:rPr>
                <w:rFonts w:ascii="Times New Roman" w:hAnsi="Times New Roman" w:cs="Times New Roman"/>
                <w:color w:val="auto"/>
                <w:sz w:val="24"/>
              </w:rPr>
              <w:t>-燃料（S含硫量，本项目取200）；</w:t>
            </w:r>
          </w:p>
          <w:p w14:paraId="4172E433">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 2 \* GB3 \* MERGEFORMAT </w:instrText>
            </w:r>
            <w:r>
              <w:rPr>
                <w:rFonts w:ascii="Times New Roman" w:hAnsi="Times New Roman" w:cs="Times New Roman"/>
                <w:color w:val="auto"/>
                <w:sz w:val="24"/>
              </w:rPr>
              <w:fldChar w:fldCharType="separate"/>
            </w:r>
            <w:r>
              <w:rPr>
                <w:rFonts w:ascii="Times New Roman" w:hAnsi="Times New Roman" w:cs="Times New Roman"/>
                <w:color w:val="auto"/>
                <w:sz w:val="24"/>
              </w:rPr>
              <w:t>②</w:t>
            </w:r>
            <w:r>
              <w:rPr>
                <w:rFonts w:ascii="Times New Roman" w:hAnsi="Times New Roman" w:cs="Times New Roman"/>
                <w:color w:val="auto"/>
                <w:sz w:val="24"/>
              </w:rPr>
              <w:fldChar w:fldCharType="end"/>
            </w:r>
            <w:r>
              <w:rPr>
                <w:rFonts w:ascii="Times New Roman" w:hAnsi="Times New Roman" w:cs="Times New Roman"/>
                <w:color w:val="auto"/>
                <w:sz w:val="24"/>
              </w:rPr>
              <w:t>NOx产污系数：G</w:t>
            </w:r>
            <w:r>
              <w:rPr>
                <w:rFonts w:ascii="Times New Roman" w:hAnsi="Times New Roman" w:cs="Times New Roman"/>
                <w:color w:val="auto"/>
                <w:sz w:val="24"/>
                <w:vertAlign w:val="subscript"/>
              </w:rPr>
              <w:t>NOx</w:t>
            </w:r>
            <w:r>
              <w:rPr>
                <w:rFonts w:ascii="Times New Roman" w:hAnsi="Times New Roman" w:cs="Times New Roman"/>
                <w:color w:val="auto"/>
                <w:sz w:val="24"/>
              </w:rPr>
              <w:t>=18.71kg/万m</w:t>
            </w:r>
            <w:r>
              <w:rPr>
                <w:rFonts w:ascii="Times New Roman" w:hAnsi="Times New Roman" w:cs="Times New Roman"/>
                <w:color w:val="auto"/>
                <w:sz w:val="24"/>
                <w:vertAlign w:val="superscript"/>
              </w:rPr>
              <w:t>3</w:t>
            </w:r>
            <w:r>
              <w:rPr>
                <w:rFonts w:ascii="Times New Roman" w:hAnsi="Times New Roman" w:cs="Times New Roman"/>
                <w:color w:val="auto"/>
                <w:sz w:val="24"/>
              </w:rPr>
              <w:t>-燃料；</w:t>
            </w:r>
          </w:p>
          <w:p w14:paraId="6FA94B52">
            <w:pPr>
              <w:pStyle w:val="2"/>
              <w:widowControl w:val="0"/>
              <w:kinsoku/>
              <w:autoSpaceDE/>
              <w:autoSpaceDN/>
              <w:adjustRightInd/>
              <w:snapToGrid/>
              <w:spacing w:before="0" w:after="0" w:line="360" w:lineRule="auto"/>
              <w:ind w:right="0" w:firstLine="480" w:firstLineChars="200"/>
              <w:textAlignment w:val="auto"/>
              <w:rPr>
                <w:rFonts w:ascii="Times New Roman" w:hAnsi="Times New Roman" w:cs="Times New Roman"/>
                <w:color w:val="auto"/>
                <w:sz w:val="24"/>
                <w:lang w:bidi="ar"/>
              </w:rPr>
            </w:pP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 3 \* GB3 </w:instrText>
            </w:r>
            <w:r>
              <w:rPr>
                <w:rFonts w:ascii="Times New Roman" w:hAnsi="Times New Roman" w:cs="Times New Roman"/>
                <w:color w:val="auto"/>
                <w:sz w:val="24"/>
              </w:rPr>
              <w:fldChar w:fldCharType="separate"/>
            </w:r>
            <w:r>
              <w:rPr>
                <w:rFonts w:ascii="Times New Roman" w:hAnsi="Times New Roman" w:cs="Times New Roman"/>
                <w:color w:val="auto"/>
                <w:sz w:val="24"/>
              </w:rPr>
              <w:t>③</w:t>
            </w:r>
            <w:r>
              <w:rPr>
                <w:rFonts w:ascii="Times New Roman" w:hAnsi="Times New Roman" w:cs="Times New Roman"/>
                <w:color w:val="auto"/>
                <w:sz w:val="24"/>
              </w:rPr>
              <w:fldChar w:fldCharType="end"/>
            </w:r>
            <w:r>
              <w:rPr>
                <w:rFonts w:ascii="Times New Roman" w:hAnsi="Times New Roman" w:cs="Times New Roman"/>
                <w:color w:val="auto"/>
                <w:sz w:val="24"/>
              </w:rPr>
              <w:t>颗粒物产污系数：G烟尘=2.86kg/万m</w:t>
            </w:r>
            <w:r>
              <w:rPr>
                <w:rFonts w:ascii="Times New Roman" w:hAnsi="Times New Roman" w:cs="Times New Roman"/>
                <w:color w:val="auto"/>
                <w:sz w:val="24"/>
                <w:vertAlign w:val="superscript"/>
              </w:rPr>
              <w:t>3</w:t>
            </w:r>
            <w:r>
              <w:rPr>
                <w:rFonts w:ascii="Times New Roman" w:hAnsi="Times New Roman" w:cs="Times New Roman"/>
                <w:color w:val="auto"/>
                <w:sz w:val="24"/>
              </w:rPr>
              <w:t>-燃料；</w:t>
            </w:r>
          </w:p>
          <w:p w14:paraId="4CBB7DFA">
            <w:pPr>
              <w:pStyle w:val="2"/>
              <w:widowControl w:val="0"/>
              <w:kinsoku/>
              <w:autoSpaceDE/>
              <w:autoSpaceDN/>
              <w:adjustRightInd/>
              <w:snapToGrid/>
              <w:spacing w:before="0" w:after="0" w:line="360" w:lineRule="auto"/>
              <w:ind w:right="0" w:firstLine="480" w:firstLineChars="200"/>
              <w:textAlignment w:val="auto"/>
              <w:rPr>
                <w:rFonts w:ascii="Times New Roman" w:hAnsi="Times New Roman" w:cs="Times New Roman"/>
                <w:color w:val="auto"/>
                <w:sz w:val="24"/>
                <w:lang w:eastAsia="zh-CN"/>
              </w:rPr>
            </w:pPr>
            <w:r>
              <w:rPr>
                <w:rFonts w:ascii="Times New Roman" w:hAnsi="Times New Roman" w:cs="Times New Roman"/>
                <w:color w:val="auto"/>
                <w:sz w:val="24"/>
                <w:lang w:eastAsia="zh-CN"/>
              </w:rPr>
              <w:t>经计算</w:t>
            </w:r>
            <w:r>
              <w:rPr>
                <w:rFonts w:ascii="Times New Roman" w:hAnsi="Times New Roman" w:cs="Times New Roman"/>
                <w:color w:val="auto"/>
                <w:sz w:val="24"/>
              </w:rPr>
              <w:t>SO</w:t>
            </w:r>
            <w:r>
              <w:rPr>
                <w:rFonts w:ascii="Times New Roman" w:hAnsi="Times New Roman" w:cs="Times New Roman"/>
                <w:color w:val="auto"/>
                <w:sz w:val="24"/>
                <w:vertAlign w:val="subscript"/>
              </w:rPr>
              <w:t>2</w:t>
            </w:r>
            <w:r>
              <w:rPr>
                <w:rFonts w:ascii="Times New Roman" w:hAnsi="Times New Roman" w:cs="Times New Roman"/>
                <w:color w:val="auto"/>
                <w:sz w:val="24"/>
              </w:rPr>
              <w:t>产生量为：</w:t>
            </w:r>
            <w:r>
              <w:rPr>
                <w:rFonts w:ascii="Times New Roman" w:hAnsi="Times New Roman" w:cs="Times New Roman"/>
                <w:color w:val="auto"/>
                <w:sz w:val="24"/>
                <w:lang w:eastAsia="zh-CN"/>
              </w:rPr>
              <w:t>0.02</w:t>
            </w:r>
            <w:r>
              <w:rPr>
                <w:rFonts w:ascii="Times New Roman" w:hAnsi="Times New Roman" w:cs="Times New Roman"/>
                <w:color w:val="auto"/>
                <w:sz w:val="24"/>
              </w:rPr>
              <w:t>t/a</w:t>
            </w:r>
            <w:r>
              <w:rPr>
                <w:rFonts w:hint="eastAsia" w:ascii="Times New Roman" w:hAnsi="Times New Roman" w:eastAsia="宋体" w:cs="Times New Roman"/>
                <w:color w:val="auto"/>
                <w:sz w:val="24"/>
                <w:lang w:eastAsia="zh-CN"/>
              </w:rPr>
              <w:t>，</w:t>
            </w:r>
            <w:r>
              <w:rPr>
                <w:rFonts w:ascii="Times New Roman" w:hAnsi="Times New Roman" w:cs="Times New Roman"/>
                <w:color w:val="auto"/>
                <w:sz w:val="24"/>
              </w:rPr>
              <w:t>NOx产生量为</w:t>
            </w:r>
            <w:r>
              <w:rPr>
                <w:rFonts w:ascii="Times New Roman" w:hAnsi="Times New Roman" w:cs="Times New Roman"/>
                <w:color w:val="auto"/>
                <w:sz w:val="24"/>
                <w:lang w:eastAsia="zh-CN"/>
              </w:rPr>
              <w:t>0.094</w:t>
            </w:r>
            <w:r>
              <w:rPr>
                <w:rFonts w:ascii="Times New Roman" w:hAnsi="Times New Roman" w:cs="Times New Roman"/>
                <w:color w:val="auto"/>
                <w:sz w:val="24"/>
              </w:rPr>
              <w:t>/a，颗粒物产生量为</w:t>
            </w:r>
            <w:r>
              <w:rPr>
                <w:rFonts w:ascii="Times New Roman" w:hAnsi="Times New Roman" w:cs="Times New Roman"/>
                <w:color w:val="auto"/>
                <w:sz w:val="24"/>
                <w:lang w:eastAsia="zh-CN"/>
              </w:rPr>
              <w:t>0.015t/a；</w:t>
            </w:r>
          </w:p>
          <w:p w14:paraId="4FDCBCF5">
            <w:pPr>
              <w:kinsoku/>
              <w:adjustRightInd/>
              <w:snapToGrid/>
              <w:spacing w:line="360" w:lineRule="auto"/>
              <w:jc w:val="both"/>
              <w:rPr>
                <w:rFonts w:ascii="Times New Roman" w:hAnsi="Times New Roman" w:eastAsia="宋体" w:cs="Times New Roman"/>
                <w:color w:val="auto"/>
                <w:sz w:val="24"/>
                <w:lang w:eastAsia="zh-CN" w:bidi="ar"/>
              </w:rPr>
            </w:pPr>
            <w:r>
              <w:rPr>
                <w:rFonts w:ascii="Times New Roman" w:hAnsi="Times New Roman" w:cs="Times New Roman"/>
                <w:color w:val="auto"/>
                <w:sz w:val="24"/>
                <w:lang w:eastAsia="zh-CN" w:bidi="ar"/>
              </w:rPr>
              <w:t>项目天然气燃烧废气经低氮燃烧器处理，处理效率30%，则项目天然气燃烧废气排放量为</w:t>
            </w:r>
            <w:r>
              <w:rPr>
                <w:rFonts w:ascii="Times New Roman" w:hAnsi="Times New Roman" w:cs="Times New Roman"/>
                <w:color w:val="auto"/>
                <w:sz w:val="24"/>
              </w:rPr>
              <w:t>SO</w:t>
            </w:r>
            <w:r>
              <w:rPr>
                <w:rFonts w:ascii="Times New Roman" w:hAnsi="Times New Roman" w:cs="Times New Roman"/>
                <w:color w:val="auto"/>
                <w:sz w:val="24"/>
                <w:vertAlign w:val="subscript"/>
              </w:rPr>
              <w:t>2</w:t>
            </w:r>
            <w:r>
              <w:rPr>
                <w:rFonts w:ascii="Times New Roman" w:hAnsi="Times New Roman" w:cs="Times New Roman"/>
                <w:color w:val="auto"/>
                <w:sz w:val="24"/>
              </w:rPr>
              <w:t>产生量为：</w:t>
            </w:r>
            <w:r>
              <w:rPr>
                <w:rFonts w:ascii="Times New Roman" w:hAnsi="Times New Roman" w:cs="Times New Roman"/>
                <w:color w:val="auto"/>
                <w:sz w:val="24"/>
                <w:lang w:eastAsia="zh-CN"/>
              </w:rPr>
              <w:t>0.02</w:t>
            </w:r>
            <w:r>
              <w:rPr>
                <w:rFonts w:ascii="Times New Roman" w:hAnsi="Times New Roman" w:cs="Times New Roman"/>
                <w:color w:val="auto"/>
                <w:sz w:val="24"/>
              </w:rPr>
              <w:t>t/a，NOx产生量为</w:t>
            </w:r>
            <w:r>
              <w:rPr>
                <w:rFonts w:ascii="Times New Roman" w:hAnsi="Times New Roman" w:eastAsia="宋体" w:cs="Times New Roman"/>
                <w:color w:val="auto"/>
                <w:sz w:val="24"/>
                <w:lang w:eastAsia="zh-CN"/>
              </w:rPr>
              <w:t>0.066</w:t>
            </w:r>
            <w:r>
              <w:rPr>
                <w:rFonts w:ascii="Times New Roman" w:hAnsi="Times New Roman" w:cs="Times New Roman"/>
                <w:color w:val="auto"/>
                <w:sz w:val="24"/>
                <w:lang w:eastAsia="zh-CN"/>
              </w:rPr>
              <w:t>t/</w:t>
            </w:r>
            <w:r>
              <w:rPr>
                <w:rFonts w:ascii="Times New Roman" w:hAnsi="Times New Roman" w:cs="Times New Roman"/>
                <w:color w:val="auto"/>
                <w:sz w:val="24"/>
              </w:rPr>
              <w:t>a，颗粒物产生量为</w:t>
            </w:r>
            <w:r>
              <w:rPr>
                <w:rFonts w:ascii="Times New Roman" w:hAnsi="Times New Roman" w:cs="Times New Roman"/>
                <w:color w:val="auto"/>
                <w:sz w:val="24"/>
                <w:lang w:eastAsia="zh-CN"/>
              </w:rPr>
              <w:t>0.015t/a</w:t>
            </w:r>
            <w:r>
              <w:rPr>
                <w:rFonts w:hint="eastAsia" w:ascii="Times New Roman" w:hAnsi="Times New Roman" w:cs="Times New Roman"/>
                <w:color w:val="auto"/>
                <w:sz w:val="24"/>
                <w:lang w:eastAsia="zh-CN"/>
              </w:rPr>
              <w:t>。</w:t>
            </w:r>
          </w:p>
          <w:p w14:paraId="6249D460">
            <w:pPr>
              <w:kinsoku/>
              <w:adjustRightInd/>
              <w:snapToGrid/>
              <w:spacing w:line="360" w:lineRule="auto"/>
              <w:ind w:firstLine="480" w:firstLineChars="200"/>
              <w:jc w:val="both"/>
              <w:rPr>
                <w:rFonts w:ascii="Times New Roman" w:hAnsi="Times New Roman" w:cs="Times New Roman"/>
                <w:color w:val="auto"/>
                <w:sz w:val="24"/>
                <w:lang w:eastAsia="zh-CN" w:bidi="ar"/>
              </w:rPr>
            </w:pPr>
            <w:r>
              <w:rPr>
                <w:rFonts w:ascii="Times New Roman" w:hAnsi="Times New Roman" w:cs="Times New Roman"/>
                <w:color w:val="auto"/>
                <w:sz w:val="24"/>
                <w:lang w:eastAsia="zh-CN" w:bidi="ar"/>
              </w:rPr>
              <w:t>项目废气管线收集见下图：</w:t>
            </w:r>
          </w:p>
          <w:p w14:paraId="45654AC1">
            <w:pPr>
              <w:kinsoku/>
              <w:adjustRightInd/>
              <w:snapToGrid/>
              <w:spacing w:line="360" w:lineRule="auto"/>
              <w:jc w:val="center"/>
              <w:rPr>
                <w:rFonts w:ascii="Times New Roman" w:hAnsi="Times New Roman" w:cs="Times New Roman"/>
                <w:b/>
                <w:bCs/>
                <w:color w:val="auto"/>
                <w:sz w:val="24"/>
                <w:lang w:eastAsia="zh-CN" w:bidi="ar"/>
              </w:rPr>
            </w:pPr>
            <w:r>
              <w:rPr>
                <w:rFonts w:ascii="Times New Roman" w:hAnsi="Times New Roman" w:cs="Times New Roman"/>
                <w:color w:val="auto"/>
                <w:sz w:val="24"/>
                <w:lang w:eastAsia="zh-CN" w:bidi="ar"/>
              </w:rPr>
              <w:drawing>
                <wp:inline distT="0" distB="0" distL="114300" distR="114300">
                  <wp:extent cx="4599940" cy="2143760"/>
                  <wp:effectExtent l="0" t="0" r="2540" b="5080"/>
                  <wp:docPr id="21" name="F360BE8B-6686-4F3D-AEAF-501FE73E4058-6" descr="C:/Users/Administrator/AppData/Local/Temp/绘图1(19).png绘图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6" descr="C:/Users/Administrator/AppData/Local/Temp/绘图1(19).png绘图1(19)"/>
                          <pic:cNvPicPr>
                            <a:picLocks noChangeAspect="1"/>
                          </pic:cNvPicPr>
                        </pic:nvPicPr>
                        <pic:blipFill>
                          <a:blip r:embed="rId17"/>
                          <a:stretch>
                            <a:fillRect/>
                          </a:stretch>
                        </pic:blipFill>
                        <pic:spPr>
                          <a:xfrm>
                            <a:off x="0" y="0"/>
                            <a:ext cx="4599940" cy="2143760"/>
                          </a:xfrm>
                          <a:prstGeom prst="rect">
                            <a:avLst/>
                          </a:prstGeom>
                        </pic:spPr>
                      </pic:pic>
                    </a:graphicData>
                  </a:graphic>
                </wp:inline>
              </w:drawing>
            </w:r>
          </w:p>
          <w:p w14:paraId="0A11DB88">
            <w:pPr>
              <w:kinsoku/>
              <w:adjustRightInd/>
              <w:snapToGrid/>
              <w:spacing w:line="360" w:lineRule="auto"/>
              <w:ind w:firstLine="480" w:firstLineChars="200"/>
              <w:jc w:val="center"/>
              <w:rPr>
                <w:rFonts w:ascii="Times New Roman" w:hAnsi="Times New Roman" w:cs="Times New Roman"/>
                <w:b/>
                <w:bCs/>
                <w:color w:val="auto"/>
                <w:sz w:val="24"/>
                <w:lang w:eastAsia="zh-CN" w:bidi="ar"/>
              </w:rPr>
            </w:pPr>
          </w:p>
          <w:p w14:paraId="59F1ACD2">
            <w:pPr>
              <w:kinsoku/>
              <w:adjustRightInd/>
              <w:snapToGrid/>
              <w:spacing w:line="360" w:lineRule="auto"/>
              <w:ind w:firstLine="480" w:firstLineChars="200"/>
              <w:jc w:val="center"/>
              <w:rPr>
                <w:rFonts w:ascii="Times New Roman" w:hAnsi="Times New Roman" w:cs="Times New Roman"/>
                <w:color w:val="auto"/>
                <w:sz w:val="24"/>
                <w:lang w:bidi="ar"/>
              </w:rPr>
            </w:pPr>
            <w:r>
              <w:rPr>
                <w:rFonts w:ascii="Times New Roman" w:hAnsi="Times New Roman" w:cs="Times New Roman"/>
                <w:b/>
                <w:bCs/>
                <w:color w:val="auto"/>
                <w:sz w:val="24"/>
                <w:lang w:eastAsia="zh-CN" w:bidi="ar"/>
              </w:rPr>
              <w:t>图4-1  废气管线收集图</w:t>
            </w:r>
          </w:p>
          <w:p w14:paraId="277FE4E8">
            <w:pPr>
              <w:kinsoku/>
              <w:adjustRightInd/>
              <w:snapToGrid/>
              <w:spacing w:line="360" w:lineRule="auto"/>
              <w:ind w:firstLine="480" w:firstLineChars="200"/>
              <w:jc w:val="both"/>
              <w:rPr>
                <w:rFonts w:ascii="Times New Roman" w:hAnsi="Times New Roman" w:cs="Times New Roman"/>
                <w:color w:val="auto"/>
                <w:sz w:val="24"/>
                <w:lang w:eastAsia="zh-CN"/>
              </w:rPr>
            </w:pPr>
            <w:r>
              <w:rPr>
                <w:rFonts w:ascii="Times New Roman" w:hAnsi="Times New Roman" w:cs="Times New Roman"/>
                <w:color w:val="auto"/>
                <w:sz w:val="24"/>
                <w:lang w:bidi="ar"/>
              </w:rPr>
              <w:t>项目有组织</w:t>
            </w:r>
            <w:r>
              <w:rPr>
                <w:rFonts w:ascii="Times New Roman" w:hAnsi="Times New Roman" w:cs="Times New Roman"/>
                <w:color w:val="auto"/>
                <w:sz w:val="24"/>
              </w:rPr>
              <w:t>废气产排情况详见下表</w:t>
            </w:r>
            <w:r>
              <w:rPr>
                <w:rFonts w:ascii="Times New Roman" w:hAnsi="Times New Roman" w:cs="Times New Roman"/>
                <w:color w:val="auto"/>
                <w:sz w:val="24"/>
                <w:lang w:eastAsia="zh-CN"/>
              </w:rPr>
              <w:t>：</w:t>
            </w:r>
          </w:p>
          <w:p w14:paraId="707D7258">
            <w:pPr>
              <w:kinsoku/>
              <w:adjustRightInd/>
              <w:snapToGrid/>
              <w:spacing w:line="360" w:lineRule="auto"/>
              <w:ind w:firstLine="480" w:firstLineChars="200"/>
              <w:jc w:val="both"/>
              <w:rPr>
                <w:rFonts w:ascii="Times New Roman" w:hAnsi="Times New Roman" w:cs="Times New Roman"/>
                <w:color w:val="auto"/>
                <w:sz w:val="24"/>
                <w:lang w:eastAsia="zh-CN"/>
              </w:rPr>
            </w:pPr>
          </w:p>
          <w:p w14:paraId="1798808C">
            <w:pPr>
              <w:kinsoku/>
              <w:adjustRightInd/>
              <w:snapToGrid/>
              <w:spacing w:line="360" w:lineRule="auto"/>
              <w:ind w:firstLine="480" w:firstLineChars="200"/>
              <w:jc w:val="both"/>
              <w:rPr>
                <w:rFonts w:ascii="Times New Roman" w:hAnsi="Times New Roman" w:cs="Times New Roman"/>
                <w:color w:val="auto"/>
                <w:sz w:val="24"/>
                <w:lang w:eastAsia="zh-CN"/>
              </w:rPr>
            </w:pPr>
          </w:p>
          <w:p w14:paraId="508847F6">
            <w:pPr>
              <w:kinsoku/>
              <w:adjustRightInd/>
              <w:snapToGrid/>
              <w:spacing w:line="360" w:lineRule="auto"/>
              <w:ind w:firstLine="480" w:firstLineChars="200"/>
              <w:jc w:val="both"/>
              <w:rPr>
                <w:rFonts w:ascii="Times New Roman" w:hAnsi="Times New Roman" w:cs="Times New Roman"/>
                <w:color w:val="auto"/>
                <w:sz w:val="24"/>
                <w:lang w:eastAsia="zh-CN"/>
              </w:rPr>
            </w:pPr>
          </w:p>
          <w:p w14:paraId="173D7EB0">
            <w:pPr>
              <w:kinsoku/>
              <w:adjustRightInd/>
              <w:snapToGrid/>
              <w:spacing w:line="360" w:lineRule="auto"/>
              <w:ind w:firstLine="480" w:firstLineChars="200"/>
              <w:jc w:val="both"/>
              <w:rPr>
                <w:rFonts w:ascii="Times New Roman" w:hAnsi="Times New Roman" w:cs="Times New Roman"/>
                <w:color w:val="auto"/>
                <w:sz w:val="24"/>
                <w:lang w:eastAsia="zh-CN"/>
              </w:rPr>
            </w:pPr>
          </w:p>
          <w:p w14:paraId="2D31E301">
            <w:pPr>
              <w:kinsoku/>
              <w:adjustRightInd/>
              <w:snapToGrid/>
              <w:spacing w:line="360" w:lineRule="auto"/>
              <w:ind w:firstLine="480" w:firstLineChars="200"/>
              <w:jc w:val="both"/>
              <w:rPr>
                <w:rFonts w:ascii="Times New Roman" w:hAnsi="Times New Roman" w:cs="Times New Roman"/>
                <w:color w:val="auto"/>
                <w:sz w:val="24"/>
                <w:lang w:eastAsia="zh-CN"/>
              </w:rPr>
            </w:pPr>
          </w:p>
          <w:p w14:paraId="6DDE78A0">
            <w:pPr>
              <w:kinsoku/>
              <w:adjustRightInd/>
              <w:snapToGrid/>
              <w:spacing w:line="360" w:lineRule="auto"/>
              <w:ind w:firstLine="480" w:firstLineChars="200"/>
              <w:jc w:val="both"/>
              <w:rPr>
                <w:rFonts w:ascii="Times New Roman" w:hAnsi="Times New Roman" w:cs="Times New Roman"/>
                <w:color w:val="auto"/>
                <w:sz w:val="24"/>
                <w:lang w:eastAsia="zh-CN"/>
              </w:rPr>
            </w:pPr>
          </w:p>
          <w:p w14:paraId="0AC6751C">
            <w:pPr>
              <w:kinsoku/>
              <w:adjustRightInd/>
              <w:snapToGrid/>
              <w:spacing w:line="360" w:lineRule="auto"/>
              <w:ind w:firstLine="480" w:firstLineChars="200"/>
              <w:jc w:val="both"/>
              <w:rPr>
                <w:rFonts w:ascii="Times New Roman" w:hAnsi="Times New Roman" w:cs="Times New Roman"/>
                <w:color w:val="auto"/>
                <w:sz w:val="24"/>
                <w:lang w:eastAsia="zh-CN"/>
              </w:rPr>
            </w:pPr>
          </w:p>
          <w:p w14:paraId="7A8764B2">
            <w:pPr>
              <w:kinsoku/>
              <w:adjustRightInd/>
              <w:snapToGrid/>
              <w:spacing w:line="360" w:lineRule="auto"/>
              <w:ind w:firstLine="480" w:firstLineChars="200"/>
              <w:jc w:val="both"/>
              <w:rPr>
                <w:rFonts w:ascii="Times New Roman" w:hAnsi="Times New Roman" w:cs="Times New Roman"/>
                <w:color w:val="auto"/>
                <w:sz w:val="24"/>
                <w:lang w:eastAsia="zh-CN"/>
              </w:rPr>
            </w:pPr>
          </w:p>
          <w:p w14:paraId="1015C793">
            <w:pPr>
              <w:kinsoku/>
              <w:adjustRightInd/>
              <w:snapToGrid/>
              <w:spacing w:line="360" w:lineRule="auto"/>
              <w:jc w:val="both"/>
              <w:rPr>
                <w:rFonts w:ascii="Times New Roman" w:hAnsi="Times New Roman" w:cs="Times New Roman"/>
                <w:color w:val="auto"/>
                <w:sz w:val="24"/>
                <w:lang w:eastAsia="zh-CN"/>
              </w:rPr>
            </w:pPr>
          </w:p>
          <w:p w14:paraId="4B718865">
            <w:pPr>
              <w:pStyle w:val="2"/>
              <w:rPr>
                <w:lang w:eastAsia="zh-CN"/>
              </w:rPr>
            </w:pPr>
          </w:p>
          <w:p w14:paraId="4FFA15A4">
            <w:pPr>
              <w:pStyle w:val="4"/>
              <w:rPr>
                <w:lang w:eastAsia="zh-CN"/>
              </w:rPr>
            </w:pPr>
          </w:p>
          <w:p w14:paraId="069044AE">
            <w:pPr>
              <w:pStyle w:val="4"/>
              <w:rPr>
                <w:lang w:eastAsia="zh-CN"/>
              </w:rPr>
            </w:pPr>
          </w:p>
        </w:tc>
      </w:tr>
    </w:tbl>
    <w:p w14:paraId="4C89191E">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tbl>
      <w:tblPr>
        <w:tblStyle w:val="22"/>
        <w:tblW w:w="51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4176"/>
      </w:tblGrid>
      <w:tr w14:paraId="072F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3" w:hRule="atLeast"/>
        </w:trPr>
        <w:tc>
          <w:tcPr>
            <w:tcW w:w="255" w:type="pct"/>
          </w:tcPr>
          <w:p w14:paraId="42956A71">
            <w:pPr>
              <w:pStyle w:val="7"/>
              <w:rPr>
                <w:rFonts w:ascii="Times New Roman" w:hAnsi="Times New Roman" w:cs="Times New Roman"/>
              </w:rPr>
            </w:pPr>
          </w:p>
        </w:tc>
        <w:tc>
          <w:tcPr>
            <w:tcW w:w="4744" w:type="pct"/>
          </w:tcPr>
          <w:p w14:paraId="79214305">
            <w:pPr>
              <w:widowControl w:val="0"/>
              <w:kinsoku/>
              <w:autoSpaceDE/>
              <w:autoSpaceDN/>
              <w:adjustRightInd/>
              <w:snapToGrid/>
              <w:jc w:val="center"/>
              <w:textAlignment w:val="auto"/>
              <w:rPr>
                <w:rFonts w:ascii="Times New Roman" w:hAnsi="Times New Roman" w:cs="Times New Roman"/>
                <w:b/>
                <w:bCs/>
                <w:sz w:val="24"/>
                <w:szCs w:val="32"/>
              </w:rPr>
            </w:pPr>
            <w:r>
              <w:rPr>
                <w:rFonts w:ascii="Times New Roman" w:hAnsi="Times New Roman" w:cs="Times New Roman"/>
                <w:b/>
                <w:bCs/>
                <w:sz w:val="24"/>
                <w:szCs w:val="32"/>
              </w:rPr>
              <w:t>表4-1  本项目有组织废气产生排放情况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47"/>
              <w:gridCol w:w="1005"/>
              <w:gridCol w:w="775"/>
              <w:gridCol w:w="1097"/>
              <w:gridCol w:w="1085"/>
              <w:gridCol w:w="1064"/>
              <w:gridCol w:w="2002"/>
              <w:gridCol w:w="841"/>
              <w:gridCol w:w="1309"/>
              <w:gridCol w:w="1067"/>
              <w:gridCol w:w="1091"/>
              <w:gridCol w:w="852"/>
            </w:tblGrid>
            <w:tr w14:paraId="548C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vAlign w:val="center"/>
                </w:tcPr>
                <w:p w14:paraId="0C150C15">
                  <w:pPr>
                    <w:pStyle w:val="33"/>
                    <w:adjustRightInd/>
                    <w:snapToGrid/>
                    <w:rPr>
                      <w:rFonts w:ascii="Times New Roman" w:hAnsi="Times New Roman" w:cs="Times New Roman"/>
                      <w:color w:val="auto"/>
                    </w:rPr>
                  </w:pPr>
                  <w:r>
                    <w:rPr>
                      <w:rFonts w:ascii="Times New Roman" w:hAnsi="Times New Roman" w:cs="Times New Roman"/>
                      <w:color w:val="auto"/>
                    </w:rPr>
                    <w:t>污染源</w:t>
                  </w:r>
                </w:p>
              </w:tc>
              <w:tc>
                <w:tcPr>
                  <w:tcW w:w="366" w:type="pct"/>
                  <w:vMerge w:val="restart"/>
                  <w:vAlign w:val="center"/>
                </w:tcPr>
                <w:p w14:paraId="1E7D3F72">
                  <w:pPr>
                    <w:pStyle w:val="33"/>
                    <w:adjustRightInd/>
                    <w:snapToGrid/>
                    <w:rPr>
                      <w:rFonts w:ascii="Times New Roman" w:hAnsi="Times New Roman" w:cs="Times New Roman"/>
                      <w:color w:val="auto"/>
                    </w:rPr>
                  </w:pPr>
                  <w:r>
                    <w:rPr>
                      <w:rFonts w:ascii="Times New Roman" w:hAnsi="Times New Roman" w:cs="Times New Roman"/>
                      <w:color w:val="auto"/>
                    </w:rPr>
                    <w:t>时间/h</w:t>
                  </w:r>
                </w:p>
              </w:tc>
              <w:tc>
                <w:tcPr>
                  <w:tcW w:w="352" w:type="pct"/>
                  <w:vMerge w:val="restart"/>
                  <w:vAlign w:val="center"/>
                </w:tcPr>
                <w:p w14:paraId="45F7CCA2">
                  <w:pPr>
                    <w:pStyle w:val="33"/>
                    <w:adjustRightInd/>
                    <w:snapToGrid/>
                    <w:rPr>
                      <w:rFonts w:ascii="Times New Roman" w:hAnsi="Times New Roman" w:cs="Times New Roman"/>
                      <w:color w:val="auto"/>
                    </w:rPr>
                  </w:pPr>
                  <w:r>
                    <w:rPr>
                      <w:rFonts w:ascii="Times New Roman" w:hAnsi="Times New Roman" w:cs="Times New Roman"/>
                      <w:color w:val="auto"/>
                    </w:rPr>
                    <w:t>风量m</w:t>
                  </w:r>
                  <w:r>
                    <w:rPr>
                      <w:rFonts w:ascii="Times New Roman" w:hAnsi="Times New Roman" w:cs="Times New Roman"/>
                      <w:color w:val="auto"/>
                      <w:vertAlign w:val="superscript"/>
                    </w:rPr>
                    <w:t>3</w:t>
                  </w:r>
                  <w:r>
                    <w:rPr>
                      <w:rFonts w:ascii="Times New Roman" w:hAnsi="Times New Roman" w:cs="Times New Roman"/>
                      <w:color w:val="auto"/>
                    </w:rPr>
                    <w:t>/h</w:t>
                  </w:r>
                </w:p>
              </w:tc>
              <w:tc>
                <w:tcPr>
                  <w:tcW w:w="275" w:type="pct"/>
                  <w:vMerge w:val="restart"/>
                  <w:vAlign w:val="center"/>
                </w:tcPr>
                <w:p w14:paraId="4E7242FC">
                  <w:pPr>
                    <w:pStyle w:val="33"/>
                    <w:adjustRightInd/>
                    <w:snapToGrid/>
                    <w:rPr>
                      <w:rFonts w:ascii="Times New Roman" w:hAnsi="Times New Roman" w:cs="Times New Roman"/>
                      <w:color w:val="auto"/>
                    </w:rPr>
                  </w:pPr>
                  <w:r>
                    <w:rPr>
                      <w:rFonts w:ascii="Times New Roman" w:hAnsi="Times New Roman" w:cs="Times New Roman"/>
                      <w:color w:val="auto"/>
                    </w:rPr>
                    <w:t>污染物</w:t>
                  </w:r>
                </w:p>
              </w:tc>
              <w:tc>
                <w:tcPr>
                  <w:tcW w:w="1134" w:type="pct"/>
                  <w:gridSpan w:val="3"/>
                  <w:vAlign w:val="center"/>
                </w:tcPr>
                <w:p w14:paraId="1080991D">
                  <w:pPr>
                    <w:pStyle w:val="33"/>
                    <w:adjustRightInd/>
                    <w:snapToGrid/>
                    <w:rPr>
                      <w:rFonts w:ascii="Times New Roman" w:hAnsi="Times New Roman" w:cs="Times New Roman"/>
                      <w:color w:val="auto"/>
                    </w:rPr>
                  </w:pPr>
                  <w:r>
                    <w:rPr>
                      <w:rFonts w:ascii="Times New Roman" w:hAnsi="Times New Roman" w:cs="Times New Roman"/>
                      <w:color w:val="auto"/>
                    </w:rPr>
                    <w:t>产生情况</w:t>
                  </w:r>
                </w:p>
              </w:tc>
              <w:tc>
                <w:tcPr>
                  <w:tcW w:w="686" w:type="pct"/>
                  <w:vMerge w:val="restart"/>
                  <w:vAlign w:val="center"/>
                </w:tcPr>
                <w:p w14:paraId="307E9FAA">
                  <w:pPr>
                    <w:pStyle w:val="33"/>
                    <w:adjustRightInd/>
                    <w:snapToGrid/>
                    <w:rPr>
                      <w:rFonts w:ascii="Times New Roman" w:hAnsi="Times New Roman" w:cs="Times New Roman"/>
                      <w:color w:val="auto"/>
                    </w:rPr>
                  </w:pPr>
                  <w:r>
                    <w:rPr>
                      <w:rFonts w:ascii="Times New Roman" w:hAnsi="Times New Roman" w:cs="Times New Roman"/>
                      <w:color w:val="auto"/>
                    </w:rPr>
                    <w:t>处理措施</w:t>
                  </w:r>
                </w:p>
              </w:tc>
              <w:tc>
                <w:tcPr>
                  <w:tcW w:w="297" w:type="pct"/>
                  <w:vMerge w:val="restart"/>
                  <w:vAlign w:val="center"/>
                </w:tcPr>
                <w:p w14:paraId="04C00418">
                  <w:pPr>
                    <w:pStyle w:val="33"/>
                    <w:adjustRightInd/>
                    <w:snapToGrid/>
                    <w:rPr>
                      <w:rFonts w:ascii="Times New Roman" w:hAnsi="Times New Roman" w:cs="Times New Roman"/>
                      <w:color w:val="auto"/>
                    </w:rPr>
                  </w:pPr>
                  <w:r>
                    <w:rPr>
                      <w:rFonts w:ascii="Times New Roman" w:hAnsi="Times New Roman" w:cs="Times New Roman"/>
                      <w:color w:val="auto"/>
                    </w:rPr>
                    <w:t>处理效率%</w:t>
                  </w:r>
                </w:p>
              </w:tc>
              <w:tc>
                <w:tcPr>
                  <w:tcW w:w="100" w:type="pct"/>
                  <w:gridSpan w:val="4"/>
                  <w:vAlign w:val="center"/>
                </w:tcPr>
                <w:p w14:paraId="5569BD32">
                  <w:pPr>
                    <w:pStyle w:val="33"/>
                    <w:adjustRightInd/>
                    <w:snapToGrid/>
                    <w:rPr>
                      <w:rFonts w:ascii="Times New Roman" w:hAnsi="Times New Roman" w:cs="Times New Roman"/>
                      <w:color w:val="auto"/>
                    </w:rPr>
                  </w:pPr>
                  <w:r>
                    <w:rPr>
                      <w:rFonts w:ascii="Times New Roman" w:hAnsi="Times New Roman" w:cs="Times New Roman"/>
                      <w:color w:val="auto"/>
                    </w:rPr>
                    <w:t>排放情况</w:t>
                  </w:r>
                </w:p>
              </w:tc>
            </w:tr>
            <w:tr w14:paraId="744D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14:paraId="1D0ED282">
                  <w:pPr>
                    <w:pStyle w:val="33"/>
                    <w:adjustRightInd/>
                    <w:snapToGrid/>
                    <w:rPr>
                      <w:rFonts w:ascii="Times New Roman" w:hAnsi="Times New Roman" w:cs="Times New Roman"/>
                      <w:color w:val="auto"/>
                    </w:rPr>
                  </w:pPr>
                </w:p>
              </w:tc>
              <w:tc>
                <w:tcPr>
                  <w:tcW w:w="366" w:type="pct"/>
                  <w:vMerge w:val="continue"/>
                  <w:vAlign w:val="center"/>
                </w:tcPr>
                <w:p w14:paraId="5CAE8477">
                  <w:pPr>
                    <w:pStyle w:val="33"/>
                    <w:adjustRightInd/>
                    <w:snapToGrid/>
                    <w:rPr>
                      <w:rFonts w:ascii="Times New Roman" w:hAnsi="Times New Roman" w:cs="Times New Roman"/>
                      <w:color w:val="auto"/>
                    </w:rPr>
                  </w:pPr>
                </w:p>
              </w:tc>
              <w:tc>
                <w:tcPr>
                  <w:tcW w:w="352" w:type="pct"/>
                  <w:vMerge w:val="continue"/>
                  <w:vAlign w:val="center"/>
                </w:tcPr>
                <w:p w14:paraId="2E1CAEC2">
                  <w:pPr>
                    <w:pStyle w:val="33"/>
                    <w:adjustRightInd/>
                    <w:snapToGrid/>
                    <w:rPr>
                      <w:rFonts w:ascii="Times New Roman" w:hAnsi="Times New Roman" w:cs="Times New Roman"/>
                      <w:color w:val="auto"/>
                    </w:rPr>
                  </w:pPr>
                </w:p>
              </w:tc>
              <w:tc>
                <w:tcPr>
                  <w:tcW w:w="275" w:type="pct"/>
                  <w:vMerge w:val="continue"/>
                  <w:vAlign w:val="center"/>
                </w:tcPr>
                <w:p w14:paraId="1D69270A">
                  <w:pPr>
                    <w:pStyle w:val="33"/>
                    <w:adjustRightInd/>
                    <w:snapToGrid/>
                    <w:rPr>
                      <w:rFonts w:ascii="Times New Roman" w:hAnsi="Times New Roman" w:cs="Times New Roman"/>
                      <w:color w:val="auto"/>
                    </w:rPr>
                  </w:pPr>
                </w:p>
              </w:tc>
              <w:tc>
                <w:tcPr>
                  <w:tcW w:w="383" w:type="pct"/>
                  <w:vAlign w:val="center"/>
                </w:tcPr>
                <w:p w14:paraId="660B66F3">
                  <w:pPr>
                    <w:pStyle w:val="33"/>
                    <w:adjustRightInd/>
                    <w:snapToGrid/>
                    <w:rPr>
                      <w:rFonts w:ascii="Times New Roman" w:hAnsi="Times New Roman" w:cs="Times New Roman"/>
                      <w:color w:val="auto"/>
                    </w:rPr>
                  </w:pPr>
                  <w:r>
                    <w:rPr>
                      <w:rFonts w:ascii="Times New Roman" w:hAnsi="Times New Roman" w:cs="Times New Roman"/>
                      <w:color w:val="auto"/>
                    </w:rPr>
                    <w:t>浓度mg/m</w:t>
                  </w:r>
                  <w:r>
                    <w:rPr>
                      <w:rFonts w:ascii="Times New Roman" w:hAnsi="Times New Roman" w:cs="Times New Roman"/>
                      <w:color w:val="auto"/>
                      <w:vertAlign w:val="superscript"/>
                    </w:rPr>
                    <w:t>3</w:t>
                  </w:r>
                </w:p>
              </w:tc>
              <w:tc>
                <w:tcPr>
                  <w:tcW w:w="379" w:type="pct"/>
                  <w:vAlign w:val="center"/>
                </w:tcPr>
                <w:p w14:paraId="5E795A95">
                  <w:pPr>
                    <w:pStyle w:val="33"/>
                    <w:adjustRightInd/>
                    <w:snapToGrid/>
                    <w:rPr>
                      <w:rFonts w:ascii="Times New Roman" w:hAnsi="Times New Roman" w:cs="Times New Roman"/>
                      <w:color w:val="auto"/>
                    </w:rPr>
                  </w:pPr>
                  <w:r>
                    <w:rPr>
                      <w:rFonts w:ascii="Times New Roman" w:hAnsi="Times New Roman" w:cs="Times New Roman"/>
                      <w:color w:val="auto"/>
                    </w:rPr>
                    <w:t>速率kg/h</w:t>
                  </w:r>
                </w:p>
              </w:tc>
              <w:tc>
                <w:tcPr>
                  <w:tcW w:w="372" w:type="pct"/>
                  <w:vAlign w:val="center"/>
                </w:tcPr>
                <w:p w14:paraId="7094EBF4">
                  <w:pPr>
                    <w:pStyle w:val="33"/>
                    <w:adjustRightInd/>
                    <w:snapToGrid/>
                    <w:rPr>
                      <w:rFonts w:ascii="Times New Roman" w:hAnsi="Times New Roman" w:cs="Times New Roman"/>
                      <w:color w:val="auto"/>
                    </w:rPr>
                  </w:pPr>
                  <w:r>
                    <w:rPr>
                      <w:rFonts w:ascii="Times New Roman" w:hAnsi="Times New Roman" w:cs="Times New Roman"/>
                      <w:color w:val="auto"/>
                    </w:rPr>
                    <w:t>产生量t/a</w:t>
                  </w:r>
                </w:p>
              </w:tc>
              <w:tc>
                <w:tcPr>
                  <w:tcW w:w="686" w:type="pct"/>
                  <w:vMerge w:val="continue"/>
                  <w:vAlign w:val="center"/>
                </w:tcPr>
                <w:p w14:paraId="1C2CEA13">
                  <w:pPr>
                    <w:pStyle w:val="33"/>
                    <w:adjustRightInd/>
                    <w:snapToGrid/>
                    <w:rPr>
                      <w:rFonts w:ascii="Times New Roman" w:hAnsi="Times New Roman" w:cs="Times New Roman"/>
                      <w:color w:val="auto"/>
                    </w:rPr>
                  </w:pPr>
                </w:p>
              </w:tc>
              <w:tc>
                <w:tcPr>
                  <w:tcW w:w="297" w:type="pct"/>
                  <w:vMerge w:val="continue"/>
                  <w:vAlign w:val="center"/>
                </w:tcPr>
                <w:p w14:paraId="021CAD41">
                  <w:pPr>
                    <w:pStyle w:val="33"/>
                    <w:adjustRightInd/>
                    <w:snapToGrid/>
                    <w:rPr>
                      <w:rFonts w:ascii="Times New Roman" w:hAnsi="Times New Roman" w:cs="Times New Roman"/>
                      <w:color w:val="auto"/>
                    </w:rPr>
                  </w:pPr>
                </w:p>
              </w:tc>
              <w:tc>
                <w:tcPr>
                  <w:tcW w:w="454" w:type="pct"/>
                  <w:vAlign w:val="center"/>
                </w:tcPr>
                <w:p w14:paraId="212F3BA1">
                  <w:pPr>
                    <w:pStyle w:val="33"/>
                    <w:adjustRightInd/>
                    <w:snapToGrid/>
                    <w:rPr>
                      <w:rFonts w:ascii="Times New Roman" w:hAnsi="Times New Roman" w:cs="Times New Roman"/>
                      <w:color w:val="auto"/>
                    </w:rPr>
                  </w:pPr>
                  <w:r>
                    <w:rPr>
                      <w:rFonts w:ascii="Times New Roman" w:hAnsi="Times New Roman" w:cs="Times New Roman"/>
                      <w:color w:val="auto"/>
                    </w:rPr>
                    <w:t>浓度mg/m</w:t>
                  </w:r>
                  <w:r>
                    <w:rPr>
                      <w:rFonts w:ascii="Times New Roman" w:hAnsi="Times New Roman" w:cs="Times New Roman"/>
                      <w:color w:val="auto"/>
                      <w:vertAlign w:val="superscript"/>
                    </w:rPr>
                    <w:t>3</w:t>
                  </w:r>
                </w:p>
              </w:tc>
              <w:tc>
                <w:tcPr>
                  <w:tcW w:w="373" w:type="pct"/>
                  <w:vAlign w:val="center"/>
                </w:tcPr>
                <w:p w14:paraId="2C0F5EFE">
                  <w:pPr>
                    <w:pStyle w:val="33"/>
                    <w:adjustRightInd/>
                    <w:snapToGrid/>
                    <w:rPr>
                      <w:rFonts w:ascii="Times New Roman" w:hAnsi="Times New Roman" w:cs="Times New Roman"/>
                      <w:color w:val="auto"/>
                    </w:rPr>
                  </w:pPr>
                  <w:r>
                    <w:rPr>
                      <w:rFonts w:ascii="Times New Roman" w:hAnsi="Times New Roman" w:cs="Times New Roman"/>
                      <w:color w:val="auto"/>
                    </w:rPr>
                    <w:t>速率kg/h</w:t>
                  </w:r>
                </w:p>
              </w:tc>
              <w:tc>
                <w:tcPr>
                  <w:tcW w:w="381" w:type="pct"/>
                  <w:vAlign w:val="center"/>
                </w:tcPr>
                <w:p w14:paraId="64BBF609">
                  <w:pPr>
                    <w:pStyle w:val="33"/>
                    <w:adjustRightInd/>
                    <w:snapToGrid/>
                    <w:rPr>
                      <w:rFonts w:ascii="Times New Roman" w:hAnsi="Times New Roman" w:cs="Times New Roman"/>
                      <w:color w:val="auto"/>
                    </w:rPr>
                  </w:pPr>
                  <w:r>
                    <w:rPr>
                      <w:rFonts w:ascii="Times New Roman" w:hAnsi="Times New Roman" w:cs="Times New Roman"/>
                      <w:color w:val="auto"/>
                    </w:rPr>
                    <w:t>排放量t/a</w:t>
                  </w:r>
                </w:p>
              </w:tc>
              <w:tc>
                <w:tcPr>
                  <w:tcW w:w="100" w:type="pct"/>
                  <w:vAlign w:val="center"/>
                </w:tcPr>
                <w:p w14:paraId="19DAA737">
                  <w:pPr>
                    <w:pStyle w:val="33"/>
                    <w:adjustRightInd/>
                    <w:snapToGrid/>
                    <w:rPr>
                      <w:rFonts w:ascii="Times New Roman" w:hAnsi="Times New Roman" w:cs="Times New Roman"/>
                      <w:color w:val="auto"/>
                    </w:rPr>
                  </w:pPr>
                  <w:r>
                    <w:rPr>
                      <w:rFonts w:ascii="Times New Roman" w:hAnsi="Times New Roman" w:cs="Times New Roman"/>
                      <w:color w:val="auto"/>
                    </w:rPr>
                    <w:t>排气筒</w:t>
                  </w:r>
                </w:p>
              </w:tc>
            </w:tr>
            <w:tr w14:paraId="79B7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14:paraId="629A2D9A">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下料、焊接、抛光</w:t>
                  </w:r>
                </w:p>
              </w:tc>
              <w:tc>
                <w:tcPr>
                  <w:tcW w:w="366" w:type="pct"/>
                  <w:vAlign w:val="center"/>
                </w:tcPr>
                <w:p w14:paraId="4FD45CF6">
                  <w:pPr>
                    <w:pStyle w:val="33"/>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2400</w:t>
                  </w:r>
                </w:p>
              </w:tc>
              <w:tc>
                <w:tcPr>
                  <w:tcW w:w="352" w:type="pct"/>
                  <w:vAlign w:val="center"/>
                </w:tcPr>
                <w:p w14:paraId="20FF386A">
                  <w:pPr>
                    <w:pStyle w:val="33"/>
                    <w:adjustRightInd/>
                    <w:snapToGrid/>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17000</w:t>
                  </w:r>
                </w:p>
              </w:tc>
              <w:tc>
                <w:tcPr>
                  <w:tcW w:w="275" w:type="pct"/>
                  <w:vAlign w:val="center"/>
                </w:tcPr>
                <w:p w14:paraId="7A23F553">
                  <w:pPr>
                    <w:pStyle w:val="33"/>
                    <w:adjustRightInd/>
                    <w:snapToGrid/>
                    <w:rPr>
                      <w:rFonts w:ascii="Times New Roman" w:hAnsi="Times New Roman" w:cs="Times New Roman"/>
                      <w:color w:val="auto"/>
                    </w:rPr>
                  </w:pPr>
                  <w:r>
                    <w:rPr>
                      <w:rFonts w:ascii="Times New Roman" w:hAnsi="Times New Roman" w:cs="Times New Roman"/>
                      <w:color w:val="auto"/>
                    </w:rPr>
                    <w:t>颗粒物</w:t>
                  </w:r>
                </w:p>
              </w:tc>
              <w:tc>
                <w:tcPr>
                  <w:tcW w:w="383" w:type="pct"/>
                  <w:vAlign w:val="center"/>
                </w:tcPr>
                <w:p w14:paraId="5087618B">
                  <w:pPr>
                    <w:pStyle w:val="33"/>
                    <w:adjustRightInd/>
                    <w:snapToGrid/>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188.23</w:t>
                  </w:r>
                </w:p>
              </w:tc>
              <w:tc>
                <w:tcPr>
                  <w:tcW w:w="379" w:type="pct"/>
                  <w:vAlign w:val="center"/>
                </w:tcPr>
                <w:p w14:paraId="74B5FD04">
                  <w:pPr>
                    <w:pStyle w:val="33"/>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3.2</w:t>
                  </w:r>
                </w:p>
              </w:tc>
              <w:tc>
                <w:tcPr>
                  <w:tcW w:w="372" w:type="pct"/>
                  <w:vAlign w:val="center"/>
                </w:tcPr>
                <w:p w14:paraId="04B87566">
                  <w:pPr>
                    <w:pStyle w:val="33"/>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7.672</w:t>
                  </w:r>
                </w:p>
              </w:tc>
              <w:tc>
                <w:tcPr>
                  <w:tcW w:w="686" w:type="pct"/>
                  <w:vAlign w:val="center"/>
                </w:tcPr>
                <w:p w14:paraId="337C6FBF">
                  <w:pPr>
                    <w:pStyle w:val="33"/>
                    <w:adjustRightInd/>
                    <w:snapToGrid/>
                    <w:rPr>
                      <w:rFonts w:ascii="Times New Roman" w:hAnsi="Times New Roman" w:cs="Times New Roman"/>
                      <w:color w:val="auto"/>
                    </w:rPr>
                  </w:pPr>
                  <w:r>
                    <w:rPr>
                      <w:rFonts w:ascii="Times New Roman" w:hAnsi="Times New Roman" w:cs="Times New Roman"/>
                      <w:color w:val="auto"/>
                    </w:rPr>
                    <w:t>经</w:t>
                  </w:r>
                  <w:r>
                    <w:rPr>
                      <w:rFonts w:ascii="Times New Roman" w:hAnsi="Times New Roman" w:cs="Times New Roman"/>
                      <w:color w:val="auto"/>
                      <w:lang w:eastAsia="zh-CN"/>
                    </w:rPr>
                    <w:t>集气罩收集</w:t>
                  </w:r>
                  <w:r>
                    <w:rPr>
                      <w:rFonts w:ascii="Times New Roman" w:hAnsi="Times New Roman" w:cs="Times New Roman"/>
                      <w:color w:val="auto"/>
                    </w:rPr>
                    <w:t>通过布袋除尘器处理后经15m排气筒（DA001）排放</w:t>
                  </w:r>
                </w:p>
              </w:tc>
              <w:tc>
                <w:tcPr>
                  <w:tcW w:w="297" w:type="pct"/>
                  <w:vAlign w:val="center"/>
                </w:tcPr>
                <w:p w14:paraId="47D7B3E0">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rPr>
                    <w:t>9</w:t>
                  </w:r>
                  <w:r>
                    <w:rPr>
                      <w:rFonts w:ascii="Times New Roman" w:hAnsi="Times New Roman" w:eastAsia="宋体" w:cs="Times New Roman"/>
                      <w:color w:val="auto"/>
                      <w:lang w:eastAsia="zh-CN"/>
                    </w:rPr>
                    <w:t>5</w:t>
                  </w:r>
                </w:p>
              </w:tc>
              <w:tc>
                <w:tcPr>
                  <w:tcW w:w="454" w:type="pct"/>
                  <w:vAlign w:val="center"/>
                </w:tcPr>
                <w:p w14:paraId="391C68C6">
                  <w:pPr>
                    <w:pStyle w:val="33"/>
                    <w:adjustRightInd/>
                    <w:snapToGrid/>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8.64</w:t>
                  </w:r>
                </w:p>
              </w:tc>
              <w:tc>
                <w:tcPr>
                  <w:tcW w:w="373" w:type="pct"/>
                  <w:vAlign w:val="center"/>
                </w:tcPr>
                <w:p w14:paraId="11EC49F3">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0.147</w:t>
                  </w:r>
                </w:p>
              </w:tc>
              <w:tc>
                <w:tcPr>
                  <w:tcW w:w="381" w:type="pct"/>
                  <w:vAlign w:val="center"/>
                </w:tcPr>
                <w:p w14:paraId="30DDB6D6">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0.354</w:t>
                  </w:r>
                </w:p>
              </w:tc>
              <w:tc>
                <w:tcPr>
                  <w:tcW w:w="100" w:type="pct"/>
                  <w:vAlign w:val="center"/>
                </w:tcPr>
                <w:p w14:paraId="44BBF520">
                  <w:pPr>
                    <w:pStyle w:val="33"/>
                    <w:adjustRightInd/>
                    <w:snapToGrid/>
                    <w:rPr>
                      <w:rFonts w:ascii="Times New Roman" w:hAnsi="Times New Roman" w:cs="Times New Roman"/>
                      <w:color w:val="auto"/>
                    </w:rPr>
                  </w:pPr>
                  <w:r>
                    <w:rPr>
                      <w:rFonts w:ascii="Times New Roman" w:hAnsi="Times New Roman" w:cs="Times New Roman"/>
                      <w:color w:val="auto"/>
                    </w:rPr>
                    <w:t>内径</w:t>
                  </w:r>
                  <w:r>
                    <w:rPr>
                      <w:rFonts w:ascii="Times New Roman" w:hAnsi="Times New Roman" w:cs="Times New Roman"/>
                      <w:color w:val="auto"/>
                      <w:lang w:eastAsia="zh-CN"/>
                    </w:rPr>
                    <w:t>0.5</w:t>
                  </w:r>
                  <w:r>
                    <w:rPr>
                      <w:rFonts w:ascii="Times New Roman" w:hAnsi="Times New Roman" w:cs="Times New Roman"/>
                      <w:color w:val="auto"/>
                    </w:rPr>
                    <w:t>m，高15m</w:t>
                  </w:r>
                </w:p>
              </w:tc>
            </w:tr>
            <w:tr w14:paraId="4B1A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Align w:val="center"/>
                </w:tcPr>
                <w:p w14:paraId="169F27B7">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喷塑</w:t>
                  </w:r>
                </w:p>
              </w:tc>
              <w:tc>
                <w:tcPr>
                  <w:tcW w:w="366" w:type="pct"/>
                  <w:vAlign w:val="center"/>
                </w:tcPr>
                <w:p w14:paraId="72C34C27">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1800</w:t>
                  </w:r>
                </w:p>
              </w:tc>
              <w:tc>
                <w:tcPr>
                  <w:tcW w:w="352" w:type="pct"/>
                  <w:vAlign w:val="center"/>
                </w:tcPr>
                <w:p w14:paraId="494D689B">
                  <w:pPr>
                    <w:pStyle w:val="33"/>
                    <w:adjustRightInd/>
                    <w:snapToGrid/>
                    <w:rPr>
                      <w:rFonts w:ascii="Times New Roman" w:hAnsi="Times New Roman" w:cs="Times New Roman"/>
                      <w:color w:val="auto"/>
                      <w:lang w:eastAsia="zh-CN"/>
                    </w:rPr>
                  </w:pPr>
                  <w:r>
                    <w:rPr>
                      <w:rFonts w:hint="eastAsia" w:ascii="Times New Roman" w:hAnsi="Times New Roman" w:cs="Times New Roman"/>
                      <w:color w:val="auto"/>
                      <w:lang w:eastAsia="zh-CN"/>
                    </w:rPr>
                    <w:t>3000</w:t>
                  </w:r>
                </w:p>
              </w:tc>
              <w:tc>
                <w:tcPr>
                  <w:tcW w:w="275" w:type="pct"/>
                  <w:vAlign w:val="center"/>
                </w:tcPr>
                <w:p w14:paraId="39B2E6A3">
                  <w:pPr>
                    <w:pStyle w:val="33"/>
                    <w:adjustRightInd/>
                    <w:snapToGrid/>
                    <w:rPr>
                      <w:rFonts w:ascii="Times New Roman" w:hAnsi="Times New Roman" w:cs="Times New Roman"/>
                      <w:color w:val="auto"/>
                    </w:rPr>
                  </w:pPr>
                  <w:r>
                    <w:rPr>
                      <w:rFonts w:ascii="Times New Roman" w:hAnsi="Times New Roman" w:cs="Times New Roman"/>
                      <w:color w:val="auto"/>
                    </w:rPr>
                    <w:t>颗粒物</w:t>
                  </w:r>
                </w:p>
              </w:tc>
              <w:tc>
                <w:tcPr>
                  <w:tcW w:w="383" w:type="pct"/>
                  <w:vAlign w:val="center"/>
                </w:tcPr>
                <w:p w14:paraId="1F46DD60">
                  <w:pPr>
                    <w:pStyle w:val="33"/>
                    <w:adjustRightInd/>
                    <w:snapToGrid/>
                    <w:rPr>
                      <w:rFonts w:ascii="Times New Roman" w:hAnsi="Times New Roman" w:eastAsia="宋体" w:cs="Times New Roman"/>
                      <w:color w:val="auto"/>
                      <w:lang w:eastAsia="zh-CN"/>
                    </w:rPr>
                  </w:pPr>
                  <w:r>
                    <w:rPr>
                      <w:rFonts w:hint="eastAsia" w:ascii="Times New Roman" w:hAnsi="Times New Roman" w:cs="Times New Roman"/>
                      <w:color w:val="auto"/>
                      <w:lang w:eastAsia="zh-CN"/>
                    </w:rPr>
                    <w:t>1948.33</w:t>
                  </w:r>
                </w:p>
              </w:tc>
              <w:tc>
                <w:tcPr>
                  <w:tcW w:w="379" w:type="pct"/>
                  <w:vAlign w:val="center"/>
                </w:tcPr>
                <w:p w14:paraId="7CA75D66">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5.845</w:t>
                  </w:r>
                </w:p>
              </w:tc>
              <w:tc>
                <w:tcPr>
                  <w:tcW w:w="372" w:type="pct"/>
                  <w:vAlign w:val="center"/>
                </w:tcPr>
                <w:p w14:paraId="3BB714BB">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10.521</w:t>
                  </w:r>
                </w:p>
              </w:tc>
              <w:tc>
                <w:tcPr>
                  <w:tcW w:w="686" w:type="pct"/>
                  <w:vAlign w:val="center"/>
                </w:tcPr>
                <w:p w14:paraId="79A31B61">
                  <w:pPr>
                    <w:pStyle w:val="33"/>
                    <w:adjustRightInd/>
                    <w:snapToGrid/>
                    <w:rPr>
                      <w:rFonts w:ascii="Times New Roman" w:hAnsi="Times New Roman" w:cs="Times New Roman"/>
                      <w:color w:val="auto"/>
                    </w:rPr>
                  </w:pPr>
                  <w:r>
                    <w:rPr>
                      <w:rFonts w:ascii="Times New Roman" w:hAnsi="Times New Roman" w:cs="Times New Roman"/>
                      <w:color w:val="auto"/>
                    </w:rPr>
                    <w:t>经</w:t>
                  </w:r>
                  <w:r>
                    <w:rPr>
                      <w:rFonts w:ascii="Times New Roman" w:hAnsi="Times New Roman" w:cs="Times New Roman"/>
                      <w:color w:val="auto"/>
                      <w:lang w:eastAsia="zh-CN"/>
                    </w:rPr>
                    <w:t>密闭负压收集</w:t>
                  </w:r>
                  <w:r>
                    <w:rPr>
                      <w:rFonts w:ascii="Times New Roman" w:hAnsi="Times New Roman" w:cs="Times New Roman"/>
                      <w:color w:val="auto"/>
                    </w:rPr>
                    <w:t>通过</w:t>
                  </w:r>
                  <w:r>
                    <w:rPr>
                      <w:rFonts w:ascii="Times New Roman" w:hAnsi="Times New Roman" w:cs="Times New Roman"/>
                      <w:color w:val="auto"/>
                      <w:lang w:eastAsia="zh-CN"/>
                    </w:rPr>
                    <w:t>滤芯除尘+布袋除尘器</w:t>
                  </w:r>
                  <w:r>
                    <w:rPr>
                      <w:rFonts w:ascii="Times New Roman" w:hAnsi="Times New Roman" w:cs="Times New Roman"/>
                      <w:color w:val="auto"/>
                    </w:rPr>
                    <w:t>处理后经15m排气筒（DA00</w:t>
                  </w:r>
                  <w:r>
                    <w:rPr>
                      <w:rFonts w:ascii="Times New Roman" w:hAnsi="Times New Roman" w:cs="Times New Roman"/>
                      <w:color w:val="auto"/>
                      <w:lang w:eastAsia="zh-CN"/>
                    </w:rPr>
                    <w:t>3</w:t>
                  </w:r>
                  <w:r>
                    <w:rPr>
                      <w:rFonts w:ascii="Times New Roman" w:hAnsi="Times New Roman" w:cs="Times New Roman"/>
                      <w:color w:val="auto"/>
                    </w:rPr>
                    <w:t>）排放</w:t>
                  </w:r>
                </w:p>
              </w:tc>
              <w:tc>
                <w:tcPr>
                  <w:tcW w:w="297" w:type="pct"/>
                  <w:vAlign w:val="center"/>
                </w:tcPr>
                <w:p w14:paraId="015E4317">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99</w:t>
                  </w:r>
                </w:p>
              </w:tc>
              <w:tc>
                <w:tcPr>
                  <w:tcW w:w="454" w:type="pct"/>
                  <w:vAlign w:val="center"/>
                </w:tcPr>
                <w:p w14:paraId="18407DBC">
                  <w:pPr>
                    <w:pStyle w:val="33"/>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18.67</w:t>
                  </w:r>
                </w:p>
              </w:tc>
              <w:tc>
                <w:tcPr>
                  <w:tcW w:w="373" w:type="pct"/>
                  <w:vAlign w:val="center"/>
                </w:tcPr>
                <w:p w14:paraId="7D24477F">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0.056</w:t>
                  </w:r>
                </w:p>
              </w:tc>
              <w:tc>
                <w:tcPr>
                  <w:tcW w:w="381" w:type="pct"/>
                  <w:vAlign w:val="center"/>
                </w:tcPr>
                <w:p w14:paraId="73D7D34C">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0.1</w:t>
                  </w:r>
                </w:p>
              </w:tc>
              <w:tc>
                <w:tcPr>
                  <w:tcW w:w="100" w:type="pct"/>
                  <w:vAlign w:val="center"/>
                </w:tcPr>
                <w:p w14:paraId="39D21274">
                  <w:pPr>
                    <w:pStyle w:val="33"/>
                    <w:adjustRightInd/>
                    <w:snapToGrid/>
                    <w:rPr>
                      <w:rFonts w:ascii="Times New Roman" w:hAnsi="Times New Roman" w:cs="Times New Roman"/>
                      <w:color w:val="auto"/>
                    </w:rPr>
                  </w:pPr>
                  <w:r>
                    <w:rPr>
                      <w:rFonts w:ascii="Times New Roman" w:hAnsi="Times New Roman" w:cs="Times New Roman"/>
                      <w:color w:val="auto"/>
                    </w:rPr>
                    <w:t>内径</w:t>
                  </w:r>
                  <w:r>
                    <w:rPr>
                      <w:rFonts w:ascii="Times New Roman" w:hAnsi="Times New Roman" w:cs="Times New Roman"/>
                      <w:color w:val="auto"/>
                      <w:lang w:eastAsia="zh-CN"/>
                    </w:rPr>
                    <w:t>0.2</w:t>
                  </w:r>
                  <w:r>
                    <w:rPr>
                      <w:rFonts w:ascii="Times New Roman" w:hAnsi="Times New Roman" w:cs="Times New Roman"/>
                      <w:color w:val="auto"/>
                    </w:rPr>
                    <w:t>m，高15m</w:t>
                  </w:r>
                </w:p>
              </w:tc>
            </w:tr>
            <w:tr w14:paraId="72CD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restart"/>
                  <w:vAlign w:val="center"/>
                </w:tcPr>
                <w:p w14:paraId="5EFBAAE7">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固化</w:t>
                  </w:r>
                </w:p>
              </w:tc>
              <w:tc>
                <w:tcPr>
                  <w:tcW w:w="366" w:type="pct"/>
                  <w:vMerge w:val="restart"/>
                  <w:vAlign w:val="center"/>
                </w:tcPr>
                <w:p w14:paraId="77D8503B">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1</w:t>
                  </w:r>
                  <w:r>
                    <w:rPr>
                      <w:rFonts w:hint="eastAsia" w:ascii="Times New Roman" w:hAnsi="Times New Roman" w:cs="Times New Roman"/>
                      <w:color w:val="auto"/>
                      <w:lang w:eastAsia="zh-CN"/>
                    </w:rPr>
                    <w:t>8</w:t>
                  </w:r>
                  <w:r>
                    <w:rPr>
                      <w:rFonts w:ascii="Times New Roman" w:hAnsi="Times New Roman" w:cs="Times New Roman"/>
                      <w:color w:val="auto"/>
                      <w:lang w:eastAsia="zh-CN"/>
                    </w:rPr>
                    <w:t>00</w:t>
                  </w:r>
                </w:p>
              </w:tc>
              <w:tc>
                <w:tcPr>
                  <w:tcW w:w="352" w:type="pct"/>
                  <w:vMerge w:val="restart"/>
                  <w:vAlign w:val="center"/>
                </w:tcPr>
                <w:p w14:paraId="408AF25A">
                  <w:pPr>
                    <w:pStyle w:val="33"/>
                    <w:adjustRightInd/>
                    <w:snapToGrid/>
                    <w:rPr>
                      <w:rFonts w:ascii="Times New Roman" w:hAnsi="Times New Roman" w:cs="Times New Roman"/>
                      <w:color w:val="auto"/>
                      <w:lang w:eastAsia="zh-CN"/>
                    </w:rPr>
                  </w:pPr>
                  <w:r>
                    <w:rPr>
                      <w:rFonts w:hint="eastAsia" w:ascii="Times New Roman" w:hAnsi="Times New Roman" w:cs="Times New Roman"/>
                      <w:color w:val="auto"/>
                      <w:lang w:eastAsia="zh-CN"/>
                    </w:rPr>
                    <w:t>3000</w:t>
                  </w:r>
                </w:p>
              </w:tc>
              <w:tc>
                <w:tcPr>
                  <w:tcW w:w="275" w:type="pct"/>
                  <w:vAlign w:val="center"/>
                </w:tcPr>
                <w:p w14:paraId="2D80378B">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非甲烷总烃</w:t>
                  </w:r>
                </w:p>
              </w:tc>
              <w:tc>
                <w:tcPr>
                  <w:tcW w:w="383" w:type="pct"/>
                  <w:vAlign w:val="center"/>
                </w:tcPr>
                <w:p w14:paraId="2ADFA8F6">
                  <w:pPr>
                    <w:pStyle w:val="33"/>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60.0</w:t>
                  </w:r>
                </w:p>
              </w:tc>
              <w:tc>
                <w:tcPr>
                  <w:tcW w:w="379" w:type="pct"/>
                  <w:vAlign w:val="center"/>
                </w:tcPr>
                <w:p w14:paraId="6161BA8F">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0.18</w:t>
                  </w:r>
                </w:p>
              </w:tc>
              <w:tc>
                <w:tcPr>
                  <w:tcW w:w="372" w:type="pct"/>
                  <w:vAlign w:val="center"/>
                </w:tcPr>
                <w:p w14:paraId="7D3EEDF1">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0.324</w:t>
                  </w:r>
                </w:p>
              </w:tc>
              <w:tc>
                <w:tcPr>
                  <w:tcW w:w="686" w:type="pct"/>
                  <w:vAlign w:val="center"/>
                </w:tcPr>
                <w:p w14:paraId="723B2943">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经集气罩收集+风冷+二级活性炭处理后通过15m排气筒排放（DA003）</w:t>
                  </w:r>
                </w:p>
              </w:tc>
              <w:tc>
                <w:tcPr>
                  <w:tcW w:w="297" w:type="pct"/>
                  <w:vAlign w:val="center"/>
                </w:tcPr>
                <w:p w14:paraId="62AAF323">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90</w:t>
                  </w:r>
                </w:p>
              </w:tc>
              <w:tc>
                <w:tcPr>
                  <w:tcW w:w="454" w:type="pct"/>
                  <w:vAlign w:val="center"/>
                </w:tcPr>
                <w:p w14:paraId="533E7309">
                  <w:pPr>
                    <w:pStyle w:val="33"/>
                    <w:adjustRightInd/>
                    <w:snapToGrid/>
                    <w:rPr>
                      <w:rFonts w:ascii="Times New Roman" w:hAnsi="Times New Roman" w:eastAsia="宋体" w:cs="Times New Roman"/>
                      <w:color w:val="auto"/>
                      <w:lang w:eastAsia="zh-CN"/>
                    </w:rPr>
                  </w:pPr>
                  <w:r>
                    <w:rPr>
                      <w:rFonts w:hint="eastAsia" w:ascii="Times New Roman" w:hAnsi="Times New Roman" w:cs="Times New Roman"/>
                      <w:color w:val="auto"/>
                      <w:lang w:eastAsia="zh-CN"/>
                    </w:rPr>
                    <w:t>5.67</w:t>
                  </w:r>
                </w:p>
              </w:tc>
              <w:tc>
                <w:tcPr>
                  <w:tcW w:w="373" w:type="pct"/>
                  <w:vAlign w:val="center"/>
                </w:tcPr>
                <w:p w14:paraId="1DCFFAA3">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0.017</w:t>
                  </w:r>
                </w:p>
              </w:tc>
              <w:tc>
                <w:tcPr>
                  <w:tcW w:w="381" w:type="pct"/>
                  <w:vAlign w:val="center"/>
                </w:tcPr>
                <w:p w14:paraId="4ECEF4F0">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0.031</w:t>
                  </w:r>
                </w:p>
              </w:tc>
              <w:tc>
                <w:tcPr>
                  <w:tcW w:w="100" w:type="pct"/>
                  <w:vMerge w:val="restart"/>
                  <w:vAlign w:val="center"/>
                </w:tcPr>
                <w:p w14:paraId="74977E17">
                  <w:pPr>
                    <w:pStyle w:val="33"/>
                    <w:adjustRightInd/>
                    <w:snapToGrid/>
                    <w:rPr>
                      <w:rFonts w:ascii="Times New Roman" w:hAnsi="Times New Roman" w:cs="Times New Roman"/>
                      <w:color w:val="auto"/>
                    </w:rPr>
                  </w:pPr>
                  <w:r>
                    <w:rPr>
                      <w:rFonts w:ascii="Times New Roman" w:hAnsi="Times New Roman" w:cs="Times New Roman"/>
                      <w:color w:val="auto"/>
                    </w:rPr>
                    <w:t>内径</w:t>
                  </w:r>
                  <w:r>
                    <w:rPr>
                      <w:rFonts w:ascii="Times New Roman" w:hAnsi="Times New Roman" w:cs="Times New Roman"/>
                      <w:color w:val="auto"/>
                      <w:lang w:eastAsia="zh-CN"/>
                    </w:rPr>
                    <w:t>0.</w:t>
                  </w:r>
                  <w:r>
                    <w:rPr>
                      <w:rFonts w:hint="eastAsia" w:ascii="Times New Roman" w:hAnsi="Times New Roman" w:cs="Times New Roman"/>
                      <w:color w:val="auto"/>
                      <w:lang w:eastAsia="zh-CN"/>
                    </w:rPr>
                    <w:t>2</w:t>
                  </w:r>
                  <w:r>
                    <w:rPr>
                      <w:rFonts w:ascii="Times New Roman" w:hAnsi="Times New Roman" w:cs="Times New Roman"/>
                      <w:color w:val="auto"/>
                    </w:rPr>
                    <w:t>m，高15m</w:t>
                  </w:r>
                </w:p>
              </w:tc>
            </w:tr>
            <w:tr w14:paraId="55AE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14:paraId="44A6A737">
                  <w:pPr>
                    <w:pStyle w:val="33"/>
                    <w:adjustRightInd/>
                    <w:snapToGrid/>
                    <w:rPr>
                      <w:rFonts w:ascii="Times New Roman" w:hAnsi="Times New Roman" w:cs="Times New Roman"/>
                      <w:color w:val="auto"/>
                      <w:lang w:eastAsia="zh-CN"/>
                    </w:rPr>
                  </w:pPr>
                </w:p>
              </w:tc>
              <w:tc>
                <w:tcPr>
                  <w:tcW w:w="366" w:type="pct"/>
                  <w:vMerge w:val="continue"/>
                  <w:vAlign w:val="center"/>
                </w:tcPr>
                <w:p w14:paraId="4869C538">
                  <w:pPr>
                    <w:pStyle w:val="33"/>
                    <w:adjustRightInd/>
                    <w:snapToGrid/>
                    <w:rPr>
                      <w:rFonts w:ascii="Times New Roman" w:hAnsi="Times New Roman" w:cs="Times New Roman"/>
                      <w:color w:val="auto"/>
                      <w:lang w:eastAsia="zh-CN"/>
                    </w:rPr>
                  </w:pPr>
                </w:p>
              </w:tc>
              <w:tc>
                <w:tcPr>
                  <w:tcW w:w="352" w:type="pct"/>
                  <w:vMerge w:val="continue"/>
                  <w:vAlign w:val="center"/>
                </w:tcPr>
                <w:p w14:paraId="1CBFBFD3">
                  <w:pPr>
                    <w:pStyle w:val="33"/>
                    <w:adjustRightInd/>
                    <w:snapToGrid/>
                    <w:rPr>
                      <w:rFonts w:ascii="Times New Roman" w:hAnsi="Times New Roman" w:cs="Times New Roman"/>
                      <w:color w:val="auto"/>
                      <w:lang w:eastAsia="zh-CN"/>
                    </w:rPr>
                  </w:pPr>
                </w:p>
              </w:tc>
              <w:tc>
                <w:tcPr>
                  <w:tcW w:w="275" w:type="pct"/>
                  <w:vAlign w:val="center"/>
                </w:tcPr>
                <w:p w14:paraId="032ECA43">
                  <w:pPr>
                    <w:pStyle w:val="33"/>
                    <w:adjustRightInd/>
                    <w:snapToGrid/>
                    <w:rPr>
                      <w:rFonts w:ascii="Times New Roman" w:hAnsi="Times New Roman" w:cs="Times New Roman"/>
                      <w:color w:val="auto"/>
                    </w:rPr>
                  </w:pPr>
                  <w:r>
                    <w:rPr>
                      <w:rFonts w:ascii="Times New Roman" w:hAnsi="Times New Roman" w:cs="Times New Roman"/>
                      <w:color w:val="auto"/>
                    </w:rPr>
                    <w:t>颗粒物</w:t>
                  </w:r>
                </w:p>
              </w:tc>
              <w:tc>
                <w:tcPr>
                  <w:tcW w:w="383" w:type="pct"/>
                  <w:vAlign w:val="center"/>
                </w:tcPr>
                <w:p w14:paraId="35122031">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9" w:type="pct"/>
                  <w:vAlign w:val="center"/>
                </w:tcPr>
                <w:p w14:paraId="1369C5F5">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2" w:type="pct"/>
                  <w:vAlign w:val="center"/>
                </w:tcPr>
                <w:p w14:paraId="5BDBFD6D">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0.015</w:t>
                  </w:r>
                </w:p>
              </w:tc>
              <w:tc>
                <w:tcPr>
                  <w:tcW w:w="686" w:type="pct"/>
                  <w:vAlign w:val="center"/>
                </w:tcPr>
                <w:p w14:paraId="21962BFF">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297" w:type="pct"/>
                  <w:vAlign w:val="center"/>
                </w:tcPr>
                <w:p w14:paraId="1922909C">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454" w:type="pct"/>
                  <w:vAlign w:val="center"/>
                </w:tcPr>
                <w:p w14:paraId="5E126246">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3" w:type="pct"/>
                  <w:vAlign w:val="center"/>
                </w:tcPr>
                <w:p w14:paraId="0250FAB7">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81" w:type="pct"/>
                  <w:vAlign w:val="center"/>
                </w:tcPr>
                <w:p w14:paraId="77AEE571">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0.015</w:t>
                  </w:r>
                </w:p>
              </w:tc>
              <w:tc>
                <w:tcPr>
                  <w:tcW w:w="100" w:type="pct"/>
                  <w:vMerge w:val="continue"/>
                  <w:vAlign w:val="center"/>
                </w:tcPr>
                <w:p w14:paraId="0BA50B47">
                  <w:pPr>
                    <w:pStyle w:val="33"/>
                    <w:adjustRightInd/>
                    <w:snapToGrid/>
                    <w:rPr>
                      <w:rFonts w:ascii="Times New Roman" w:hAnsi="Times New Roman" w:cs="Times New Roman"/>
                      <w:color w:val="auto"/>
                    </w:rPr>
                  </w:pPr>
                </w:p>
              </w:tc>
            </w:tr>
            <w:tr w14:paraId="3B30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14:paraId="1F3883D3">
                  <w:pPr>
                    <w:pStyle w:val="33"/>
                    <w:adjustRightInd/>
                    <w:snapToGrid/>
                    <w:rPr>
                      <w:rFonts w:ascii="Times New Roman" w:hAnsi="Times New Roman" w:cs="Times New Roman"/>
                      <w:color w:val="auto"/>
                      <w:lang w:eastAsia="zh-CN"/>
                    </w:rPr>
                  </w:pPr>
                </w:p>
              </w:tc>
              <w:tc>
                <w:tcPr>
                  <w:tcW w:w="366" w:type="pct"/>
                  <w:vMerge w:val="continue"/>
                  <w:vAlign w:val="center"/>
                </w:tcPr>
                <w:p w14:paraId="5625E887">
                  <w:pPr>
                    <w:pStyle w:val="33"/>
                    <w:adjustRightInd/>
                    <w:snapToGrid/>
                    <w:rPr>
                      <w:rFonts w:ascii="Times New Roman" w:hAnsi="Times New Roman" w:cs="Times New Roman"/>
                      <w:color w:val="auto"/>
                      <w:lang w:eastAsia="zh-CN"/>
                    </w:rPr>
                  </w:pPr>
                </w:p>
              </w:tc>
              <w:tc>
                <w:tcPr>
                  <w:tcW w:w="352" w:type="pct"/>
                  <w:vMerge w:val="continue"/>
                  <w:vAlign w:val="center"/>
                </w:tcPr>
                <w:p w14:paraId="075669B3">
                  <w:pPr>
                    <w:pStyle w:val="33"/>
                    <w:adjustRightInd/>
                    <w:snapToGrid/>
                    <w:rPr>
                      <w:rFonts w:ascii="Times New Roman" w:hAnsi="Times New Roman" w:cs="Times New Roman"/>
                      <w:color w:val="auto"/>
                      <w:lang w:eastAsia="zh-CN"/>
                    </w:rPr>
                  </w:pPr>
                </w:p>
              </w:tc>
              <w:tc>
                <w:tcPr>
                  <w:tcW w:w="275" w:type="pct"/>
                  <w:vAlign w:val="center"/>
                </w:tcPr>
                <w:p w14:paraId="1921A5A9">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氮氧化物</w:t>
                  </w:r>
                </w:p>
              </w:tc>
              <w:tc>
                <w:tcPr>
                  <w:tcW w:w="383" w:type="pct"/>
                  <w:vAlign w:val="center"/>
                </w:tcPr>
                <w:p w14:paraId="3ADD0FA0">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9" w:type="pct"/>
                  <w:vAlign w:val="center"/>
                </w:tcPr>
                <w:p w14:paraId="4DAD2EB0">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2" w:type="pct"/>
                  <w:vAlign w:val="center"/>
                </w:tcPr>
                <w:p w14:paraId="07E4ED4F">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0.066</w:t>
                  </w:r>
                </w:p>
              </w:tc>
              <w:tc>
                <w:tcPr>
                  <w:tcW w:w="686" w:type="pct"/>
                  <w:vAlign w:val="center"/>
                </w:tcPr>
                <w:p w14:paraId="74709B3B">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低氮燃烧器（国内一般）</w:t>
                  </w:r>
                </w:p>
              </w:tc>
              <w:tc>
                <w:tcPr>
                  <w:tcW w:w="297" w:type="pct"/>
                  <w:vAlign w:val="center"/>
                </w:tcPr>
                <w:p w14:paraId="1F0014BB">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30</w:t>
                  </w:r>
                </w:p>
              </w:tc>
              <w:tc>
                <w:tcPr>
                  <w:tcW w:w="454" w:type="pct"/>
                  <w:vAlign w:val="center"/>
                </w:tcPr>
                <w:p w14:paraId="61280BCB">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3" w:type="pct"/>
                  <w:vAlign w:val="center"/>
                </w:tcPr>
                <w:p w14:paraId="58595DFC">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81" w:type="pct"/>
                  <w:vAlign w:val="center"/>
                </w:tcPr>
                <w:p w14:paraId="77777452">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0.066</w:t>
                  </w:r>
                </w:p>
              </w:tc>
              <w:tc>
                <w:tcPr>
                  <w:tcW w:w="100" w:type="pct"/>
                  <w:vMerge w:val="continue"/>
                  <w:vAlign w:val="center"/>
                </w:tcPr>
                <w:p w14:paraId="3CB65D95">
                  <w:pPr>
                    <w:pStyle w:val="33"/>
                    <w:adjustRightInd/>
                    <w:snapToGrid/>
                    <w:rPr>
                      <w:rFonts w:ascii="Times New Roman" w:hAnsi="Times New Roman" w:cs="Times New Roman"/>
                      <w:color w:val="auto"/>
                    </w:rPr>
                  </w:pPr>
                </w:p>
              </w:tc>
            </w:tr>
            <w:tr w14:paraId="5924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3" w:type="pct"/>
                  <w:vMerge w:val="continue"/>
                  <w:vAlign w:val="center"/>
                </w:tcPr>
                <w:p w14:paraId="608AD93F">
                  <w:pPr>
                    <w:pStyle w:val="33"/>
                    <w:adjustRightInd/>
                    <w:snapToGrid/>
                    <w:rPr>
                      <w:rFonts w:ascii="Times New Roman" w:hAnsi="Times New Roman" w:cs="Times New Roman"/>
                      <w:color w:val="auto"/>
                      <w:lang w:eastAsia="zh-CN"/>
                    </w:rPr>
                  </w:pPr>
                </w:p>
              </w:tc>
              <w:tc>
                <w:tcPr>
                  <w:tcW w:w="366" w:type="pct"/>
                  <w:vMerge w:val="continue"/>
                  <w:vAlign w:val="center"/>
                </w:tcPr>
                <w:p w14:paraId="49BD3528">
                  <w:pPr>
                    <w:pStyle w:val="33"/>
                    <w:adjustRightInd/>
                    <w:snapToGrid/>
                    <w:rPr>
                      <w:rFonts w:ascii="Times New Roman" w:hAnsi="Times New Roman" w:cs="Times New Roman"/>
                      <w:color w:val="auto"/>
                      <w:lang w:eastAsia="zh-CN"/>
                    </w:rPr>
                  </w:pPr>
                </w:p>
              </w:tc>
              <w:tc>
                <w:tcPr>
                  <w:tcW w:w="352" w:type="pct"/>
                  <w:vMerge w:val="continue"/>
                  <w:vAlign w:val="center"/>
                </w:tcPr>
                <w:p w14:paraId="7AAD0F40">
                  <w:pPr>
                    <w:pStyle w:val="33"/>
                    <w:adjustRightInd/>
                    <w:snapToGrid/>
                    <w:rPr>
                      <w:rFonts w:ascii="Times New Roman" w:hAnsi="Times New Roman" w:cs="Times New Roman"/>
                      <w:color w:val="auto"/>
                      <w:lang w:eastAsia="zh-CN"/>
                    </w:rPr>
                  </w:pPr>
                </w:p>
              </w:tc>
              <w:tc>
                <w:tcPr>
                  <w:tcW w:w="275" w:type="pct"/>
                  <w:vAlign w:val="center"/>
                </w:tcPr>
                <w:p w14:paraId="5C2F14A4">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二氧化硫</w:t>
                  </w:r>
                </w:p>
              </w:tc>
              <w:tc>
                <w:tcPr>
                  <w:tcW w:w="383" w:type="pct"/>
                  <w:vAlign w:val="center"/>
                </w:tcPr>
                <w:p w14:paraId="1537C44D">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9" w:type="pct"/>
                  <w:vAlign w:val="center"/>
                </w:tcPr>
                <w:p w14:paraId="177286F5">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2" w:type="pct"/>
                  <w:vAlign w:val="center"/>
                </w:tcPr>
                <w:p w14:paraId="1FB01556">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0.02</w:t>
                  </w:r>
                </w:p>
              </w:tc>
              <w:tc>
                <w:tcPr>
                  <w:tcW w:w="686" w:type="pct"/>
                  <w:vAlign w:val="center"/>
                </w:tcPr>
                <w:p w14:paraId="412F3DCA">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297" w:type="pct"/>
                  <w:vAlign w:val="center"/>
                </w:tcPr>
                <w:p w14:paraId="4C62350A">
                  <w:pPr>
                    <w:pStyle w:val="33"/>
                    <w:adjustRightInd/>
                    <w:snapToGrid/>
                    <w:rPr>
                      <w:rFonts w:ascii="Times New Roman" w:hAnsi="Times New Roman" w:eastAsia="宋体" w:cs="Times New Roman"/>
                      <w:color w:val="auto"/>
                      <w:lang w:eastAsia="zh-CN"/>
                    </w:rPr>
                  </w:pPr>
                  <w:r>
                    <w:rPr>
                      <w:rFonts w:ascii="Times New Roman" w:hAnsi="Times New Roman" w:cs="Times New Roman"/>
                      <w:color w:val="auto"/>
                      <w:lang w:eastAsia="zh-CN"/>
                    </w:rPr>
                    <w:t>/</w:t>
                  </w:r>
                </w:p>
              </w:tc>
              <w:tc>
                <w:tcPr>
                  <w:tcW w:w="454" w:type="pct"/>
                  <w:vAlign w:val="center"/>
                </w:tcPr>
                <w:p w14:paraId="6E99A57C">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73" w:type="pct"/>
                  <w:vAlign w:val="center"/>
                </w:tcPr>
                <w:p w14:paraId="176E729F">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w:t>
                  </w:r>
                </w:p>
              </w:tc>
              <w:tc>
                <w:tcPr>
                  <w:tcW w:w="381" w:type="pct"/>
                  <w:vAlign w:val="center"/>
                </w:tcPr>
                <w:p w14:paraId="032FF8E2">
                  <w:pPr>
                    <w:pStyle w:val="33"/>
                    <w:adjustRightInd/>
                    <w:snapToGrid/>
                    <w:rPr>
                      <w:rFonts w:ascii="Times New Roman" w:hAnsi="Times New Roman" w:cs="Times New Roman"/>
                      <w:color w:val="auto"/>
                      <w:lang w:eastAsia="zh-CN"/>
                    </w:rPr>
                  </w:pPr>
                  <w:r>
                    <w:rPr>
                      <w:rFonts w:ascii="Times New Roman" w:hAnsi="Times New Roman" w:cs="Times New Roman"/>
                      <w:color w:val="auto"/>
                      <w:lang w:eastAsia="zh-CN"/>
                    </w:rPr>
                    <w:t>0.02</w:t>
                  </w:r>
                </w:p>
              </w:tc>
              <w:tc>
                <w:tcPr>
                  <w:tcW w:w="100" w:type="pct"/>
                  <w:vMerge w:val="continue"/>
                  <w:vAlign w:val="center"/>
                </w:tcPr>
                <w:p w14:paraId="626BB5A4">
                  <w:pPr>
                    <w:pStyle w:val="33"/>
                    <w:adjustRightInd/>
                    <w:snapToGrid/>
                    <w:rPr>
                      <w:rFonts w:ascii="Times New Roman" w:hAnsi="Times New Roman" w:cs="Times New Roman"/>
                      <w:color w:val="auto"/>
                    </w:rPr>
                  </w:pPr>
                </w:p>
              </w:tc>
            </w:tr>
          </w:tbl>
          <w:p w14:paraId="5C43A57A">
            <w:pPr>
              <w:widowControl w:val="0"/>
              <w:kinsoku/>
              <w:autoSpaceDE/>
              <w:autoSpaceDN/>
              <w:adjustRightInd/>
              <w:snapToGrid/>
              <w:jc w:val="center"/>
              <w:textAlignment w:val="auto"/>
              <w:rPr>
                <w:rFonts w:ascii="Times New Roman" w:hAnsi="Times New Roman" w:cs="Times New Roman"/>
                <w:b/>
                <w:bCs/>
                <w:sz w:val="24"/>
                <w:szCs w:val="32"/>
              </w:rPr>
            </w:pPr>
            <w:r>
              <w:rPr>
                <w:rFonts w:ascii="Times New Roman" w:hAnsi="Times New Roman" w:cs="Times New Roman"/>
                <w:b/>
                <w:bCs/>
                <w:sz w:val="24"/>
                <w:szCs w:val="32"/>
              </w:rPr>
              <w:t>表4-2  本项目无组织废气排放情况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2783"/>
              <w:gridCol w:w="2325"/>
              <w:gridCol w:w="2339"/>
              <w:gridCol w:w="2331"/>
              <w:gridCol w:w="2319"/>
            </w:tblGrid>
            <w:tr w14:paraId="7798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vAlign w:val="center"/>
                </w:tcPr>
                <w:p w14:paraId="2A30146F">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污染物来源</w:t>
                  </w:r>
                </w:p>
              </w:tc>
              <w:tc>
                <w:tcPr>
                  <w:tcW w:w="997" w:type="pct"/>
                  <w:vMerge w:val="restart"/>
                  <w:vAlign w:val="center"/>
                </w:tcPr>
                <w:p w14:paraId="118CBB5F">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污染物名称</w:t>
                  </w:r>
                </w:p>
              </w:tc>
              <w:tc>
                <w:tcPr>
                  <w:tcW w:w="1671" w:type="pct"/>
                  <w:gridSpan w:val="2"/>
                  <w:vAlign w:val="center"/>
                </w:tcPr>
                <w:p w14:paraId="5EFCE534">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排放情况</w:t>
                  </w:r>
                </w:p>
              </w:tc>
              <w:tc>
                <w:tcPr>
                  <w:tcW w:w="835" w:type="pct"/>
                  <w:vMerge w:val="restart"/>
                  <w:vAlign w:val="center"/>
                </w:tcPr>
                <w:p w14:paraId="26F1F6DA">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面源尺寸m*m</w:t>
                  </w:r>
                </w:p>
              </w:tc>
              <w:tc>
                <w:tcPr>
                  <w:tcW w:w="831" w:type="pct"/>
                  <w:vMerge w:val="restart"/>
                  <w:vAlign w:val="center"/>
                </w:tcPr>
                <w:p w14:paraId="2B97BF72">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面源高度m</w:t>
                  </w:r>
                </w:p>
              </w:tc>
            </w:tr>
            <w:tr w14:paraId="61AF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26C3F9E1">
                  <w:pPr>
                    <w:pStyle w:val="33"/>
                    <w:rPr>
                      <w:rFonts w:ascii="Times New Roman" w:hAnsi="Times New Roman" w:cs="Times New Roman"/>
                      <w:color w:val="000000" w:themeColor="text1"/>
                      <w14:textFill>
                        <w14:solidFill>
                          <w14:schemeClr w14:val="tx1"/>
                        </w14:solidFill>
                      </w14:textFill>
                    </w:rPr>
                  </w:pPr>
                </w:p>
              </w:tc>
              <w:tc>
                <w:tcPr>
                  <w:tcW w:w="997" w:type="pct"/>
                  <w:vMerge w:val="continue"/>
                  <w:vAlign w:val="center"/>
                </w:tcPr>
                <w:p w14:paraId="4755E29D">
                  <w:pPr>
                    <w:pStyle w:val="33"/>
                    <w:rPr>
                      <w:rFonts w:ascii="Times New Roman" w:hAnsi="Times New Roman" w:cs="Times New Roman"/>
                      <w:color w:val="000000" w:themeColor="text1"/>
                      <w14:textFill>
                        <w14:solidFill>
                          <w14:schemeClr w14:val="tx1"/>
                        </w14:solidFill>
                      </w14:textFill>
                    </w:rPr>
                  </w:pPr>
                </w:p>
              </w:tc>
              <w:tc>
                <w:tcPr>
                  <w:tcW w:w="833" w:type="pct"/>
                  <w:vAlign w:val="center"/>
                </w:tcPr>
                <w:p w14:paraId="44E36B84">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速率kg/h</w:t>
                  </w:r>
                </w:p>
              </w:tc>
              <w:tc>
                <w:tcPr>
                  <w:tcW w:w="838" w:type="pct"/>
                  <w:vAlign w:val="center"/>
                </w:tcPr>
                <w:p w14:paraId="63A06F8F">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产量t/a</w:t>
                  </w:r>
                </w:p>
              </w:tc>
              <w:tc>
                <w:tcPr>
                  <w:tcW w:w="835" w:type="pct"/>
                  <w:vMerge w:val="continue"/>
                  <w:vAlign w:val="center"/>
                </w:tcPr>
                <w:p w14:paraId="1CE49B2A">
                  <w:pPr>
                    <w:pStyle w:val="33"/>
                    <w:rPr>
                      <w:rFonts w:ascii="Times New Roman" w:hAnsi="Times New Roman" w:cs="Times New Roman"/>
                      <w:color w:val="000000" w:themeColor="text1"/>
                      <w14:textFill>
                        <w14:solidFill>
                          <w14:schemeClr w14:val="tx1"/>
                        </w14:solidFill>
                      </w14:textFill>
                    </w:rPr>
                  </w:pPr>
                </w:p>
              </w:tc>
              <w:tc>
                <w:tcPr>
                  <w:tcW w:w="831" w:type="pct"/>
                  <w:vMerge w:val="continue"/>
                  <w:vAlign w:val="center"/>
                </w:tcPr>
                <w:p w14:paraId="09216869">
                  <w:pPr>
                    <w:pStyle w:val="33"/>
                    <w:rPr>
                      <w:rFonts w:ascii="Times New Roman" w:hAnsi="Times New Roman" w:cs="Times New Roman"/>
                      <w:color w:val="000000" w:themeColor="text1"/>
                      <w14:textFill>
                        <w14:solidFill>
                          <w14:schemeClr w14:val="tx1"/>
                        </w14:solidFill>
                      </w14:textFill>
                    </w:rPr>
                  </w:pPr>
                </w:p>
              </w:tc>
            </w:tr>
            <w:tr w14:paraId="5934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restart"/>
                  <w:vAlign w:val="center"/>
                </w:tcPr>
                <w:p w14:paraId="1C8DA290">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生产车间</w:t>
                  </w:r>
                </w:p>
              </w:tc>
              <w:tc>
                <w:tcPr>
                  <w:tcW w:w="997" w:type="pct"/>
                  <w:vAlign w:val="center"/>
                </w:tcPr>
                <w:p w14:paraId="00A22876">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非甲烷总烃</w:t>
                  </w:r>
                </w:p>
              </w:tc>
              <w:tc>
                <w:tcPr>
                  <w:tcW w:w="833" w:type="pct"/>
                  <w:vAlign w:val="center"/>
                </w:tcPr>
                <w:p w14:paraId="67F6E88B">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0.013</w:t>
                  </w:r>
                </w:p>
              </w:tc>
              <w:tc>
                <w:tcPr>
                  <w:tcW w:w="838" w:type="pct"/>
                  <w:vAlign w:val="center"/>
                </w:tcPr>
                <w:p w14:paraId="064406C0">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0.032</w:t>
                  </w:r>
                </w:p>
              </w:tc>
              <w:tc>
                <w:tcPr>
                  <w:tcW w:w="835" w:type="pct"/>
                  <w:vMerge w:val="restart"/>
                  <w:vAlign w:val="center"/>
                </w:tcPr>
                <w:p w14:paraId="7AC3A20D">
                  <w:pPr>
                    <w:pStyle w:val="33"/>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71.2</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35.7</w:t>
                  </w:r>
                </w:p>
              </w:tc>
              <w:tc>
                <w:tcPr>
                  <w:tcW w:w="831" w:type="pct"/>
                  <w:vMerge w:val="restart"/>
                  <w:vAlign w:val="center"/>
                </w:tcPr>
                <w:p w14:paraId="3E2CD6AB">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10</w:t>
                  </w:r>
                </w:p>
              </w:tc>
            </w:tr>
            <w:tr w14:paraId="70C0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64" w:type="pct"/>
                  <w:vMerge w:val="continue"/>
                  <w:vAlign w:val="center"/>
                </w:tcPr>
                <w:p w14:paraId="3FE4119D">
                  <w:pPr>
                    <w:pStyle w:val="33"/>
                    <w:rPr>
                      <w:rFonts w:ascii="Times New Roman" w:hAnsi="Times New Roman" w:cs="Times New Roman"/>
                      <w:color w:val="000000" w:themeColor="text1"/>
                      <w14:textFill>
                        <w14:solidFill>
                          <w14:schemeClr w14:val="tx1"/>
                        </w14:solidFill>
                      </w14:textFill>
                    </w:rPr>
                  </w:pPr>
                </w:p>
              </w:tc>
              <w:tc>
                <w:tcPr>
                  <w:tcW w:w="997" w:type="pct"/>
                  <w:vAlign w:val="center"/>
                </w:tcPr>
                <w:p w14:paraId="2B84887B">
                  <w:pPr>
                    <w:pStyle w:val="33"/>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颗粒物</w:t>
                  </w:r>
                </w:p>
              </w:tc>
              <w:tc>
                <w:tcPr>
                  <w:tcW w:w="833" w:type="pct"/>
                  <w:vAlign w:val="center"/>
                </w:tcPr>
                <w:p w14:paraId="1674A55C">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0.482</w:t>
                  </w:r>
                </w:p>
              </w:tc>
              <w:tc>
                <w:tcPr>
                  <w:tcW w:w="838" w:type="pct"/>
                  <w:vAlign w:val="center"/>
                </w:tcPr>
                <w:p w14:paraId="13F889A0">
                  <w:pPr>
                    <w:pStyle w:val="33"/>
                    <w:rPr>
                      <w:rFonts w:ascii="Times New Roman" w:hAnsi="Times New Roman" w:eastAsia="宋体" w:cs="Times New Roman"/>
                      <w:color w:val="000000" w:themeColor="text1"/>
                      <w:lang w:eastAsia="zh-CN"/>
                      <w14:textFill>
                        <w14:solidFill>
                          <w14:schemeClr w14:val="tx1"/>
                        </w14:solidFill>
                      </w14:textFill>
                    </w:rPr>
                  </w:pPr>
                  <w:r>
                    <w:rPr>
                      <w:rFonts w:ascii="Times New Roman" w:hAnsi="Times New Roman" w:eastAsia="宋体" w:cs="Times New Roman"/>
                      <w:color w:val="000000" w:themeColor="text1"/>
                      <w:lang w:eastAsia="zh-CN"/>
                      <w14:textFill>
                        <w14:solidFill>
                          <w14:schemeClr w14:val="tx1"/>
                        </w14:solidFill>
                      </w14:textFill>
                    </w:rPr>
                    <w:t>1.157</w:t>
                  </w:r>
                </w:p>
              </w:tc>
              <w:tc>
                <w:tcPr>
                  <w:tcW w:w="835" w:type="pct"/>
                  <w:vMerge w:val="continue"/>
                  <w:vAlign w:val="center"/>
                </w:tcPr>
                <w:p w14:paraId="40C47260">
                  <w:pPr>
                    <w:pStyle w:val="33"/>
                    <w:rPr>
                      <w:rFonts w:ascii="Times New Roman" w:hAnsi="Times New Roman" w:cs="Times New Roman"/>
                      <w:color w:val="000000" w:themeColor="text1"/>
                      <w14:textFill>
                        <w14:solidFill>
                          <w14:schemeClr w14:val="tx1"/>
                        </w14:solidFill>
                      </w14:textFill>
                    </w:rPr>
                  </w:pPr>
                </w:p>
              </w:tc>
              <w:tc>
                <w:tcPr>
                  <w:tcW w:w="831" w:type="pct"/>
                  <w:vMerge w:val="continue"/>
                  <w:vAlign w:val="center"/>
                </w:tcPr>
                <w:p w14:paraId="4B64B001">
                  <w:pPr>
                    <w:pStyle w:val="33"/>
                    <w:rPr>
                      <w:rFonts w:ascii="Times New Roman" w:hAnsi="Times New Roman" w:cs="Times New Roman"/>
                      <w:color w:val="000000" w:themeColor="text1"/>
                      <w14:textFill>
                        <w14:solidFill>
                          <w14:schemeClr w14:val="tx1"/>
                        </w14:solidFill>
                      </w14:textFill>
                    </w:rPr>
                  </w:pPr>
                </w:p>
              </w:tc>
            </w:tr>
          </w:tbl>
          <w:p w14:paraId="3694D800">
            <w:pPr>
              <w:pStyle w:val="7"/>
              <w:ind w:left="0" w:firstLine="0"/>
              <w:rPr>
                <w:rFonts w:ascii="Times New Roman" w:hAnsi="Times New Roman" w:cs="Times New Roman"/>
                <w:color w:val="000000" w:themeColor="text1"/>
                <w14:textFill>
                  <w14:solidFill>
                    <w14:schemeClr w14:val="tx1"/>
                  </w14:solidFill>
                </w14:textFill>
              </w:rPr>
            </w:pPr>
          </w:p>
        </w:tc>
      </w:tr>
    </w:tbl>
    <w:p w14:paraId="3CDF3CBA">
      <w:pPr>
        <w:rPr>
          <w:rFonts w:ascii="Times New Roman" w:hAnsi="Times New Roman" w:cs="Times New Roman"/>
        </w:rPr>
        <w:sectPr>
          <w:pgSz w:w="16838" w:h="11906" w:orient="landscape"/>
          <w:pgMar w:top="1293" w:right="1270" w:bottom="1293" w:left="1270" w:header="851" w:footer="992" w:gutter="0"/>
          <w:cols w:space="425" w:num="1"/>
          <w:docGrid w:type="lines" w:linePitch="312" w:charSpace="0"/>
        </w:sectPr>
      </w:pP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93"/>
      </w:tblGrid>
      <w:tr w14:paraId="6D1B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tcPr>
          <w:p w14:paraId="5B2982B6">
            <w:pPr>
              <w:pStyle w:val="7"/>
              <w:rPr>
                <w:rFonts w:ascii="Times New Roman" w:hAnsi="Times New Roman" w:cs="Times New Roman"/>
              </w:rPr>
            </w:pPr>
          </w:p>
        </w:tc>
        <w:tc>
          <w:tcPr>
            <w:tcW w:w="4749" w:type="pct"/>
          </w:tcPr>
          <w:p w14:paraId="62886378">
            <w:pPr>
              <w:keepNext w:val="0"/>
              <w:keepLines w:val="0"/>
              <w:pageBreakBefore w:val="0"/>
              <w:widowControl/>
              <w:kinsoku w:val="0"/>
              <w:wordWrap/>
              <w:overflowPunct/>
              <w:topLinePunct w:val="0"/>
              <w:autoSpaceDE w:val="0"/>
              <w:autoSpaceDN w:val="0"/>
              <w:bidi w:val="0"/>
              <w:adjustRightInd/>
              <w:snapToGrid/>
              <w:spacing w:line="360" w:lineRule="auto"/>
              <w:textAlignment w:val="baseline"/>
              <w:rPr>
                <w:rFonts w:ascii="Times New Roman" w:hAnsi="Times New Roman" w:cs="Times New Roman"/>
                <w:b/>
                <w:bCs/>
                <w:sz w:val="24"/>
              </w:rPr>
            </w:pPr>
            <w:r>
              <w:rPr>
                <w:rFonts w:ascii="Times New Roman" w:hAnsi="Times New Roman" w:cs="Times New Roman"/>
                <w:b/>
                <w:bCs/>
                <w:sz w:val="24"/>
              </w:rPr>
              <w:t>2、排放口信息及自行监测</w:t>
            </w:r>
          </w:p>
          <w:p w14:paraId="255CED41">
            <w:pPr>
              <w:widowControl w:val="0"/>
              <w:kinsoku/>
              <w:autoSpaceDE/>
              <w:autoSpaceDN/>
              <w:snapToGrid/>
              <w:spacing w:line="360" w:lineRule="auto"/>
              <w:ind w:firstLine="480" w:firstLineChars="200"/>
              <w:textAlignment w:val="auto"/>
              <w:rPr>
                <w:rFonts w:ascii="Times New Roman" w:hAnsi="Times New Roman" w:cs="Times New Roman"/>
                <w:bCs/>
                <w:sz w:val="24"/>
                <w:szCs w:val="32"/>
              </w:rPr>
            </w:pPr>
            <w:r>
              <w:rPr>
                <w:rFonts w:ascii="Times New Roman" w:hAnsi="Times New Roman" w:cs="Times New Roman"/>
                <w:bCs/>
                <w:sz w:val="24"/>
                <w:szCs w:val="32"/>
              </w:rPr>
              <w:t>根据《排污单位自行监测技术指南 总则》（HJ819-2017）、《排污单位自行监测技术指南 涂装》（HJ1086-2020）</w:t>
            </w:r>
            <w:r>
              <w:rPr>
                <w:rFonts w:ascii="Times New Roman" w:hAnsi="Times New Roman" w:cs="Times New Roman"/>
                <w:bCs/>
                <w:sz w:val="24"/>
                <w:szCs w:val="32"/>
                <w:lang w:eastAsia="zh-CN"/>
              </w:rPr>
              <w:t>及</w:t>
            </w:r>
            <w:r>
              <w:rPr>
                <w:rFonts w:ascii="Times New Roman" w:hAnsi="Times New Roman" w:cs="Times New Roman"/>
                <w:bCs/>
                <w:sz w:val="24"/>
                <w:szCs w:val="32"/>
              </w:rPr>
              <w:t>相关要求，项目在投入运行后，需定期对项目污染源开展监测活动，具体如下所示。</w:t>
            </w:r>
          </w:p>
          <w:p w14:paraId="79069759">
            <w:pPr>
              <w:jc w:val="center"/>
              <w:rPr>
                <w:rFonts w:ascii="Times New Roman" w:hAnsi="Times New Roman" w:cs="Times New Roman"/>
                <w:b/>
                <w:bCs/>
                <w:sz w:val="24"/>
                <w:szCs w:val="32"/>
              </w:rPr>
            </w:pPr>
            <w:r>
              <w:rPr>
                <w:rFonts w:ascii="Times New Roman" w:hAnsi="Times New Roman" w:cs="Times New Roman"/>
                <w:b/>
                <w:bCs/>
                <w:sz w:val="24"/>
                <w:szCs w:val="32"/>
              </w:rPr>
              <w:t>表4-3  排放口信息及自行监测一览表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261"/>
              <w:gridCol w:w="885"/>
              <w:gridCol w:w="843"/>
              <w:gridCol w:w="1536"/>
              <w:gridCol w:w="1434"/>
              <w:gridCol w:w="1067"/>
            </w:tblGrid>
            <w:tr w14:paraId="2319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restart"/>
                  <w:tcBorders>
                    <w:top w:val="single" w:color="auto" w:sz="4" w:space="0"/>
                    <w:left w:val="single" w:color="auto" w:sz="4" w:space="0"/>
                    <w:bottom w:val="single" w:color="auto" w:sz="4" w:space="0"/>
                    <w:right w:val="single" w:color="auto" w:sz="4" w:space="0"/>
                  </w:tcBorders>
                  <w:vAlign w:val="center"/>
                </w:tcPr>
                <w:p w14:paraId="0CE92F24">
                  <w:pPr>
                    <w:jc w:val="center"/>
                    <w:rPr>
                      <w:rFonts w:ascii="Times New Roman" w:hAnsi="Times New Roman" w:cs="Times New Roman"/>
                    </w:rPr>
                  </w:pPr>
                  <w:r>
                    <w:rPr>
                      <w:rFonts w:ascii="Times New Roman" w:hAnsi="Times New Roman" w:cs="Times New Roman"/>
                    </w:rPr>
                    <w:t>排放口编号</w:t>
                  </w:r>
                </w:p>
              </w:tc>
              <w:tc>
                <w:tcPr>
                  <w:tcW w:w="802" w:type="pct"/>
                  <w:vMerge w:val="restart"/>
                  <w:tcBorders>
                    <w:top w:val="single" w:color="auto" w:sz="4" w:space="0"/>
                    <w:left w:val="nil"/>
                    <w:bottom w:val="single" w:color="auto" w:sz="4" w:space="0"/>
                    <w:right w:val="single" w:color="auto" w:sz="4" w:space="0"/>
                  </w:tcBorders>
                  <w:vAlign w:val="center"/>
                </w:tcPr>
                <w:p w14:paraId="68C22AA7">
                  <w:pPr>
                    <w:jc w:val="center"/>
                    <w:rPr>
                      <w:rFonts w:ascii="Times New Roman" w:hAnsi="Times New Roman" w:cs="Times New Roman"/>
                    </w:rPr>
                  </w:pPr>
                  <w:r>
                    <w:rPr>
                      <w:rFonts w:ascii="Times New Roman" w:hAnsi="Times New Roman" w:cs="Times New Roman"/>
                    </w:rPr>
                    <w:t>污染物种类</w:t>
                  </w:r>
                </w:p>
              </w:tc>
              <w:tc>
                <w:tcPr>
                  <w:tcW w:w="563" w:type="pct"/>
                  <w:vMerge w:val="restart"/>
                  <w:tcBorders>
                    <w:top w:val="single" w:color="auto" w:sz="4" w:space="0"/>
                    <w:left w:val="nil"/>
                    <w:bottom w:val="single" w:color="auto" w:sz="4" w:space="0"/>
                    <w:right w:val="single" w:color="auto" w:sz="4" w:space="0"/>
                  </w:tcBorders>
                  <w:vAlign w:val="center"/>
                </w:tcPr>
                <w:p w14:paraId="7BEB39CE">
                  <w:pPr>
                    <w:jc w:val="center"/>
                    <w:rPr>
                      <w:rFonts w:ascii="Times New Roman" w:hAnsi="Times New Roman" w:cs="Times New Roman"/>
                    </w:rPr>
                  </w:pPr>
                  <w:r>
                    <w:rPr>
                      <w:rFonts w:ascii="Times New Roman" w:hAnsi="Times New Roman" w:cs="Times New Roman"/>
                    </w:rPr>
                    <w:t>排气筒高度m</w:t>
                  </w:r>
                </w:p>
              </w:tc>
              <w:tc>
                <w:tcPr>
                  <w:tcW w:w="536" w:type="pct"/>
                  <w:vMerge w:val="restart"/>
                  <w:tcBorders>
                    <w:top w:val="single" w:color="auto" w:sz="4" w:space="0"/>
                    <w:left w:val="nil"/>
                    <w:bottom w:val="single" w:color="auto" w:sz="4" w:space="0"/>
                    <w:right w:val="single" w:color="auto" w:sz="4" w:space="0"/>
                  </w:tcBorders>
                  <w:vAlign w:val="center"/>
                </w:tcPr>
                <w:p w14:paraId="0A159EAF">
                  <w:pPr>
                    <w:jc w:val="center"/>
                    <w:rPr>
                      <w:rFonts w:ascii="Times New Roman" w:hAnsi="Times New Roman" w:cs="Times New Roman"/>
                    </w:rPr>
                  </w:pPr>
                  <w:r>
                    <w:rPr>
                      <w:rFonts w:ascii="Times New Roman" w:hAnsi="Times New Roman" w:cs="Times New Roman"/>
                    </w:rPr>
                    <w:t>内径m</w:t>
                  </w:r>
                </w:p>
              </w:tc>
              <w:tc>
                <w:tcPr>
                  <w:tcW w:w="1888" w:type="pct"/>
                  <w:gridSpan w:val="2"/>
                  <w:tcBorders>
                    <w:top w:val="single" w:color="auto" w:sz="4" w:space="0"/>
                    <w:left w:val="nil"/>
                    <w:bottom w:val="single" w:color="auto" w:sz="4" w:space="0"/>
                    <w:right w:val="single" w:color="auto" w:sz="4" w:space="0"/>
                  </w:tcBorders>
                  <w:vAlign w:val="center"/>
                </w:tcPr>
                <w:p w14:paraId="7A754303">
                  <w:pPr>
                    <w:jc w:val="center"/>
                    <w:rPr>
                      <w:rFonts w:ascii="Times New Roman" w:hAnsi="Times New Roman" w:cs="Times New Roman"/>
                    </w:rPr>
                  </w:pPr>
                  <w:r>
                    <w:rPr>
                      <w:rFonts w:ascii="Times New Roman" w:hAnsi="Times New Roman" w:cs="Times New Roman"/>
                    </w:rPr>
                    <w:t>坐标</w:t>
                  </w:r>
                </w:p>
              </w:tc>
              <w:tc>
                <w:tcPr>
                  <w:tcW w:w="678" w:type="pct"/>
                  <w:vMerge w:val="restart"/>
                  <w:tcBorders>
                    <w:top w:val="single" w:color="auto" w:sz="4" w:space="0"/>
                    <w:left w:val="nil"/>
                    <w:right w:val="single" w:color="auto" w:sz="4" w:space="0"/>
                  </w:tcBorders>
                  <w:vAlign w:val="center"/>
                </w:tcPr>
                <w:p w14:paraId="7F98C711">
                  <w:pPr>
                    <w:jc w:val="center"/>
                    <w:rPr>
                      <w:rFonts w:ascii="Times New Roman" w:hAnsi="Times New Roman" w:cs="Times New Roman"/>
                    </w:rPr>
                  </w:pPr>
                  <w:r>
                    <w:rPr>
                      <w:rFonts w:ascii="Times New Roman" w:hAnsi="Times New Roman" w:cs="Times New Roman"/>
                    </w:rPr>
                    <w:t>监测频次</w:t>
                  </w:r>
                </w:p>
              </w:tc>
            </w:tr>
            <w:tr w14:paraId="1578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continue"/>
                  <w:tcBorders>
                    <w:top w:val="single" w:color="auto" w:sz="4" w:space="0"/>
                    <w:left w:val="single" w:color="auto" w:sz="4" w:space="0"/>
                    <w:bottom w:val="single" w:color="auto" w:sz="4" w:space="0"/>
                    <w:right w:val="single" w:color="auto" w:sz="4" w:space="0"/>
                  </w:tcBorders>
                  <w:vAlign w:val="center"/>
                </w:tcPr>
                <w:p w14:paraId="3145F78A">
                  <w:pPr>
                    <w:jc w:val="center"/>
                    <w:rPr>
                      <w:rFonts w:ascii="Times New Roman" w:hAnsi="Times New Roman" w:cs="Times New Roman"/>
                    </w:rPr>
                  </w:pPr>
                </w:p>
              </w:tc>
              <w:tc>
                <w:tcPr>
                  <w:tcW w:w="802" w:type="pct"/>
                  <w:vMerge w:val="continue"/>
                  <w:tcBorders>
                    <w:top w:val="single" w:color="auto" w:sz="4" w:space="0"/>
                    <w:left w:val="nil"/>
                    <w:bottom w:val="single" w:color="auto" w:sz="4" w:space="0"/>
                    <w:right w:val="single" w:color="auto" w:sz="4" w:space="0"/>
                  </w:tcBorders>
                  <w:vAlign w:val="center"/>
                </w:tcPr>
                <w:p w14:paraId="64362E37">
                  <w:pPr>
                    <w:jc w:val="center"/>
                    <w:rPr>
                      <w:rFonts w:ascii="Times New Roman" w:hAnsi="Times New Roman" w:cs="Times New Roman"/>
                    </w:rPr>
                  </w:pPr>
                </w:p>
              </w:tc>
              <w:tc>
                <w:tcPr>
                  <w:tcW w:w="563" w:type="pct"/>
                  <w:vMerge w:val="continue"/>
                  <w:tcBorders>
                    <w:top w:val="single" w:color="auto" w:sz="4" w:space="0"/>
                    <w:left w:val="nil"/>
                    <w:bottom w:val="single" w:color="auto" w:sz="4" w:space="0"/>
                    <w:right w:val="single" w:color="auto" w:sz="4" w:space="0"/>
                  </w:tcBorders>
                  <w:vAlign w:val="center"/>
                </w:tcPr>
                <w:p w14:paraId="0D97DFF5">
                  <w:pPr>
                    <w:jc w:val="center"/>
                    <w:rPr>
                      <w:rFonts w:ascii="Times New Roman" w:hAnsi="Times New Roman" w:cs="Times New Roman"/>
                    </w:rPr>
                  </w:pPr>
                </w:p>
              </w:tc>
              <w:tc>
                <w:tcPr>
                  <w:tcW w:w="536" w:type="pct"/>
                  <w:vMerge w:val="continue"/>
                  <w:tcBorders>
                    <w:top w:val="single" w:color="auto" w:sz="4" w:space="0"/>
                    <w:left w:val="nil"/>
                    <w:bottom w:val="single" w:color="auto" w:sz="4" w:space="0"/>
                    <w:right w:val="single" w:color="auto" w:sz="4" w:space="0"/>
                  </w:tcBorders>
                  <w:vAlign w:val="center"/>
                </w:tcPr>
                <w:p w14:paraId="167763AB">
                  <w:pPr>
                    <w:jc w:val="center"/>
                    <w:rPr>
                      <w:rFonts w:ascii="Times New Roman" w:hAnsi="Times New Roman" w:cs="Times New Roman"/>
                    </w:rPr>
                  </w:pPr>
                </w:p>
              </w:tc>
              <w:tc>
                <w:tcPr>
                  <w:tcW w:w="976" w:type="pct"/>
                  <w:tcBorders>
                    <w:top w:val="single" w:color="auto" w:sz="4" w:space="0"/>
                    <w:left w:val="nil"/>
                    <w:bottom w:val="single" w:color="auto" w:sz="4" w:space="0"/>
                    <w:right w:val="single" w:color="auto" w:sz="4" w:space="0"/>
                  </w:tcBorders>
                  <w:vAlign w:val="center"/>
                </w:tcPr>
                <w:p w14:paraId="7D374A4B">
                  <w:pPr>
                    <w:jc w:val="center"/>
                    <w:rPr>
                      <w:rFonts w:ascii="Times New Roman" w:hAnsi="Times New Roman" w:cs="Times New Roman"/>
                    </w:rPr>
                  </w:pPr>
                  <w:r>
                    <w:rPr>
                      <w:rFonts w:ascii="Times New Roman" w:hAnsi="Times New Roman" w:cs="Times New Roman"/>
                    </w:rPr>
                    <w:t>经度</w:t>
                  </w:r>
                </w:p>
              </w:tc>
              <w:tc>
                <w:tcPr>
                  <w:tcW w:w="911" w:type="pct"/>
                  <w:tcBorders>
                    <w:top w:val="single" w:color="auto" w:sz="4" w:space="0"/>
                    <w:left w:val="nil"/>
                    <w:bottom w:val="single" w:color="auto" w:sz="4" w:space="0"/>
                    <w:right w:val="single" w:color="auto" w:sz="4" w:space="0"/>
                  </w:tcBorders>
                  <w:vAlign w:val="center"/>
                </w:tcPr>
                <w:p w14:paraId="4D2A21C5">
                  <w:pPr>
                    <w:jc w:val="center"/>
                    <w:rPr>
                      <w:rFonts w:ascii="Times New Roman" w:hAnsi="Times New Roman" w:cs="Times New Roman"/>
                    </w:rPr>
                  </w:pPr>
                  <w:r>
                    <w:rPr>
                      <w:rFonts w:ascii="Times New Roman" w:hAnsi="Times New Roman" w:cs="Times New Roman"/>
                    </w:rPr>
                    <w:t>纬度</w:t>
                  </w:r>
                </w:p>
              </w:tc>
              <w:tc>
                <w:tcPr>
                  <w:tcW w:w="678" w:type="pct"/>
                  <w:vMerge w:val="continue"/>
                  <w:tcBorders>
                    <w:left w:val="nil"/>
                    <w:bottom w:val="single" w:color="auto" w:sz="4" w:space="0"/>
                    <w:right w:val="single" w:color="auto" w:sz="4" w:space="0"/>
                  </w:tcBorders>
                  <w:vAlign w:val="center"/>
                </w:tcPr>
                <w:p w14:paraId="645E6C97">
                  <w:pPr>
                    <w:jc w:val="center"/>
                    <w:rPr>
                      <w:rFonts w:ascii="Times New Roman" w:hAnsi="Times New Roman" w:cs="Times New Roman"/>
                    </w:rPr>
                  </w:pPr>
                </w:p>
              </w:tc>
            </w:tr>
            <w:tr w14:paraId="66FB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tcBorders>
                    <w:top w:val="single" w:color="auto" w:sz="4" w:space="0"/>
                    <w:left w:val="single" w:color="auto" w:sz="4" w:space="0"/>
                    <w:right w:val="single" w:color="auto" w:sz="4" w:space="0"/>
                  </w:tcBorders>
                  <w:vAlign w:val="center"/>
                </w:tcPr>
                <w:p w14:paraId="53253AEA">
                  <w:pPr>
                    <w:jc w:val="center"/>
                    <w:rPr>
                      <w:rFonts w:ascii="Times New Roman" w:hAnsi="Times New Roman" w:cs="Times New Roman"/>
                    </w:rPr>
                  </w:pPr>
                  <w:r>
                    <w:rPr>
                      <w:rFonts w:ascii="Times New Roman" w:hAnsi="Times New Roman" w:cs="Times New Roman"/>
                    </w:rPr>
                    <w:t>DA001</w:t>
                  </w:r>
                </w:p>
              </w:tc>
              <w:tc>
                <w:tcPr>
                  <w:tcW w:w="802" w:type="pct"/>
                  <w:tcBorders>
                    <w:top w:val="single" w:color="auto" w:sz="4" w:space="0"/>
                    <w:left w:val="nil"/>
                    <w:bottom w:val="single" w:color="auto" w:sz="4" w:space="0"/>
                    <w:right w:val="single" w:color="auto" w:sz="4" w:space="0"/>
                  </w:tcBorders>
                  <w:vAlign w:val="center"/>
                </w:tcPr>
                <w:p w14:paraId="5651F56E">
                  <w:pPr>
                    <w:pStyle w:val="33"/>
                    <w:rPr>
                      <w:rFonts w:ascii="Times New Roman" w:hAnsi="Times New Roman" w:cs="Times New Roman"/>
                    </w:rPr>
                  </w:pPr>
                  <w:r>
                    <w:rPr>
                      <w:rFonts w:ascii="Times New Roman" w:hAnsi="Times New Roman" w:cs="Times New Roman"/>
                    </w:rPr>
                    <w:t>颗粒物</w:t>
                  </w:r>
                </w:p>
              </w:tc>
              <w:tc>
                <w:tcPr>
                  <w:tcW w:w="563" w:type="pct"/>
                  <w:tcBorders>
                    <w:top w:val="single" w:color="auto" w:sz="4" w:space="0"/>
                    <w:left w:val="nil"/>
                    <w:right w:val="single" w:color="auto" w:sz="4" w:space="0"/>
                  </w:tcBorders>
                  <w:vAlign w:val="center"/>
                </w:tcPr>
                <w:p w14:paraId="21414F4F">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536" w:type="pct"/>
                  <w:tcBorders>
                    <w:top w:val="single" w:color="auto" w:sz="4" w:space="0"/>
                    <w:left w:val="nil"/>
                    <w:right w:val="single" w:color="auto" w:sz="4" w:space="0"/>
                  </w:tcBorders>
                  <w:vAlign w:val="center"/>
                </w:tcPr>
                <w:p w14:paraId="618C5513">
                  <w:pPr>
                    <w:jc w:val="center"/>
                    <w:rPr>
                      <w:rFonts w:ascii="Times New Roman" w:hAnsi="Times New Roman" w:eastAsia="宋体" w:cs="Times New Roman"/>
                      <w:lang w:eastAsia="zh-CN"/>
                    </w:rPr>
                  </w:pPr>
                  <w:r>
                    <w:rPr>
                      <w:rFonts w:ascii="Times New Roman" w:hAnsi="Times New Roman" w:eastAsia="宋体" w:cs="Times New Roman"/>
                      <w:lang w:eastAsia="zh-CN"/>
                    </w:rPr>
                    <w:t>0.5</w:t>
                  </w:r>
                </w:p>
              </w:tc>
              <w:tc>
                <w:tcPr>
                  <w:tcW w:w="1536" w:type="dxa"/>
                  <w:tcBorders>
                    <w:top w:val="single" w:color="auto" w:sz="4" w:space="0"/>
                    <w:left w:val="nil"/>
                    <w:right w:val="single" w:color="auto" w:sz="4" w:space="0"/>
                  </w:tcBorders>
                  <w:vAlign w:val="center"/>
                </w:tcPr>
                <w:p w14:paraId="5FA8AFC3">
                  <w:pPr>
                    <w:adjustRightInd/>
                    <w:snapToGrid/>
                    <w:jc w:val="center"/>
                    <w:rPr>
                      <w:rFonts w:ascii="Times New Roman" w:hAnsi="Times New Roman" w:cs="Times New Roman"/>
                    </w:rPr>
                  </w:pPr>
                  <w:r>
                    <w:rPr>
                      <w:rFonts w:ascii="Times New Roman" w:hAnsi="Times New Roman" w:cs="Times New Roman"/>
                    </w:rPr>
                    <w:t>11</w:t>
                  </w:r>
                  <w:r>
                    <w:rPr>
                      <w:rFonts w:ascii="Times New Roman" w:hAnsi="Times New Roman" w:eastAsia="宋体" w:cs="Times New Roman"/>
                      <w:lang w:eastAsia="zh-CN"/>
                    </w:rPr>
                    <w:t>6</w:t>
                  </w:r>
                  <w:r>
                    <w:rPr>
                      <w:rFonts w:ascii="Times New Roman" w:hAnsi="Times New Roman" w:cs="Times New Roman"/>
                    </w:rPr>
                    <w:t>°7</w:t>
                  </w:r>
                  <w:r>
                    <w:rPr>
                      <w:rFonts w:ascii="Times New Roman" w:hAnsi="Times New Roman" w:eastAsia="宋体" w:cs="Times New Roman"/>
                      <w:lang w:eastAsia="zh-CN"/>
                    </w:rPr>
                    <w:t>4</w:t>
                  </w:r>
                  <w:r>
                    <w:rPr>
                      <w:rFonts w:ascii="Times New Roman" w:hAnsi="Times New Roman" w:cs="Times New Roman"/>
                    </w:rPr>
                    <w:t>′</w:t>
                  </w:r>
                  <w:r>
                    <w:rPr>
                      <w:rFonts w:ascii="Times New Roman" w:hAnsi="Times New Roman" w:eastAsia="宋体" w:cs="Times New Roman"/>
                      <w:lang w:eastAsia="zh-CN"/>
                    </w:rPr>
                    <w:t>44</w:t>
                  </w:r>
                  <w:r>
                    <w:rPr>
                      <w:rFonts w:ascii="Times New Roman" w:hAnsi="Times New Roman" w:cs="Times New Roman"/>
                    </w:rPr>
                    <w:t>.</w:t>
                  </w:r>
                  <w:r>
                    <w:rPr>
                      <w:rFonts w:ascii="Times New Roman" w:hAnsi="Times New Roman" w:eastAsia="宋体" w:cs="Times New Roman"/>
                      <w:lang w:eastAsia="zh-CN"/>
                    </w:rPr>
                    <w:t>848</w:t>
                  </w:r>
                  <w:r>
                    <w:rPr>
                      <w:rFonts w:ascii="Times New Roman" w:hAnsi="Times New Roman" w:cs="Times New Roman"/>
                    </w:rPr>
                    <w:t>″</w:t>
                  </w:r>
                </w:p>
              </w:tc>
              <w:tc>
                <w:tcPr>
                  <w:tcW w:w="1434" w:type="dxa"/>
                  <w:tcBorders>
                    <w:top w:val="single" w:color="auto" w:sz="4" w:space="0"/>
                    <w:left w:val="nil"/>
                    <w:right w:val="single" w:color="auto" w:sz="4" w:space="0"/>
                  </w:tcBorders>
                  <w:vAlign w:val="center"/>
                </w:tcPr>
                <w:p w14:paraId="656BC153">
                  <w:pPr>
                    <w:adjustRightInd/>
                    <w:snapToGrid/>
                    <w:jc w:val="center"/>
                    <w:rPr>
                      <w:rFonts w:ascii="Times New Roman" w:hAnsi="Times New Roman" w:cs="Times New Roman"/>
                    </w:rPr>
                  </w:pPr>
                  <w:r>
                    <w:rPr>
                      <w:rFonts w:ascii="Times New Roman" w:hAnsi="Times New Roman" w:cs="Times New Roman"/>
                    </w:rPr>
                    <w:t>3</w:t>
                  </w:r>
                  <w:r>
                    <w:rPr>
                      <w:rFonts w:ascii="Times New Roman" w:hAnsi="Times New Roman" w:eastAsia="宋体" w:cs="Times New Roman"/>
                      <w:lang w:eastAsia="zh-CN"/>
                    </w:rPr>
                    <w:t>3</w:t>
                  </w:r>
                  <w:r>
                    <w:rPr>
                      <w:rFonts w:ascii="Times New Roman" w:hAnsi="Times New Roman" w:cs="Times New Roman"/>
                    </w:rPr>
                    <w:t>°</w:t>
                  </w:r>
                  <w:r>
                    <w:rPr>
                      <w:rFonts w:ascii="Times New Roman" w:hAnsi="Times New Roman" w:eastAsia="宋体" w:cs="Times New Roman"/>
                      <w:lang w:eastAsia="zh-CN"/>
                    </w:rPr>
                    <w:t>86</w:t>
                  </w:r>
                  <w:r>
                    <w:rPr>
                      <w:rFonts w:ascii="Times New Roman" w:hAnsi="Times New Roman" w:cs="Times New Roman"/>
                    </w:rPr>
                    <w:t>′</w:t>
                  </w:r>
                  <w:r>
                    <w:rPr>
                      <w:rFonts w:ascii="Times New Roman" w:hAnsi="Times New Roman" w:eastAsia="宋体" w:cs="Times New Roman"/>
                      <w:lang w:eastAsia="zh-CN"/>
                    </w:rPr>
                    <w:t>89.025</w:t>
                  </w:r>
                  <w:r>
                    <w:rPr>
                      <w:rFonts w:ascii="Times New Roman" w:hAnsi="Times New Roman" w:cs="Times New Roman"/>
                    </w:rPr>
                    <w:t>″</w:t>
                  </w:r>
                </w:p>
              </w:tc>
              <w:tc>
                <w:tcPr>
                  <w:tcW w:w="678" w:type="pct"/>
                  <w:tcBorders>
                    <w:top w:val="single" w:color="auto" w:sz="4" w:space="0"/>
                    <w:left w:val="nil"/>
                    <w:right w:val="single" w:color="auto" w:sz="4" w:space="0"/>
                  </w:tcBorders>
                  <w:vAlign w:val="center"/>
                </w:tcPr>
                <w:p w14:paraId="71E48629">
                  <w:pPr>
                    <w:jc w:val="center"/>
                    <w:rPr>
                      <w:rFonts w:ascii="Times New Roman" w:hAnsi="Times New Roman" w:cs="Times New Roman"/>
                    </w:rPr>
                  </w:pPr>
                  <w:r>
                    <w:rPr>
                      <w:rFonts w:ascii="Times New Roman" w:hAnsi="Times New Roman" w:cs="Times New Roman"/>
                    </w:rPr>
                    <w:t>1次/年</w:t>
                  </w:r>
                </w:p>
              </w:tc>
            </w:tr>
            <w:tr w14:paraId="7C81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tcBorders>
                    <w:top w:val="single" w:color="auto" w:sz="4" w:space="0"/>
                    <w:left w:val="single" w:color="auto" w:sz="4" w:space="0"/>
                    <w:right w:val="single" w:color="auto" w:sz="4" w:space="0"/>
                  </w:tcBorders>
                  <w:vAlign w:val="center"/>
                </w:tcPr>
                <w:p w14:paraId="622102F8">
                  <w:pPr>
                    <w:jc w:val="center"/>
                    <w:rPr>
                      <w:rFonts w:ascii="Times New Roman" w:hAnsi="Times New Roman" w:eastAsia="宋体" w:cs="Times New Roman"/>
                      <w:lang w:eastAsia="zh-CN"/>
                    </w:rPr>
                  </w:pPr>
                  <w:r>
                    <w:rPr>
                      <w:rFonts w:ascii="Times New Roman" w:hAnsi="Times New Roman" w:cs="Times New Roman"/>
                    </w:rPr>
                    <w:t>DA00</w:t>
                  </w:r>
                  <w:r>
                    <w:rPr>
                      <w:rFonts w:ascii="Times New Roman" w:hAnsi="Times New Roman" w:eastAsia="宋体" w:cs="Times New Roman"/>
                      <w:lang w:eastAsia="zh-CN"/>
                    </w:rPr>
                    <w:t>2</w:t>
                  </w:r>
                </w:p>
              </w:tc>
              <w:tc>
                <w:tcPr>
                  <w:tcW w:w="802" w:type="pct"/>
                  <w:tcBorders>
                    <w:top w:val="single" w:color="auto" w:sz="4" w:space="0"/>
                    <w:left w:val="nil"/>
                    <w:bottom w:val="single" w:color="auto" w:sz="4" w:space="0"/>
                    <w:right w:val="single" w:color="auto" w:sz="4" w:space="0"/>
                  </w:tcBorders>
                  <w:vAlign w:val="center"/>
                </w:tcPr>
                <w:p w14:paraId="277BC2A8">
                  <w:pPr>
                    <w:pStyle w:val="33"/>
                    <w:rPr>
                      <w:rFonts w:ascii="Times New Roman" w:hAnsi="Times New Roman" w:cs="Times New Roman"/>
                    </w:rPr>
                  </w:pPr>
                  <w:r>
                    <w:rPr>
                      <w:rFonts w:ascii="Times New Roman" w:hAnsi="Times New Roman" w:cs="Times New Roman"/>
                    </w:rPr>
                    <w:t>颗粒物</w:t>
                  </w:r>
                </w:p>
              </w:tc>
              <w:tc>
                <w:tcPr>
                  <w:tcW w:w="563" w:type="pct"/>
                  <w:tcBorders>
                    <w:top w:val="single" w:color="auto" w:sz="4" w:space="0"/>
                    <w:left w:val="nil"/>
                    <w:right w:val="single" w:color="auto" w:sz="4" w:space="0"/>
                  </w:tcBorders>
                  <w:vAlign w:val="center"/>
                </w:tcPr>
                <w:p w14:paraId="51E76359">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536" w:type="pct"/>
                  <w:tcBorders>
                    <w:top w:val="single" w:color="auto" w:sz="4" w:space="0"/>
                    <w:left w:val="nil"/>
                    <w:right w:val="single" w:color="auto" w:sz="4" w:space="0"/>
                  </w:tcBorders>
                  <w:vAlign w:val="center"/>
                </w:tcPr>
                <w:p w14:paraId="34DB2FA4">
                  <w:pPr>
                    <w:jc w:val="center"/>
                    <w:rPr>
                      <w:rFonts w:ascii="Times New Roman" w:hAnsi="Times New Roman" w:eastAsia="宋体" w:cs="Times New Roman"/>
                      <w:lang w:eastAsia="zh-CN"/>
                    </w:rPr>
                  </w:pPr>
                  <w:r>
                    <w:rPr>
                      <w:rFonts w:ascii="Times New Roman" w:hAnsi="Times New Roman" w:eastAsia="宋体" w:cs="Times New Roman"/>
                      <w:lang w:eastAsia="zh-CN"/>
                    </w:rPr>
                    <w:t>0.</w:t>
                  </w:r>
                  <w:r>
                    <w:rPr>
                      <w:rFonts w:hint="eastAsia" w:ascii="Times New Roman" w:hAnsi="Times New Roman" w:eastAsia="宋体" w:cs="Times New Roman"/>
                      <w:lang w:eastAsia="zh-CN"/>
                    </w:rPr>
                    <w:t>2</w:t>
                  </w:r>
                </w:p>
              </w:tc>
              <w:tc>
                <w:tcPr>
                  <w:tcW w:w="1536" w:type="dxa"/>
                  <w:tcBorders>
                    <w:top w:val="single" w:color="auto" w:sz="4" w:space="0"/>
                    <w:left w:val="nil"/>
                    <w:right w:val="single" w:color="auto" w:sz="4" w:space="0"/>
                  </w:tcBorders>
                  <w:vAlign w:val="center"/>
                </w:tcPr>
                <w:p w14:paraId="57BF660B">
                  <w:pPr>
                    <w:adjustRightInd/>
                    <w:snapToGrid/>
                    <w:jc w:val="center"/>
                    <w:rPr>
                      <w:rFonts w:ascii="Times New Roman" w:hAnsi="Times New Roman" w:cs="Times New Roman"/>
                    </w:rPr>
                  </w:pPr>
                  <w:r>
                    <w:rPr>
                      <w:rFonts w:ascii="Times New Roman" w:hAnsi="Times New Roman" w:cs="Times New Roman"/>
                    </w:rPr>
                    <w:t>11</w:t>
                  </w:r>
                  <w:r>
                    <w:rPr>
                      <w:rFonts w:ascii="Times New Roman" w:hAnsi="Times New Roman" w:eastAsia="宋体" w:cs="Times New Roman"/>
                      <w:lang w:eastAsia="zh-CN"/>
                    </w:rPr>
                    <w:t>6</w:t>
                  </w:r>
                  <w:r>
                    <w:rPr>
                      <w:rFonts w:ascii="Times New Roman" w:hAnsi="Times New Roman" w:cs="Times New Roman"/>
                    </w:rPr>
                    <w:t>°7</w:t>
                  </w:r>
                  <w:r>
                    <w:rPr>
                      <w:rFonts w:ascii="Times New Roman" w:hAnsi="Times New Roman" w:eastAsia="宋体" w:cs="Times New Roman"/>
                      <w:lang w:eastAsia="zh-CN"/>
                    </w:rPr>
                    <w:t>4</w:t>
                  </w:r>
                  <w:r>
                    <w:rPr>
                      <w:rFonts w:ascii="Times New Roman" w:hAnsi="Times New Roman" w:cs="Times New Roman"/>
                    </w:rPr>
                    <w:t>′</w:t>
                  </w:r>
                  <w:r>
                    <w:rPr>
                      <w:rFonts w:ascii="Times New Roman" w:hAnsi="Times New Roman" w:eastAsia="宋体" w:cs="Times New Roman"/>
                      <w:lang w:eastAsia="zh-CN"/>
                    </w:rPr>
                    <w:t>41</w:t>
                  </w:r>
                  <w:r>
                    <w:rPr>
                      <w:rFonts w:ascii="Times New Roman" w:hAnsi="Times New Roman" w:cs="Times New Roman"/>
                    </w:rPr>
                    <w:t>.</w:t>
                  </w:r>
                  <w:r>
                    <w:rPr>
                      <w:rFonts w:ascii="Times New Roman" w:hAnsi="Times New Roman" w:eastAsia="宋体" w:cs="Times New Roman"/>
                      <w:lang w:eastAsia="zh-CN"/>
                    </w:rPr>
                    <w:t>077</w:t>
                  </w:r>
                  <w:r>
                    <w:rPr>
                      <w:rFonts w:ascii="Times New Roman" w:hAnsi="Times New Roman" w:cs="Times New Roman"/>
                    </w:rPr>
                    <w:t>″</w:t>
                  </w:r>
                </w:p>
              </w:tc>
              <w:tc>
                <w:tcPr>
                  <w:tcW w:w="1434" w:type="dxa"/>
                  <w:tcBorders>
                    <w:top w:val="single" w:color="auto" w:sz="4" w:space="0"/>
                    <w:left w:val="nil"/>
                    <w:right w:val="single" w:color="auto" w:sz="4" w:space="0"/>
                  </w:tcBorders>
                  <w:vAlign w:val="center"/>
                </w:tcPr>
                <w:p w14:paraId="64BA8810">
                  <w:pPr>
                    <w:adjustRightInd/>
                    <w:snapToGrid/>
                    <w:jc w:val="center"/>
                    <w:rPr>
                      <w:rFonts w:ascii="Times New Roman" w:hAnsi="Times New Roman" w:cs="Times New Roman"/>
                    </w:rPr>
                  </w:pPr>
                  <w:r>
                    <w:rPr>
                      <w:rFonts w:ascii="Times New Roman" w:hAnsi="Times New Roman" w:cs="Times New Roman"/>
                    </w:rPr>
                    <w:t>3</w:t>
                  </w:r>
                  <w:r>
                    <w:rPr>
                      <w:rFonts w:ascii="Times New Roman" w:hAnsi="Times New Roman" w:eastAsia="宋体" w:cs="Times New Roman"/>
                      <w:lang w:eastAsia="zh-CN"/>
                    </w:rPr>
                    <w:t>3</w:t>
                  </w:r>
                  <w:r>
                    <w:rPr>
                      <w:rFonts w:ascii="Times New Roman" w:hAnsi="Times New Roman" w:cs="Times New Roman"/>
                    </w:rPr>
                    <w:t>°</w:t>
                  </w:r>
                  <w:r>
                    <w:rPr>
                      <w:rFonts w:ascii="Times New Roman" w:hAnsi="Times New Roman" w:eastAsia="宋体" w:cs="Times New Roman"/>
                      <w:lang w:eastAsia="zh-CN"/>
                    </w:rPr>
                    <w:t>86</w:t>
                  </w:r>
                  <w:r>
                    <w:rPr>
                      <w:rFonts w:ascii="Times New Roman" w:hAnsi="Times New Roman" w:cs="Times New Roman"/>
                    </w:rPr>
                    <w:t>′</w:t>
                  </w:r>
                  <w:r>
                    <w:rPr>
                      <w:rFonts w:ascii="Times New Roman" w:hAnsi="Times New Roman" w:eastAsia="宋体" w:cs="Times New Roman"/>
                      <w:lang w:eastAsia="zh-CN"/>
                    </w:rPr>
                    <w:t>95.115</w:t>
                  </w:r>
                  <w:r>
                    <w:rPr>
                      <w:rFonts w:ascii="Times New Roman" w:hAnsi="Times New Roman" w:cs="Times New Roman"/>
                    </w:rPr>
                    <w:t>″</w:t>
                  </w:r>
                </w:p>
              </w:tc>
              <w:tc>
                <w:tcPr>
                  <w:tcW w:w="678" w:type="pct"/>
                  <w:tcBorders>
                    <w:top w:val="single" w:color="auto" w:sz="4" w:space="0"/>
                    <w:left w:val="nil"/>
                    <w:right w:val="single" w:color="auto" w:sz="4" w:space="0"/>
                  </w:tcBorders>
                  <w:vAlign w:val="center"/>
                </w:tcPr>
                <w:p w14:paraId="6302C65F">
                  <w:pPr>
                    <w:jc w:val="center"/>
                    <w:rPr>
                      <w:rFonts w:ascii="Times New Roman" w:hAnsi="Times New Roman" w:cs="Times New Roman"/>
                    </w:rPr>
                  </w:pPr>
                  <w:r>
                    <w:rPr>
                      <w:rFonts w:ascii="Times New Roman" w:hAnsi="Times New Roman" w:cs="Times New Roman"/>
                    </w:rPr>
                    <w:t>1次/年</w:t>
                  </w:r>
                </w:p>
              </w:tc>
            </w:tr>
            <w:tr w14:paraId="6BE2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restart"/>
                  <w:tcBorders>
                    <w:left w:val="single" w:color="auto" w:sz="4" w:space="0"/>
                    <w:right w:val="single" w:color="auto" w:sz="4" w:space="0"/>
                  </w:tcBorders>
                  <w:vAlign w:val="center"/>
                </w:tcPr>
                <w:p w14:paraId="7E0F112A">
                  <w:pPr>
                    <w:jc w:val="center"/>
                    <w:rPr>
                      <w:rFonts w:ascii="Times New Roman" w:hAnsi="Times New Roman" w:eastAsia="宋体" w:cs="Times New Roman"/>
                      <w:lang w:eastAsia="zh-CN"/>
                    </w:rPr>
                  </w:pPr>
                  <w:r>
                    <w:rPr>
                      <w:rFonts w:ascii="Times New Roman" w:hAnsi="Times New Roman" w:cs="Times New Roman"/>
                    </w:rPr>
                    <w:t>DA00</w:t>
                  </w:r>
                  <w:r>
                    <w:rPr>
                      <w:rFonts w:ascii="Times New Roman" w:hAnsi="Times New Roman" w:eastAsia="宋体" w:cs="Times New Roman"/>
                      <w:lang w:eastAsia="zh-CN"/>
                    </w:rPr>
                    <w:t>3</w:t>
                  </w:r>
                </w:p>
              </w:tc>
              <w:tc>
                <w:tcPr>
                  <w:tcW w:w="802" w:type="pct"/>
                  <w:tcBorders>
                    <w:top w:val="single" w:color="auto" w:sz="4" w:space="0"/>
                    <w:left w:val="nil"/>
                    <w:bottom w:val="single" w:color="auto" w:sz="4" w:space="0"/>
                    <w:right w:val="single" w:color="auto" w:sz="4" w:space="0"/>
                  </w:tcBorders>
                  <w:vAlign w:val="center"/>
                </w:tcPr>
                <w:p w14:paraId="23126D13">
                  <w:pPr>
                    <w:pStyle w:val="33"/>
                    <w:rPr>
                      <w:rFonts w:ascii="Times New Roman" w:hAnsi="Times New Roman" w:cs="Times New Roman"/>
                    </w:rPr>
                  </w:pPr>
                  <w:r>
                    <w:rPr>
                      <w:rFonts w:ascii="Times New Roman" w:hAnsi="Times New Roman" w:cs="Times New Roman"/>
                    </w:rPr>
                    <w:t>非甲烷总烃</w:t>
                  </w:r>
                </w:p>
              </w:tc>
              <w:tc>
                <w:tcPr>
                  <w:tcW w:w="563" w:type="pct"/>
                  <w:vMerge w:val="restart"/>
                  <w:tcBorders>
                    <w:left w:val="nil"/>
                    <w:right w:val="single" w:color="auto" w:sz="4" w:space="0"/>
                  </w:tcBorders>
                  <w:vAlign w:val="center"/>
                </w:tcPr>
                <w:p w14:paraId="14EF2C46">
                  <w:pPr>
                    <w:jc w:val="center"/>
                    <w:rPr>
                      <w:rFonts w:ascii="Times New Roman" w:hAnsi="Times New Roman" w:eastAsia="宋体" w:cs="Times New Roman"/>
                      <w:lang w:eastAsia="zh-CN"/>
                    </w:rPr>
                  </w:pPr>
                  <w:r>
                    <w:rPr>
                      <w:rFonts w:ascii="Times New Roman" w:hAnsi="Times New Roman" w:eastAsia="宋体" w:cs="Times New Roman"/>
                      <w:lang w:eastAsia="zh-CN"/>
                    </w:rPr>
                    <w:t>15</w:t>
                  </w:r>
                </w:p>
              </w:tc>
              <w:tc>
                <w:tcPr>
                  <w:tcW w:w="536" w:type="pct"/>
                  <w:vMerge w:val="restart"/>
                  <w:tcBorders>
                    <w:left w:val="nil"/>
                    <w:right w:val="single" w:color="auto" w:sz="4" w:space="0"/>
                  </w:tcBorders>
                  <w:vAlign w:val="center"/>
                </w:tcPr>
                <w:p w14:paraId="36824003">
                  <w:pPr>
                    <w:jc w:val="center"/>
                    <w:rPr>
                      <w:rFonts w:ascii="Times New Roman" w:hAnsi="Times New Roman" w:eastAsia="宋体" w:cs="Times New Roman"/>
                      <w:lang w:eastAsia="zh-CN"/>
                    </w:rPr>
                  </w:pPr>
                  <w:r>
                    <w:rPr>
                      <w:rFonts w:ascii="Times New Roman" w:hAnsi="Times New Roman" w:eastAsia="宋体" w:cs="Times New Roman"/>
                      <w:lang w:eastAsia="zh-CN"/>
                    </w:rPr>
                    <w:t>0</w:t>
                  </w:r>
                  <w:r>
                    <w:rPr>
                      <w:rFonts w:hint="eastAsia" w:ascii="Times New Roman" w:hAnsi="Times New Roman" w:eastAsia="宋体" w:cs="Times New Roman"/>
                      <w:lang w:eastAsia="zh-CN"/>
                    </w:rPr>
                    <w:t>.2</w:t>
                  </w:r>
                </w:p>
              </w:tc>
              <w:tc>
                <w:tcPr>
                  <w:tcW w:w="1536" w:type="dxa"/>
                  <w:vMerge w:val="restart"/>
                  <w:tcBorders>
                    <w:left w:val="nil"/>
                    <w:right w:val="single" w:color="auto" w:sz="4" w:space="0"/>
                  </w:tcBorders>
                  <w:vAlign w:val="center"/>
                </w:tcPr>
                <w:p w14:paraId="3DDE90FA">
                  <w:pPr>
                    <w:adjustRightInd/>
                    <w:snapToGrid/>
                    <w:jc w:val="center"/>
                    <w:rPr>
                      <w:rFonts w:ascii="Times New Roman" w:hAnsi="Times New Roman" w:cs="Times New Roman"/>
                    </w:rPr>
                  </w:pPr>
                  <w:r>
                    <w:rPr>
                      <w:rFonts w:ascii="Times New Roman" w:hAnsi="Times New Roman" w:cs="Times New Roman"/>
                    </w:rPr>
                    <w:t>11</w:t>
                  </w:r>
                  <w:r>
                    <w:rPr>
                      <w:rFonts w:ascii="Times New Roman" w:hAnsi="Times New Roman" w:eastAsia="宋体" w:cs="Times New Roman"/>
                      <w:lang w:eastAsia="zh-CN"/>
                    </w:rPr>
                    <w:t>6</w:t>
                  </w:r>
                  <w:r>
                    <w:rPr>
                      <w:rFonts w:ascii="Times New Roman" w:hAnsi="Times New Roman" w:cs="Times New Roman"/>
                    </w:rPr>
                    <w:t>°7</w:t>
                  </w:r>
                  <w:r>
                    <w:rPr>
                      <w:rFonts w:ascii="Times New Roman" w:hAnsi="Times New Roman" w:eastAsia="宋体" w:cs="Times New Roman"/>
                      <w:lang w:eastAsia="zh-CN"/>
                    </w:rPr>
                    <w:t>4</w:t>
                  </w:r>
                  <w:r>
                    <w:rPr>
                      <w:rFonts w:ascii="Times New Roman" w:hAnsi="Times New Roman" w:cs="Times New Roman"/>
                    </w:rPr>
                    <w:t>′</w:t>
                  </w:r>
                  <w:r>
                    <w:rPr>
                      <w:rFonts w:ascii="Times New Roman" w:hAnsi="Times New Roman" w:eastAsia="宋体" w:cs="Times New Roman"/>
                      <w:lang w:eastAsia="zh-CN"/>
                    </w:rPr>
                    <w:t>41</w:t>
                  </w:r>
                  <w:r>
                    <w:rPr>
                      <w:rFonts w:ascii="Times New Roman" w:hAnsi="Times New Roman" w:cs="Times New Roman"/>
                    </w:rPr>
                    <w:t>.</w:t>
                  </w:r>
                  <w:r>
                    <w:rPr>
                      <w:rFonts w:ascii="Times New Roman" w:hAnsi="Times New Roman" w:eastAsia="宋体" w:cs="Times New Roman"/>
                      <w:lang w:eastAsia="zh-CN"/>
                    </w:rPr>
                    <w:t>614</w:t>
                  </w:r>
                  <w:r>
                    <w:rPr>
                      <w:rFonts w:ascii="Times New Roman" w:hAnsi="Times New Roman" w:cs="Times New Roman"/>
                    </w:rPr>
                    <w:t>″</w:t>
                  </w:r>
                </w:p>
              </w:tc>
              <w:tc>
                <w:tcPr>
                  <w:tcW w:w="1434" w:type="dxa"/>
                  <w:vMerge w:val="restart"/>
                  <w:tcBorders>
                    <w:left w:val="nil"/>
                    <w:right w:val="single" w:color="auto" w:sz="4" w:space="0"/>
                  </w:tcBorders>
                  <w:vAlign w:val="center"/>
                </w:tcPr>
                <w:p w14:paraId="1E6C9127">
                  <w:pPr>
                    <w:adjustRightInd/>
                    <w:snapToGrid/>
                    <w:jc w:val="center"/>
                    <w:rPr>
                      <w:rFonts w:ascii="Times New Roman" w:hAnsi="Times New Roman" w:cs="Times New Roman"/>
                    </w:rPr>
                  </w:pPr>
                  <w:r>
                    <w:rPr>
                      <w:rFonts w:ascii="Times New Roman" w:hAnsi="Times New Roman" w:cs="Times New Roman"/>
                    </w:rPr>
                    <w:t>3</w:t>
                  </w:r>
                  <w:r>
                    <w:rPr>
                      <w:rFonts w:ascii="Times New Roman" w:hAnsi="Times New Roman" w:eastAsia="宋体" w:cs="Times New Roman"/>
                      <w:lang w:eastAsia="zh-CN"/>
                    </w:rPr>
                    <w:t>3</w:t>
                  </w:r>
                  <w:r>
                    <w:rPr>
                      <w:rFonts w:ascii="Times New Roman" w:hAnsi="Times New Roman" w:cs="Times New Roman"/>
                    </w:rPr>
                    <w:t>°</w:t>
                  </w:r>
                  <w:r>
                    <w:rPr>
                      <w:rFonts w:ascii="Times New Roman" w:hAnsi="Times New Roman" w:eastAsia="宋体" w:cs="Times New Roman"/>
                      <w:lang w:eastAsia="zh-CN"/>
                    </w:rPr>
                    <w:t>86</w:t>
                  </w:r>
                  <w:r>
                    <w:rPr>
                      <w:rFonts w:ascii="Times New Roman" w:hAnsi="Times New Roman" w:cs="Times New Roman"/>
                    </w:rPr>
                    <w:t>′</w:t>
                  </w:r>
                  <w:r>
                    <w:rPr>
                      <w:rFonts w:ascii="Times New Roman" w:hAnsi="Times New Roman" w:eastAsia="宋体" w:cs="Times New Roman"/>
                      <w:lang w:eastAsia="zh-CN"/>
                    </w:rPr>
                    <w:t>94.904</w:t>
                  </w:r>
                  <w:r>
                    <w:rPr>
                      <w:rFonts w:ascii="Times New Roman" w:hAnsi="Times New Roman" w:cs="Times New Roman"/>
                    </w:rPr>
                    <w:t>″</w:t>
                  </w:r>
                </w:p>
              </w:tc>
              <w:tc>
                <w:tcPr>
                  <w:tcW w:w="678" w:type="pct"/>
                  <w:tcBorders>
                    <w:left w:val="nil"/>
                    <w:right w:val="single" w:color="auto" w:sz="4" w:space="0"/>
                  </w:tcBorders>
                  <w:vAlign w:val="center"/>
                </w:tcPr>
                <w:p w14:paraId="46093FD6">
                  <w:pPr>
                    <w:jc w:val="center"/>
                    <w:rPr>
                      <w:rFonts w:ascii="Times New Roman" w:hAnsi="Times New Roman" w:cs="Times New Roman"/>
                    </w:rPr>
                  </w:pPr>
                  <w:r>
                    <w:rPr>
                      <w:rFonts w:ascii="Times New Roman" w:hAnsi="Times New Roman" w:cs="Times New Roman"/>
                    </w:rPr>
                    <w:t>1次/年</w:t>
                  </w:r>
                </w:p>
              </w:tc>
            </w:tr>
            <w:tr w14:paraId="2646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continue"/>
                  <w:tcBorders>
                    <w:left w:val="single" w:color="auto" w:sz="4" w:space="0"/>
                    <w:right w:val="single" w:color="auto" w:sz="4" w:space="0"/>
                  </w:tcBorders>
                  <w:vAlign w:val="center"/>
                </w:tcPr>
                <w:p w14:paraId="78668CED">
                  <w:pPr>
                    <w:jc w:val="center"/>
                    <w:rPr>
                      <w:rFonts w:ascii="Times New Roman" w:hAnsi="Times New Roman" w:cs="Times New Roman"/>
                    </w:rPr>
                  </w:pPr>
                </w:p>
              </w:tc>
              <w:tc>
                <w:tcPr>
                  <w:tcW w:w="802" w:type="pct"/>
                  <w:tcBorders>
                    <w:top w:val="single" w:color="auto" w:sz="4" w:space="0"/>
                    <w:left w:val="nil"/>
                    <w:bottom w:val="single" w:color="auto" w:sz="4" w:space="0"/>
                    <w:right w:val="single" w:color="auto" w:sz="4" w:space="0"/>
                  </w:tcBorders>
                  <w:vAlign w:val="center"/>
                </w:tcPr>
                <w:p w14:paraId="1139525E">
                  <w:pPr>
                    <w:pStyle w:val="33"/>
                    <w:rPr>
                      <w:rFonts w:ascii="Times New Roman" w:hAnsi="Times New Roman" w:cs="Times New Roman"/>
                    </w:rPr>
                  </w:pPr>
                  <w:r>
                    <w:rPr>
                      <w:rFonts w:ascii="Times New Roman" w:hAnsi="Times New Roman" w:cs="Times New Roman"/>
                    </w:rPr>
                    <w:t>颗粒物</w:t>
                  </w:r>
                </w:p>
              </w:tc>
              <w:tc>
                <w:tcPr>
                  <w:tcW w:w="563" w:type="pct"/>
                  <w:vMerge w:val="continue"/>
                  <w:tcBorders>
                    <w:left w:val="nil"/>
                    <w:right w:val="single" w:color="auto" w:sz="4" w:space="0"/>
                  </w:tcBorders>
                  <w:vAlign w:val="center"/>
                </w:tcPr>
                <w:p w14:paraId="5F1993C6">
                  <w:pPr>
                    <w:jc w:val="center"/>
                    <w:rPr>
                      <w:rFonts w:ascii="Times New Roman" w:hAnsi="Times New Roman" w:eastAsia="宋体" w:cs="Times New Roman"/>
                      <w:lang w:eastAsia="zh-CN"/>
                    </w:rPr>
                  </w:pPr>
                </w:p>
              </w:tc>
              <w:tc>
                <w:tcPr>
                  <w:tcW w:w="536" w:type="pct"/>
                  <w:vMerge w:val="continue"/>
                  <w:tcBorders>
                    <w:left w:val="nil"/>
                    <w:right w:val="single" w:color="auto" w:sz="4" w:space="0"/>
                  </w:tcBorders>
                  <w:vAlign w:val="center"/>
                </w:tcPr>
                <w:p w14:paraId="7346F289">
                  <w:pPr>
                    <w:jc w:val="center"/>
                    <w:rPr>
                      <w:rFonts w:ascii="Times New Roman" w:hAnsi="Times New Roman" w:eastAsia="宋体" w:cs="Times New Roman"/>
                      <w:lang w:eastAsia="zh-CN"/>
                    </w:rPr>
                  </w:pPr>
                </w:p>
              </w:tc>
              <w:tc>
                <w:tcPr>
                  <w:tcW w:w="976" w:type="pct"/>
                  <w:vMerge w:val="continue"/>
                  <w:tcBorders>
                    <w:left w:val="nil"/>
                    <w:right w:val="single" w:color="auto" w:sz="4" w:space="0"/>
                  </w:tcBorders>
                  <w:vAlign w:val="center"/>
                </w:tcPr>
                <w:p w14:paraId="03D36949">
                  <w:pPr>
                    <w:jc w:val="center"/>
                    <w:rPr>
                      <w:rFonts w:ascii="Times New Roman" w:hAnsi="Times New Roman" w:cs="Times New Roman"/>
                    </w:rPr>
                  </w:pPr>
                </w:p>
              </w:tc>
              <w:tc>
                <w:tcPr>
                  <w:tcW w:w="911" w:type="pct"/>
                  <w:vMerge w:val="continue"/>
                  <w:tcBorders>
                    <w:left w:val="nil"/>
                    <w:right w:val="single" w:color="auto" w:sz="4" w:space="0"/>
                  </w:tcBorders>
                  <w:vAlign w:val="center"/>
                </w:tcPr>
                <w:p w14:paraId="607ABE34">
                  <w:pPr>
                    <w:jc w:val="center"/>
                    <w:rPr>
                      <w:rFonts w:ascii="Times New Roman" w:hAnsi="Times New Roman" w:cs="Times New Roman"/>
                    </w:rPr>
                  </w:pPr>
                </w:p>
              </w:tc>
              <w:tc>
                <w:tcPr>
                  <w:tcW w:w="678" w:type="pct"/>
                  <w:tcBorders>
                    <w:left w:val="nil"/>
                    <w:right w:val="single" w:color="auto" w:sz="4" w:space="0"/>
                  </w:tcBorders>
                  <w:vAlign w:val="center"/>
                </w:tcPr>
                <w:p w14:paraId="5FDFC2EE">
                  <w:pPr>
                    <w:jc w:val="center"/>
                    <w:rPr>
                      <w:rFonts w:ascii="Times New Roman" w:hAnsi="Times New Roman" w:cs="Times New Roman"/>
                    </w:rPr>
                  </w:pPr>
                  <w:r>
                    <w:rPr>
                      <w:rFonts w:ascii="Times New Roman" w:hAnsi="Times New Roman" w:cs="Times New Roman"/>
                    </w:rPr>
                    <w:t>1次/年</w:t>
                  </w:r>
                </w:p>
              </w:tc>
            </w:tr>
            <w:tr w14:paraId="129C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continue"/>
                  <w:tcBorders>
                    <w:left w:val="single" w:color="auto" w:sz="4" w:space="0"/>
                    <w:right w:val="single" w:color="auto" w:sz="4" w:space="0"/>
                  </w:tcBorders>
                  <w:vAlign w:val="center"/>
                </w:tcPr>
                <w:p w14:paraId="68DA4361">
                  <w:pPr>
                    <w:jc w:val="center"/>
                    <w:rPr>
                      <w:rFonts w:ascii="Times New Roman" w:hAnsi="Times New Roman" w:cs="Times New Roman"/>
                    </w:rPr>
                  </w:pPr>
                </w:p>
              </w:tc>
              <w:tc>
                <w:tcPr>
                  <w:tcW w:w="802" w:type="pct"/>
                  <w:tcBorders>
                    <w:top w:val="single" w:color="auto" w:sz="4" w:space="0"/>
                    <w:left w:val="nil"/>
                    <w:bottom w:val="single" w:color="auto" w:sz="4" w:space="0"/>
                    <w:right w:val="single" w:color="auto" w:sz="4" w:space="0"/>
                  </w:tcBorders>
                  <w:vAlign w:val="center"/>
                </w:tcPr>
                <w:p w14:paraId="1857DAC0">
                  <w:pPr>
                    <w:pStyle w:val="33"/>
                    <w:rPr>
                      <w:rFonts w:ascii="Times New Roman" w:hAnsi="Times New Roman" w:cs="Times New Roman"/>
                    </w:rPr>
                  </w:pPr>
                  <w:r>
                    <w:rPr>
                      <w:rFonts w:ascii="Times New Roman" w:hAnsi="Times New Roman" w:cs="Times New Roman"/>
                    </w:rPr>
                    <w:t>二氧化硫</w:t>
                  </w:r>
                </w:p>
              </w:tc>
              <w:tc>
                <w:tcPr>
                  <w:tcW w:w="563" w:type="pct"/>
                  <w:vMerge w:val="continue"/>
                  <w:tcBorders>
                    <w:left w:val="nil"/>
                    <w:right w:val="single" w:color="auto" w:sz="4" w:space="0"/>
                  </w:tcBorders>
                  <w:vAlign w:val="center"/>
                </w:tcPr>
                <w:p w14:paraId="7D6FAA8C">
                  <w:pPr>
                    <w:jc w:val="center"/>
                    <w:rPr>
                      <w:rFonts w:ascii="Times New Roman" w:hAnsi="Times New Roman" w:eastAsia="宋体" w:cs="Times New Roman"/>
                      <w:lang w:eastAsia="zh-CN"/>
                    </w:rPr>
                  </w:pPr>
                </w:p>
              </w:tc>
              <w:tc>
                <w:tcPr>
                  <w:tcW w:w="536" w:type="pct"/>
                  <w:vMerge w:val="continue"/>
                  <w:tcBorders>
                    <w:left w:val="nil"/>
                    <w:right w:val="single" w:color="auto" w:sz="4" w:space="0"/>
                  </w:tcBorders>
                  <w:vAlign w:val="center"/>
                </w:tcPr>
                <w:p w14:paraId="3FEEC2E8">
                  <w:pPr>
                    <w:jc w:val="center"/>
                    <w:rPr>
                      <w:rFonts w:ascii="Times New Roman" w:hAnsi="Times New Roman" w:eastAsia="宋体" w:cs="Times New Roman"/>
                      <w:lang w:eastAsia="zh-CN"/>
                    </w:rPr>
                  </w:pPr>
                </w:p>
              </w:tc>
              <w:tc>
                <w:tcPr>
                  <w:tcW w:w="976" w:type="pct"/>
                  <w:vMerge w:val="continue"/>
                  <w:tcBorders>
                    <w:left w:val="nil"/>
                    <w:right w:val="single" w:color="auto" w:sz="4" w:space="0"/>
                  </w:tcBorders>
                  <w:vAlign w:val="center"/>
                </w:tcPr>
                <w:p w14:paraId="45B81679">
                  <w:pPr>
                    <w:jc w:val="center"/>
                    <w:rPr>
                      <w:rFonts w:ascii="Times New Roman" w:hAnsi="Times New Roman" w:cs="Times New Roman"/>
                    </w:rPr>
                  </w:pPr>
                </w:p>
              </w:tc>
              <w:tc>
                <w:tcPr>
                  <w:tcW w:w="911" w:type="pct"/>
                  <w:vMerge w:val="continue"/>
                  <w:tcBorders>
                    <w:left w:val="nil"/>
                    <w:right w:val="single" w:color="auto" w:sz="4" w:space="0"/>
                  </w:tcBorders>
                  <w:vAlign w:val="center"/>
                </w:tcPr>
                <w:p w14:paraId="4242F1C7">
                  <w:pPr>
                    <w:jc w:val="center"/>
                    <w:rPr>
                      <w:rFonts w:ascii="Times New Roman" w:hAnsi="Times New Roman" w:cs="Times New Roman"/>
                    </w:rPr>
                  </w:pPr>
                </w:p>
              </w:tc>
              <w:tc>
                <w:tcPr>
                  <w:tcW w:w="678" w:type="pct"/>
                  <w:tcBorders>
                    <w:left w:val="nil"/>
                    <w:right w:val="single" w:color="auto" w:sz="4" w:space="0"/>
                  </w:tcBorders>
                  <w:vAlign w:val="center"/>
                </w:tcPr>
                <w:p w14:paraId="1D42469F">
                  <w:pPr>
                    <w:jc w:val="center"/>
                    <w:rPr>
                      <w:rFonts w:ascii="Times New Roman" w:hAnsi="Times New Roman" w:cs="Times New Roman"/>
                    </w:rPr>
                  </w:pPr>
                  <w:r>
                    <w:rPr>
                      <w:rFonts w:ascii="Times New Roman" w:hAnsi="Times New Roman" w:cs="Times New Roman"/>
                    </w:rPr>
                    <w:t>1次/年</w:t>
                  </w:r>
                </w:p>
              </w:tc>
            </w:tr>
            <w:tr w14:paraId="4E28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continue"/>
                  <w:tcBorders>
                    <w:left w:val="single" w:color="auto" w:sz="4" w:space="0"/>
                    <w:right w:val="single" w:color="auto" w:sz="4" w:space="0"/>
                  </w:tcBorders>
                  <w:vAlign w:val="center"/>
                </w:tcPr>
                <w:p w14:paraId="06E1F6E4">
                  <w:pPr>
                    <w:jc w:val="center"/>
                    <w:rPr>
                      <w:rFonts w:ascii="Times New Roman" w:hAnsi="Times New Roman" w:cs="Times New Roman"/>
                    </w:rPr>
                  </w:pPr>
                </w:p>
              </w:tc>
              <w:tc>
                <w:tcPr>
                  <w:tcW w:w="802" w:type="pct"/>
                  <w:tcBorders>
                    <w:top w:val="single" w:color="auto" w:sz="4" w:space="0"/>
                    <w:left w:val="nil"/>
                    <w:bottom w:val="single" w:color="auto" w:sz="4" w:space="0"/>
                    <w:right w:val="single" w:color="auto" w:sz="4" w:space="0"/>
                  </w:tcBorders>
                  <w:vAlign w:val="center"/>
                </w:tcPr>
                <w:p w14:paraId="25C94DC4">
                  <w:pPr>
                    <w:pStyle w:val="33"/>
                    <w:rPr>
                      <w:rFonts w:ascii="Times New Roman" w:hAnsi="Times New Roman" w:cs="Times New Roman"/>
                    </w:rPr>
                  </w:pPr>
                  <w:r>
                    <w:rPr>
                      <w:rFonts w:ascii="Times New Roman" w:hAnsi="Times New Roman" w:cs="Times New Roman"/>
                    </w:rPr>
                    <w:t>氮氧化物</w:t>
                  </w:r>
                </w:p>
              </w:tc>
              <w:tc>
                <w:tcPr>
                  <w:tcW w:w="563" w:type="pct"/>
                  <w:vMerge w:val="continue"/>
                  <w:tcBorders>
                    <w:left w:val="nil"/>
                    <w:right w:val="single" w:color="auto" w:sz="4" w:space="0"/>
                  </w:tcBorders>
                  <w:vAlign w:val="center"/>
                </w:tcPr>
                <w:p w14:paraId="36B90FE0">
                  <w:pPr>
                    <w:jc w:val="center"/>
                    <w:rPr>
                      <w:rFonts w:ascii="Times New Roman" w:hAnsi="Times New Roman" w:eastAsia="宋体" w:cs="Times New Roman"/>
                      <w:lang w:eastAsia="zh-CN"/>
                    </w:rPr>
                  </w:pPr>
                </w:p>
              </w:tc>
              <w:tc>
                <w:tcPr>
                  <w:tcW w:w="536" w:type="pct"/>
                  <w:vMerge w:val="continue"/>
                  <w:tcBorders>
                    <w:left w:val="nil"/>
                    <w:right w:val="single" w:color="auto" w:sz="4" w:space="0"/>
                  </w:tcBorders>
                  <w:vAlign w:val="center"/>
                </w:tcPr>
                <w:p w14:paraId="74A2DCA3">
                  <w:pPr>
                    <w:jc w:val="center"/>
                    <w:rPr>
                      <w:rFonts w:ascii="Times New Roman" w:hAnsi="Times New Roman" w:eastAsia="宋体" w:cs="Times New Roman"/>
                      <w:lang w:eastAsia="zh-CN"/>
                    </w:rPr>
                  </w:pPr>
                </w:p>
              </w:tc>
              <w:tc>
                <w:tcPr>
                  <w:tcW w:w="976" w:type="pct"/>
                  <w:vMerge w:val="continue"/>
                  <w:tcBorders>
                    <w:left w:val="nil"/>
                    <w:right w:val="single" w:color="auto" w:sz="4" w:space="0"/>
                  </w:tcBorders>
                  <w:vAlign w:val="center"/>
                </w:tcPr>
                <w:p w14:paraId="26F7585F">
                  <w:pPr>
                    <w:jc w:val="center"/>
                    <w:rPr>
                      <w:rFonts w:ascii="Times New Roman" w:hAnsi="Times New Roman" w:cs="Times New Roman"/>
                    </w:rPr>
                  </w:pPr>
                </w:p>
              </w:tc>
              <w:tc>
                <w:tcPr>
                  <w:tcW w:w="911" w:type="pct"/>
                  <w:vMerge w:val="continue"/>
                  <w:tcBorders>
                    <w:left w:val="nil"/>
                    <w:right w:val="single" w:color="auto" w:sz="4" w:space="0"/>
                  </w:tcBorders>
                  <w:vAlign w:val="center"/>
                </w:tcPr>
                <w:p w14:paraId="7A05F16D">
                  <w:pPr>
                    <w:jc w:val="center"/>
                    <w:rPr>
                      <w:rFonts w:ascii="Times New Roman" w:hAnsi="Times New Roman" w:cs="Times New Roman"/>
                    </w:rPr>
                  </w:pPr>
                </w:p>
              </w:tc>
              <w:tc>
                <w:tcPr>
                  <w:tcW w:w="678" w:type="pct"/>
                  <w:tcBorders>
                    <w:left w:val="nil"/>
                    <w:right w:val="single" w:color="auto" w:sz="4" w:space="0"/>
                  </w:tcBorders>
                  <w:vAlign w:val="center"/>
                </w:tcPr>
                <w:p w14:paraId="510BD649">
                  <w:pPr>
                    <w:jc w:val="center"/>
                    <w:rPr>
                      <w:rFonts w:ascii="Times New Roman" w:hAnsi="Times New Roman" w:cs="Times New Roman"/>
                    </w:rPr>
                  </w:pPr>
                  <w:r>
                    <w:rPr>
                      <w:rFonts w:ascii="Times New Roman" w:hAnsi="Times New Roman" w:cs="Times New Roman"/>
                    </w:rPr>
                    <w:t>1次/年</w:t>
                  </w:r>
                </w:p>
              </w:tc>
            </w:tr>
            <w:tr w14:paraId="68C2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restart"/>
                  <w:tcBorders>
                    <w:left w:val="single" w:color="auto" w:sz="4" w:space="0"/>
                    <w:right w:val="single" w:color="auto" w:sz="4" w:space="0"/>
                  </w:tcBorders>
                  <w:vAlign w:val="center"/>
                </w:tcPr>
                <w:p w14:paraId="069EE518">
                  <w:pPr>
                    <w:jc w:val="center"/>
                    <w:rPr>
                      <w:rFonts w:ascii="Times New Roman" w:hAnsi="Times New Roman" w:cs="Times New Roman"/>
                    </w:rPr>
                  </w:pPr>
                  <w:r>
                    <w:rPr>
                      <w:rFonts w:ascii="Times New Roman" w:hAnsi="Times New Roman" w:cs="Times New Roman"/>
                    </w:rPr>
                    <w:t>厂界</w:t>
                  </w:r>
                </w:p>
              </w:tc>
              <w:tc>
                <w:tcPr>
                  <w:tcW w:w="802" w:type="pct"/>
                  <w:tcBorders>
                    <w:top w:val="single" w:color="auto" w:sz="4" w:space="0"/>
                    <w:left w:val="nil"/>
                    <w:bottom w:val="single" w:color="auto" w:sz="4" w:space="0"/>
                    <w:right w:val="single" w:color="auto" w:sz="4" w:space="0"/>
                  </w:tcBorders>
                  <w:vAlign w:val="center"/>
                </w:tcPr>
                <w:p w14:paraId="18C77FBF">
                  <w:pPr>
                    <w:pStyle w:val="33"/>
                    <w:rPr>
                      <w:rFonts w:ascii="Times New Roman" w:hAnsi="Times New Roman" w:cs="Times New Roman"/>
                    </w:rPr>
                  </w:pPr>
                  <w:r>
                    <w:rPr>
                      <w:rFonts w:ascii="Times New Roman" w:hAnsi="Times New Roman" w:cs="Times New Roman"/>
                    </w:rPr>
                    <w:t>非甲烷总烃</w:t>
                  </w:r>
                </w:p>
              </w:tc>
              <w:tc>
                <w:tcPr>
                  <w:tcW w:w="563" w:type="pct"/>
                  <w:tcBorders>
                    <w:left w:val="nil"/>
                    <w:right w:val="single" w:color="auto" w:sz="4" w:space="0"/>
                  </w:tcBorders>
                  <w:vAlign w:val="center"/>
                </w:tcPr>
                <w:p w14:paraId="387C7471">
                  <w:pPr>
                    <w:jc w:val="center"/>
                    <w:rPr>
                      <w:rFonts w:ascii="Times New Roman" w:hAnsi="Times New Roman" w:cs="Times New Roman"/>
                    </w:rPr>
                  </w:pPr>
                  <w:r>
                    <w:rPr>
                      <w:rFonts w:ascii="Times New Roman" w:hAnsi="Times New Roman" w:cs="Times New Roman"/>
                    </w:rPr>
                    <w:t>/</w:t>
                  </w:r>
                </w:p>
              </w:tc>
              <w:tc>
                <w:tcPr>
                  <w:tcW w:w="536" w:type="pct"/>
                  <w:tcBorders>
                    <w:left w:val="nil"/>
                    <w:right w:val="single" w:color="auto" w:sz="4" w:space="0"/>
                  </w:tcBorders>
                  <w:vAlign w:val="center"/>
                </w:tcPr>
                <w:p w14:paraId="198BD36B">
                  <w:pPr>
                    <w:jc w:val="center"/>
                    <w:rPr>
                      <w:rFonts w:ascii="Times New Roman" w:hAnsi="Times New Roman" w:cs="Times New Roman"/>
                    </w:rPr>
                  </w:pPr>
                  <w:r>
                    <w:rPr>
                      <w:rFonts w:ascii="Times New Roman" w:hAnsi="Times New Roman" w:cs="Times New Roman"/>
                    </w:rPr>
                    <w:t>/</w:t>
                  </w:r>
                </w:p>
              </w:tc>
              <w:tc>
                <w:tcPr>
                  <w:tcW w:w="976" w:type="pct"/>
                  <w:tcBorders>
                    <w:left w:val="nil"/>
                    <w:right w:val="single" w:color="auto" w:sz="4" w:space="0"/>
                  </w:tcBorders>
                  <w:vAlign w:val="center"/>
                </w:tcPr>
                <w:p w14:paraId="243A6479">
                  <w:pPr>
                    <w:jc w:val="center"/>
                    <w:rPr>
                      <w:rFonts w:ascii="Times New Roman" w:hAnsi="Times New Roman" w:cs="Times New Roman"/>
                    </w:rPr>
                  </w:pPr>
                  <w:r>
                    <w:rPr>
                      <w:rFonts w:ascii="Times New Roman" w:hAnsi="Times New Roman" w:cs="Times New Roman"/>
                    </w:rPr>
                    <w:t>/</w:t>
                  </w:r>
                </w:p>
              </w:tc>
              <w:tc>
                <w:tcPr>
                  <w:tcW w:w="911" w:type="pct"/>
                  <w:tcBorders>
                    <w:left w:val="nil"/>
                    <w:right w:val="single" w:color="auto" w:sz="4" w:space="0"/>
                  </w:tcBorders>
                  <w:vAlign w:val="center"/>
                </w:tcPr>
                <w:p w14:paraId="6F2D3D10">
                  <w:pPr>
                    <w:jc w:val="center"/>
                    <w:rPr>
                      <w:rFonts w:ascii="Times New Roman" w:hAnsi="Times New Roman" w:cs="Times New Roman"/>
                    </w:rPr>
                  </w:pPr>
                  <w:r>
                    <w:rPr>
                      <w:rFonts w:ascii="Times New Roman" w:hAnsi="Times New Roman" w:cs="Times New Roman"/>
                    </w:rPr>
                    <w:t>/</w:t>
                  </w:r>
                </w:p>
              </w:tc>
              <w:tc>
                <w:tcPr>
                  <w:tcW w:w="678" w:type="pct"/>
                  <w:tcBorders>
                    <w:left w:val="nil"/>
                    <w:right w:val="single" w:color="auto" w:sz="4" w:space="0"/>
                  </w:tcBorders>
                  <w:vAlign w:val="center"/>
                </w:tcPr>
                <w:p w14:paraId="358C771D">
                  <w:pPr>
                    <w:jc w:val="center"/>
                    <w:rPr>
                      <w:rFonts w:ascii="Times New Roman" w:hAnsi="Times New Roman" w:cs="Times New Roman"/>
                    </w:rPr>
                  </w:pPr>
                  <w:r>
                    <w:rPr>
                      <w:rFonts w:ascii="Times New Roman" w:hAnsi="Times New Roman" w:cs="Times New Roman"/>
                    </w:rPr>
                    <w:t>1次/半年</w:t>
                  </w:r>
                </w:p>
              </w:tc>
            </w:tr>
            <w:tr w14:paraId="65F2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vMerge w:val="continue"/>
                  <w:tcBorders>
                    <w:left w:val="single" w:color="auto" w:sz="4" w:space="0"/>
                    <w:right w:val="single" w:color="auto" w:sz="4" w:space="0"/>
                  </w:tcBorders>
                  <w:vAlign w:val="center"/>
                </w:tcPr>
                <w:p w14:paraId="0504D7E6">
                  <w:pPr>
                    <w:jc w:val="center"/>
                    <w:rPr>
                      <w:rFonts w:ascii="Times New Roman" w:hAnsi="Times New Roman" w:cs="Times New Roman"/>
                    </w:rPr>
                  </w:pPr>
                </w:p>
              </w:tc>
              <w:tc>
                <w:tcPr>
                  <w:tcW w:w="802" w:type="pct"/>
                  <w:tcBorders>
                    <w:top w:val="single" w:color="auto" w:sz="4" w:space="0"/>
                    <w:left w:val="nil"/>
                    <w:bottom w:val="single" w:color="auto" w:sz="4" w:space="0"/>
                    <w:right w:val="single" w:color="auto" w:sz="4" w:space="0"/>
                  </w:tcBorders>
                  <w:vAlign w:val="center"/>
                </w:tcPr>
                <w:p w14:paraId="25DB35FF">
                  <w:pPr>
                    <w:pStyle w:val="33"/>
                    <w:rPr>
                      <w:rFonts w:ascii="Times New Roman" w:hAnsi="Times New Roman" w:cs="Times New Roman"/>
                    </w:rPr>
                  </w:pPr>
                  <w:r>
                    <w:rPr>
                      <w:rFonts w:ascii="Times New Roman" w:hAnsi="Times New Roman" w:cs="Times New Roman"/>
                    </w:rPr>
                    <w:t>颗粒物</w:t>
                  </w:r>
                </w:p>
              </w:tc>
              <w:tc>
                <w:tcPr>
                  <w:tcW w:w="563" w:type="pct"/>
                  <w:tcBorders>
                    <w:left w:val="nil"/>
                    <w:right w:val="single" w:color="auto" w:sz="4" w:space="0"/>
                  </w:tcBorders>
                  <w:vAlign w:val="center"/>
                </w:tcPr>
                <w:p w14:paraId="65B34E40">
                  <w:pPr>
                    <w:jc w:val="center"/>
                    <w:rPr>
                      <w:rFonts w:ascii="Times New Roman" w:hAnsi="Times New Roman" w:cs="Times New Roman"/>
                    </w:rPr>
                  </w:pPr>
                  <w:r>
                    <w:rPr>
                      <w:rFonts w:ascii="Times New Roman" w:hAnsi="Times New Roman" w:cs="Times New Roman"/>
                    </w:rPr>
                    <w:t>/</w:t>
                  </w:r>
                </w:p>
              </w:tc>
              <w:tc>
                <w:tcPr>
                  <w:tcW w:w="536" w:type="pct"/>
                  <w:tcBorders>
                    <w:left w:val="nil"/>
                    <w:right w:val="single" w:color="auto" w:sz="4" w:space="0"/>
                  </w:tcBorders>
                  <w:vAlign w:val="center"/>
                </w:tcPr>
                <w:p w14:paraId="2ACDEC8E">
                  <w:pPr>
                    <w:jc w:val="center"/>
                    <w:rPr>
                      <w:rFonts w:ascii="Times New Roman" w:hAnsi="Times New Roman" w:cs="Times New Roman"/>
                    </w:rPr>
                  </w:pPr>
                  <w:r>
                    <w:rPr>
                      <w:rFonts w:ascii="Times New Roman" w:hAnsi="Times New Roman" w:cs="Times New Roman"/>
                    </w:rPr>
                    <w:t>/</w:t>
                  </w:r>
                </w:p>
              </w:tc>
              <w:tc>
                <w:tcPr>
                  <w:tcW w:w="976" w:type="pct"/>
                  <w:tcBorders>
                    <w:left w:val="nil"/>
                    <w:right w:val="single" w:color="auto" w:sz="4" w:space="0"/>
                  </w:tcBorders>
                  <w:vAlign w:val="center"/>
                </w:tcPr>
                <w:p w14:paraId="38F8CE5D">
                  <w:pPr>
                    <w:jc w:val="center"/>
                    <w:rPr>
                      <w:rFonts w:ascii="Times New Roman" w:hAnsi="Times New Roman" w:cs="Times New Roman"/>
                    </w:rPr>
                  </w:pPr>
                  <w:r>
                    <w:rPr>
                      <w:rFonts w:ascii="Times New Roman" w:hAnsi="Times New Roman" w:cs="Times New Roman"/>
                    </w:rPr>
                    <w:t>/</w:t>
                  </w:r>
                </w:p>
              </w:tc>
              <w:tc>
                <w:tcPr>
                  <w:tcW w:w="911" w:type="pct"/>
                  <w:tcBorders>
                    <w:left w:val="nil"/>
                    <w:right w:val="single" w:color="auto" w:sz="4" w:space="0"/>
                  </w:tcBorders>
                  <w:vAlign w:val="center"/>
                </w:tcPr>
                <w:p w14:paraId="3C11AA44">
                  <w:pPr>
                    <w:jc w:val="center"/>
                    <w:rPr>
                      <w:rFonts w:ascii="Times New Roman" w:hAnsi="Times New Roman" w:cs="Times New Roman"/>
                    </w:rPr>
                  </w:pPr>
                  <w:r>
                    <w:rPr>
                      <w:rFonts w:ascii="Times New Roman" w:hAnsi="Times New Roman" w:cs="Times New Roman"/>
                    </w:rPr>
                    <w:t>/</w:t>
                  </w:r>
                </w:p>
              </w:tc>
              <w:tc>
                <w:tcPr>
                  <w:tcW w:w="678" w:type="pct"/>
                  <w:tcBorders>
                    <w:left w:val="nil"/>
                    <w:right w:val="single" w:color="auto" w:sz="4" w:space="0"/>
                  </w:tcBorders>
                  <w:vAlign w:val="center"/>
                </w:tcPr>
                <w:p w14:paraId="0CBDBC70">
                  <w:pPr>
                    <w:jc w:val="center"/>
                    <w:rPr>
                      <w:rFonts w:ascii="Times New Roman" w:hAnsi="Times New Roman" w:cs="Times New Roman"/>
                    </w:rPr>
                  </w:pPr>
                  <w:r>
                    <w:rPr>
                      <w:rFonts w:ascii="Times New Roman" w:hAnsi="Times New Roman" w:cs="Times New Roman"/>
                    </w:rPr>
                    <w:t>1次/半年</w:t>
                  </w:r>
                </w:p>
              </w:tc>
            </w:tr>
            <w:tr w14:paraId="1FDE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pct"/>
                  <w:tcBorders>
                    <w:left w:val="single" w:color="auto" w:sz="4" w:space="0"/>
                    <w:right w:val="single" w:color="auto" w:sz="4" w:space="0"/>
                  </w:tcBorders>
                  <w:vAlign w:val="center"/>
                </w:tcPr>
                <w:p w14:paraId="2C6ED685">
                  <w:pPr>
                    <w:jc w:val="center"/>
                    <w:rPr>
                      <w:rFonts w:ascii="Times New Roman" w:hAnsi="Times New Roman" w:eastAsia="宋体" w:cs="Times New Roman"/>
                      <w:lang w:eastAsia="zh-CN"/>
                    </w:rPr>
                  </w:pPr>
                  <w:r>
                    <w:rPr>
                      <w:rFonts w:ascii="Times New Roman" w:hAnsi="Times New Roman" w:cs="Times New Roman"/>
                      <w:lang w:eastAsia="zh-CN"/>
                    </w:rPr>
                    <w:t>厂区内</w:t>
                  </w:r>
                </w:p>
              </w:tc>
              <w:tc>
                <w:tcPr>
                  <w:tcW w:w="802" w:type="pct"/>
                  <w:tcBorders>
                    <w:top w:val="single" w:color="auto" w:sz="4" w:space="0"/>
                    <w:left w:val="nil"/>
                    <w:bottom w:val="single" w:color="auto" w:sz="4" w:space="0"/>
                    <w:right w:val="single" w:color="auto" w:sz="4" w:space="0"/>
                  </w:tcBorders>
                  <w:vAlign w:val="center"/>
                </w:tcPr>
                <w:p w14:paraId="332876B9">
                  <w:pPr>
                    <w:pStyle w:val="33"/>
                    <w:rPr>
                      <w:rFonts w:ascii="Times New Roman" w:hAnsi="Times New Roman" w:cs="Times New Roman"/>
                    </w:rPr>
                  </w:pPr>
                  <w:r>
                    <w:rPr>
                      <w:rFonts w:ascii="Times New Roman" w:hAnsi="Times New Roman" w:cs="Times New Roman"/>
                    </w:rPr>
                    <w:t>非甲烷总烃</w:t>
                  </w:r>
                </w:p>
              </w:tc>
              <w:tc>
                <w:tcPr>
                  <w:tcW w:w="563" w:type="pct"/>
                  <w:tcBorders>
                    <w:left w:val="nil"/>
                    <w:right w:val="single" w:color="auto" w:sz="4" w:space="0"/>
                  </w:tcBorders>
                  <w:vAlign w:val="center"/>
                </w:tcPr>
                <w:p w14:paraId="325F58D8">
                  <w:pPr>
                    <w:jc w:val="center"/>
                    <w:rPr>
                      <w:rFonts w:ascii="Times New Roman" w:hAnsi="Times New Roman" w:eastAsia="宋体" w:cs="Times New Roman"/>
                      <w:lang w:eastAsia="zh-CN"/>
                    </w:rPr>
                  </w:pPr>
                  <w:r>
                    <w:rPr>
                      <w:rFonts w:ascii="Times New Roman" w:hAnsi="Times New Roman" w:cs="Times New Roman"/>
                      <w:lang w:eastAsia="zh-CN"/>
                    </w:rPr>
                    <w:t>/</w:t>
                  </w:r>
                </w:p>
              </w:tc>
              <w:tc>
                <w:tcPr>
                  <w:tcW w:w="536" w:type="pct"/>
                  <w:tcBorders>
                    <w:left w:val="nil"/>
                    <w:right w:val="single" w:color="auto" w:sz="4" w:space="0"/>
                  </w:tcBorders>
                  <w:vAlign w:val="center"/>
                </w:tcPr>
                <w:p w14:paraId="0EE034CF">
                  <w:pPr>
                    <w:jc w:val="center"/>
                    <w:rPr>
                      <w:rFonts w:ascii="Times New Roman" w:hAnsi="Times New Roman" w:eastAsia="宋体" w:cs="Times New Roman"/>
                      <w:lang w:eastAsia="zh-CN"/>
                    </w:rPr>
                  </w:pPr>
                  <w:r>
                    <w:rPr>
                      <w:rFonts w:ascii="Times New Roman" w:hAnsi="Times New Roman" w:cs="Times New Roman"/>
                      <w:lang w:eastAsia="zh-CN"/>
                    </w:rPr>
                    <w:t>/</w:t>
                  </w:r>
                </w:p>
              </w:tc>
              <w:tc>
                <w:tcPr>
                  <w:tcW w:w="976" w:type="pct"/>
                  <w:tcBorders>
                    <w:left w:val="nil"/>
                    <w:right w:val="single" w:color="auto" w:sz="4" w:space="0"/>
                  </w:tcBorders>
                  <w:vAlign w:val="center"/>
                </w:tcPr>
                <w:p w14:paraId="4A56909C">
                  <w:pPr>
                    <w:jc w:val="center"/>
                    <w:rPr>
                      <w:rFonts w:ascii="Times New Roman" w:hAnsi="Times New Roman" w:eastAsia="宋体" w:cs="Times New Roman"/>
                      <w:lang w:eastAsia="zh-CN"/>
                    </w:rPr>
                  </w:pPr>
                  <w:r>
                    <w:rPr>
                      <w:rFonts w:ascii="Times New Roman" w:hAnsi="Times New Roman" w:cs="Times New Roman"/>
                      <w:lang w:eastAsia="zh-CN"/>
                    </w:rPr>
                    <w:t>/</w:t>
                  </w:r>
                </w:p>
              </w:tc>
              <w:tc>
                <w:tcPr>
                  <w:tcW w:w="911" w:type="pct"/>
                  <w:tcBorders>
                    <w:left w:val="nil"/>
                    <w:right w:val="single" w:color="auto" w:sz="4" w:space="0"/>
                  </w:tcBorders>
                  <w:vAlign w:val="center"/>
                </w:tcPr>
                <w:p w14:paraId="75F69F57">
                  <w:pPr>
                    <w:jc w:val="center"/>
                    <w:rPr>
                      <w:rFonts w:ascii="Times New Roman" w:hAnsi="Times New Roman" w:eastAsia="宋体" w:cs="Times New Roman"/>
                      <w:lang w:eastAsia="zh-CN"/>
                    </w:rPr>
                  </w:pPr>
                  <w:r>
                    <w:rPr>
                      <w:rFonts w:ascii="Times New Roman" w:hAnsi="Times New Roman" w:cs="Times New Roman"/>
                      <w:lang w:eastAsia="zh-CN"/>
                    </w:rPr>
                    <w:t>/</w:t>
                  </w:r>
                </w:p>
              </w:tc>
              <w:tc>
                <w:tcPr>
                  <w:tcW w:w="678" w:type="pct"/>
                  <w:tcBorders>
                    <w:left w:val="nil"/>
                    <w:right w:val="single" w:color="auto" w:sz="4" w:space="0"/>
                  </w:tcBorders>
                  <w:vAlign w:val="center"/>
                </w:tcPr>
                <w:p w14:paraId="114BB150">
                  <w:pPr>
                    <w:jc w:val="center"/>
                    <w:rPr>
                      <w:rFonts w:ascii="Times New Roman" w:hAnsi="Times New Roman" w:eastAsia="宋体" w:cs="Times New Roman"/>
                      <w:lang w:eastAsia="zh-CN"/>
                    </w:rPr>
                  </w:pPr>
                  <w:r>
                    <w:rPr>
                      <w:rFonts w:ascii="Times New Roman" w:hAnsi="Times New Roman" w:cs="Times New Roman"/>
                    </w:rPr>
                    <w:t>1次/</w:t>
                  </w:r>
                  <w:r>
                    <w:rPr>
                      <w:rFonts w:ascii="Times New Roman" w:hAnsi="Times New Roman" w:cs="Times New Roman"/>
                      <w:lang w:eastAsia="zh-CN"/>
                    </w:rPr>
                    <w:t>季度</w:t>
                  </w:r>
                </w:p>
              </w:tc>
            </w:tr>
          </w:tbl>
          <w:p w14:paraId="230C6088">
            <w:pPr>
              <w:widowControl w:val="0"/>
              <w:kinsoku/>
              <w:autoSpaceDE/>
              <w:autoSpaceDN/>
              <w:adjustRightInd/>
              <w:snapToGrid/>
              <w:spacing w:line="360" w:lineRule="auto"/>
              <w:textAlignment w:val="auto"/>
              <w:rPr>
                <w:rFonts w:ascii="Times New Roman" w:hAnsi="Times New Roman" w:cs="Times New Roman"/>
                <w:b/>
                <w:bCs/>
                <w:sz w:val="24"/>
              </w:rPr>
            </w:pPr>
            <w:r>
              <w:rPr>
                <w:rFonts w:ascii="Times New Roman" w:hAnsi="Times New Roman" w:cs="Times New Roman"/>
                <w:b/>
                <w:bCs/>
                <w:sz w:val="24"/>
              </w:rPr>
              <w:t>3、废气处理措施及可行性分析</w:t>
            </w:r>
          </w:p>
          <w:p w14:paraId="2CDFF93B">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4"/>
                <w:lang w:eastAsia="zh-CN"/>
              </w:rPr>
            </w:pPr>
            <w:r>
              <w:rPr>
                <w:rFonts w:ascii="Times New Roman" w:hAnsi="Times New Roman" w:cs="Times New Roman"/>
                <w:sz w:val="24"/>
              </w:rPr>
              <w:t>（</w:t>
            </w:r>
            <w:r>
              <w:rPr>
                <w:rFonts w:ascii="Times New Roman" w:hAnsi="Times New Roman" w:cs="Times New Roman"/>
                <w:sz w:val="24"/>
                <w:lang w:eastAsia="zh-CN"/>
              </w:rPr>
              <w:t>1</w:t>
            </w:r>
            <w:r>
              <w:rPr>
                <w:rFonts w:ascii="Times New Roman" w:hAnsi="Times New Roman" w:cs="Times New Roman"/>
                <w:sz w:val="24"/>
              </w:rPr>
              <w:t>）治理设施可行性分析</w:t>
            </w:r>
          </w:p>
          <w:p w14:paraId="27690C46">
            <w:pPr>
              <w:pStyle w:val="5"/>
              <w:keepNext w:val="0"/>
              <w:keepLines w:val="0"/>
              <w:shd w:val="clear" w:color="auto" w:fill="FFFFFF"/>
              <w:kinsoku/>
              <w:autoSpaceDE/>
              <w:autoSpaceDN/>
              <w:adjustRightInd/>
              <w:snapToGrid/>
              <w:ind w:left="105" w:leftChars="50" w:right="105" w:rightChars="50" w:firstLine="480" w:firstLineChars="200"/>
              <w:textAlignment w:val="auto"/>
              <w:rPr>
                <w:rFonts w:ascii="Times New Roman" w:hAnsi="Times New Roman" w:eastAsia="宋体" w:cs="Times New Roman"/>
                <w:b w:val="0"/>
                <w:color w:val="auto"/>
                <w:kern w:val="2"/>
                <w:sz w:val="24"/>
                <w:szCs w:val="24"/>
                <w:lang w:eastAsia="zh-CN"/>
              </w:rPr>
            </w:pPr>
            <w:r>
              <w:rPr>
                <w:rFonts w:ascii="Times New Roman" w:hAnsi="Times New Roman" w:eastAsia="宋体" w:cs="Times New Roman"/>
                <w:b w:val="0"/>
                <w:color w:val="auto"/>
                <w:kern w:val="2"/>
                <w:sz w:val="24"/>
                <w:szCs w:val="24"/>
                <w:lang w:eastAsia="zh-CN"/>
              </w:rPr>
              <w:t>项目根据《固定污染源排污许可分类管理名录（2019年版）》，本项目排污许可属于登记管理，且无相应排污许可技术规范，项目末端治理技术参照</w:t>
            </w:r>
            <w:r>
              <w:rPr>
                <w:rFonts w:ascii="Times New Roman" w:hAnsi="Times New Roman" w:eastAsia="宋体" w:cs="Times New Roman"/>
                <w:b w:val="0"/>
                <w:color w:val="auto"/>
                <w:kern w:val="2"/>
                <w:sz w:val="24"/>
                <w:szCs w:val="24"/>
                <w:lang w:val="zh-CN" w:eastAsia="zh-CN"/>
              </w:rPr>
              <w:t>《</w:t>
            </w:r>
            <w:r>
              <w:rPr>
                <w:rFonts w:ascii="Times New Roman" w:hAnsi="Times New Roman" w:eastAsia="宋体" w:cs="Times New Roman"/>
                <w:b w:val="0"/>
                <w:color w:val="auto"/>
                <w:kern w:val="2"/>
                <w:sz w:val="24"/>
                <w:szCs w:val="24"/>
                <w:lang w:eastAsia="zh-CN"/>
              </w:rPr>
              <w:t>排污许可证申请与核发技术规范 铁路、船舶、航空航天和其他运输设备制造业》（HJ1124-2020），（</w:t>
            </w:r>
            <w:r>
              <w:rPr>
                <w:rFonts w:ascii="Times New Roman" w:hAnsi="Times New Roman" w:eastAsia="宋体" w:cs="Times New Roman"/>
                <w:b w:val="0"/>
                <w:color w:val="auto"/>
                <w:kern w:val="2"/>
                <w:sz w:val="24"/>
                <w:szCs w:val="24"/>
                <w:lang w:val="zh-CN" w:eastAsia="zh-CN"/>
              </w:rPr>
              <w:t>其中下料、焊接、</w:t>
            </w:r>
            <w:r>
              <w:rPr>
                <w:rFonts w:ascii="Times New Roman" w:hAnsi="Times New Roman" w:eastAsia="宋体" w:cs="Times New Roman"/>
                <w:b w:val="0"/>
                <w:color w:val="auto"/>
                <w:kern w:val="2"/>
                <w:sz w:val="24"/>
                <w:szCs w:val="24"/>
                <w:lang w:eastAsia="zh-CN"/>
              </w:rPr>
              <w:t>打磨/抛光、抛丸</w:t>
            </w:r>
            <w:r>
              <w:rPr>
                <w:rFonts w:ascii="Times New Roman" w:hAnsi="Times New Roman" w:eastAsia="宋体" w:cs="Times New Roman"/>
                <w:b w:val="0"/>
                <w:color w:val="auto"/>
                <w:kern w:val="2"/>
                <w:sz w:val="24"/>
                <w:szCs w:val="24"/>
                <w:lang w:val="zh-CN" w:eastAsia="zh-CN"/>
              </w:rPr>
              <w:t>工序的末端治理技术名称为“</w:t>
            </w:r>
            <w:r>
              <w:rPr>
                <w:rFonts w:ascii="Times New Roman" w:hAnsi="Times New Roman" w:eastAsia="宋体" w:cs="Times New Roman"/>
                <w:b w:val="0"/>
                <w:color w:val="auto"/>
                <w:kern w:val="2"/>
                <w:sz w:val="24"/>
                <w:szCs w:val="24"/>
                <w:lang w:eastAsia="zh-CN"/>
              </w:rPr>
              <w:t>脉冲除尘器、布袋</w:t>
            </w:r>
            <w:r>
              <w:rPr>
                <w:rFonts w:ascii="Times New Roman" w:hAnsi="Times New Roman" w:eastAsia="宋体" w:cs="Times New Roman"/>
                <w:b w:val="0"/>
                <w:color w:val="auto"/>
                <w:kern w:val="2"/>
                <w:sz w:val="24"/>
                <w:szCs w:val="24"/>
                <w:lang w:val="zh-CN" w:eastAsia="zh-CN"/>
              </w:rPr>
              <w:t>除尘器”，</w:t>
            </w:r>
            <w:r>
              <w:rPr>
                <w:rFonts w:ascii="Times New Roman" w:hAnsi="Times New Roman" w:eastAsia="宋体" w:cs="Times New Roman"/>
                <w:b w:val="0"/>
                <w:color w:val="auto"/>
                <w:kern w:val="2"/>
                <w:sz w:val="24"/>
                <w:szCs w:val="24"/>
                <w:lang w:eastAsia="zh-CN"/>
              </w:rPr>
              <w:t>为可行性技术</w:t>
            </w:r>
            <w:r>
              <w:rPr>
                <w:rFonts w:ascii="Times New Roman" w:hAnsi="Times New Roman" w:eastAsia="宋体" w:cs="Times New Roman"/>
                <w:b w:val="0"/>
                <w:color w:val="auto"/>
                <w:kern w:val="2"/>
                <w:sz w:val="24"/>
                <w:szCs w:val="24"/>
                <w:lang w:val="zh-CN" w:eastAsia="zh-CN"/>
              </w:rPr>
              <w:t>；</w:t>
            </w:r>
            <w:r>
              <w:rPr>
                <w:rFonts w:ascii="Times New Roman" w:hAnsi="Times New Roman" w:eastAsia="宋体" w:cs="Times New Roman"/>
                <w:b w:val="0"/>
                <w:color w:val="auto"/>
                <w:kern w:val="2"/>
                <w:sz w:val="24"/>
                <w:szCs w:val="24"/>
                <w:lang w:eastAsia="zh-CN"/>
              </w:rPr>
              <w:t>喷塑的末端治理技术名称为“除尘设施、袋式除尘器”可行性技术，喷塑后烘干末端治理为“有机废气治理措施，活性炭”为可行性技术，喷漆/烘干</w:t>
            </w:r>
            <w:r>
              <w:rPr>
                <w:rFonts w:ascii="Times New Roman" w:hAnsi="Times New Roman" w:eastAsia="宋体" w:cs="Times New Roman"/>
                <w:b w:val="0"/>
                <w:color w:val="auto"/>
                <w:kern w:val="2"/>
                <w:sz w:val="24"/>
                <w:szCs w:val="24"/>
                <w:lang w:val="zh-CN" w:eastAsia="zh-CN"/>
              </w:rPr>
              <w:t>挥发性有机物的末端治理技术名称为</w:t>
            </w:r>
            <w:r>
              <w:rPr>
                <w:rFonts w:ascii="Times New Roman" w:hAnsi="Times New Roman" w:eastAsia="宋体" w:cs="Times New Roman"/>
                <w:b w:val="0"/>
                <w:color w:val="auto"/>
                <w:kern w:val="2"/>
                <w:sz w:val="24"/>
                <w:szCs w:val="24"/>
                <w:lang w:eastAsia="zh-CN"/>
              </w:rPr>
              <w:t>“有机废气治理措施，活性炭”为可行性技术</w:t>
            </w:r>
            <w:r>
              <w:rPr>
                <w:rFonts w:ascii="Times New Roman" w:hAnsi="Times New Roman" w:eastAsia="宋体" w:cs="Times New Roman"/>
                <w:b w:val="0"/>
                <w:color w:val="auto"/>
                <w:kern w:val="2"/>
                <w:sz w:val="24"/>
                <w:szCs w:val="24"/>
                <w:lang w:val="zh-CN" w:eastAsia="zh-CN"/>
              </w:rPr>
              <w:t>。</w:t>
            </w:r>
          </w:p>
          <w:p w14:paraId="0408A9FB">
            <w:pPr>
              <w:kinsoku/>
              <w:adjustRightInd/>
              <w:snapToGrid/>
              <w:jc w:val="center"/>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表4-4 废气处理及可行性分析一览表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785"/>
              <w:gridCol w:w="1103"/>
              <w:gridCol w:w="1056"/>
              <w:gridCol w:w="1672"/>
              <w:gridCol w:w="1136"/>
              <w:gridCol w:w="1046"/>
            </w:tblGrid>
            <w:tr w14:paraId="2FC3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Align w:val="center"/>
                </w:tcPr>
                <w:p w14:paraId="5B6DBFC6">
                  <w:pPr>
                    <w:widowControl/>
                    <w:shd w:val="clear" w:color="auto" w:fill="FFFFFF"/>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hd w:val="clear" w:color="auto" w:fill="FFFFFF"/>
                      <w:lang w:eastAsia="zh-CN" w:bidi="ar"/>
                    </w:rPr>
                    <w:t>生产单元</w:t>
                  </w:r>
                </w:p>
              </w:tc>
              <w:tc>
                <w:tcPr>
                  <w:tcW w:w="499" w:type="pct"/>
                  <w:vAlign w:val="center"/>
                </w:tcPr>
                <w:p w14:paraId="1C62F49C">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产污环节</w:t>
                  </w:r>
                </w:p>
              </w:tc>
              <w:tc>
                <w:tcPr>
                  <w:tcW w:w="701" w:type="pct"/>
                  <w:vAlign w:val="center"/>
                </w:tcPr>
                <w:p w14:paraId="1B4ECACF">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生产设施</w:t>
                  </w:r>
                </w:p>
              </w:tc>
              <w:tc>
                <w:tcPr>
                  <w:tcW w:w="671" w:type="pct"/>
                  <w:vAlign w:val="center"/>
                </w:tcPr>
                <w:p w14:paraId="38C71B46">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污染物项目</w:t>
                  </w:r>
                </w:p>
              </w:tc>
              <w:tc>
                <w:tcPr>
                  <w:tcW w:w="1063" w:type="pct"/>
                  <w:vAlign w:val="center"/>
                </w:tcPr>
                <w:p w14:paraId="496E2F7C">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防治污染设施</w:t>
                  </w:r>
                </w:p>
              </w:tc>
              <w:tc>
                <w:tcPr>
                  <w:tcW w:w="722" w:type="pct"/>
                  <w:vAlign w:val="center"/>
                </w:tcPr>
                <w:p w14:paraId="232086D5">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拟建项目采取的措施</w:t>
                  </w:r>
                </w:p>
              </w:tc>
              <w:tc>
                <w:tcPr>
                  <w:tcW w:w="665" w:type="pct"/>
                  <w:vAlign w:val="center"/>
                </w:tcPr>
                <w:p w14:paraId="31E16A9A">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是否为可行性分析</w:t>
                  </w:r>
                </w:p>
              </w:tc>
            </w:tr>
            <w:tr w14:paraId="67AE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Align w:val="center"/>
                </w:tcPr>
                <w:p w14:paraId="770ECA6A">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r>
                    <w:rPr>
                      <w:rFonts w:ascii="Times New Roman" w:hAnsi="Times New Roman" w:eastAsia="宋体" w:cs="Times New Roman"/>
                      <w:color w:val="auto"/>
                      <w:shd w:val="clear" w:color="auto" w:fill="FFFFFF"/>
                      <w:lang w:eastAsia="zh-CN" w:bidi="ar"/>
                    </w:rPr>
                    <w:t>下料</w:t>
                  </w:r>
                </w:p>
              </w:tc>
              <w:tc>
                <w:tcPr>
                  <w:tcW w:w="499" w:type="pct"/>
                  <w:vAlign w:val="center"/>
                </w:tcPr>
                <w:p w14:paraId="0D783461">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切割</w:t>
                  </w:r>
                </w:p>
              </w:tc>
              <w:tc>
                <w:tcPr>
                  <w:tcW w:w="701" w:type="pct"/>
                  <w:vAlign w:val="center"/>
                </w:tcPr>
                <w:p w14:paraId="577E280E">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激光切割机</w:t>
                  </w:r>
                </w:p>
              </w:tc>
              <w:tc>
                <w:tcPr>
                  <w:tcW w:w="671" w:type="pct"/>
                  <w:vAlign w:val="center"/>
                </w:tcPr>
                <w:p w14:paraId="1DD3917B">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颗粒物</w:t>
                  </w:r>
                </w:p>
              </w:tc>
              <w:tc>
                <w:tcPr>
                  <w:tcW w:w="1063" w:type="pct"/>
                  <w:vAlign w:val="center"/>
                </w:tcPr>
                <w:p w14:paraId="5880E0D7">
                  <w:pPr>
                    <w:widowControl/>
                    <w:shd w:val="clear" w:color="auto" w:fill="FFFFFF"/>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hd w:val="clear" w:color="auto" w:fill="FFFFFF"/>
                      <w:lang w:eastAsia="zh-CN" w:bidi="ar"/>
                    </w:rPr>
                    <w:t>除尘设施，袋式除尘、静电除尘</w:t>
                  </w:r>
                </w:p>
              </w:tc>
              <w:tc>
                <w:tcPr>
                  <w:tcW w:w="722" w:type="pct"/>
                  <w:vAlign w:val="center"/>
                </w:tcPr>
                <w:p w14:paraId="633E8B0B">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布袋除尘器</w:t>
                  </w:r>
                </w:p>
              </w:tc>
              <w:tc>
                <w:tcPr>
                  <w:tcW w:w="665" w:type="pct"/>
                  <w:vAlign w:val="center"/>
                </w:tcPr>
                <w:p w14:paraId="71691742">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w:t>
                  </w:r>
                </w:p>
              </w:tc>
            </w:tr>
            <w:tr w14:paraId="494A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Align w:val="center"/>
                </w:tcPr>
                <w:p w14:paraId="22BD7941">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r>
                    <w:rPr>
                      <w:rFonts w:ascii="Times New Roman" w:hAnsi="Times New Roman" w:eastAsia="宋体" w:cs="Times New Roman"/>
                      <w:color w:val="auto"/>
                      <w:shd w:val="clear" w:color="auto" w:fill="FFFFFF"/>
                      <w:lang w:eastAsia="zh-CN" w:bidi="ar"/>
                    </w:rPr>
                    <w:t>焊接</w:t>
                  </w:r>
                </w:p>
              </w:tc>
              <w:tc>
                <w:tcPr>
                  <w:tcW w:w="499" w:type="pct"/>
                  <w:vAlign w:val="center"/>
                </w:tcPr>
                <w:p w14:paraId="59E187E1">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焊接</w:t>
                  </w:r>
                </w:p>
              </w:tc>
              <w:tc>
                <w:tcPr>
                  <w:tcW w:w="701" w:type="pct"/>
                  <w:vAlign w:val="center"/>
                </w:tcPr>
                <w:p w14:paraId="3C26B7B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焊接机</w:t>
                  </w:r>
                </w:p>
              </w:tc>
              <w:tc>
                <w:tcPr>
                  <w:tcW w:w="671" w:type="pct"/>
                  <w:vAlign w:val="center"/>
                </w:tcPr>
                <w:p w14:paraId="34623C9F">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颗粒物</w:t>
                  </w:r>
                </w:p>
              </w:tc>
              <w:tc>
                <w:tcPr>
                  <w:tcW w:w="1063" w:type="pct"/>
                  <w:vAlign w:val="center"/>
                </w:tcPr>
                <w:p w14:paraId="37BC7D7F">
                  <w:pPr>
                    <w:widowControl/>
                    <w:shd w:val="clear" w:color="auto" w:fill="FFFFFF"/>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hd w:val="clear" w:color="auto" w:fill="FFFFFF"/>
                      <w:lang w:eastAsia="zh-CN" w:bidi="ar"/>
                    </w:rPr>
                    <w:t>烟尘净化装置，袋式除尘</w:t>
                  </w:r>
                </w:p>
              </w:tc>
              <w:tc>
                <w:tcPr>
                  <w:tcW w:w="722" w:type="pct"/>
                  <w:vAlign w:val="center"/>
                </w:tcPr>
                <w:p w14:paraId="552753E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布袋除尘器</w:t>
                  </w:r>
                </w:p>
              </w:tc>
              <w:tc>
                <w:tcPr>
                  <w:tcW w:w="665" w:type="pct"/>
                  <w:vAlign w:val="center"/>
                </w:tcPr>
                <w:p w14:paraId="60CA3B1A">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w:t>
                  </w:r>
                </w:p>
              </w:tc>
            </w:tr>
            <w:tr w14:paraId="093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Align w:val="center"/>
                </w:tcPr>
                <w:p w14:paraId="3F0C4A9D">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r>
                    <w:rPr>
                      <w:rFonts w:ascii="Times New Roman" w:hAnsi="Times New Roman" w:eastAsia="宋体" w:cs="Times New Roman"/>
                      <w:color w:val="auto"/>
                      <w:shd w:val="clear" w:color="auto" w:fill="FFFFFF"/>
                      <w:lang w:eastAsia="zh-CN" w:bidi="ar"/>
                    </w:rPr>
                    <w:t>抛光</w:t>
                  </w:r>
                </w:p>
              </w:tc>
              <w:tc>
                <w:tcPr>
                  <w:tcW w:w="499" w:type="pct"/>
                  <w:vAlign w:val="center"/>
                </w:tcPr>
                <w:p w14:paraId="559737B5">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抛光</w:t>
                  </w:r>
                </w:p>
              </w:tc>
              <w:tc>
                <w:tcPr>
                  <w:tcW w:w="701" w:type="pct"/>
                  <w:vAlign w:val="center"/>
                </w:tcPr>
                <w:p w14:paraId="25411051">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抛光机</w:t>
                  </w:r>
                </w:p>
              </w:tc>
              <w:tc>
                <w:tcPr>
                  <w:tcW w:w="671" w:type="pct"/>
                  <w:vAlign w:val="center"/>
                </w:tcPr>
                <w:p w14:paraId="4C1BCD0A">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颗粒物</w:t>
                  </w:r>
                </w:p>
              </w:tc>
              <w:tc>
                <w:tcPr>
                  <w:tcW w:w="1063" w:type="pct"/>
                  <w:vAlign w:val="center"/>
                </w:tcPr>
                <w:p w14:paraId="6195DBC3">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r>
                    <w:rPr>
                      <w:rFonts w:ascii="Times New Roman" w:hAnsi="Times New Roman" w:eastAsia="宋体" w:cs="Times New Roman"/>
                      <w:color w:val="auto"/>
                      <w:shd w:val="clear" w:color="auto" w:fill="FFFFFF"/>
                      <w:lang w:eastAsia="zh-CN" w:bidi="ar"/>
                    </w:rPr>
                    <w:t>除尘设施，袋式除尘、静电除尘</w:t>
                  </w:r>
                </w:p>
              </w:tc>
              <w:tc>
                <w:tcPr>
                  <w:tcW w:w="722" w:type="pct"/>
                  <w:vAlign w:val="center"/>
                </w:tcPr>
                <w:p w14:paraId="4D1CAD98">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布袋除尘器</w:t>
                  </w:r>
                </w:p>
              </w:tc>
              <w:tc>
                <w:tcPr>
                  <w:tcW w:w="665" w:type="pct"/>
                  <w:vAlign w:val="center"/>
                </w:tcPr>
                <w:p w14:paraId="603C6D51">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w:t>
                  </w:r>
                </w:p>
              </w:tc>
            </w:tr>
            <w:tr w14:paraId="650E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vAlign w:val="center"/>
                </w:tcPr>
                <w:p w14:paraId="2CDC243D">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r>
                    <w:rPr>
                      <w:rFonts w:ascii="Times New Roman" w:hAnsi="Times New Roman" w:eastAsia="宋体" w:cs="Times New Roman"/>
                      <w:color w:val="auto"/>
                      <w:shd w:val="clear" w:color="auto" w:fill="FFFFFF"/>
                      <w:lang w:eastAsia="zh-CN" w:bidi="ar"/>
                    </w:rPr>
                    <w:t>涂装</w:t>
                  </w:r>
                </w:p>
              </w:tc>
              <w:tc>
                <w:tcPr>
                  <w:tcW w:w="499" w:type="pct"/>
                  <w:vAlign w:val="center"/>
                </w:tcPr>
                <w:p w14:paraId="1467136D">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喷塑</w:t>
                  </w:r>
                </w:p>
              </w:tc>
              <w:tc>
                <w:tcPr>
                  <w:tcW w:w="701" w:type="pct"/>
                  <w:vAlign w:val="center"/>
                </w:tcPr>
                <w:p w14:paraId="5160F937">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喷塑房</w:t>
                  </w:r>
                </w:p>
              </w:tc>
              <w:tc>
                <w:tcPr>
                  <w:tcW w:w="671" w:type="pct"/>
                  <w:vAlign w:val="center"/>
                </w:tcPr>
                <w:p w14:paraId="10458ACD">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颗粒物</w:t>
                  </w:r>
                </w:p>
              </w:tc>
              <w:tc>
                <w:tcPr>
                  <w:tcW w:w="1063" w:type="pct"/>
                  <w:vAlign w:val="center"/>
                </w:tcPr>
                <w:p w14:paraId="56EA897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除尘设施、袋式除尘器</w:t>
                  </w:r>
                </w:p>
              </w:tc>
              <w:tc>
                <w:tcPr>
                  <w:tcW w:w="722" w:type="pct"/>
                  <w:vAlign w:val="center"/>
                </w:tcPr>
                <w:p w14:paraId="7EA7FCB5">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滤芯除尘装置+布袋除尘器</w:t>
                  </w:r>
                </w:p>
              </w:tc>
              <w:tc>
                <w:tcPr>
                  <w:tcW w:w="665" w:type="pct"/>
                  <w:vAlign w:val="center"/>
                </w:tcPr>
                <w:p w14:paraId="0D96963B">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w:t>
                  </w:r>
                </w:p>
              </w:tc>
            </w:tr>
            <w:tr w14:paraId="2870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vAlign w:val="center"/>
                </w:tcPr>
                <w:p w14:paraId="671F5CD0">
                  <w:pPr>
                    <w:widowControl/>
                    <w:shd w:val="clear" w:color="auto" w:fill="FFFFFF"/>
                    <w:kinsoku/>
                    <w:adjustRightInd/>
                    <w:snapToGrid/>
                    <w:jc w:val="center"/>
                    <w:rPr>
                      <w:rFonts w:ascii="Times New Roman" w:hAnsi="Times New Roman" w:eastAsia="宋体" w:cs="Times New Roman"/>
                      <w:color w:val="auto"/>
                      <w:shd w:val="clear" w:color="auto" w:fill="FFFFFF"/>
                      <w:lang w:eastAsia="zh-CN" w:bidi="ar"/>
                    </w:rPr>
                  </w:pPr>
                </w:p>
              </w:tc>
              <w:tc>
                <w:tcPr>
                  <w:tcW w:w="499" w:type="pct"/>
                  <w:vAlign w:val="center"/>
                </w:tcPr>
                <w:p w14:paraId="39388E79">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固化/烘干</w:t>
                  </w:r>
                </w:p>
              </w:tc>
              <w:tc>
                <w:tcPr>
                  <w:tcW w:w="701" w:type="pct"/>
                  <w:vAlign w:val="center"/>
                </w:tcPr>
                <w:p w14:paraId="49BE9BE9">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固化房</w:t>
                  </w:r>
                </w:p>
              </w:tc>
              <w:tc>
                <w:tcPr>
                  <w:tcW w:w="671" w:type="pct"/>
                  <w:vAlign w:val="center"/>
                </w:tcPr>
                <w:p w14:paraId="30701F53">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非甲烷总烃</w:t>
                  </w:r>
                </w:p>
              </w:tc>
              <w:tc>
                <w:tcPr>
                  <w:tcW w:w="1063" w:type="pct"/>
                  <w:vAlign w:val="center"/>
                </w:tcPr>
                <w:p w14:paraId="586E7949">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lang w:val="zh-CN"/>
                    </w:rPr>
                    <w:t>其他（吸附法）</w:t>
                  </w:r>
                </w:p>
              </w:tc>
              <w:tc>
                <w:tcPr>
                  <w:tcW w:w="722" w:type="pct"/>
                  <w:vAlign w:val="center"/>
                </w:tcPr>
                <w:p w14:paraId="212FBFF6">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二级活性炭吸附</w:t>
                  </w:r>
                </w:p>
              </w:tc>
              <w:tc>
                <w:tcPr>
                  <w:tcW w:w="665" w:type="pct"/>
                  <w:vAlign w:val="center"/>
                </w:tcPr>
                <w:p w14:paraId="3FE3FD0F">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是</w:t>
                  </w:r>
                </w:p>
              </w:tc>
            </w:tr>
          </w:tbl>
          <w:p w14:paraId="6CD25A04">
            <w:pPr>
              <w:spacing w:line="360" w:lineRule="auto"/>
              <w:ind w:firstLine="480" w:firstLineChars="200"/>
              <w:rPr>
                <w:rFonts w:ascii="Times New Roman" w:hAnsi="Times New Roman" w:eastAsia="宋体" w:cs="Times New Roman"/>
                <w:bCs/>
                <w:sz w:val="24"/>
                <w:lang w:eastAsia="zh-CN"/>
              </w:rPr>
            </w:pPr>
            <w:r>
              <w:rPr>
                <w:rFonts w:ascii="Times New Roman" w:hAnsi="Times New Roman" w:cs="Times New Roman"/>
                <w:bCs/>
                <w:sz w:val="24"/>
                <w:lang w:eastAsia="zh-CN"/>
              </w:rPr>
              <w:t>本项目采用以上措施后能够有效的处理废气，保证废气可达标排放，能有效减轻对周边大气环境的影响。</w:t>
            </w:r>
          </w:p>
          <w:p w14:paraId="5CD447C2">
            <w:pPr>
              <w:kinsoku/>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bCs/>
                <w:color w:val="auto"/>
                <w:sz w:val="24"/>
                <w:szCs w:val="24"/>
                <w:lang w:eastAsia="zh-CN"/>
              </w:rPr>
              <w:t>（2）</w:t>
            </w:r>
            <w:r>
              <w:rPr>
                <w:rFonts w:ascii="Times New Roman" w:hAnsi="Times New Roman" w:eastAsia="宋体" w:cs="Times New Roman"/>
                <w:color w:val="auto"/>
                <w:sz w:val="24"/>
                <w:lang w:eastAsia="zh-CN"/>
              </w:rPr>
              <w:t>二级活性炭设置要求</w:t>
            </w:r>
          </w:p>
          <w:p w14:paraId="56D1C480">
            <w:pPr>
              <w:kinsoku/>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为确保本项目运行期间活性炭吸附装置效率，本次评价对活性炭吸附参数提出以下相关技术要求：</w:t>
            </w:r>
          </w:p>
          <w:p w14:paraId="486C5956">
            <w:pPr>
              <w:kinsoku/>
              <w:adjustRightInd/>
              <w:snapToGrid/>
              <w:jc w:val="center"/>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表4-</w:t>
            </w:r>
            <w:r>
              <w:rPr>
                <w:rFonts w:ascii="Times New Roman" w:hAnsi="Times New Roman" w:cs="Times New Roman"/>
                <w:b/>
                <w:bCs/>
                <w:color w:val="auto"/>
                <w:sz w:val="24"/>
                <w:lang w:eastAsia="zh-CN"/>
              </w:rPr>
              <w:t>5</w:t>
            </w:r>
            <w:r>
              <w:rPr>
                <w:rFonts w:ascii="Times New Roman" w:hAnsi="Times New Roman" w:eastAsia="宋体" w:cs="Times New Roman"/>
                <w:b/>
                <w:bCs/>
                <w:color w:val="auto"/>
                <w:sz w:val="24"/>
                <w:lang w:eastAsia="zh-CN"/>
              </w:rPr>
              <w:t xml:space="preserve">  活性炭吸附参数相关要求一览表</w:t>
            </w:r>
          </w:p>
          <w:tbl>
            <w:tblPr>
              <w:tblStyle w:val="23"/>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999"/>
              <w:gridCol w:w="3147"/>
              <w:gridCol w:w="1169"/>
              <w:gridCol w:w="1658"/>
            </w:tblGrid>
            <w:tr w14:paraId="6CFD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7FAC153A">
                  <w:pPr>
                    <w:widowControl/>
                    <w:kinsoku/>
                    <w:adjustRightInd/>
                    <w:snapToGrid/>
                    <w:jc w:val="center"/>
                    <w:rPr>
                      <w:rFonts w:ascii="Times New Roman" w:hAnsi="Times New Roman" w:eastAsia="宋体" w:cs="Times New Roman"/>
                      <w:b w:val="0"/>
                      <w:bCs w:val="0"/>
                      <w:color w:val="auto"/>
                      <w:szCs w:val="18"/>
                      <w:lang w:eastAsia="zh-CN"/>
                    </w:rPr>
                  </w:pPr>
                  <w:r>
                    <w:rPr>
                      <w:rFonts w:ascii="Times New Roman" w:hAnsi="Times New Roman" w:eastAsia="宋体" w:cs="Times New Roman"/>
                      <w:b w:val="0"/>
                      <w:bCs w:val="0"/>
                      <w:color w:val="auto"/>
                      <w:szCs w:val="18"/>
                      <w:lang w:eastAsia="zh-CN"/>
                    </w:rPr>
                    <w:t>序号</w:t>
                  </w:r>
                </w:p>
              </w:tc>
              <w:tc>
                <w:tcPr>
                  <w:tcW w:w="646" w:type="pct"/>
                  <w:vAlign w:val="center"/>
                </w:tcPr>
                <w:p w14:paraId="07B73BDF">
                  <w:pPr>
                    <w:widowControl/>
                    <w:kinsoku/>
                    <w:adjustRightInd/>
                    <w:snapToGrid/>
                    <w:jc w:val="center"/>
                    <w:rPr>
                      <w:rFonts w:ascii="Times New Roman" w:hAnsi="Times New Roman" w:eastAsia="宋体" w:cs="Times New Roman"/>
                      <w:b w:val="0"/>
                      <w:bCs w:val="0"/>
                      <w:color w:val="auto"/>
                      <w:szCs w:val="18"/>
                      <w:lang w:eastAsia="zh-CN"/>
                    </w:rPr>
                  </w:pPr>
                  <w:r>
                    <w:rPr>
                      <w:rFonts w:ascii="Times New Roman" w:hAnsi="Times New Roman" w:eastAsia="宋体" w:cs="Times New Roman"/>
                      <w:b w:val="0"/>
                      <w:bCs w:val="0"/>
                      <w:color w:val="auto"/>
                      <w:szCs w:val="18"/>
                      <w:lang w:eastAsia="zh-CN"/>
                    </w:rPr>
                    <w:t>相关参数</w:t>
                  </w:r>
                </w:p>
              </w:tc>
              <w:tc>
                <w:tcPr>
                  <w:tcW w:w="2035" w:type="pct"/>
                  <w:vAlign w:val="center"/>
                </w:tcPr>
                <w:p w14:paraId="1B809FC6">
                  <w:pPr>
                    <w:widowControl/>
                    <w:kinsoku/>
                    <w:adjustRightInd/>
                    <w:snapToGrid/>
                    <w:jc w:val="center"/>
                    <w:rPr>
                      <w:rFonts w:ascii="Times New Roman" w:hAnsi="Times New Roman" w:eastAsia="宋体" w:cs="Times New Roman"/>
                      <w:b w:val="0"/>
                      <w:bCs w:val="0"/>
                      <w:color w:val="auto"/>
                      <w:sz w:val="24"/>
                      <w:lang w:eastAsia="zh-CN"/>
                    </w:rPr>
                  </w:pPr>
                  <w:r>
                    <w:rPr>
                      <w:rFonts w:ascii="Times New Roman" w:hAnsi="Times New Roman" w:eastAsia="宋体" w:cs="Times New Roman"/>
                      <w:b w:val="0"/>
                      <w:bCs w:val="0"/>
                      <w:color w:val="auto"/>
                      <w:sz w:val="24"/>
                      <w:lang w:eastAsia="zh-CN"/>
                    </w:rPr>
                    <w:t>对应要求</w:t>
                  </w:r>
                </w:p>
              </w:tc>
              <w:tc>
                <w:tcPr>
                  <w:tcW w:w="756" w:type="pct"/>
                  <w:vAlign w:val="center"/>
                </w:tcPr>
                <w:p w14:paraId="307E2687">
                  <w:pPr>
                    <w:widowControl/>
                    <w:kinsoku/>
                    <w:adjustRightInd/>
                    <w:snapToGrid/>
                    <w:jc w:val="center"/>
                    <w:rPr>
                      <w:rFonts w:ascii="Times New Roman" w:hAnsi="Times New Roman" w:eastAsia="宋体" w:cs="Times New Roman"/>
                      <w:b w:val="0"/>
                      <w:bCs w:val="0"/>
                      <w:color w:val="auto"/>
                      <w:sz w:val="24"/>
                      <w:lang w:eastAsia="zh-CN"/>
                    </w:rPr>
                  </w:pPr>
                  <w:r>
                    <w:rPr>
                      <w:rFonts w:ascii="Times New Roman" w:hAnsi="Times New Roman" w:eastAsia="宋体" w:cs="Times New Roman"/>
                      <w:b w:val="0"/>
                      <w:bCs w:val="0"/>
                      <w:color w:val="auto"/>
                      <w:sz w:val="24"/>
                      <w:lang w:eastAsia="zh-CN"/>
                    </w:rPr>
                    <w:t>性质</w:t>
                  </w:r>
                </w:p>
              </w:tc>
              <w:tc>
                <w:tcPr>
                  <w:tcW w:w="1072" w:type="pct"/>
                  <w:vAlign w:val="center"/>
                </w:tcPr>
                <w:p w14:paraId="7298DA56">
                  <w:pPr>
                    <w:widowControl/>
                    <w:kinsoku/>
                    <w:adjustRightInd/>
                    <w:snapToGrid/>
                    <w:jc w:val="center"/>
                    <w:rPr>
                      <w:rFonts w:ascii="Times New Roman" w:hAnsi="Times New Roman" w:eastAsia="宋体" w:cs="Times New Roman"/>
                      <w:b w:val="0"/>
                      <w:bCs w:val="0"/>
                      <w:color w:val="auto"/>
                      <w:sz w:val="24"/>
                      <w:lang w:eastAsia="zh-CN"/>
                    </w:rPr>
                  </w:pPr>
                  <w:r>
                    <w:rPr>
                      <w:rFonts w:ascii="Times New Roman" w:hAnsi="Times New Roman" w:eastAsia="宋体" w:cs="Times New Roman"/>
                      <w:b w:val="0"/>
                      <w:bCs w:val="0"/>
                      <w:color w:val="auto"/>
                      <w:sz w:val="24"/>
                      <w:lang w:eastAsia="zh-CN"/>
                    </w:rPr>
                    <w:t>依据</w:t>
                  </w:r>
                </w:p>
              </w:tc>
            </w:tr>
            <w:tr w14:paraId="2B24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44A262C9">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1</w:t>
                  </w:r>
                </w:p>
              </w:tc>
              <w:tc>
                <w:tcPr>
                  <w:tcW w:w="646" w:type="pct"/>
                  <w:vAlign w:val="center"/>
                </w:tcPr>
                <w:p w14:paraId="24B482FA">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吸附温度</w:t>
                  </w:r>
                </w:p>
              </w:tc>
              <w:tc>
                <w:tcPr>
                  <w:tcW w:w="2035" w:type="pct"/>
                  <w:vAlign w:val="center"/>
                </w:tcPr>
                <w:p w14:paraId="3C116F03">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进入吸附装置的废气温度宜低于40℃</w:t>
                  </w:r>
                </w:p>
              </w:tc>
              <w:tc>
                <w:tcPr>
                  <w:tcW w:w="756" w:type="pct"/>
                  <w:vAlign w:val="center"/>
                </w:tcPr>
                <w:p w14:paraId="03DC96CB">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关键指标</w:t>
                  </w:r>
                </w:p>
              </w:tc>
              <w:tc>
                <w:tcPr>
                  <w:tcW w:w="1072" w:type="pct"/>
                  <w:vMerge w:val="restart"/>
                  <w:vAlign w:val="center"/>
                </w:tcPr>
                <w:p w14:paraId="40918EE9">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《吸附法工业有机废气治理工程技术规范》</w:t>
                  </w:r>
                </w:p>
              </w:tc>
            </w:tr>
            <w:tr w14:paraId="5234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2D3A1283">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2</w:t>
                  </w:r>
                </w:p>
              </w:tc>
              <w:tc>
                <w:tcPr>
                  <w:tcW w:w="646" w:type="pct"/>
                  <w:vAlign w:val="center"/>
                </w:tcPr>
                <w:p w14:paraId="27E4FEFD">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流速</w:t>
                  </w:r>
                </w:p>
              </w:tc>
              <w:tc>
                <w:tcPr>
                  <w:tcW w:w="2035" w:type="pct"/>
                  <w:vAlign w:val="center"/>
                </w:tcPr>
                <w:p w14:paraId="1716E9C2">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采用蜂窝状吸附时，截面气体流速宜不低于1.2m/s</w:t>
                  </w:r>
                </w:p>
              </w:tc>
              <w:tc>
                <w:tcPr>
                  <w:tcW w:w="756" w:type="pct"/>
                  <w:vAlign w:val="center"/>
                </w:tcPr>
                <w:p w14:paraId="651273A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cs="Times New Roman"/>
                      <w:color w:val="auto"/>
                    </w:rPr>
                    <w:t>关键指标</w:t>
                  </w:r>
                </w:p>
              </w:tc>
              <w:tc>
                <w:tcPr>
                  <w:tcW w:w="1072" w:type="pct"/>
                  <w:vMerge w:val="continue"/>
                  <w:vAlign w:val="center"/>
                </w:tcPr>
                <w:p w14:paraId="0FEB5550">
                  <w:pPr>
                    <w:widowControl/>
                    <w:kinsoku/>
                    <w:adjustRightInd/>
                    <w:snapToGrid/>
                    <w:jc w:val="center"/>
                    <w:rPr>
                      <w:rFonts w:ascii="Times New Roman" w:hAnsi="Times New Roman" w:eastAsia="宋体" w:cs="Times New Roman"/>
                      <w:color w:val="auto"/>
                      <w:szCs w:val="18"/>
                      <w:lang w:eastAsia="zh-CN"/>
                    </w:rPr>
                  </w:pPr>
                </w:p>
              </w:tc>
            </w:tr>
            <w:tr w14:paraId="4DCA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48C849E3">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3</w:t>
                  </w:r>
                </w:p>
              </w:tc>
              <w:tc>
                <w:tcPr>
                  <w:tcW w:w="646" w:type="pct"/>
                  <w:vAlign w:val="center"/>
                </w:tcPr>
                <w:p w14:paraId="46C762B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颗粒物含量</w:t>
                  </w:r>
                </w:p>
              </w:tc>
              <w:tc>
                <w:tcPr>
                  <w:tcW w:w="2035" w:type="pct"/>
                  <w:vAlign w:val="center"/>
                </w:tcPr>
                <w:p w14:paraId="6A227A0A">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进入吸附装置的颗粒物含量低于1mg/m³</w:t>
                  </w:r>
                </w:p>
              </w:tc>
              <w:tc>
                <w:tcPr>
                  <w:tcW w:w="756" w:type="pct"/>
                  <w:vAlign w:val="center"/>
                </w:tcPr>
                <w:p w14:paraId="47B0CBFE">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cs="Times New Roman"/>
                      <w:color w:val="auto"/>
                    </w:rPr>
                    <w:t>关键指标</w:t>
                  </w:r>
                </w:p>
              </w:tc>
              <w:tc>
                <w:tcPr>
                  <w:tcW w:w="1072" w:type="pct"/>
                  <w:vMerge w:val="continue"/>
                  <w:vAlign w:val="center"/>
                </w:tcPr>
                <w:p w14:paraId="648E9A80">
                  <w:pPr>
                    <w:widowControl/>
                    <w:kinsoku/>
                    <w:adjustRightInd/>
                    <w:snapToGrid/>
                    <w:jc w:val="center"/>
                    <w:rPr>
                      <w:rFonts w:ascii="Times New Roman" w:hAnsi="Times New Roman" w:eastAsia="宋体" w:cs="Times New Roman"/>
                      <w:color w:val="auto"/>
                      <w:szCs w:val="18"/>
                      <w:lang w:eastAsia="zh-CN"/>
                    </w:rPr>
                  </w:pPr>
                </w:p>
              </w:tc>
            </w:tr>
            <w:tr w14:paraId="2666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restart"/>
                  <w:vAlign w:val="center"/>
                </w:tcPr>
                <w:p w14:paraId="5AB214F6">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4</w:t>
                  </w:r>
                </w:p>
              </w:tc>
              <w:tc>
                <w:tcPr>
                  <w:tcW w:w="646" w:type="pct"/>
                  <w:vMerge w:val="restart"/>
                  <w:vAlign w:val="center"/>
                </w:tcPr>
                <w:p w14:paraId="7CDB19A0">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压力损失</w:t>
                  </w:r>
                </w:p>
              </w:tc>
              <w:tc>
                <w:tcPr>
                  <w:tcW w:w="2035" w:type="pct"/>
                  <w:vAlign w:val="center"/>
                </w:tcPr>
                <w:p w14:paraId="7C72FD6B">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采用纤维状吸附剂时，吸附单元的压力损失宜低于4Kpa</w:t>
                  </w:r>
                </w:p>
              </w:tc>
              <w:tc>
                <w:tcPr>
                  <w:tcW w:w="756" w:type="pct"/>
                  <w:vAlign w:val="center"/>
                </w:tcPr>
                <w:p w14:paraId="6270DA18">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cs="Times New Roman"/>
                      <w:color w:val="auto"/>
                    </w:rPr>
                    <w:t>关键指标</w:t>
                  </w:r>
                </w:p>
              </w:tc>
              <w:tc>
                <w:tcPr>
                  <w:tcW w:w="1072" w:type="pct"/>
                  <w:vMerge w:val="continue"/>
                  <w:vAlign w:val="center"/>
                </w:tcPr>
                <w:p w14:paraId="1E6BBE09">
                  <w:pPr>
                    <w:widowControl/>
                    <w:kinsoku/>
                    <w:adjustRightInd/>
                    <w:snapToGrid/>
                    <w:jc w:val="center"/>
                    <w:rPr>
                      <w:rFonts w:ascii="Times New Roman" w:hAnsi="Times New Roman" w:eastAsia="宋体" w:cs="Times New Roman"/>
                      <w:color w:val="auto"/>
                      <w:szCs w:val="18"/>
                      <w:lang w:eastAsia="zh-CN"/>
                    </w:rPr>
                  </w:pPr>
                </w:p>
              </w:tc>
            </w:tr>
            <w:tr w14:paraId="6FDE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Merge w:val="continue"/>
                  <w:vAlign w:val="center"/>
                </w:tcPr>
                <w:p w14:paraId="380BF6FA">
                  <w:pPr>
                    <w:widowControl/>
                    <w:kinsoku/>
                    <w:adjustRightInd/>
                    <w:snapToGrid/>
                    <w:jc w:val="center"/>
                    <w:rPr>
                      <w:rFonts w:ascii="Times New Roman" w:hAnsi="Times New Roman" w:eastAsia="宋体" w:cs="Times New Roman"/>
                      <w:color w:val="auto"/>
                      <w:szCs w:val="18"/>
                      <w:lang w:eastAsia="zh-CN"/>
                    </w:rPr>
                  </w:pPr>
                </w:p>
              </w:tc>
              <w:tc>
                <w:tcPr>
                  <w:tcW w:w="646" w:type="pct"/>
                  <w:vMerge w:val="continue"/>
                  <w:vAlign w:val="center"/>
                </w:tcPr>
                <w:p w14:paraId="3E0EAF56">
                  <w:pPr>
                    <w:widowControl/>
                    <w:kinsoku/>
                    <w:adjustRightInd/>
                    <w:snapToGrid/>
                    <w:jc w:val="center"/>
                    <w:rPr>
                      <w:rFonts w:ascii="Times New Roman" w:hAnsi="Times New Roman" w:eastAsia="宋体" w:cs="Times New Roman"/>
                      <w:color w:val="auto"/>
                      <w:szCs w:val="18"/>
                      <w:lang w:eastAsia="zh-CN"/>
                    </w:rPr>
                  </w:pPr>
                </w:p>
              </w:tc>
              <w:tc>
                <w:tcPr>
                  <w:tcW w:w="2035" w:type="pct"/>
                  <w:vAlign w:val="center"/>
                </w:tcPr>
                <w:p w14:paraId="546939E7">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采用其他形状吸附剂时，吸附单元的压力损失宜低于2.5kpa</w:t>
                  </w:r>
                </w:p>
              </w:tc>
              <w:tc>
                <w:tcPr>
                  <w:tcW w:w="756" w:type="pct"/>
                  <w:vAlign w:val="center"/>
                </w:tcPr>
                <w:p w14:paraId="63DF2D9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cs="Times New Roman"/>
                      <w:color w:val="auto"/>
                    </w:rPr>
                    <w:t>关键指标</w:t>
                  </w:r>
                </w:p>
              </w:tc>
              <w:tc>
                <w:tcPr>
                  <w:tcW w:w="1072" w:type="pct"/>
                  <w:vMerge w:val="continue"/>
                  <w:vAlign w:val="center"/>
                </w:tcPr>
                <w:p w14:paraId="03E47EBB">
                  <w:pPr>
                    <w:widowControl/>
                    <w:kinsoku/>
                    <w:adjustRightInd/>
                    <w:snapToGrid/>
                    <w:jc w:val="center"/>
                    <w:rPr>
                      <w:rFonts w:ascii="Times New Roman" w:hAnsi="Times New Roman" w:eastAsia="宋体" w:cs="Times New Roman"/>
                      <w:color w:val="auto"/>
                      <w:szCs w:val="18"/>
                      <w:lang w:eastAsia="zh-CN"/>
                    </w:rPr>
                  </w:pPr>
                </w:p>
              </w:tc>
            </w:tr>
            <w:tr w14:paraId="2B3A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9" w:type="pct"/>
                  <w:vAlign w:val="center"/>
                </w:tcPr>
                <w:p w14:paraId="44AE1D9F">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5</w:t>
                  </w:r>
                </w:p>
              </w:tc>
              <w:tc>
                <w:tcPr>
                  <w:tcW w:w="646" w:type="pct"/>
                  <w:vAlign w:val="center"/>
                </w:tcPr>
                <w:p w14:paraId="66B32836">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碘值要求</w:t>
                  </w:r>
                </w:p>
              </w:tc>
              <w:tc>
                <w:tcPr>
                  <w:tcW w:w="2035" w:type="pct"/>
                  <w:vAlign w:val="center"/>
                </w:tcPr>
                <w:p w14:paraId="021A9C74">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&gt;800 毫克/克</w:t>
                  </w:r>
                </w:p>
              </w:tc>
              <w:tc>
                <w:tcPr>
                  <w:tcW w:w="756" w:type="pct"/>
                  <w:vAlign w:val="center"/>
                </w:tcPr>
                <w:p w14:paraId="51F0B2C8">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cs="Times New Roman"/>
                      <w:color w:val="auto"/>
                    </w:rPr>
                    <w:t>关键指标</w:t>
                  </w:r>
                </w:p>
              </w:tc>
              <w:tc>
                <w:tcPr>
                  <w:tcW w:w="1072" w:type="pct"/>
                  <w:vAlign w:val="center"/>
                </w:tcPr>
                <w:p w14:paraId="1A0775AF">
                  <w:pPr>
                    <w:widowControl/>
                    <w:kinsoku/>
                    <w:adjustRightInd/>
                    <w:snapToGrid/>
                    <w:jc w:val="center"/>
                    <w:rPr>
                      <w:rFonts w:ascii="Times New Roman" w:hAnsi="Times New Roman" w:eastAsia="宋体" w:cs="Times New Roman"/>
                      <w:color w:val="auto"/>
                      <w:szCs w:val="18"/>
                      <w:lang w:eastAsia="zh-CN"/>
                    </w:rPr>
                  </w:pPr>
                  <w:r>
                    <w:rPr>
                      <w:rFonts w:ascii="Times New Roman" w:hAnsi="Times New Roman" w:eastAsia="宋体" w:cs="Times New Roman"/>
                      <w:color w:val="auto"/>
                      <w:szCs w:val="18"/>
                      <w:lang w:eastAsia="zh-CN"/>
                    </w:rPr>
                    <w:t>《2020 年挥发性有机物治理攻坚方案》</w:t>
                  </w:r>
                </w:p>
              </w:tc>
            </w:tr>
          </w:tbl>
          <w:p w14:paraId="7ACAE3D5">
            <w:pPr>
              <w:kinsoku/>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注：本项目固化时温度约200℃左右，废气采用集气罩收集，收集时因含空气在内，根据以往生产经验，废气温度约在80℃左右，项目通过增加风冷设备和延长废气管道达到降温效果；</w:t>
            </w:r>
          </w:p>
          <w:p w14:paraId="54935C10">
            <w:pPr>
              <w:kinsoku/>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风冷工作原理为：利用空气与高温烟气的热交换来降低烟气温度，高温烟气在管道内流动时，通过管道壁与外界空气（或强制引入的冷却空气）进行热传导，烟气的热量传递给管道壁，再由管道壁传递给周围空气，达到降温效果。</w:t>
            </w:r>
          </w:p>
          <w:p w14:paraId="343FAB0E">
            <w:pPr>
              <w:adjustRightInd/>
              <w:snapToGrid/>
              <w:spacing w:line="360" w:lineRule="auto"/>
              <w:ind w:firstLine="480" w:firstLineChars="200"/>
              <w:rPr>
                <w:rFonts w:ascii="Times New Roman" w:hAnsi="Times New Roman" w:cs="Times New Roman"/>
                <w:bCs/>
                <w:color w:val="auto"/>
                <w:sz w:val="24"/>
                <w:lang w:eastAsia="zh-CN"/>
              </w:rPr>
            </w:pPr>
            <w:r>
              <w:rPr>
                <w:rFonts w:ascii="Times New Roman" w:hAnsi="Times New Roman" w:cs="Times New Roman"/>
                <w:bCs/>
                <w:color w:val="auto"/>
                <w:sz w:val="24"/>
                <w:lang w:eastAsia="zh-CN"/>
              </w:rPr>
              <w:t>（3）废气排放达标性分析</w:t>
            </w:r>
          </w:p>
          <w:p w14:paraId="0991F861">
            <w:pPr>
              <w:kinsoku/>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cs="Times New Roman"/>
                <w:bCs/>
                <w:color w:val="auto"/>
                <w:sz w:val="24"/>
                <w:lang w:eastAsia="zh-CN"/>
              </w:rPr>
              <w:t>综上所述，项目拟采取的颗粒物、非甲烷总烃污染防治措施技术可行。本次评价各项污染物在收集处理达标排放后能够达到《大气污染物综合排放标准》（GB16297-1996）、安徽省《固定源挥发性有机物第六部分：其他行业》（DB34/4812.6-2024）标准要求。</w:t>
            </w:r>
          </w:p>
          <w:p w14:paraId="3FF24EDF">
            <w:pPr>
              <w:pStyle w:val="27"/>
              <w:keepNext/>
              <w:keepLines/>
              <w:kinsoku/>
              <w:adjustRightInd/>
              <w:snapToGrid/>
              <w:spacing w:line="360" w:lineRule="auto"/>
              <w:rPr>
                <w:rFonts w:ascii="Times New Roman" w:hAnsi="Times New Roman"/>
                <w:b/>
                <w:bCs/>
                <w:kern w:val="2"/>
              </w:rPr>
            </w:pPr>
            <w:r>
              <w:rPr>
                <w:rFonts w:ascii="Times New Roman" w:hAnsi="Times New Roman"/>
                <w:b/>
                <w:bCs/>
                <w:kern w:val="2"/>
              </w:rPr>
              <w:t>4、无组织废气管控措施</w:t>
            </w:r>
          </w:p>
          <w:p w14:paraId="4DC88C3D">
            <w:pPr>
              <w:pStyle w:val="46"/>
              <w:widowControl w:val="0"/>
              <w:kinsoku/>
              <w:autoSpaceDE/>
              <w:autoSpaceDN/>
              <w:adjustRightInd/>
              <w:snapToGrid/>
              <w:spacing w:line="360" w:lineRule="auto"/>
              <w:ind w:firstLine="480" w:firstLineChars="200"/>
              <w:jc w:val="both"/>
              <w:textAlignment w:val="auto"/>
              <w:rPr>
                <w:rFonts w:ascii="Times New Roman" w:hAnsi="Times New Roman" w:cs="Times New Roman"/>
                <w:sz w:val="24"/>
                <w:lang w:eastAsia="zh-CN"/>
              </w:rPr>
            </w:pPr>
            <w:r>
              <w:rPr>
                <w:rFonts w:ascii="Times New Roman" w:hAnsi="Times New Roman" w:eastAsia="宋体" w:cs="Times New Roman"/>
                <w:bCs/>
                <w:kern w:val="2"/>
                <w:sz w:val="24"/>
                <w:szCs w:val="24"/>
                <w:lang w:eastAsia="zh-CN"/>
              </w:rPr>
              <w:t>本项目无组织废气主要为各生产工序未能收集的污染物，为了减小本项目无组织有机废气、粉尘对周边环境的影响，对照</w:t>
            </w:r>
            <w:r>
              <w:rPr>
                <w:rFonts w:ascii="Times New Roman" w:hAnsi="Times New Roman" w:eastAsia="宋体" w:cs="Times New Roman"/>
                <w:color w:val="auto"/>
                <w:sz w:val="24"/>
                <w:szCs w:val="24"/>
                <w:lang w:eastAsia="zh-CN"/>
              </w:rPr>
              <w:t>《大气污染物综合排放标准》（GB16297-1996）</w:t>
            </w:r>
            <w:r>
              <w:rPr>
                <w:rFonts w:ascii="Times New Roman" w:hAnsi="Times New Roman" w:cs="Times New Roman"/>
                <w:sz w:val="24"/>
                <w:lang w:eastAsia="zh-CN"/>
              </w:rPr>
              <w:t>、</w:t>
            </w:r>
            <w:r>
              <w:rPr>
                <w:rFonts w:ascii="Times New Roman" w:hAnsi="Times New Roman" w:eastAsia="宋体" w:cs="Times New Roman"/>
                <w:color w:val="auto"/>
                <w:sz w:val="24"/>
                <w:szCs w:val="24"/>
                <w:lang w:eastAsia="zh-CN"/>
              </w:rPr>
              <w:t>安徽省《固定源挥发性有机物第六部分：其他行业》（DB34/4812.6-2024）</w:t>
            </w:r>
            <w:r>
              <w:rPr>
                <w:rFonts w:ascii="Times New Roman" w:hAnsi="Times New Roman" w:cs="Times New Roman"/>
                <w:sz w:val="24"/>
                <w:lang w:eastAsia="zh-CN"/>
              </w:rPr>
              <w:t>等相关文件规定，项目采取以下防治措施从而减少对周围大气环境的不利影响：</w:t>
            </w:r>
          </w:p>
          <w:p w14:paraId="21B8E816">
            <w:pPr>
              <w:pStyle w:val="4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ascii="Times New Roman" w:hAnsi="Times New Roman" w:cs="Times New Roman"/>
                <w:color w:val="auto"/>
                <w:sz w:val="24"/>
                <w:lang w:eastAsia="zh-CN"/>
              </w:rPr>
            </w:pPr>
            <w:r>
              <w:rPr>
                <w:rFonts w:ascii="Times New Roman" w:hAnsi="Times New Roman" w:cs="Times New Roman"/>
                <w:sz w:val="24"/>
                <w:lang w:eastAsia="zh-CN"/>
              </w:rPr>
              <w:t>A.</w:t>
            </w:r>
            <w:r>
              <w:rPr>
                <w:rFonts w:ascii="Times New Roman" w:hAnsi="Times New Roman" w:cs="Times New Roman"/>
                <w:color w:val="auto"/>
                <w:sz w:val="24"/>
                <w:lang w:eastAsia="zh-CN"/>
              </w:rPr>
              <w:t>加强有组织废气的收集措施，项目喷塑、固化废气设置均在密闭空间内进行作业，产生的废气密闭负压收集；废气收集系统的管道应密闭完好，加强废气收集可从源头上有效减少无组织废气的产生量；</w:t>
            </w:r>
          </w:p>
          <w:p w14:paraId="4DAC6B5C">
            <w:pPr>
              <w:keepNext w:val="0"/>
              <w:keepLines w:val="0"/>
              <w:pageBreakBefore w:val="0"/>
              <w:wordWrap/>
              <w:overflowPunct/>
              <w:topLinePunct w:val="0"/>
              <w:bidi w:val="0"/>
              <w:adjustRightInd/>
              <w:snapToGrid/>
              <w:spacing w:line="360" w:lineRule="auto"/>
              <w:ind w:left="0" w:leftChars="0" w:right="0" w:rightChars="0" w:firstLine="480" w:firstLineChars="200"/>
              <w:rPr>
                <w:rFonts w:ascii="Times New Roman" w:hAnsi="Times New Roman" w:cs="Times New Roman"/>
                <w:sz w:val="24"/>
                <w:lang w:eastAsia="zh-CN"/>
              </w:rPr>
            </w:pPr>
            <w:r>
              <w:rPr>
                <w:rFonts w:ascii="Times New Roman" w:hAnsi="Times New Roman" w:cs="Times New Roman"/>
                <w:sz w:val="24"/>
                <w:lang w:eastAsia="zh-CN"/>
              </w:rPr>
              <w:t>B.</w:t>
            </w:r>
            <w:r>
              <w:rPr>
                <w:rFonts w:ascii="Times New Roman" w:hAnsi="Times New Roman" w:cs="Times New Roman"/>
                <w:color w:val="auto"/>
                <w:sz w:val="24"/>
                <w:lang w:eastAsia="zh-CN"/>
              </w:rPr>
              <w:t>废气收集处理系统与生产工艺设备同步运行，当废气收集处理系统发生故障或检修时，对应的生产工艺设备应停止运行，检修完毕后同步使用。</w:t>
            </w:r>
          </w:p>
          <w:p w14:paraId="6A9F7A51">
            <w:pPr>
              <w:pStyle w:val="4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ascii="Times New Roman" w:hAnsi="Times New Roman" w:cs="Times New Roman"/>
                <w:color w:val="auto"/>
                <w:sz w:val="24"/>
                <w:lang w:eastAsia="zh-CN"/>
              </w:rPr>
            </w:pPr>
            <w:r>
              <w:rPr>
                <w:rFonts w:ascii="Times New Roman" w:hAnsi="Times New Roman" w:cs="Times New Roman"/>
                <w:sz w:val="24"/>
                <w:lang w:eastAsia="zh-CN"/>
              </w:rPr>
              <w:t>C.</w:t>
            </w:r>
            <w:r>
              <w:rPr>
                <w:rFonts w:ascii="Times New Roman" w:hAnsi="Times New Roman" w:eastAsia="宋体" w:cs="Times New Roman"/>
                <w:color w:val="auto"/>
                <w:sz w:val="24"/>
                <w:lang w:eastAsia="zh-CN"/>
              </w:rPr>
              <w:t>项目产生的废</w:t>
            </w:r>
            <w:r>
              <w:rPr>
                <w:rFonts w:hint="eastAsia" w:ascii="Times New Roman" w:hAnsi="Times New Roman" w:eastAsia="宋体" w:cs="Times New Roman"/>
                <w:color w:val="auto"/>
                <w:sz w:val="24"/>
                <w:lang w:val="en-US" w:eastAsia="zh-CN"/>
              </w:rPr>
              <w:t>破损</w:t>
            </w:r>
            <w:r>
              <w:rPr>
                <w:rFonts w:ascii="Times New Roman" w:hAnsi="Times New Roman" w:eastAsia="宋体" w:cs="Times New Roman"/>
                <w:color w:val="auto"/>
                <w:sz w:val="24"/>
                <w:lang w:eastAsia="zh-CN"/>
              </w:rPr>
              <w:t>油漆桶、废机油等废物，暂存时采取加盖、封装，废活性炭采用薄膜缠绕包裹，密闭桶存放，日常确保贮存含VOCs原辅材料的容器材质结实、耐用、无破损、无泄漏，封闭良好；</w:t>
            </w:r>
          </w:p>
          <w:p w14:paraId="26127212">
            <w:pPr>
              <w:spacing w:line="360" w:lineRule="auto"/>
              <w:ind w:firstLine="480" w:firstLineChars="200"/>
              <w:rPr>
                <w:rFonts w:ascii="Times New Roman" w:hAnsi="Times New Roman" w:cs="Times New Roman"/>
                <w:sz w:val="24"/>
                <w:lang w:eastAsia="zh-CN"/>
              </w:rPr>
            </w:pPr>
            <w:r>
              <w:rPr>
                <w:rFonts w:ascii="Times New Roman" w:hAnsi="Times New Roman" w:cs="Times New Roman"/>
                <w:color w:val="auto"/>
                <w:sz w:val="24"/>
                <w:lang w:eastAsia="zh-CN"/>
              </w:rPr>
              <w:t>通过以上措施无组织颗粒物满足《大气污染物综合排放标准》（GB16297-1996）中二级标准，非甲烷总烃厂界浓度能够达到安徽省《固定源挥发性有机物第六部分：其他行业》（DB34/4812.6-2024）表1标准限值要求。</w:t>
            </w:r>
          </w:p>
          <w:p w14:paraId="2CAEE96B">
            <w:pPr>
              <w:spacing w:line="360" w:lineRule="auto"/>
              <w:rPr>
                <w:rFonts w:ascii="Times New Roman" w:hAnsi="Times New Roman" w:cs="Times New Roman"/>
                <w:b/>
                <w:bCs/>
                <w:sz w:val="24"/>
              </w:rPr>
            </w:pPr>
            <w:r>
              <w:rPr>
                <w:rFonts w:ascii="Times New Roman" w:hAnsi="Times New Roman" w:cs="Times New Roman"/>
                <w:b/>
                <w:bCs/>
                <w:sz w:val="24"/>
                <w:lang w:eastAsia="zh-CN"/>
              </w:rPr>
              <w:t>4</w:t>
            </w:r>
            <w:r>
              <w:rPr>
                <w:rFonts w:ascii="Times New Roman" w:hAnsi="Times New Roman" w:cs="Times New Roman"/>
                <w:b/>
                <w:bCs/>
                <w:sz w:val="24"/>
              </w:rPr>
              <w:t>、非正常工况</w:t>
            </w:r>
          </w:p>
          <w:p w14:paraId="4C55853F">
            <w:pPr>
              <w:spacing w:line="360" w:lineRule="auto"/>
              <w:ind w:firstLine="480"/>
              <w:rPr>
                <w:rFonts w:ascii="Times New Roman" w:hAnsi="Times New Roman" w:cs="Times New Roman"/>
                <w:b/>
                <w:bCs/>
                <w:sz w:val="24"/>
                <w:szCs w:val="32"/>
              </w:rPr>
            </w:pPr>
            <w:r>
              <w:rPr>
                <w:rFonts w:ascii="Times New Roman" w:hAnsi="Times New Roman" w:cs="Times New Roman"/>
                <w:sz w:val="24"/>
              </w:rPr>
              <w:t>根据本项目生产特点，非正常工况主要为废气处理中设备发生故障，导致废气处理效率不能满足设计处理效率而进行排放，项目非正常工况下，废气处理效率为0时，排放情况如下表所示。</w:t>
            </w:r>
          </w:p>
          <w:p w14:paraId="07E59CDA">
            <w:pPr>
              <w:jc w:val="center"/>
              <w:rPr>
                <w:rFonts w:ascii="Times New Roman" w:hAnsi="Times New Roman" w:cs="Times New Roman"/>
                <w:b/>
                <w:bCs/>
                <w:sz w:val="24"/>
                <w:szCs w:val="32"/>
              </w:rPr>
            </w:pPr>
            <w:r>
              <w:rPr>
                <w:rFonts w:ascii="Times New Roman" w:hAnsi="Times New Roman" w:cs="Times New Roman"/>
                <w:b/>
                <w:bCs/>
                <w:sz w:val="24"/>
                <w:szCs w:val="32"/>
              </w:rPr>
              <w:t>表4-</w:t>
            </w:r>
            <w:r>
              <w:rPr>
                <w:rFonts w:hint="eastAsia" w:ascii="Times New Roman" w:hAnsi="Times New Roman" w:eastAsia="宋体" w:cs="Times New Roman"/>
                <w:b/>
                <w:bCs/>
                <w:sz w:val="24"/>
                <w:szCs w:val="32"/>
                <w:lang w:eastAsia="zh-CN"/>
              </w:rPr>
              <w:t>6</w:t>
            </w:r>
            <w:r>
              <w:rPr>
                <w:rFonts w:ascii="Times New Roman" w:hAnsi="Times New Roman" w:cs="Times New Roman"/>
                <w:b/>
                <w:bCs/>
                <w:sz w:val="24"/>
                <w:szCs w:val="32"/>
              </w:rPr>
              <w:t xml:space="preserve">  非正常工况污染物排放情况</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178"/>
              <w:gridCol w:w="1213"/>
              <w:gridCol w:w="1073"/>
              <w:gridCol w:w="1242"/>
              <w:gridCol w:w="1176"/>
              <w:gridCol w:w="1147"/>
            </w:tblGrid>
            <w:tr w14:paraId="67BF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vAlign w:val="center"/>
                </w:tcPr>
                <w:p w14:paraId="0EBF1E4E">
                  <w:pPr>
                    <w:pStyle w:val="33"/>
                    <w:rPr>
                      <w:rFonts w:ascii="Times New Roman" w:hAnsi="Times New Roman" w:cs="Times New Roman"/>
                    </w:rPr>
                  </w:pPr>
                  <w:r>
                    <w:rPr>
                      <w:rFonts w:ascii="Times New Roman" w:hAnsi="Times New Roman" w:cs="Times New Roman"/>
                    </w:rPr>
                    <w:t>污染源</w:t>
                  </w:r>
                </w:p>
              </w:tc>
              <w:tc>
                <w:tcPr>
                  <w:tcW w:w="749" w:type="pct"/>
                  <w:vMerge w:val="restart"/>
                  <w:vAlign w:val="center"/>
                </w:tcPr>
                <w:p w14:paraId="54FA5846">
                  <w:pPr>
                    <w:pStyle w:val="33"/>
                    <w:rPr>
                      <w:rFonts w:ascii="Times New Roman" w:hAnsi="Times New Roman" w:cs="Times New Roman"/>
                    </w:rPr>
                  </w:pPr>
                  <w:r>
                    <w:rPr>
                      <w:rFonts w:ascii="Times New Roman" w:hAnsi="Times New Roman" w:cs="Times New Roman"/>
                    </w:rPr>
                    <w:t>污染物</w:t>
                  </w:r>
                </w:p>
              </w:tc>
              <w:tc>
                <w:tcPr>
                  <w:tcW w:w="1453" w:type="pct"/>
                  <w:gridSpan w:val="2"/>
                  <w:vAlign w:val="center"/>
                </w:tcPr>
                <w:p w14:paraId="23194947">
                  <w:pPr>
                    <w:pStyle w:val="33"/>
                    <w:rPr>
                      <w:rFonts w:ascii="Times New Roman" w:hAnsi="Times New Roman" w:cs="Times New Roman"/>
                    </w:rPr>
                  </w:pPr>
                  <w:r>
                    <w:rPr>
                      <w:rFonts w:ascii="Times New Roman" w:hAnsi="Times New Roman" w:cs="Times New Roman"/>
                    </w:rPr>
                    <w:t>产生情况</w:t>
                  </w:r>
                </w:p>
              </w:tc>
              <w:tc>
                <w:tcPr>
                  <w:tcW w:w="789" w:type="pct"/>
                  <w:vMerge w:val="restart"/>
                  <w:vAlign w:val="center"/>
                </w:tcPr>
                <w:p w14:paraId="1C1CE616">
                  <w:pPr>
                    <w:pStyle w:val="54"/>
                    <w:rPr>
                      <w:rFonts w:ascii="Times New Roman" w:hAnsi="Times New Roman" w:eastAsia="宋体" w:cs="Times New Roman"/>
                    </w:rPr>
                  </w:pPr>
                  <w:r>
                    <w:rPr>
                      <w:rFonts w:ascii="Times New Roman" w:hAnsi="Times New Roman" w:eastAsia="宋体" w:cs="Times New Roman"/>
                      <w:b w:val="0"/>
                      <w:bCs w:val="0"/>
                    </w:rPr>
                    <w:t>持续时间h</w:t>
                  </w:r>
                </w:p>
              </w:tc>
              <w:tc>
                <w:tcPr>
                  <w:tcW w:w="747" w:type="pct"/>
                  <w:vMerge w:val="restart"/>
                  <w:vAlign w:val="center"/>
                </w:tcPr>
                <w:p w14:paraId="1BB3A3CD">
                  <w:pPr>
                    <w:pStyle w:val="54"/>
                    <w:rPr>
                      <w:rFonts w:ascii="Times New Roman" w:hAnsi="Times New Roman" w:eastAsia="宋体" w:cs="Times New Roman"/>
                      <w:b w:val="0"/>
                      <w:bCs w:val="0"/>
                    </w:rPr>
                  </w:pPr>
                  <w:r>
                    <w:rPr>
                      <w:rFonts w:ascii="Times New Roman" w:hAnsi="Times New Roman" w:eastAsia="宋体" w:cs="Times New Roman"/>
                      <w:b w:val="0"/>
                      <w:bCs w:val="0"/>
                    </w:rPr>
                    <w:t>发生频次</w:t>
                  </w:r>
                </w:p>
              </w:tc>
              <w:tc>
                <w:tcPr>
                  <w:tcW w:w="729" w:type="pct"/>
                  <w:vMerge w:val="restart"/>
                  <w:vAlign w:val="center"/>
                </w:tcPr>
                <w:p w14:paraId="559F9FBA">
                  <w:pPr>
                    <w:pStyle w:val="54"/>
                    <w:rPr>
                      <w:rFonts w:ascii="Times New Roman" w:hAnsi="Times New Roman" w:eastAsia="宋体" w:cs="Times New Roman"/>
                      <w:b w:val="0"/>
                      <w:bCs w:val="0"/>
                    </w:rPr>
                  </w:pPr>
                  <w:r>
                    <w:rPr>
                      <w:rFonts w:ascii="Times New Roman" w:hAnsi="Times New Roman" w:eastAsia="宋体" w:cs="Times New Roman"/>
                      <w:b w:val="0"/>
                      <w:bCs w:val="0"/>
                    </w:rPr>
                    <w:t>措施</w:t>
                  </w:r>
                </w:p>
              </w:tc>
            </w:tr>
            <w:tr w14:paraId="1196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vAlign w:val="center"/>
                </w:tcPr>
                <w:p w14:paraId="37F21B5E">
                  <w:pPr>
                    <w:pStyle w:val="33"/>
                    <w:rPr>
                      <w:rFonts w:ascii="Times New Roman" w:hAnsi="Times New Roman" w:cs="Times New Roman"/>
                    </w:rPr>
                  </w:pPr>
                </w:p>
              </w:tc>
              <w:tc>
                <w:tcPr>
                  <w:tcW w:w="749" w:type="pct"/>
                  <w:vMerge w:val="continue"/>
                  <w:vAlign w:val="center"/>
                </w:tcPr>
                <w:p w14:paraId="5E10C9A0">
                  <w:pPr>
                    <w:pStyle w:val="33"/>
                    <w:rPr>
                      <w:rFonts w:ascii="Times New Roman" w:hAnsi="Times New Roman" w:cs="Times New Roman"/>
                    </w:rPr>
                  </w:pPr>
                </w:p>
              </w:tc>
              <w:tc>
                <w:tcPr>
                  <w:tcW w:w="771" w:type="pct"/>
                  <w:vAlign w:val="center"/>
                </w:tcPr>
                <w:p w14:paraId="4513EF38">
                  <w:pPr>
                    <w:pStyle w:val="33"/>
                    <w:rPr>
                      <w:rFonts w:ascii="Times New Roman" w:hAnsi="Times New Roman" w:cs="Times New Roman"/>
                    </w:rPr>
                  </w:pPr>
                  <w:r>
                    <w:rPr>
                      <w:rFonts w:ascii="Times New Roman" w:hAnsi="Times New Roman" w:cs="Times New Roman"/>
                    </w:rPr>
                    <w:t>浓度mg/m</w:t>
                  </w:r>
                  <w:r>
                    <w:rPr>
                      <w:rFonts w:ascii="Times New Roman" w:hAnsi="Times New Roman" w:cs="Times New Roman"/>
                      <w:vertAlign w:val="superscript"/>
                    </w:rPr>
                    <w:t>3</w:t>
                  </w:r>
                </w:p>
              </w:tc>
              <w:tc>
                <w:tcPr>
                  <w:tcW w:w="682" w:type="pct"/>
                  <w:vAlign w:val="center"/>
                </w:tcPr>
                <w:p w14:paraId="28CD06FF">
                  <w:pPr>
                    <w:pStyle w:val="33"/>
                    <w:rPr>
                      <w:rFonts w:ascii="Times New Roman" w:hAnsi="Times New Roman" w:cs="Times New Roman"/>
                    </w:rPr>
                  </w:pPr>
                  <w:r>
                    <w:rPr>
                      <w:rFonts w:ascii="Times New Roman" w:hAnsi="Times New Roman" w:cs="Times New Roman"/>
                    </w:rPr>
                    <w:t>排放量kg/h</w:t>
                  </w:r>
                </w:p>
              </w:tc>
              <w:tc>
                <w:tcPr>
                  <w:tcW w:w="789" w:type="pct"/>
                  <w:vMerge w:val="continue"/>
                  <w:vAlign w:val="center"/>
                </w:tcPr>
                <w:p w14:paraId="5C921B55">
                  <w:pPr>
                    <w:jc w:val="center"/>
                    <w:textAlignment w:val="center"/>
                    <w:rPr>
                      <w:rFonts w:ascii="Times New Roman" w:hAnsi="Times New Roman" w:cs="Times New Roman"/>
                    </w:rPr>
                  </w:pPr>
                </w:p>
              </w:tc>
              <w:tc>
                <w:tcPr>
                  <w:tcW w:w="747" w:type="pct"/>
                  <w:vMerge w:val="continue"/>
                  <w:vAlign w:val="center"/>
                </w:tcPr>
                <w:p w14:paraId="6C2F7CA5">
                  <w:pPr>
                    <w:jc w:val="center"/>
                    <w:textAlignment w:val="center"/>
                    <w:rPr>
                      <w:rFonts w:ascii="Times New Roman" w:hAnsi="Times New Roman" w:cs="Times New Roman"/>
                    </w:rPr>
                  </w:pPr>
                </w:p>
              </w:tc>
              <w:tc>
                <w:tcPr>
                  <w:tcW w:w="729" w:type="pct"/>
                  <w:vMerge w:val="continue"/>
                  <w:vAlign w:val="center"/>
                </w:tcPr>
                <w:p w14:paraId="74CDADF0">
                  <w:pPr>
                    <w:jc w:val="center"/>
                    <w:textAlignment w:val="center"/>
                    <w:rPr>
                      <w:rFonts w:ascii="Times New Roman" w:hAnsi="Times New Roman" w:cs="Times New Roman"/>
                    </w:rPr>
                  </w:pPr>
                </w:p>
              </w:tc>
            </w:tr>
            <w:tr w14:paraId="4D57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30" w:type="pct"/>
                  <w:vAlign w:val="center"/>
                </w:tcPr>
                <w:p w14:paraId="6271D650">
                  <w:pPr>
                    <w:pStyle w:val="33"/>
                    <w:rPr>
                      <w:rFonts w:ascii="Times New Roman" w:hAnsi="Times New Roman" w:cs="Times New Roman"/>
                    </w:rPr>
                  </w:pPr>
                  <w:r>
                    <w:rPr>
                      <w:rFonts w:ascii="Times New Roman" w:hAnsi="Times New Roman" w:cs="Times New Roman"/>
                    </w:rPr>
                    <w:t>DA001</w:t>
                  </w:r>
                </w:p>
              </w:tc>
              <w:tc>
                <w:tcPr>
                  <w:tcW w:w="749" w:type="pct"/>
                  <w:vAlign w:val="center"/>
                </w:tcPr>
                <w:p w14:paraId="4437B0B3">
                  <w:pPr>
                    <w:pStyle w:val="33"/>
                    <w:rPr>
                      <w:rFonts w:ascii="Times New Roman" w:hAnsi="Times New Roman" w:cs="Times New Roman"/>
                    </w:rPr>
                  </w:pPr>
                  <w:r>
                    <w:rPr>
                      <w:rFonts w:ascii="Times New Roman" w:hAnsi="Times New Roman" w:cs="Times New Roman"/>
                    </w:rPr>
                    <w:t>颗粒物</w:t>
                  </w:r>
                </w:p>
              </w:tc>
              <w:tc>
                <w:tcPr>
                  <w:tcW w:w="1213" w:type="dxa"/>
                  <w:vAlign w:val="center"/>
                </w:tcPr>
                <w:p w14:paraId="2782A39D">
                  <w:pPr>
                    <w:pStyle w:val="33"/>
                    <w:adjustRightInd/>
                    <w:snapToGrid/>
                    <w:ind w:firstLine="0" w:firstLineChars="0"/>
                    <w:rPr>
                      <w:rFonts w:ascii="Times New Roman" w:hAnsi="Times New Roman" w:eastAsia="宋体" w:cs="Times New Roman"/>
                      <w:lang w:eastAsia="zh-CN"/>
                    </w:rPr>
                  </w:pPr>
                  <w:r>
                    <w:rPr>
                      <w:rFonts w:hint="eastAsia" w:ascii="Times New Roman" w:hAnsi="Times New Roman" w:eastAsia="宋体" w:cs="Times New Roman"/>
                      <w:color w:val="auto"/>
                      <w:lang w:val="en-US" w:eastAsia="zh-CN"/>
                    </w:rPr>
                    <w:t>188.23</w:t>
                  </w:r>
                </w:p>
              </w:tc>
              <w:tc>
                <w:tcPr>
                  <w:tcW w:w="1073" w:type="dxa"/>
                  <w:vAlign w:val="center"/>
                </w:tcPr>
                <w:p w14:paraId="59CB76AE">
                  <w:pPr>
                    <w:pStyle w:val="33"/>
                    <w:adjustRightInd/>
                    <w:snapToGrid/>
                    <w:ind w:firstLine="0" w:firstLineChars="0"/>
                    <w:rPr>
                      <w:rFonts w:ascii="Times New Roman" w:hAnsi="Times New Roman" w:eastAsia="宋体" w:cs="Times New Roman"/>
                      <w:lang w:eastAsia="zh-CN"/>
                    </w:rPr>
                  </w:pPr>
                  <w:r>
                    <w:rPr>
                      <w:rFonts w:ascii="Times New Roman" w:hAnsi="Times New Roman" w:eastAsia="宋体" w:cs="Times New Roman"/>
                      <w:color w:val="auto"/>
                      <w:lang w:eastAsia="zh-CN"/>
                    </w:rPr>
                    <w:t>3.2</w:t>
                  </w:r>
                </w:p>
              </w:tc>
              <w:tc>
                <w:tcPr>
                  <w:tcW w:w="789" w:type="pct"/>
                  <w:vAlign w:val="center"/>
                </w:tcPr>
                <w:p w14:paraId="6D94D756">
                  <w:pPr>
                    <w:jc w:val="center"/>
                    <w:textAlignment w:val="center"/>
                    <w:rPr>
                      <w:rFonts w:ascii="Times New Roman" w:hAnsi="Times New Roman" w:cs="Times New Roman"/>
                    </w:rPr>
                  </w:pPr>
                  <w:r>
                    <w:rPr>
                      <w:rFonts w:ascii="Times New Roman" w:hAnsi="Times New Roman" w:cs="Times New Roman"/>
                    </w:rPr>
                    <w:t>1</w:t>
                  </w:r>
                </w:p>
              </w:tc>
              <w:tc>
                <w:tcPr>
                  <w:tcW w:w="747" w:type="pct"/>
                  <w:vAlign w:val="center"/>
                </w:tcPr>
                <w:p w14:paraId="0215EE30">
                  <w:pPr>
                    <w:jc w:val="center"/>
                    <w:textAlignment w:val="center"/>
                    <w:rPr>
                      <w:rFonts w:ascii="Times New Roman" w:hAnsi="Times New Roman" w:cs="Times New Roman"/>
                    </w:rPr>
                  </w:pPr>
                  <w:r>
                    <w:rPr>
                      <w:rFonts w:ascii="Times New Roman" w:hAnsi="Times New Roman" w:cs="Times New Roman"/>
                    </w:rPr>
                    <w:t>1次/年</w:t>
                  </w:r>
                </w:p>
              </w:tc>
              <w:tc>
                <w:tcPr>
                  <w:tcW w:w="729" w:type="pct"/>
                  <w:vMerge w:val="restart"/>
                  <w:vAlign w:val="center"/>
                </w:tcPr>
                <w:p w14:paraId="1E5F694D">
                  <w:pPr>
                    <w:jc w:val="center"/>
                    <w:textAlignment w:val="center"/>
                    <w:rPr>
                      <w:rFonts w:ascii="Times New Roman" w:hAnsi="Times New Roman" w:cs="Times New Roman"/>
                    </w:rPr>
                  </w:pPr>
                  <w:r>
                    <w:rPr>
                      <w:rFonts w:ascii="Times New Roman" w:hAnsi="Times New Roman" w:cs="Times New Roman"/>
                    </w:rPr>
                    <w:t>定期进行设备维护，当工艺废气处理装置出现故障且不能短时间恢复时停止生产</w:t>
                  </w:r>
                </w:p>
              </w:tc>
            </w:tr>
            <w:tr w14:paraId="3ADC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530" w:type="pct"/>
                  <w:vAlign w:val="center"/>
                </w:tcPr>
                <w:p w14:paraId="3037329D">
                  <w:pPr>
                    <w:pStyle w:val="33"/>
                    <w:rPr>
                      <w:rFonts w:ascii="Times New Roman" w:hAnsi="Times New Roman" w:eastAsia="宋体" w:cs="Times New Roman"/>
                      <w:lang w:eastAsia="zh-CN"/>
                    </w:rPr>
                  </w:pPr>
                  <w:r>
                    <w:rPr>
                      <w:rFonts w:ascii="Times New Roman" w:hAnsi="Times New Roman" w:eastAsia="宋体" w:cs="Times New Roman"/>
                      <w:lang w:eastAsia="zh-CN"/>
                    </w:rPr>
                    <w:t>DA002</w:t>
                  </w:r>
                </w:p>
              </w:tc>
              <w:tc>
                <w:tcPr>
                  <w:tcW w:w="749" w:type="pct"/>
                  <w:vAlign w:val="center"/>
                </w:tcPr>
                <w:p w14:paraId="509D7166">
                  <w:pPr>
                    <w:pStyle w:val="33"/>
                    <w:rPr>
                      <w:rFonts w:ascii="Times New Roman" w:hAnsi="Times New Roman" w:cs="Times New Roman"/>
                    </w:rPr>
                  </w:pPr>
                  <w:r>
                    <w:rPr>
                      <w:rFonts w:ascii="Times New Roman" w:hAnsi="Times New Roman" w:cs="Times New Roman"/>
                    </w:rPr>
                    <w:t>颗粒物</w:t>
                  </w:r>
                </w:p>
              </w:tc>
              <w:tc>
                <w:tcPr>
                  <w:tcW w:w="1213" w:type="dxa"/>
                  <w:vAlign w:val="center"/>
                </w:tcPr>
                <w:p w14:paraId="43143105">
                  <w:pPr>
                    <w:pStyle w:val="33"/>
                    <w:adjustRightInd/>
                    <w:snapToGrid/>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auto"/>
                      <w:lang w:eastAsia="zh-CN"/>
                    </w:rPr>
                    <w:t>1948.33</w:t>
                  </w:r>
                </w:p>
              </w:tc>
              <w:tc>
                <w:tcPr>
                  <w:tcW w:w="1073" w:type="dxa"/>
                  <w:vAlign w:val="center"/>
                </w:tcPr>
                <w:p w14:paraId="78A953EC">
                  <w:pPr>
                    <w:pStyle w:val="33"/>
                    <w:adjustRightInd/>
                    <w:snapToGrid/>
                    <w:rPr>
                      <w:rFonts w:ascii="Times New Roman" w:hAnsi="Times New Roman" w:cs="Times New Roman"/>
                    </w:rPr>
                  </w:pPr>
                  <w:r>
                    <w:rPr>
                      <w:rFonts w:ascii="Times New Roman" w:hAnsi="Times New Roman" w:cs="Times New Roman"/>
                      <w:color w:val="auto"/>
                      <w:lang w:eastAsia="zh-CN"/>
                    </w:rPr>
                    <w:t>5.845</w:t>
                  </w:r>
                </w:p>
              </w:tc>
              <w:tc>
                <w:tcPr>
                  <w:tcW w:w="789" w:type="pct"/>
                  <w:vAlign w:val="center"/>
                </w:tcPr>
                <w:p w14:paraId="13056D0A">
                  <w:pPr>
                    <w:jc w:val="center"/>
                    <w:textAlignment w:val="center"/>
                    <w:rPr>
                      <w:rFonts w:ascii="Times New Roman" w:hAnsi="Times New Roman" w:cs="Times New Roman"/>
                    </w:rPr>
                  </w:pPr>
                </w:p>
              </w:tc>
              <w:tc>
                <w:tcPr>
                  <w:tcW w:w="747" w:type="pct"/>
                  <w:vAlign w:val="center"/>
                </w:tcPr>
                <w:p w14:paraId="5234C61D">
                  <w:pPr>
                    <w:jc w:val="center"/>
                    <w:textAlignment w:val="center"/>
                    <w:rPr>
                      <w:rFonts w:ascii="Times New Roman" w:hAnsi="Times New Roman" w:cs="Times New Roman"/>
                    </w:rPr>
                  </w:pPr>
                </w:p>
              </w:tc>
              <w:tc>
                <w:tcPr>
                  <w:tcW w:w="729" w:type="pct"/>
                  <w:vMerge w:val="continue"/>
                  <w:vAlign w:val="center"/>
                </w:tcPr>
                <w:p w14:paraId="4DA12A30">
                  <w:pPr>
                    <w:jc w:val="center"/>
                    <w:textAlignment w:val="center"/>
                    <w:rPr>
                      <w:rFonts w:ascii="Times New Roman" w:hAnsi="Times New Roman" w:cs="Times New Roman"/>
                    </w:rPr>
                  </w:pPr>
                </w:p>
              </w:tc>
            </w:tr>
            <w:tr w14:paraId="1833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30" w:type="pct"/>
                  <w:vAlign w:val="center"/>
                </w:tcPr>
                <w:p w14:paraId="33E607ED">
                  <w:pPr>
                    <w:pStyle w:val="33"/>
                    <w:rPr>
                      <w:rFonts w:ascii="Times New Roman" w:hAnsi="Times New Roman" w:eastAsia="宋体" w:cs="Times New Roman"/>
                      <w:lang w:eastAsia="zh-CN"/>
                    </w:rPr>
                  </w:pPr>
                  <w:r>
                    <w:rPr>
                      <w:rFonts w:ascii="Times New Roman" w:hAnsi="Times New Roman" w:cs="Times New Roman"/>
                    </w:rPr>
                    <w:t>DA00</w:t>
                  </w:r>
                  <w:r>
                    <w:rPr>
                      <w:rFonts w:ascii="Times New Roman" w:hAnsi="Times New Roman" w:eastAsia="宋体" w:cs="Times New Roman"/>
                      <w:lang w:eastAsia="zh-CN"/>
                    </w:rPr>
                    <w:t>3</w:t>
                  </w:r>
                </w:p>
              </w:tc>
              <w:tc>
                <w:tcPr>
                  <w:tcW w:w="749" w:type="pct"/>
                  <w:vAlign w:val="center"/>
                </w:tcPr>
                <w:p w14:paraId="1ACAE80A">
                  <w:pPr>
                    <w:pStyle w:val="33"/>
                    <w:rPr>
                      <w:rFonts w:ascii="Times New Roman" w:hAnsi="Times New Roman" w:cs="Times New Roman"/>
                    </w:rPr>
                  </w:pPr>
                  <w:r>
                    <w:rPr>
                      <w:rFonts w:ascii="Times New Roman" w:hAnsi="Times New Roman" w:cs="Times New Roman"/>
                    </w:rPr>
                    <w:t>非甲烷总烃</w:t>
                  </w:r>
                </w:p>
              </w:tc>
              <w:tc>
                <w:tcPr>
                  <w:tcW w:w="1213" w:type="dxa"/>
                  <w:vAlign w:val="center"/>
                </w:tcPr>
                <w:p w14:paraId="75349269">
                  <w:pPr>
                    <w:pStyle w:val="33"/>
                    <w:adjustRightInd/>
                    <w:snapToGrid/>
                    <w:rPr>
                      <w:rFonts w:ascii="Times New Roman" w:hAnsi="Times New Roman" w:eastAsia="宋体" w:cs="Times New Roman"/>
                      <w:lang w:eastAsia="zh-CN"/>
                    </w:rPr>
                  </w:pPr>
                  <w:r>
                    <w:rPr>
                      <w:rFonts w:hint="eastAsia" w:ascii="Times New Roman" w:hAnsi="Times New Roman" w:eastAsia="宋体" w:cs="Times New Roman"/>
                      <w:color w:val="auto"/>
                      <w:lang w:eastAsia="zh-CN"/>
                    </w:rPr>
                    <w:t>60.0</w:t>
                  </w:r>
                </w:p>
              </w:tc>
              <w:tc>
                <w:tcPr>
                  <w:tcW w:w="1073" w:type="dxa"/>
                  <w:vAlign w:val="center"/>
                </w:tcPr>
                <w:p w14:paraId="7CE1AA9F">
                  <w:pPr>
                    <w:pStyle w:val="33"/>
                    <w:adjustRightInd/>
                    <w:snapToGrid/>
                    <w:rPr>
                      <w:rFonts w:ascii="Times New Roman" w:hAnsi="Times New Roman" w:cs="Times New Roman"/>
                    </w:rPr>
                  </w:pPr>
                  <w:r>
                    <w:rPr>
                      <w:rFonts w:ascii="Times New Roman" w:hAnsi="Times New Roman" w:cs="Times New Roman"/>
                      <w:color w:val="auto"/>
                      <w:lang w:eastAsia="zh-CN"/>
                    </w:rPr>
                    <w:t>0.18</w:t>
                  </w:r>
                </w:p>
              </w:tc>
              <w:tc>
                <w:tcPr>
                  <w:tcW w:w="789" w:type="pct"/>
                  <w:vAlign w:val="center"/>
                </w:tcPr>
                <w:p w14:paraId="785B85ED">
                  <w:pPr>
                    <w:jc w:val="center"/>
                    <w:textAlignment w:val="center"/>
                    <w:rPr>
                      <w:rFonts w:ascii="Times New Roman" w:hAnsi="Times New Roman" w:cs="Times New Roman"/>
                    </w:rPr>
                  </w:pPr>
                  <w:r>
                    <w:rPr>
                      <w:rFonts w:ascii="Times New Roman" w:hAnsi="Times New Roman" w:cs="Times New Roman"/>
                    </w:rPr>
                    <w:t>1</w:t>
                  </w:r>
                </w:p>
              </w:tc>
              <w:tc>
                <w:tcPr>
                  <w:tcW w:w="747" w:type="pct"/>
                  <w:vAlign w:val="center"/>
                </w:tcPr>
                <w:p w14:paraId="6A2DD227">
                  <w:pPr>
                    <w:jc w:val="center"/>
                    <w:textAlignment w:val="center"/>
                    <w:rPr>
                      <w:rFonts w:ascii="Times New Roman" w:hAnsi="Times New Roman" w:cs="Times New Roman"/>
                    </w:rPr>
                  </w:pPr>
                  <w:r>
                    <w:rPr>
                      <w:rFonts w:ascii="Times New Roman" w:hAnsi="Times New Roman" w:cs="Times New Roman"/>
                    </w:rPr>
                    <w:t>1次/年</w:t>
                  </w:r>
                </w:p>
              </w:tc>
              <w:tc>
                <w:tcPr>
                  <w:tcW w:w="729" w:type="pct"/>
                  <w:vMerge w:val="continue"/>
                  <w:vAlign w:val="center"/>
                </w:tcPr>
                <w:p w14:paraId="7AE40226">
                  <w:pPr>
                    <w:jc w:val="center"/>
                    <w:textAlignment w:val="center"/>
                    <w:rPr>
                      <w:rFonts w:ascii="Times New Roman" w:hAnsi="Times New Roman" w:cs="Times New Roman"/>
                    </w:rPr>
                  </w:pPr>
                </w:p>
              </w:tc>
            </w:tr>
          </w:tbl>
          <w:p w14:paraId="05EECF7B">
            <w:pPr>
              <w:kinsoku/>
              <w:adjustRightInd/>
              <w:snapToGrid/>
              <w:spacing w:line="360" w:lineRule="auto"/>
              <w:ind w:firstLine="482" w:firstLineChars="200"/>
              <w:rPr>
                <w:rFonts w:ascii="Times New Roman" w:hAnsi="Times New Roman" w:eastAsia="宋体" w:cs="Times New Roman"/>
                <w:sz w:val="24"/>
                <w:szCs w:val="24"/>
                <w:lang w:eastAsia="zh-CN"/>
              </w:rPr>
            </w:pPr>
            <w:r>
              <w:rPr>
                <w:rFonts w:ascii="Times New Roman" w:hAnsi="Times New Roman" w:eastAsia="宋体" w:cs="Times New Roman"/>
                <w:b/>
                <w:sz w:val="24"/>
                <w:lang w:eastAsia="zh-CN"/>
              </w:rPr>
              <w:t xml:space="preserve"> </w:t>
            </w:r>
            <w:r>
              <w:rPr>
                <w:rFonts w:ascii="Times New Roman" w:hAnsi="Times New Roman" w:eastAsia="宋体" w:cs="Times New Roman"/>
                <w:sz w:val="24"/>
                <w:szCs w:val="24"/>
                <w:lang w:eastAsia="zh-CN"/>
              </w:rPr>
              <w:t>由上表可知，</w:t>
            </w:r>
            <w:r>
              <w:rPr>
                <w:rFonts w:hint="eastAsia" w:ascii="Times New Roman" w:hAnsi="Times New Roman" w:eastAsia="宋体" w:cs="Times New Roman"/>
                <w:sz w:val="24"/>
                <w:szCs w:val="24"/>
                <w:lang w:eastAsia="zh-CN"/>
              </w:rPr>
              <w:t>为</w:t>
            </w:r>
            <w:r>
              <w:rPr>
                <w:rFonts w:ascii="Times New Roman" w:hAnsi="Times New Roman" w:eastAsia="宋体" w:cs="Times New Roman"/>
                <w:sz w:val="24"/>
                <w:szCs w:val="24"/>
                <w:lang w:eastAsia="zh-CN"/>
              </w:rPr>
              <w:t>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14:paraId="359A6844">
            <w:pPr>
              <w:numPr>
                <w:ilvl w:val="0"/>
                <w:numId w:val="5"/>
              </w:numPr>
              <w:kinsoku/>
              <w:adjustRightInd/>
              <w:snapToGrid/>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安排专人负责环保设备的日常维护和管理，每隔固定时间检查、汇报情况，及时发现废气处理设备的隐患，确保废气处理系统正常运行；</w:t>
            </w:r>
          </w:p>
          <w:p w14:paraId="7F9ED696">
            <w:pPr>
              <w:numPr>
                <w:ilvl w:val="0"/>
                <w:numId w:val="5"/>
              </w:numPr>
              <w:kinsoku/>
              <w:adjustRightInd/>
              <w:snapToGrid/>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建立健全环保管理机构，对环保管理人员和技术人员进行岗位培训，委托具有专业资质的环境检测单位对项目排放的各类污染物进行定期检测；</w:t>
            </w:r>
          </w:p>
          <w:p w14:paraId="0B9B2930">
            <w:pPr>
              <w:numPr>
                <w:ilvl w:val="0"/>
                <w:numId w:val="5"/>
              </w:numPr>
              <w:kinsoku/>
              <w:adjustRightInd/>
              <w:snapToGrid/>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定期维修，检修废气净化装置，以保持废气处理装置的净化能力和净化容量；</w:t>
            </w:r>
          </w:p>
          <w:p w14:paraId="5A87D11B">
            <w:pPr>
              <w:numPr>
                <w:ilvl w:val="0"/>
                <w:numId w:val="5"/>
              </w:numPr>
              <w:kinsoku/>
              <w:adjustRightInd/>
              <w:snapToGrid/>
              <w:spacing w:line="360" w:lineRule="auto"/>
              <w:ind w:firstLine="480" w:firstLineChars="200"/>
              <w:rPr>
                <w:rFonts w:ascii="Times New Roman" w:hAnsi="Times New Roman" w:cs="Times New Roman"/>
                <w:b/>
                <w:sz w:val="24"/>
              </w:rPr>
            </w:pPr>
            <w:r>
              <w:rPr>
                <w:rFonts w:ascii="Times New Roman" w:hAnsi="Times New Roman" w:eastAsia="宋体" w:cs="Times New Roman"/>
                <w:sz w:val="24"/>
                <w:szCs w:val="24"/>
                <w:lang w:eastAsia="zh-CN"/>
              </w:rPr>
              <w:t>生产加工</w:t>
            </w:r>
            <w:r>
              <w:rPr>
                <w:rFonts w:hint="eastAsia" w:ascii="Times New Roman" w:hAnsi="Times New Roman" w:eastAsia="宋体" w:cs="Times New Roman"/>
                <w:sz w:val="24"/>
                <w:szCs w:val="24"/>
                <w:lang w:eastAsia="zh-CN"/>
              </w:rPr>
              <w:t>前</w:t>
            </w:r>
            <w:r>
              <w:rPr>
                <w:rFonts w:ascii="Times New Roman" w:hAnsi="Times New Roman" w:eastAsia="宋体" w:cs="Times New Roman"/>
                <w:sz w:val="24"/>
                <w:szCs w:val="24"/>
                <w:lang w:eastAsia="zh-CN"/>
              </w:rPr>
              <w:t>开启相应的废气处理设备，生产停止一段时间后再关闭相应废气处理设施，杜绝废气突然排放情况。</w:t>
            </w:r>
          </w:p>
          <w:p w14:paraId="276DDB44">
            <w:pPr>
              <w:spacing w:line="360" w:lineRule="auto"/>
              <w:rPr>
                <w:rFonts w:ascii="Times New Roman" w:hAnsi="Times New Roman" w:cs="Times New Roman"/>
                <w:b/>
                <w:sz w:val="24"/>
              </w:rPr>
            </w:pPr>
            <w:r>
              <w:rPr>
                <w:rFonts w:ascii="Times New Roman" w:hAnsi="Times New Roman" w:cs="Times New Roman"/>
                <w:b/>
                <w:sz w:val="24"/>
              </w:rPr>
              <w:t>二、水污染</w:t>
            </w:r>
          </w:p>
          <w:p w14:paraId="3C818D1B">
            <w:pPr>
              <w:spacing w:line="360" w:lineRule="auto"/>
              <w:ind w:firstLine="480" w:firstLineChars="200"/>
              <w:rPr>
                <w:rFonts w:ascii="Times New Roman" w:hAnsi="Times New Roman" w:cs="Times New Roman"/>
                <w:b/>
                <w:bCs/>
                <w:sz w:val="24"/>
              </w:rPr>
            </w:pPr>
            <w:r>
              <w:rPr>
                <w:rFonts w:ascii="Times New Roman" w:hAnsi="Times New Roman" w:cs="Times New Roman"/>
                <w:b/>
                <w:bCs/>
                <w:sz w:val="24"/>
              </w:rPr>
              <w:t>1、废水污染源强</w:t>
            </w:r>
          </w:p>
          <w:p w14:paraId="510F10A3">
            <w:pPr>
              <w:pStyle w:val="48"/>
              <w:adjustRightInd/>
              <w:snapToGrid/>
              <w:spacing w:line="360" w:lineRule="auto"/>
              <w:ind w:firstLine="480" w:firstLineChars="200"/>
              <w:rPr>
                <w:rFonts w:ascii="Times New Roman" w:hAnsi="Times New Roman" w:cs="Times New Roman"/>
                <w:sz w:val="24"/>
              </w:rPr>
            </w:pPr>
            <w:r>
              <w:rPr>
                <w:rFonts w:ascii="Times New Roman" w:hAnsi="Times New Roman" w:cs="Times New Roman"/>
                <w:sz w:val="24"/>
              </w:rPr>
              <w:t>项目用水主要是职工生活用水。</w:t>
            </w:r>
          </w:p>
          <w:p w14:paraId="49FE1029">
            <w:pPr>
              <w:pStyle w:val="48"/>
              <w:kinsoku/>
              <w:adjustRightInd/>
              <w:snapToGrid/>
              <w:spacing w:line="360" w:lineRule="auto"/>
              <w:ind w:firstLine="480" w:firstLineChars="200"/>
              <w:rPr>
                <w:rFonts w:ascii="Times New Roman" w:hAnsi="Times New Roman" w:eastAsia="宋体" w:cs="Times New Roman"/>
                <w:color w:val="auto"/>
                <w:kern w:val="2"/>
                <w:sz w:val="24"/>
                <w:szCs w:val="24"/>
                <w:lang w:eastAsia="zh-CN"/>
              </w:rPr>
            </w:pPr>
            <w:r>
              <w:rPr>
                <w:rFonts w:ascii="Times New Roman" w:hAnsi="Times New Roman" w:cs="Times New Roman"/>
                <w:sz w:val="24"/>
              </w:rPr>
              <w:t>生活用水：项目劳动定员人数</w:t>
            </w:r>
            <w:r>
              <w:rPr>
                <w:rFonts w:ascii="Times New Roman" w:hAnsi="Times New Roman" w:eastAsia="宋体" w:cs="Times New Roman"/>
                <w:sz w:val="24"/>
                <w:lang w:eastAsia="zh-CN"/>
              </w:rPr>
              <w:t>6</w:t>
            </w:r>
            <w:r>
              <w:rPr>
                <w:rFonts w:ascii="Times New Roman" w:hAnsi="Times New Roman" w:cs="Times New Roman"/>
                <w:sz w:val="24"/>
              </w:rPr>
              <w:t>人，</w:t>
            </w:r>
            <w:r>
              <w:rPr>
                <w:rFonts w:ascii="Times New Roman" w:hAnsi="Times New Roman" w:eastAsia="宋体" w:cs="Times New Roman"/>
                <w:color w:val="auto"/>
                <w:kern w:val="2"/>
                <w:sz w:val="24"/>
                <w:szCs w:val="24"/>
                <w:lang w:eastAsia="zh-CN"/>
              </w:rPr>
              <w:t>根据《安徽省行业用水定额》（DB34/T 679-2019），本项目人均用水量按60L/d计，则用水量为0.36</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w:t>
            </w:r>
            <w:r>
              <w:rPr>
                <w:rFonts w:ascii="Times New Roman" w:hAnsi="Times New Roman" w:cs="Times New Roman"/>
                <w:color w:val="auto"/>
                <w:kern w:val="2"/>
                <w:sz w:val="24"/>
                <w:szCs w:val="24"/>
                <w:lang w:eastAsia="zh-CN"/>
              </w:rPr>
              <w:t>d</w:t>
            </w:r>
            <w:r>
              <w:rPr>
                <w:rFonts w:ascii="Times New Roman" w:hAnsi="Times New Roman" w:eastAsia="宋体" w:cs="Times New Roman"/>
                <w:color w:val="auto"/>
                <w:kern w:val="2"/>
                <w:sz w:val="24"/>
                <w:szCs w:val="24"/>
                <w:lang w:eastAsia="zh-CN"/>
              </w:rPr>
              <w:t>（1</w:t>
            </w:r>
            <w:r>
              <w:rPr>
                <w:rFonts w:hint="eastAsia" w:ascii="Times New Roman" w:hAnsi="Times New Roman" w:eastAsia="宋体" w:cs="Times New Roman"/>
                <w:color w:val="auto"/>
                <w:kern w:val="2"/>
                <w:sz w:val="24"/>
                <w:szCs w:val="24"/>
                <w:lang w:eastAsia="zh-CN"/>
              </w:rPr>
              <w:t>08</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/a），产污系数为0.8，则生活污水量为0.288</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/d（86.4</w:t>
            </w:r>
            <w:r>
              <w:rPr>
                <w:rFonts w:ascii="Times New Roman" w:hAnsi="Times New Roman" w:cs="Times New Roman"/>
                <w:color w:val="auto"/>
                <w:kern w:val="2"/>
                <w:sz w:val="24"/>
                <w:szCs w:val="24"/>
                <w:lang w:eastAsia="zh-CN"/>
              </w:rPr>
              <w:t>m³</w:t>
            </w:r>
            <w:r>
              <w:rPr>
                <w:rFonts w:ascii="Times New Roman" w:hAnsi="Times New Roman" w:eastAsia="宋体" w:cs="Times New Roman"/>
                <w:color w:val="auto"/>
                <w:kern w:val="2"/>
                <w:sz w:val="24"/>
                <w:szCs w:val="24"/>
                <w:lang w:eastAsia="zh-CN"/>
              </w:rPr>
              <w:t>/a）。</w:t>
            </w:r>
          </w:p>
          <w:p w14:paraId="32BED1A8">
            <w:pPr>
              <w:jc w:val="center"/>
              <w:rPr>
                <w:rFonts w:ascii="Times New Roman" w:hAnsi="Times New Roman" w:cs="Times New Roman"/>
                <w:b/>
                <w:bCs/>
                <w:sz w:val="24"/>
                <w:szCs w:val="32"/>
              </w:rPr>
            </w:pPr>
            <w:r>
              <w:rPr>
                <w:rFonts w:ascii="Times New Roman" w:hAnsi="Times New Roman" w:cs="Times New Roman"/>
                <w:b/>
                <w:bCs/>
                <w:sz w:val="24"/>
                <w:szCs w:val="32"/>
              </w:rPr>
              <w:t>表4-</w:t>
            </w:r>
            <w:r>
              <w:rPr>
                <w:rFonts w:hint="eastAsia" w:ascii="Times New Roman" w:hAnsi="Times New Roman" w:eastAsia="宋体" w:cs="Times New Roman"/>
                <w:b/>
                <w:bCs/>
                <w:sz w:val="24"/>
                <w:szCs w:val="32"/>
                <w:lang w:eastAsia="zh-CN"/>
              </w:rPr>
              <w:t xml:space="preserve">7 </w:t>
            </w:r>
            <w:r>
              <w:rPr>
                <w:rFonts w:ascii="Times New Roman" w:hAnsi="Times New Roman" w:cs="Times New Roman"/>
                <w:b/>
                <w:bCs/>
                <w:sz w:val="24"/>
                <w:szCs w:val="32"/>
              </w:rPr>
              <w:t xml:space="preserve"> 废水类别、污染物种类、排放方式及污染治理设施一览表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90"/>
              <w:gridCol w:w="978"/>
              <w:gridCol w:w="1062"/>
              <w:gridCol w:w="1316"/>
              <w:gridCol w:w="913"/>
              <w:gridCol w:w="947"/>
              <w:gridCol w:w="801"/>
            </w:tblGrid>
            <w:tr w14:paraId="2FFC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4" w:type="dxa"/>
                  <w:vMerge w:val="restart"/>
                  <w:vAlign w:val="center"/>
                </w:tcPr>
                <w:p w14:paraId="5D7DEEEC">
                  <w:pPr>
                    <w:jc w:val="center"/>
                    <w:rPr>
                      <w:rFonts w:ascii="Times New Roman" w:hAnsi="Times New Roman" w:cs="Times New Roman"/>
                    </w:rPr>
                  </w:pPr>
                  <w:r>
                    <w:rPr>
                      <w:rFonts w:ascii="Times New Roman" w:hAnsi="Times New Roman" w:cs="Times New Roman"/>
                    </w:rPr>
                    <w:t>废水类别</w:t>
                  </w:r>
                </w:p>
              </w:tc>
              <w:tc>
                <w:tcPr>
                  <w:tcW w:w="1226" w:type="dxa"/>
                  <w:vMerge w:val="restart"/>
                  <w:vAlign w:val="center"/>
                </w:tcPr>
                <w:p w14:paraId="4343CC38">
                  <w:pPr>
                    <w:jc w:val="center"/>
                    <w:rPr>
                      <w:rFonts w:ascii="Times New Roman" w:hAnsi="Times New Roman" w:cs="Times New Roman"/>
                    </w:rPr>
                  </w:pPr>
                  <w:r>
                    <w:rPr>
                      <w:rFonts w:ascii="Times New Roman" w:hAnsi="Times New Roman" w:cs="Times New Roman"/>
                    </w:rPr>
                    <w:t>污染物种类</w:t>
                  </w:r>
                </w:p>
              </w:tc>
              <w:tc>
                <w:tcPr>
                  <w:tcW w:w="2211" w:type="dxa"/>
                  <w:gridSpan w:val="2"/>
                  <w:vAlign w:val="center"/>
                </w:tcPr>
                <w:p w14:paraId="1AFE5D2F">
                  <w:pPr>
                    <w:jc w:val="center"/>
                    <w:rPr>
                      <w:rFonts w:ascii="Times New Roman" w:hAnsi="Times New Roman" w:cs="Times New Roman"/>
                    </w:rPr>
                  </w:pPr>
                  <w:r>
                    <w:rPr>
                      <w:rFonts w:ascii="Times New Roman" w:hAnsi="Times New Roman" w:cs="Times New Roman"/>
                    </w:rPr>
                    <w:t>污染治理工艺</w:t>
                  </w:r>
                </w:p>
              </w:tc>
              <w:tc>
                <w:tcPr>
                  <w:tcW w:w="1444" w:type="dxa"/>
                  <w:vMerge w:val="restart"/>
                  <w:vAlign w:val="center"/>
                </w:tcPr>
                <w:p w14:paraId="2B498993">
                  <w:pPr>
                    <w:jc w:val="center"/>
                    <w:rPr>
                      <w:rFonts w:ascii="Times New Roman" w:hAnsi="Times New Roman" w:cs="Times New Roman"/>
                    </w:rPr>
                  </w:pPr>
                  <w:r>
                    <w:rPr>
                      <w:rFonts w:ascii="Times New Roman" w:hAnsi="Times New Roman" w:cs="Times New Roman"/>
                    </w:rPr>
                    <w:t>排放去向</w:t>
                  </w:r>
                </w:p>
              </w:tc>
              <w:tc>
                <w:tcPr>
                  <w:tcW w:w="983" w:type="dxa"/>
                  <w:vMerge w:val="restart"/>
                  <w:vAlign w:val="center"/>
                </w:tcPr>
                <w:p w14:paraId="3F2F9A67">
                  <w:pPr>
                    <w:jc w:val="center"/>
                    <w:rPr>
                      <w:rFonts w:ascii="Times New Roman" w:hAnsi="Times New Roman" w:cs="Times New Roman"/>
                    </w:rPr>
                  </w:pPr>
                  <w:r>
                    <w:rPr>
                      <w:rFonts w:ascii="Times New Roman" w:hAnsi="Times New Roman" w:cs="Times New Roman"/>
                    </w:rPr>
                    <w:t>排放方式</w:t>
                  </w:r>
                </w:p>
              </w:tc>
              <w:tc>
                <w:tcPr>
                  <w:tcW w:w="957" w:type="dxa"/>
                  <w:vMerge w:val="restart"/>
                  <w:vAlign w:val="center"/>
                </w:tcPr>
                <w:p w14:paraId="20433EA2">
                  <w:pPr>
                    <w:jc w:val="center"/>
                    <w:rPr>
                      <w:rFonts w:ascii="Times New Roman" w:hAnsi="Times New Roman" w:cs="Times New Roman"/>
                    </w:rPr>
                  </w:pPr>
                  <w:r>
                    <w:rPr>
                      <w:rFonts w:ascii="Times New Roman" w:hAnsi="Times New Roman" w:cs="Times New Roman"/>
                    </w:rPr>
                    <w:t>排放口编号</w:t>
                  </w:r>
                </w:p>
              </w:tc>
              <w:tc>
                <w:tcPr>
                  <w:tcW w:w="854" w:type="dxa"/>
                  <w:vMerge w:val="restart"/>
                  <w:vAlign w:val="center"/>
                </w:tcPr>
                <w:p w14:paraId="4EC67ED4">
                  <w:pPr>
                    <w:jc w:val="center"/>
                    <w:rPr>
                      <w:rFonts w:ascii="Times New Roman" w:hAnsi="Times New Roman" w:cs="Times New Roman"/>
                    </w:rPr>
                  </w:pPr>
                  <w:r>
                    <w:rPr>
                      <w:rFonts w:ascii="Times New Roman" w:hAnsi="Times New Roman" w:cs="Times New Roman"/>
                    </w:rPr>
                    <w:t>排放口类型</w:t>
                  </w:r>
                </w:p>
              </w:tc>
            </w:tr>
            <w:tr w14:paraId="1171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4" w:type="dxa"/>
                  <w:vMerge w:val="continue"/>
                  <w:vAlign w:val="center"/>
                </w:tcPr>
                <w:p w14:paraId="01990D05">
                  <w:pPr>
                    <w:jc w:val="center"/>
                    <w:rPr>
                      <w:rFonts w:ascii="Times New Roman" w:hAnsi="Times New Roman" w:cs="Times New Roman"/>
                    </w:rPr>
                  </w:pPr>
                </w:p>
              </w:tc>
              <w:tc>
                <w:tcPr>
                  <w:tcW w:w="1226" w:type="dxa"/>
                  <w:vMerge w:val="continue"/>
                  <w:vAlign w:val="center"/>
                </w:tcPr>
                <w:p w14:paraId="6795192F">
                  <w:pPr>
                    <w:jc w:val="center"/>
                    <w:rPr>
                      <w:rFonts w:ascii="Times New Roman" w:hAnsi="Times New Roman" w:cs="Times New Roman"/>
                    </w:rPr>
                  </w:pPr>
                </w:p>
              </w:tc>
              <w:tc>
                <w:tcPr>
                  <w:tcW w:w="1057" w:type="dxa"/>
                  <w:vAlign w:val="center"/>
                </w:tcPr>
                <w:p w14:paraId="5DF40BE5">
                  <w:pPr>
                    <w:jc w:val="center"/>
                    <w:rPr>
                      <w:rFonts w:ascii="Times New Roman" w:hAnsi="Times New Roman" w:cs="Times New Roman"/>
                    </w:rPr>
                  </w:pPr>
                  <w:r>
                    <w:rPr>
                      <w:rFonts w:ascii="Times New Roman" w:hAnsi="Times New Roman" w:cs="Times New Roman"/>
                    </w:rPr>
                    <w:t>治理工艺</w:t>
                  </w:r>
                </w:p>
              </w:tc>
              <w:tc>
                <w:tcPr>
                  <w:tcW w:w="1154" w:type="dxa"/>
                  <w:vAlign w:val="center"/>
                </w:tcPr>
                <w:p w14:paraId="7679441A">
                  <w:pPr>
                    <w:jc w:val="center"/>
                    <w:rPr>
                      <w:rFonts w:ascii="Times New Roman" w:hAnsi="Times New Roman" w:cs="Times New Roman"/>
                    </w:rPr>
                  </w:pPr>
                  <w:r>
                    <w:rPr>
                      <w:rFonts w:ascii="Times New Roman" w:hAnsi="Times New Roman" w:cs="Times New Roman"/>
                    </w:rPr>
                    <w:t>是否可行</w:t>
                  </w:r>
                </w:p>
              </w:tc>
              <w:tc>
                <w:tcPr>
                  <w:tcW w:w="1444" w:type="dxa"/>
                  <w:vMerge w:val="continue"/>
                  <w:vAlign w:val="center"/>
                </w:tcPr>
                <w:p w14:paraId="25369993">
                  <w:pPr>
                    <w:jc w:val="center"/>
                    <w:rPr>
                      <w:rFonts w:ascii="Times New Roman" w:hAnsi="Times New Roman" w:cs="Times New Roman"/>
                    </w:rPr>
                  </w:pPr>
                </w:p>
              </w:tc>
              <w:tc>
                <w:tcPr>
                  <w:tcW w:w="983" w:type="dxa"/>
                  <w:vMerge w:val="continue"/>
                  <w:vAlign w:val="center"/>
                </w:tcPr>
                <w:p w14:paraId="3AAE6742">
                  <w:pPr>
                    <w:jc w:val="center"/>
                    <w:rPr>
                      <w:rFonts w:ascii="Times New Roman" w:hAnsi="Times New Roman" w:cs="Times New Roman"/>
                    </w:rPr>
                  </w:pPr>
                </w:p>
              </w:tc>
              <w:tc>
                <w:tcPr>
                  <w:tcW w:w="957" w:type="dxa"/>
                  <w:vMerge w:val="continue"/>
                  <w:vAlign w:val="center"/>
                </w:tcPr>
                <w:p w14:paraId="4FBC140F">
                  <w:pPr>
                    <w:jc w:val="center"/>
                    <w:rPr>
                      <w:rFonts w:ascii="Times New Roman" w:hAnsi="Times New Roman" w:cs="Times New Roman"/>
                    </w:rPr>
                  </w:pPr>
                </w:p>
              </w:tc>
              <w:tc>
                <w:tcPr>
                  <w:tcW w:w="854" w:type="dxa"/>
                  <w:vMerge w:val="continue"/>
                  <w:vAlign w:val="center"/>
                </w:tcPr>
                <w:p w14:paraId="7D5A6F6B">
                  <w:pPr>
                    <w:jc w:val="center"/>
                    <w:rPr>
                      <w:rFonts w:ascii="Times New Roman" w:hAnsi="Times New Roman" w:cs="Times New Roman"/>
                    </w:rPr>
                  </w:pPr>
                </w:p>
              </w:tc>
            </w:tr>
            <w:tr w14:paraId="65BD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4" w:type="dxa"/>
                  <w:vAlign w:val="center"/>
                </w:tcPr>
                <w:p w14:paraId="436D8784">
                  <w:pPr>
                    <w:jc w:val="center"/>
                    <w:rPr>
                      <w:rFonts w:ascii="Times New Roman" w:hAnsi="Times New Roman" w:cs="Times New Roman"/>
                    </w:rPr>
                  </w:pPr>
                  <w:r>
                    <w:rPr>
                      <w:rFonts w:ascii="Times New Roman" w:hAnsi="Times New Roman" w:cs="Times New Roman"/>
                    </w:rPr>
                    <w:t>生活污水</w:t>
                  </w:r>
                </w:p>
              </w:tc>
              <w:tc>
                <w:tcPr>
                  <w:tcW w:w="1226" w:type="dxa"/>
                  <w:vAlign w:val="center"/>
                </w:tcPr>
                <w:p w14:paraId="5BF4AF1D">
                  <w:pPr>
                    <w:jc w:val="center"/>
                    <w:rPr>
                      <w:rFonts w:ascii="Times New Roman" w:hAnsi="Times New Roman" w:cs="Times New Roman"/>
                    </w:rPr>
                  </w:pPr>
                  <w:r>
                    <w:rPr>
                      <w:rFonts w:ascii="Times New Roman" w:hAnsi="Times New Roman" w:cs="Times New Roman"/>
                    </w:rPr>
                    <w:t>pH、COD、BOD</w:t>
                  </w:r>
                  <w:r>
                    <w:rPr>
                      <w:rFonts w:ascii="Times New Roman" w:hAnsi="Times New Roman" w:cs="Times New Roman"/>
                      <w:vertAlign w:val="subscript"/>
                    </w:rPr>
                    <w:t>5</w:t>
                  </w:r>
                  <w:r>
                    <w:rPr>
                      <w:rFonts w:ascii="Times New Roman" w:hAnsi="Times New Roman" w:cs="Times New Roman"/>
                    </w:rPr>
                    <w:t>、SS、NH</w:t>
                  </w:r>
                  <w:r>
                    <w:rPr>
                      <w:rFonts w:ascii="Times New Roman" w:hAnsi="Times New Roman" w:cs="Times New Roman"/>
                      <w:vertAlign w:val="subscript"/>
                    </w:rPr>
                    <w:t>3</w:t>
                  </w:r>
                  <w:r>
                    <w:rPr>
                      <w:rFonts w:ascii="Times New Roman" w:hAnsi="Times New Roman" w:cs="Times New Roman"/>
                    </w:rPr>
                    <w:t>-N</w:t>
                  </w:r>
                </w:p>
              </w:tc>
              <w:tc>
                <w:tcPr>
                  <w:tcW w:w="1057" w:type="dxa"/>
                  <w:vAlign w:val="center"/>
                </w:tcPr>
                <w:p w14:paraId="54EED568">
                  <w:pPr>
                    <w:jc w:val="center"/>
                    <w:rPr>
                      <w:rFonts w:ascii="Times New Roman" w:hAnsi="Times New Roman" w:cs="Times New Roman"/>
                    </w:rPr>
                  </w:pPr>
                  <w:r>
                    <w:rPr>
                      <w:rFonts w:ascii="Times New Roman" w:hAnsi="Times New Roman" w:cs="Times New Roman"/>
                    </w:rPr>
                    <w:t>化粪池</w:t>
                  </w:r>
                </w:p>
              </w:tc>
              <w:tc>
                <w:tcPr>
                  <w:tcW w:w="1154" w:type="dxa"/>
                  <w:vAlign w:val="center"/>
                </w:tcPr>
                <w:p w14:paraId="697DE9DE">
                  <w:pPr>
                    <w:jc w:val="center"/>
                    <w:rPr>
                      <w:rFonts w:ascii="Times New Roman" w:hAnsi="Times New Roman" w:cs="Times New Roman"/>
                    </w:rPr>
                  </w:pPr>
                  <w:r>
                    <w:rPr>
                      <w:rFonts w:ascii="Times New Roman" w:hAnsi="Times New Roman" w:cs="Times New Roman"/>
                    </w:rPr>
                    <w:t>是</w:t>
                  </w:r>
                </w:p>
              </w:tc>
              <w:tc>
                <w:tcPr>
                  <w:tcW w:w="1444" w:type="dxa"/>
                  <w:vAlign w:val="center"/>
                </w:tcPr>
                <w:p w14:paraId="1E81E9DA">
                  <w:pPr>
                    <w:jc w:val="center"/>
                    <w:rPr>
                      <w:rFonts w:ascii="Times New Roman" w:hAnsi="Times New Roman" w:eastAsia="宋体" w:cs="Times New Roman"/>
                      <w:lang w:eastAsia="zh-CN"/>
                    </w:rPr>
                  </w:pPr>
                  <w:r>
                    <w:rPr>
                      <w:rFonts w:ascii="Times New Roman" w:hAnsi="Times New Roman" w:eastAsia="宋体" w:cs="Times New Roman"/>
                      <w:lang w:eastAsia="zh-CN"/>
                    </w:rPr>
                    <w:t>濉溪县第二污水处理厂</w:t>
                  </w:r>
                </w:p>
              </w:tc>
              <w:tc>
                <w:tcPr>
                  <w:tcW w:w="983" w:type="dxa"/>
                  <w:vAlign w:val="center"/>
                </w:tcPr>
                <w:p w14:paraId="78F521DD">
                  <w:pPr>
                    <w:jc w:val="center"/>
                    <w:rPr>
                      <w:rFonts w:ascii="Times New Roman" w:hAnsi="Times New Roman" w:cs="Times New Roman"/>
                    </w:rPr>
                  </w:pPr>
                  <w:r>
                    <w:rPr>
                      <w:rFonts w:ascii="Times New Roman" w:hAnsi="Times New Roman" w:cs="Times New Roman"/>
                    </w:rPr>
                    <w:t>间接排放</w:t>
                  </w:r>
                </w:p>
              </w:tc>
              <w:tc>
                <w:tcPr>
                  <w:tcW w:w="957" w:type="dxa"/>
                  <w:vAlign w:val="center"/>
                </w:tcPr>
                <w:p w14:paraId="6F211B09">
                  <w:pPr>
                    <w:jc w:val="center"/>
                    <w:rPr>
                      <w:rFonts w:ascii="Times New Roman" w:hAnsi="Times New Roman" w:cs="Times New Roman"/>
                    </w:rPr>
                  </w:pPr>
                  <w:r>
                    <w:rPr>
                      <w:rFonts w:ascii="Times New Roman" w:hAnsi="Times New Roman" w:cs="Times New Roman"/>
                    </w:rPr>
                    <w:t>DW001</w:t>
                  </w:r>
                </w:p>
              </w:tc>
              <w:tc>
                <w:tcPr>
                  <w:tcW w:w="854" w:type="dxa"/>
                  <w:vAlign w:val="center"/>
                </w:tcPr>
                <w:p w14:paraId="64171CEE">
                  <w:pPr>
                    <w:jc w:val="center"/>
                    <w:rPr>
                      <w:rFonts w:ascii="Times New Roman" w:hAnsi="Times New Roman" w:cs="Times New Roman"/>
                    </w:rPr>
                  </w:pPr>
                  <w:r>
                    <w:rPr>
                      <w:rFonts w:ascii="Times New Roman" w:hAnsi="Times New Roman" w:cs="Times New Roman"/>
                    </w:rPr>
                    <w:t>一般排放口</w:t>
                  </w:r>
                </w:p>
              </w:tc>
            </w:tr>
          </w:tbl>
          <w:p w14:paraId="3DD2D596">
            <w:pPr>
              <w:jc w:val="center"/>
              <w:rPr>
                <w:rFonts w:ascii="Times New Roman" w:hAnsi="Times New Roman" w:cs="Times New Roman"/>
                <w:b/>
                <w:bCs/>
                <w:sz w:val="24"/>
                <w:szCs w:val="32"/>
              </w:rPr>
            </w:pPr>
            <w:r>
              <w:rPr>
                <w:rFonts w:ascii="Times New Roman" w:hAnsi="Times New Roman" w:cs="Times New Roman"/>
                <w:b/>
                <w:bCs/>
                <w:sz w:val="24"/>
                <w:szCs w:val="32"/>
              </w:rPr>
              <w:t>表4-</w:t>
            </w:r>
            <w:r>
              <w:rPr>
                <w:rFonts w:hint="eastAsia" w:ascii="Times New Roman" w:hAnsi="Times New Roman" w:eastAsia="宋体" w:cs="Times New Roman"/>
                <w:b/>
                <w:bCs/>
                <w:sz w:val="24"/>
                <w:szCs w:val="32"/>
                <w:lang w:eastAsia="zh-CN"/>
              </w:rPr>
              <w:t>8</w:t>
            </w:r>
            <w:r>
              <w:rPr>
                <w:rFonts w:ascii="Times New Roman" w:hAnsi="Times New Roman" w:cs="Times New Roman"/>
                <w:b/>
                <w:bCs/>
                <w:sz w:val="24"/>
                <w:szCs w:val="32"/>
              </w:rPr>
              <w:t xml:space="preserve">  项目用水及排水情况一览表  单位：t/a</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875"/>
              <w:gridCol w:w="779"/>
              <w:gridCol w:w="867"/>
              <w:gridCol w:w="744"/>
              <w:gridCol w:w="760"/>
              <w:gridCol w:w="941"/>
              <w:gridCol w:w="792"/>
              <w:gridCol w:w="1446"/>
            </w:tblGrid>
            <w:tr w14:paraId="58E8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8" w:type="pct"/>
                  <w:vAlign w:val="center"/>
                </w:tcPr>
                <w:p w14:paraId="5C58B8A0">
                  <w:pPr>
                    <w:jc w:val="center"/>
                    <w:rPr>
                      <w:rFonts w:ascii="Times New Roman" w:hAnsi="Times New Roman" w:cs="Times New Roman"/>
                    </w:rPr>
                  </w:pPr>
                  <w:r>
                    <w:rPr>
                      <w:rFonts w:ascii="Times New Roman" w:hAnsi="Times New Roman" w:cs="Times New Roman"/>
                    </w:rPr>
                    <w:t>项目</w:t>
                  </w:r>
                </w:p>
              </w:tc>
              <w:tc>
                <w:tcPr>
                  <w:tcW w:w="556" w:type="pct"/>
                  <w:vAlign w:val="center"/>
                </w:tcPr>
                <w:p w14:paraId="52AFC9DC">
                  <w:pPr>
                    <w:jc w:val="center"/>
                    <w:rPr>
                      <w:rFonts w:ascii="Times New Roman" w:hAnsi="Times New Roman" w:cs="Times New Roman"/>
                    </w:rPr>
                  </w:pPr>
                  <w:r>
                    <w:rPr>
                      <w:rFonts w:ascii="Times New Roman" w:hAnsi="Times New Roman" w:cs="Times New Roman"/>
                    </w:rPr>
                    <w:t>废水量(m</w:t>
                  </w:r>
                  <w:r>
                    <w:rPr>
                      <w:rFonts w:ascii="Times New Roman" w:hAnsi="Times New Roman" w:cs="Times New Roman"/>
                      <w:vertAlign w:val="superscript"/>
                    </w:rPr>
                    <w:t>3</w:t>
                  </w:r>
                  <w:r>
                    <w:rPr>
                      <w:rFonts w:ascii="Times New Roman" w:hAnsi="Times New Roman" w:cs="Times New Roman"/>
                    </w:rPr>
                    <w:t>/a)</w:t>
                  </w:r>
                </w:p>
              </w:tc>
              <w:tc>
                <w:tcPr>
                  <w:tcW w:w="495" w:type="pct"/>
                  <w:vAlign w:val="center"/>
                </w:tcPr>
                <w:p w14:paraId="3CDFE0CD">
                  <w:pPr>
                    <w:jc w:val="center"/>
                    <w:rPr>
                      <w:rFonts w:ascii="Times New Roman" w:hAnsi="Times New Roman" w:cs="Times New Roman"/>
                    </w:rPr>
                  </w:pPr>
                  <w:r>
                    <w:rPr>
                      <w:rFonts w:ascii="Times New Roman" w:hAnsi="Times New Roman" w:cs="Times New Roman"/>
                    </w:rPr>
                    <w:t>污染物</w:t>
                  </w:r>
                </w:p>
              </w:tc>
              <w:tc>
                <w:tcPr>
                  <w:tcW w:w="551" w:type="pct"/>
                  <w:vAlign w:val="center"/>
                </w:tcPr>
                <w:p w14:paraId="73BFF72E">
                  <w:pPr>
                    <w:jc w:val="center"/>
                    <w:rPr>
                      <w:rFonts w:ascii="Times New Roman" w:hAnsi="Times New Roman" w:cs="Times New Roman"/>
                    </w:rPr>
                  </w:pPr>
                  <w:r>
                    <w:rPr>
                      <w:rFonts w:ascii="Times New Roman" w:hAnsi="Times New Roman" w:cs="Times New Roman"/>
                    </w:rPr>
                    <w:t>处理前浓度mg/L</w:t>
                  </w:r>
                </w:p>
              </w:tc>
              <w:tc>
                <w:tcPr>
                  <w:tcW w:w="473" w:type="pct"/>
                  <w:vAlign w:val="center"/>
                </w:tcPr>
                <w:p w14:paraId="267A9054">
                  <w:pPr>
                    <w:jc w:val="center"/>
                    <w:rPr>
                      <w:rFonts w:ascii="Times New Roman" w:hAnsi="Times New Roman" w:cs="Times New Roman"/>
                    </w:rPr>
                  </w:pPr>
                  <w:r>
                    <w:rPr>
                      <w:rFonts w:ascii="Times New Roman" w:hAnsi="Times New Roman" w:cs="Times New Roman"/>
                    </w:rPr>
                    <w:t>产生量t/a</w:t>
                  </w:r>
                </w:p>
              </w:tc>
              <w:tc>
                <w:tcPr>
                  <w:tcW w:w="483" w:type="pct"/>
                  <w:vAlign w:val="center"/>
                </w:tcPr>
                <w:p w14:paraId="46FFC0A7">
                  <w:pPr>
                    <w:jc w:val="center"/>
                    <w:rPr>
                      <w:rFonts w:ascii="Times New Roman" w:hAnsi="Times New Roman" w:cs="Times New Roman"/>
                    </w:rPr>
                  </w:pPr>
                  <w:r>
                    <w:rPr>
                      <w:rFonts w:ascii="Times New Roman" w:hAnsi="Times New Roman" w:cs="Times New Roman"/>
                    </w:rPr>
                    <w:t>治理措施</w:t>
                  </w:r>
                </w:p>
              </w:tc>
              <w:tc>
                <w:tcPr>
                  <w:tcW w:w="598" w:type="pct"/>
                  <w:vAlign w:val="center"/>
                </w:tcPr>
                <w:p w14:paraId="5C8EB436">
                  <w:pPr>
                    <w:jc w:val="center"/>
                    <w:rPr>
                      <w:rFonts w:ascii="Times New Roman" w:hAnsi="Times New Roman" w:cs="Times New Roman"/>
                    </w:rPr>
                  </w:pPr>
                  <w:r>
                    <w:rPr>
                      <w:rFonts w:ascii="Times New Roman" w:hAnsi="Times New Roman" w:cs="Times New Roman"/>
                    </w:rPr>
                    <w:t>排放浓度mg/L</w:t>
                  </w:r>
                </w:p>
              </w:tc>
              <w:tc>
                <w:tcPr>
                  <w:tcW w:w="503" w:type="pct"/>
                  <w:vAlign w:val="center"/>
                </w:tcPr>
                <w:p w14:paraId="69A46AE2">
                  <w:pPr>
                    <w:jc w:val="center"/>
                    <w:rPr>
                      <w:rFonts w:ascii="Times New Roman" w:hAnsi="Times New Roman" w:cs="Times New Roman"/>
                    </w:rPr>
                  </w:pPr>
                  <w:r>
                    <w:rPr>
                      <w:rFonts w:ascii="Times New Roman" w:hAnsi="Times New Roman" w:cs="Times New Roman"/>
                    </w:rPr>
                    <w:t>排放量t/a</w:t>
                  </w:r>
                </w:p>
              </w:tc>
              <w:tc>
                <w:tcPr>
                  <w:tcW w:w="919" w:type="pct"/>
                  <w:vAlign w:val="center"/>
                </w:tcPr>
                <w:p w14:paraId="63A55630">
                  <w:pPr>
                    <w:jc w:val="center"/>
                    <w:rPr>
                      <w:rFonts w:ascii="Times New Roman" w:hAnsi="Times New Roman" w:cs="Times New Roman"/>
                    </w:rPr>
                  </w:pPr>
                  <w:r>
                    <w:rPr>
                      <w:rFonts w:ascii="Times New Roman" w:hAnsi="Times New Roman" w:cs="Times New Roman"/>
                    </w:rPr>
                    <w:t>去向</w:t>
                  </w:r>
                </w:p>
              </w:tc>
            </w:tr>
            <w:tr w14:paraId="67E7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8" w:type="pct"/>
                  <w:vMerge w:val="restart"/>
                  <w:vAlign w:val="center"/>
                </w:tcPr>
                <w:p w14:paraId="63D6E8E0">
                  <w:pPr>
                    <w:jc w:val="center"/>
                    <w:rPr>
                      <w:rFonts w:ascii="Times New Roman" w:hAnsi="Times New Roman" w:cs="Times New Roman"/>
                    </w:rPr>
                  </w:pPr>
                  <w:r>
                    <w:rPr>
                      <w:rFonts w:ascii="Times New Roman" w:hAnsi="Times New Roman" w:cs="Times New Roman"/>
                    </w:rPr>
                    <w:t>生活污水</w:t>
                  </w:r>
                </w:p>
              </w:tc>
              <w:tc>
                <w:tcPr>
                  <w:tcW w:w="556" w:type="pct"/>
                  <w:vMerge w:val="restart"/>
                  <w:vAlign w:val="center"/>
                </w:tcPr>
                <w:p w14:paraId="46B0C1C0">
                  <w:pPr>
                    <w:jc w:val="center"/>
                    <w:rPr>
                      <w:rFonts w:ascii="Times New Roman" w:hAnsi="Times New Roman" w:eastAsia="宋体" w:cs="Times New Roman"/>
                      <w:lang w:eastAsia="zh-CN"/>
                    </w:rPr>
                  </w:pPr>
                  <w:r>
                    <w:rPr>
                      <w:rFonts w:ascii="Times New Roman" w:hAnsi="Times New Roman" w:eastAsia="宋体" w:cs="Times New Roman"/>
                      <w:lang w:eastAsia="zh-CN"/>
                    </w:rPr>
                    <w:t>86.4</w:t>
                  </w:r>
                </w:p>
              </w:tc>
              <w:tc>
                <w:tcPr>
                  <w:tcW w:w="495" w:type="pct"/>
                  <w:vAlign w:val="center"/>
                </w:tcPr>
                <w:p w14:paraId="0605BD91">
                  <w:pPr>
                    <w:jc w:val="center"/>
                    <w:rPr>
                      <w:rFonts w:ascii="Times New Roman" w:hAnsi="Times New Roman" w:cs="Times New Roman"/>
                    </w:rPr>
                  </w:pPr>
                  <w:r>
                    <w:rPr>
                      <w:rFonts w:ascii="Times New Roman" w:hAnsi="Times New Roman" w:cs="Times New Roman"/>
                    </w:rPr>
                    <w:t>COD</w:t>
                  </w:r>
                </w:p>
              </w:tc>
              <w:tc>
                <w:tcPr>
                  <w:tcW w:w="551" w:type="pct"/>
                  <w:vAlign w:val="center"/>
                </w:tcPr>
                <w:p w14:paraId="25461CD9">
                  <w:pPr>
                    <w:jc w:val="center"/>
                    <w:rPr>
                      <w:rFonts w:ascii="Times New Roman" w:hAnsi="Times New Roman" w:cs="Times New Roman"/>
                    </w:rPr>
                  </w:pPr>
                  <w:r>
                    <w:rPr>
                      <w:rFonts w:ascii="Times New Roman" w:hAnsi="Times New Roman" w:cs="Times New Roman"/>
                    </w:rPr>
                    <w:t>350</w:t>
                  </w:r>
                </w:p>
              </w:tc>
              <w:tc>
                <w:tcPr>
                  <w:tcW w:w="473" w:type="pct"/>
                  <w:vAlign w:val="center"/>
                </w:tcPr>
                <w:p w14:paraId="0DCD7B04">
                  <w:pPr>
                    <w:jc w:val="center"/>
                    <w:rPr>
                      <w:rFonts w:ascii="Times New Roman" w:hAnsi="Times New Roman" w:eastAsia="宋体" w:cs="Times New Roman"/>
                      <w:lang w:eastAsia="zh-CN"/>
                    </w:rPr>
                  </w:pPr>
                  <w:r>
                    <w:rPr>
                      <w:rFonts w:ascii="Times New Roman" w:hAnsi="Times New Roman" w:eastAsia="宋体" w:cs="Times New Roman"/>
                      <w:lang w:eastAsia="zh-CN"/>
                    </w:rPr>
                    <w:t>0.03</w:t>
                  </w:r>
                </w:p>
              </w:tc>
              <w:tc>
                <w:tcPr>
                  <w:tcW w:w="483" w:type="pct"/>
                  <w:vMerge w:val="restart"/>
                  <w:vAlign w:val="center"/>
                </w:tcPr>
                <w:p w14:paraId="1EF4F530">
                  <w:pPr>
                    <w:jc w:val="center"/>
                    <w:rPr>
                      <w:rFonts w:ascii="Times New Roman" w:hAnsi="Times New Roman" w:cs="Times New Roman"/>
                    </w:rPr>
                  </w:pPr>
                  <w:r>
                    <w:rPr>
                      <w:rFonts w:ascii="Times New Roman" w:hAnsi="Times New Roman" w:cs="Times New Roman"/>
                    </w:rPr>
                    <w:t>化粪池</w:t>
                  </w:r>
                </w:p>
              </w:tc>
              <w:tc>
                <w:tcPr>
                  <w:tcW w:w="598" w:type="pct"/>
                  <w:vAlign w:val="center"/>
                </w:tcPr>
                <w:p w14:paraId="366EF6C6">
                  <w:pPr>
                    <w:jc w:val="center"/>
                    <w:rPr>
                      <w:rFonts w:ascii="Times New Roman" w:hAnsi="Times New Roman" w:eastAsia="宋体" w:cs="Times New Roman"/>
                      <w:lang w:eastAsia="zh-CN"/>
                    </w:rPr>
                  </w:pPr>
                  <w:r>
                    <w:rPr>
                      <w:rFonts w:ascii="Times New Roman" w:hAnsi="Times New Roman" w:cs="Times New Roman"/>
                      <w:lang w:eastAsia="zh-CN"/>
                    </w:rPr>
                    <w:t>300</w:t>
                  </w:r>
                </w:p>
              </w:tc>
              <w:tc>
                <w:tcPr>
                  <w:tcW w:w="503" w:type="pct"/>
                  <w:vAlign w:val="center"/>
                </w:tcPr>
                <w:p w14:paraId="59FDD694">
                  <w:pPr>
                    <w:jc w:val="center"/>
                    <w:rPr>
                      <w:rFonts w:ascii="Times New Roman" w:hAnsi="Times New Roman" w:eastAsia="宋体" w:cs="Times New Roman"/>
                      <w:lang w:eastAsia="zh-CN"/>
                    </w:rPr>
                  </w:pPr>
                  <w:r>
                    <w:rPr>
                      <w:rFonts w:ascii="Times New Roman" w:hAnsi="Times New Roman" w:eastAsia="宋体" w:cs="Times New Roman"/>
                      <w:lang w:eastAsia="zh-CN"/>
                    </w:rPr>
                    <w:t>0.025</w:t>
                  </w:r>
                </w:p>
              </w:tc>
              <w:tc>
                <w:tcPr>
                  <w:tcW w:w="919" w:type="pct"/>
                  <w:vMerge w:val="restart"/>
                  <w:vAlign w:val="center"/>
                </w:tcPr>
                <w:p w14:paraId="7A1DE4FF">
                  <w:pPr>
                    <w:jc w:val="center"/>
                    <w:rPr>
                      <w:rFonts w:hint="default" w:ascii="Times New Roman" w:hAnsi="Times New Roman" w:eastAsia="宋体" w:cs="Times New Roman"/>
                      <w:lang w:val="en-US" w:eastAsia="zh-CN"/>
                    </w:rPr>
                  </w:pPr>
                  <w:r>
                    <w:rPr>
                      <w:rStyle w:val="26"/>
                      <w:rFonts w:hint="eastAsia" w:eastAsia="宋体"/>
                      <w:lang w:val="en-US" w:eastAsia="zh-CN"/>
                    </w:rPr>
                    <w:t>濉溪县第二污水处理厂</w:t>
                  </w:r>
                </w:p>
              </w:tc>
            </w:tr>
            <w:tr w14:paraId="534C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18" w:type="pct"/>
                  <w:vMerge w:val="continue"/>
                  <w:vAlign w:val="center"/>
                </w:tcPr>
                <w:p w14:paraId="24FC72D6">
                  <w:pPr>
                    <w:jc w:val="center"/>
                    <w:rPr>
                      <w:rFonts w:ascii="Times New Roman" w:hAnsi="Times New Roman" w:cs="Times New Roman"/>
                    </w:rPr>
                  </w:pPr>
                </w:p>
              </w:tc>
              <w:tc>
                <w:tcPr>
                  <w:tcW w:w="556" w:type="pct"/>
                  <w:vMerge w:val="continue"/>
                  <w:vAlign w:val="center"/>
                </w:tcPr>
                <w:p w14:paraId="03CE5476">
                  <w:pPr>
                    <w:jc w:val="center"/>
                    <w:rPr>
                      <w:rFonts w:ascii="Times New Roman" w:hAnsi="Times New Roman" w:cs="Times New Roman"/>
                    </w:rPr>
                  </w:pPr>
                </w:p>
              </w:tc>
              <w:tc>
                <w:tcPr>
                  <w:tcW w:w="495" w:type="pct"/>
                  <w:vAlign w:val="center"/>
                </w:tcPr>
                <w:p w14:paraId="1D8AE8BE">
                  <w:pPr>
                    <w:jc w:val="center"/>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551" w:type="pct"/>
                  <w:vAlign w:val="center"/>
                </w:tcPr>
                <w:p w14:paraId="750F8B80">
                  <w:pPr>
                    <w:jc w:val="center"/>
                    <w:rPr>
                      <w:rFonts w:ascii="Times New Roman" w:hAnsi="Times New Roman" w:eastAsia="宋体" w:cs="Times New Roman"/>
                      <w:lang w:eastAsia="zh-CN"/>
                    </w:rPr>
                  </w:pPr>
                  <w:r>
                    <w:rPr>
                      <w:rFonts w:ascii="Times New Roman" w:hAnsi="Times New Roman" w:cs="Times New Roman"/>
                    </w:rPr>
                    <w:t>2</w:t>
                  </w:r>
                  <w:r>
                    <w:rPr>
                      <w:rFonts w:ascii="Times New Roman" w:hAnsi="Times New Roman" w:cs="Times New Roman"/>
                      <w:lang w:eastAsia="zh-CN"/>
                    </w:rPr>
                    <w:t>00</w:t>
                  </w:r>
                </w:p>
              </w:tc>
              <w:tc>
                <w:tcPr>
                  <w:tcW w:w="473" w:type="pct"/>
                  <w:vAlign w:val="center"/>
                </w:tcPr>
                <w:p w14:paraId="70679C77">
                  <w:pPr>
                    <w:jc w:val="center"/>
                    <w:rPr>
                      <w:rFonts w:ascii="Times New Roman" w:hAnsi="Times New Roman" w:eastAsia="宋体" w:cs="Times New Roman"/>
                      <w:lang w:eastAsia="zh-CN"/>
                    </w:rPr>
                  </w:pPr>
                  <w:r>
                    <w:rPr>
                      <w:rFonts w:ascii="Times New Roman" w:hAnsi="Times New Roman" w:eastAsia="宋体" w:cs="Times New Roman"/>
                      <w:lang w:eastAsia="zh-CN"/>
                    </w:rPr>
                    <w:t>0.017</w:t>
                  </w:r>
                </w:p>
              </w:tc>
              <w:tc>
                <w:tcPr>
                  <w:tcW w:w="483" w:type="pct"/>
                  <w:vMerge w:val="continue"/>
                  <w:vAlign w:val="center"/>
                </w:tcPr>
                <w:p w14:paraId="51EA81E2">
                  <w:pPr>
                    <w:jc w:val="center"/>
                    <w:rPr>
                      <w:rFonts w:ascii="Times New Roman" w:hAnsi="Times New Roman" w:cs="Times New Roman"/>
                    </w:rPr>
                  </w:pPr>
                </w:p>
              </w:tc>
              <w:tc>
                <w:tcPr>
                  <w:tcW w:w="598" w:type="pct"/>
                  <w:vAlign w:val="center"/>
                </w:tcPr>
                <w:p w14:paraId="2C85904C">
                  <w:pPr>
                    <w:jc w:val="center"/>
                    <w:rPr>
                      <w:rFonts w:ascii="Times New Roman" w:hAnsi="Times New Roman" w:eastAsia="宋体" w:cs="Times New Roman"/>
                      <w:lang w:eastAsia="zh-CN"/>
                    </w:rPr>
                  </w:pPr>
                  <w:r>
                    <w:rPr>
                      <w:rFonts w:ascii="Times New Roman" w:hAnsi="Times New Roman" w:cs="Times New Roman"/>
                      <w:lang w:eastAsia="zh-CN"/>
                    </w:rPr>
                    <w:t>170</w:t>
                  </w:r>
                </w:p>
              </w:tc>
              <w:tc>
                <w:tcPr>
                  <w:tcW w:w="503" w:type="pct"/>
                  <w:vAlign w:val="center"/>
                </w:tcPr>
                <w:p w14:paraId="1AFD7B3E">
                  <w:pPr>
                    <w:jc w:val="center"/>
                    <w:rPr>
                      <w:rFonts w:ascii="Times New Roman" w:hAnsi="Times New Roman" w:eastAsia="宋体" w:cs="Times New Roman"/>
                      <w:lang w:eastAsia="zh-CN"/>
                    </w:rPr>
                  </w:pPr>
                  <w:r>
                    <w:rPr>
                      <w:rFonts w:ascii="Times New Roman" w:hAnsi="Times New Roman" w:eastAsia="宋体" w:cs="Times New Roman"/>
                      <w:lang w:eastAsia="zh-CN"/>
                    </w:rPr>
                    <w:t>0.014</w:t>
                  </w:r>
                </w:p>
              </w:tc>
              <w:tc>
                <w:tcPr>
                  <w:tcW w:w="919" w:type="pct"/>
                  <w:vMerge w:val="continue"/>
                  <w:vAlign w:val="center"/>
                </w:tcPr>
                <w:p w14:paraId="096DC5E1">
                  <w:pPr>
                    <w:jc w:val="center"/>
                    <w:rPr>
                      <w:rFonts w:ascii="Times New Roman" w:hAnsi="Times New Roman" w:cs="Times New Roman"/>
                    </w:rPr>
                  </w:pPr>
                </w:p>
              </w:tc>
            </w:tr>
            <w:tr w14:paraId="5EB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8" w:type="pct"/>
                  <w:vMerge w:val="continue"/>
                  <w:vAlign w:val="center"/>
                </w:tcPr>
                <w:p w14:paraId="4BFBB593">
                  <w:pPr>
                    <w:jc w:val="center"/>
                    <w:rPr>
                      <w:rFonts w:ascii="Times New Roman" w:hAnsi="Times New Roman" w:cs="Times New Roman"/>
                    </w:rPr>
                  </w:pPr>
                </w:p>
              </w:tc>
              <w:tc>
                <w:tcPr>
                  <w:tcW w:w="556" w:type="pct"/>
                  <w:vMerge w:val="continue"/>
                  <w:vAlign w:val="center"/>
                </w:tcPr>
                <w:p w14:paraId="12719FEC">
                  <w:pPr>
                    <w:jc w:val="center"/>
                    <w:rPr>
                      <w:rFonts w:ascii="Times New Roman" w:hAnsi="Times New Roman" w:cs="Times New Roman"/>
                    </w:rPr>
                  </w:pPr>
                </w:p>
              </w:tc>
              <w:tc>
                <w:tcPr>
                  <w:tcW w:w="495" w:type="pct"/>
                  <w:vAlign w:val="center"/>
                </w:tcPr>
                <w:p w14:paraId="2C10DA35">
                  <w:pPr>
                    <w:jc w:val="center"/>
                    <w:rPr>
                      <w:rFonts w:ascii="Times New Roman" w:hAnsi="Times New Roman" w:cs="Times New Roman"/>
                    </w:rPr>
                  </w:pPr>
                  <w:r>
                    <w:rPr>
                      <w:rFonts w:ascii="Times New Roman" w:hAnsi="Times New Roman" w:cs="Times New Roman"/>
                    </w:rPr>
                    <w:t>SS</w:t>
                  </w:r>
                </w:p>
              </w:tc>
              <w:tc>
                <w:tcPr>
                  <w:tcW w:w="551" w:type="pct"/>
                  <w:vAlign w:val="center"/>
                </w:tcPr>
                <w:p w14:paraId="1D8FE2F2">
                  <w:pPr>
                    <w:jc w:val="center"/>
                    <w:rPr>
                      <w:rFonts w:ascii="Times New Roman" w:hAnsi="Times New Roman" w:cs="Times New Roman"/>
                    </w:rPr>
                  </w:pPr>
                  <w:r>
                    <w:rPr>
                      <w:rFonts w:ascii="Times New Roman" w:hAnsi="Times New Roman" w:cs="Times New Roman"/>
                    </w:rPr>
                    <w:t>250</w:t>
                  </w:r>
                </w:p>
              </w:tc>
              <w:tc>
                <w:tcPr>
                  <w:tcW w:w="473" w:type="pct"/>
                  <w:vAlign w:val="center"/>
                </w:tcPr>
                <w:p w14:paraId="34022087">
                  <w:pPr>
                    <w:jc w:val="center"/>
                    <w:rPr>
                      <w:rFonts w:ascii="Times New Roman" w:hAnsi="Times New Roman" w:eastAsia="宋体" w:cs="Times New Roman"/>
                      <w:lang w:eastAsia="zh-CN"/>
                    </w:rPr>
                  </w:pPr>
                  <w:r>
                    <w:rPr>
                      <w:rFonts w:ascii="Times New Roman" w:hAnsi="Times New Roman" w:eastAsia="宋体" w:cs="Times New Roman"/>
                      <w:lang w:eastAsia="zh-CN"/>
                    </w:rPr>
                    <w:t>0.021</w:t>
                  </w:r>
                </w:p>
              </w:tc>
              <w:tc>
                <w:tcPr>
                  <w:tcW w:w="483" w:type="pct"/>
                  <w:vMerge w:val="continue"/>
                  <w:vAlign w:val="center"/>
                </w:tcPr>
                <w:p w14:paraId="50A6A0E0">
                  <w:pPr>
                    <w:jc w:val="center"/>
                    <w:rPr>
                      <w:rFonts w:ascii="Times New Roman" w:hAnsi="Times New Roman" w:cs="Times New Roman"/>
                    </w:rPr>
                  </w:pPr>
                </w:p>
              </w:tc>
              <w:tc>
                <w:tcPr>
                  <w:tcW w:w="598" w:type="pct"/>
                  <w:vAlign w:val="center"/>
                </w:tcPr>
                <w:p w14:paraId="2376964E">
                  <w:pPr>
                    <w:jc w:val="center"/>
                    <w:rPr>
                      <w:rFonts w:ascii="Times New Roman" w:hAnsi="Times New Roman" w:eastAsia="宋体" w:cs="Times New Roman"/>
                      <w:lang w:eastAsia="zh-CN"/>
                    </w:rPr>
                  </w:pPr>
                  <w:r>
                    <w:rPr>
                      <w:rFonts w:ascii="Times New Roman" w:hAnsi="Times New Roman" w:cs="Times New Roman"/>
                      <w:lang w:eastAsia="zh-CN"/>
                    </w:rPr>
                    <w:t>200</w:t>
                  </w:r>
                </w:p>
              </w:tc>
              <w:tc>
                <w:tcPr>
                  <w:tcW w:w="503" w:type="pct"/>
                  <w:vAlign w:val="center"/>
                </w:tcPr>
                <w:p w14:paraId="1770FB84">
                  <w:pPr>
                    <w:jc w:val="center"/>
                    <w:rPr>
                      <w:rFonts w:ascii="Times New Roman" w:hAnsi="Times New Roman" w:eastAsia="宋体" w:cs="Times New Roman"/>
                      <w:lang w:eastAsia="zh-CN"/>
                    </w:rPr>
                  </w:pPr>
                  <w:r>
                    <w:rPr>
                      <w:rFonts w:ascii="Times New Roman" w:hAnsi="Times New Roman" w:eastAsia="宋体" w:cs="Times New Roman"/>
                      <w:lang w:eastAsia="zh-CN"/>
                    </w:rPr>
                    <w:t>0.017</w:t>
                  </w:r>
                </w:p>
              </w:tc>
              <w:tc>
                <w:tcPr>
                  <w:tcW w:w="919" w:type="pct"/>
                  <w:vMerge w:val="continue"/>
                  <w:vAlign w:val="center"/>
                </w:tcPr>
                <w:p w14:paraId="646DADE0">
                  <w:pPr>
                    <w:jc w:val="center"/>
                    <w:rPr>
                      <w:rFonts w:ascii="Times New Roman" w:hAnsi="Times New Roman" w:cs="Times New Roman"/>
                    </w:rPr>
                  </w:pPr>
                </w:p>
              </w:tc>
            </w:tr>
            <w:tr w14:paraId="509F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18" w:type="pct"/>
                  <w:vMerge w:val="continue"/>
                  <w:vAlign w:val="center"/>
                </w:tcPr>
                <w:p w14:paraId="457B9A36">
                  <w:pPr>
                    <w:jc w:val="center"/>
                    <w:rPr>
                      <w:rFonts w:ascii="Times New Roman" w:hAnsi="Times New Roman" w:cs="Times New Roman"/>
                    </w:rPr>
                  </w:pPr>
                </w:p>
              </w:tc>
              <w:tc>
                <w:tcPr>
                  <w:tcW w:w="556" w:type="pct"/>
                  <w:vMerge w:val="continue"/>
                  <w:vAlign w:val="center"/>
                </w:tcPr>
                <w:p w14:paraId="31D7E914">
                  <w:pPr>
                    <w:jc w:val="center"/>
                    <w:rPr>
                      <w:rFonts w:ascii="Times New Roman" w:hAnsi="Times New Roman" w:cs="Times New Roman"/>
                    </w:rPr>
                  </w:pPr>
                </w:p>
              </w:tc>
              <w:tc>
                <w:tcPr>
                  <w:tcW w:w="495" w:type="pct"/>
                  <w:vAlign w:val="center"/>
                </w:tcPr>
                <w:p w14:paraId="4315677A">
                  <w:pPr>
                    <w:jc w:val="center"/>
                    <w:rPr>
                      <w:rFonts w:ascii="Times New Roman" w:hAnsi="Times New Roman" w:cs="Times New Roman"/>
                    </w:rPr>
                  </w:pPr>
                  <w:r>
                    <w:rPr>
                      <w:rFonts w:ascii="Times New Roman" w:hAnsi="Times New Roman" w:cs="Times New Roman"/>
                    </w:rPr>
                    <w:t>氨氮</w:t>
                  </w:r>
                </w:p>
              </w:tc>
              <w:tc>
                <w:tcPr>
                  <w:tcW w:w="551" w:type="pct"/>
                  <w:vAlign w:val="center"/>
                </w:tcPr>
                <w:p w14:paraId="272F8A8A">
                  <w:pPr>
                    <w:jc w:val="center"/>
                    <w:rPr>
                      <w:rFonts w:ascii="Times New Roman" w:hAnsi="Times New Roman" w:eastAsia="宋体" w:cs="Times New Roman"/>
                      <w:lang w:eastAsia="zh-CN"/>
                    </w:rPr>
                  </w:pPr>
                  <w:r>
                    <w:rPr>
                      <w:rFonts w:ascii="Times New Roman" w:hAnsi="Times New Roman" w:cs="Times New Roman"/>
                      <w:lang w:eastAsia="zh-CN"/>
                    </w:rPr>
                    <w:t>25</w:t>
                  </w:r>
                </w:p>
              </w:tc>
              <w:tc>
                <w:tcPr>
                  <w:tcW w:w="473" w:type="pct"/>
                  <w:vAlign w:val="center"/>
                </w:tcPr>
                <w:p w14:paraId="65E29417">
                  <w:pPr>
                    <w:jc w:val="center"/>
                    <w:rPr>
                      <w:rFonts w:ascii="Times New Roman" w:hAnsi="Times New Roman" w:eastAsia="宋体" w:cs="Times New Roman"/>
                      <w:lang w:eastAsia="zh-CN"/>
                    </w:rPr>
                  </w:pPr>
                  <w:r>
                    <w:rPr>
                      <w:rFonts w:ascii="Times New Roman" w:hAnsi="Times New Roman" w:eastAsia="宋体" w:cs="Times New Roman"/>
                      <w:lang w:eastAsia="zh-CN"/>
                    </w:rPr>
                    <w:t>0.002</w:t>
                  </w:r>
                </w:p>
              </w:tc>
              <w:tc>
                <w:tcPr>
                  <w:tcW w:w="483" w:type="pct"/>
                  <w:vMerge w:val="continue"/>
                  <w:vAlign w:val="center"/>
                </w:tcPr>
                <w:p w14:paraId="40582CE4">
                  <w:pPr>
                    <w:jc w:val="center"/>
                    <w:rPr>
                      <w:rFonts w:ascii="Times New Roman" w:hAnsi="Times New Roman" w:cs="Times New Roman"/>
                    </w:rPr>
                  </w:pPr>
                </w:p>
              </w:tc>
              <w:tc>
                <w:tcPr>
                  <w:tcW w:w="598" w:type="pct"/>
                  <w:vAlign w:val="center"/>
                </w:tcPr>
                <w:p w14:paraId="11BF0E4F">
                  <w:pPr>
                    <w:jc w:val="center"/>
                    <w:rPr>
                      <w:rFonts w:ascii="Times New Roman" w:hAnsi="Times New Roman" w:cs="Times New Roman"/>
                    </w:rPr>
                  </w:pPr>
                  <w:r>
                    <w:rPr>
                      <w:rFonts w:ascii="Times New Roman" w:hAnsi="Times New Roman" w:cs="Times New Roman"/>
                    </w:rPr>
                    <w:t>25</w:t>
                  </w:r>
                </w:p>
              </w:tc>
              <w:tc>
                <w:tcPr>
                  <w:tcW w:w="503" w:type="pct"/>
                  <w:vAlign w:val="center"/>
                </w:tcPr>
                <w:p w14:paraId="69949A41">
                  <w:pPr>
                    <w:jc w:val="center"/>
                    <w:rPr>
                      <w:rFonts w:ascii="Times New Roman" w:hAnsi="Times New Roman" w:eastAsia="宋体" w:cs="Times New Roman"/>
                      <w:lang w:eastAsia="zh-CN"/>
                    </w:rPr>
                  </w:pPr>
                  <w:r>
                    <w:rPr>
                      <w:rFonts w:ascii="Times New Roman" w:hAnsi="Times New Roman" w:eastAsia="宋体" w:cs="Times New Roman"/>
                      <w:lang w:eastAsia="zh-CN"/>
                    </w:rPr>
                    <w:t>0.002</w:t>
                  </w:r>
                </w:p>
              </w:tc>
              <w:tc>
                <w:tcPr>
                  <w:tcW w:w="919" w:type="pct"/>
                  <w:vMerge w:val="continue"/>
                  <w:vAlign w:val="center"/>
                </w:tcPr>
                <w:p w14:paraId="04EE9A3D">
                  <w:pPr>
                    <w:jc w:val="center"/>
                    <w:rPr>
                      <w:rFonts w:ascii="Times New Roman" w:hAnsi="Times New Roman" w:cs="Times New Roman"/>
                    </w:rPr>
                  </w:pPr>
                </w:p>
              </w:tc>
            </w:tr>
          </w:tbl>
          <w:p w14:paraId="1FC1C476">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b/>
                <w:bCs/>
                <w:sz w:val="24"/>
              </w:rPr>
            </w:pPr>
            <w:r>
              <w:rPr>
                <w:rFonts w:ascii="Times New Roman" w:hAnsi="Times New Roman" w:cs="Times New Roman"/>
                <w:b/>
                <w:bCs/>
                <w:sz w:val="24"/>
              </w:rPr>
              <w:t>2、排放口设置及监测计划</w:t>
            </w:r>
          </w:p>
          <w:p w14:paraId="679AB849">
            <w:pPr>
              <w:pStyle w:val="27"/>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firstLine="480" w:firstLineChars="200"/>
              <w:textAlignment w:val="auto"/>
              <w:rPr>
                <w:rFonts w:ascii="Times New Roman" w:hAnsi="Times New Roman"/>
                <w:bCs/>
              </w:rPr>
            </w:pPr>
            <w:r>
              <w:rPr>
                <w:rFonts w:ascii="Times New Roman" w:hAnsi="Times New Roman"/>
                <w:bCs/>
              </w:rPr>
              <w:t>根据《固定污染源排污许可分类管理名录（2019年版）》，本项目监测计划根据《排污单位自行监测技术指南 总则》（HJ819-2017）、《排污单位自行监测技术指南 涂装》（HJ1086-2020）中相关要求，项目在投入运行后，不需对项目污染源开展监测活动。</w:t>
            </w:r>
          </w:p>
          <w:p w14:paraId="359CA50F">
            <w:pPr>
              <w:pStyle w:val="27"/>
              <w:keepNext w:val="0"/>
              <w:keepLines w:val="0"/>
              <w:pageBreakBefore w:val="0"/>
              <w:widowControl w:val="0"/>
              <w:numPr>
                <w:ilvl w:val="1"/>
                <w:numId w:val="0"/>
              </w:numPr>
              <w:kinsoku w:val="0"/>
              <w:wordWrap/>
              <w:overflowPunct/>
              <w:topLinePunct w:val="0"/>
              <w:autoSpaceDE w:val="0"/>
              <w:autoSpaceDN w:val="0"/>
              <w:bidi w:val="0"/>
              <w:adjustRightInd/>
              <w:snapToGrid/>
              <w:spacing w:line="360" w:lineRule="auto"/>
              <w:ind w:firstLine="482" w:firstLineChars="200"/>
              <w:textAlignment w:val="baseline"/>
              <w:rPr>
                <w:rFonts w:ascii="Times New Roman" w:hAnsi="Times New Roman"/>
                <w:b/>
              </w:rPr>
            </w:pPr>
            <w:r>
              <w:rPr>
                <w:rFonts w:ascii="Times New Roman" w:hAnsi="Times New Roman"/>
                <w:b/>
              </w:rPr>
              <w:t>3、废水接管可行性分析</w:t>
            </w:r>
          </w:p>
          <w:p w14:paraId="5574F070">
            <w:pPr>
              <w:pStyle w:val="27"/>
              <w:keepNext w:val="0"/>
              <w:keepLines w:val="0"/>
              <w:pageBreakBefore w:val="0"/>
              <w:widowControl w:val="0"/>
              <w:numPr>
                <w:ilvl w:val="1"/>
                <w:numId w:val="0"/>
              </w:numPr>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bCs/>
              </w:rPr>
            </w:pPr>
            <w:r>
              <w:rPr>
                <w:rFonts w:ascii="Times New Roman" w:hAnsi="Times New Roman"/>
                <w:bCs/>
              </w:rPr>
              <w:t>（1）污水处理厂收水范围可行性：濉溪第二污水处理厂位于濉溪经济开发区南端，南临巴河，北、西临开发区道路，东临濉临沟。项目设计处理总规模达10万m³/d，其中，现有6万m³/d 污水处理设施进行提标改造(外排),扩建4万m³/d 污水处理工程中，包括1.5万m³/d 化工废水预处理工程(不外排)。项目入河排污口设置在濉临沟与新沱河交汇处以南(南岸岱桥南涵下游约110米处)，地理坐标:东经116°42'41.29″、北纬33°50'29.07″。入河排污口为改建，排放特征为工业及其他各类园区污水处理厂排污口，排放方式为连续排放，入河方式为明渠，尾水排放路线为</w:t>
            </w:r>
            <w:r>
              <w:rPr>
                <w:rFonts w:hint="eastAsia" w:ascii="Times New Roman" w:hAnsi="Times New Roman"/>
                <w:bCs/>
              </w:rPr>
              <w:t>：</w:t>
            </w:r>
            <w:r>
              <w:rPr>
                <w:rFonts w:ascii="Times New Roman" w:hAnsi="Times New Roman"/>
                <w:bCs/>
              </w:rPr>
              <w:t>入河排污口-濉临沟-戚家沟-杨柳大沟-萧濉新河。本项目位于</w:t>
            </w:r>
            <w:r>
              <w:rPr>
                <w:rFonts w:hint="eastAsia" w:ascii="Times New Roman" w:hAnsi="Times New Roman"/>
                <w:bCs/>
                <w:lang w:val="en-US" w:eastAsia="zh-CN"/>
              </w:rPr>
              <w:t>安徽</w:t>
            </w:r>
            <w:r>
              <w:rPr>
                <w:rFonts w:ascii="Times New Roman" w:hAnsi="Times New Roman"/>
                <w:bCs/>
              </w:rPr>
              <w:t>濉溪经济开</w:t>
            </w:r>
            <w:r>
              <w:rPr>
                <w:rFonts w:hint="eastAsia" w:ascii="Times New Roman" w:hAnsi="Times New Roman"/>
                <w:bCs/>
              </w:rPr>
              <w:t>发</w:t>
            </w:r>
            <w:r>
              <w:rPr>
                <w:rFonts w:ascii="Times New Roman" w:hAnsi="Times New Roman"/>
                <w:bCs/>
              </w:rPr>
              <w:t>区内，本项目所依托厂区现有“化粪池”污水排口已接入园区污水管网，本项目在服务范围内。</w:t>
            </w:r>
          </w:p>
          <w:p w14:paraId="0238D72D">
            <w:pPr>
              <w:pStyle w:val="27"/>
              <w:pageBreakBefore w:val="0"/>
              <w:numPr>
                <w:ilvl w:val="1"/>
                <w:numId w:val="0"/>
              </w:numPr>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bCs/>
              </w:rPr>
            </w:pPr>
            <w:r>
              <w:rPr>
                <w:rFonts w:ascii="Times New Roman" w:hAnsi="Times New Roman"/>
                <w:bCs/>
              </w:rPr>
              <w:t>（2）污水处理厂接管能力可行性</w:t>
            </w:r>
          </w:p>
          <w:p w14:paraId="59A38EB2">
            <w:pPr>
              <w:pStyle w:val="46"/>
              <w:pageBreakBefore w:val="0"/>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sz w:val="24"/>
                <w:szCs w:val="20"/>
                <w:lang w:eastAsia="zh-CN"/>
              </w:rPr>
            </w:pPr>
            <w:r>
              <w:rPr>
                <w:rFonts w:ascii="Times New Roman" w:hAnsi="Times New Roman" w:eastAsia="宋体" w:cs="Times New Roman"/>
                <w:sz w:val="24"/>
                <w:szCs w:val="20"/>
                <w:lang w:eastAsia="zh-CN"/>
              </w:rPr>
              <w:t>濉溪县第二污水处理厂项目设计日处理城市污水6万吨，分两期实施，其中一期工程于2011年10月份投入运营，日处理污水2万吨，采用“水解酸化+改良氧化沟+微絮凝过滤”工艺，处理后达到《城镇污水处理厂污染物排放标准》(GB18918-2002)一级A排放标准:二期工程设计日处理城市污水4万吨，采用“水解酸化+C-A20+微絮凝过滤”工艺，处理后执行一级 A 排放标准，项目</w:t>
            </w:r>
            <w:r>
              <w:rPr>
                <w:rFonts w:hint="eastAsia" w:ascii="Times New Roman" w:hAnsi="Times New Roman" w:eastAsia="宋体" w:cs="Times New Roman"/>
                <w:sz w:val="24"/>
                <w:szCs w:val="20"/>
                <w:lang w:val="en-US" w:eastAsia="zh-CN"/>
              </w:rPr>
              <w:t>已</w:t>
            </w:r>
            <w:r>
              <w:rPr>
                <w:rFonts w:ascii="Times New Roman" w:hAnsi="Times New Roman" w:eastAsia="宋体" w:cs="Times New Roman"/>
                <w:sz w:val="24"/>
                <w:szCs w:val="20"/>
                <w:lang w:eastAsia="zh-CN"/>
              </w:rPr>
              <w:t>于2014年5月投入运行。</w:t>
            </w:r>
          </w:p>
          <w:p w14:paraId="72A62917">
            <w:pPr>
              <w:pStyle w:val="46"/>
              <w:pageBreakBefore w:val="0"/>
              <w:kinsoku w:val="0"/>
              <w:wordWrap/>
              <w:overflowPunct/>
              <w:topLinePunct w:val="0"/>
              <w:autoSpaceDE w:val="0"/>
              <w:autoSpaceDN w:val="0"/>
              <w:bidi w:val="0"/>
              <w:adjustRightInd/>
              <w:snapToGrid/>
              <w:spacing w:line="360" w:lineRule="auto"/>
              <w:ind w:firstLine="480" w:firstLineChars="200"/>
              <w:jc w:val="both"/>
              <w:textAlignment w:val="baseline"/>
              <w:rPr>
                <w:rFonts w:ascii="Times New Roman" w:hAnsi="Times New Roman" w:eastAsia="宋体" w:cs="Times New Roman"/>
                <w:sz w:val="24"/>
                <w:szCs w:val="20"/>
                <w:lang w:eastAsia="zh-CN"/>
              </w:rPr>
            </w:pPr>
            <w:r>
              <w:rPr>
                <w:rFonts w:ascii="Times New Roman" w:hAnsi="Times New Roman" w:eastAsia="宋体" w:cs="Times New Roman"/>
                <w:sz w:val="24"/>
                <w:szCs w:val="20"/>
                <w:lang w:eastAsia="zh-CN"/>
              </w:rPr>
              <w:t>本项目生活污水排放量为 0.288t/d，仅占濉溪第二污水处理厂处理规模的 0.0007%，不会对污水处理厂的正常运行造成冲击。</w:t>
            </w:r>
          </w:p>
          <w:p w14:paraId="6B8353CF">
            <w:pPr>
              <w:pStyle w:val="27"/>
              <w:keepNext/>
              <w:keepLines/>
              <w:pageBreakBefore w:val="0"/>
              <w:numPr>
                <w:ilvl w:val="1"/>
                <w:numId w:val="0"/>
              </w:numPr>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bCs/>
              </w:rPr>
            </w:pPr>
            <w:r>
              <w:rPr>
                <w:rFonts w:ascii="Times New Roman" w:hAnsi="Times New Roman"/>
                <w:bCs/>
              </w:rPr>
              <w:t>(3)污水处理厂接管标准可行性</w:t>
            </w:r>
          </w:p>
          <w:p w14:paraId="2833212A">
            <w:pPr>
              <w:pStyle w:val="27"/>
              <w:keepNext/>
              <w:keepLines/>
              <w:pageBreakBefore w:val="0"/>
              <w:numPr>
                <w:ilvl w:val="1"/>
                <w:numId w:val="0"/>
              </w:numPr>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bCs/>
              </w:rPr>
            </w:pPr>
            <w:r>
              <w:rPr>
                <w:rFonts w:ascii="Times New Roman" w:hAnsi="Times New Roman"/>
                <w:bCs/>
              </w:rPr>
              <w:t>本项目生活污水主要污染物为 COD、BOD5、SS、氨氮，经化粪池预处理后水质满足濉溪县第二污水处理厂接管标准要求。</w:t>
            </w:r>
          </w:p>
          <w:p w14:paraId="4C8C1090">
            <w:pPr>
              <w:pStyle w:val="27"/>
              <w:keepNext/>
              <w:keepLines/>
              <w:pageBreakBefore w:val="0"/>
              <w:numPr>
                <w:ilvl w:val="1"/>
                <w:numId w:val="0"/>
              </w:numPr>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rPr>
            </w:pPr>
            <w:r>
              <w:rPr>
                <w:rFonts w:ascii="Times New Roman" w:hAnsi="Times New Roman"/>
                <w:bCs/>
              </w:rPr>
              <w:t>综上所述，本项目生活污水排放量较小，且经化粪池预处理后可满足濉溪县第二污水处理厂接管标准。因此，本项目生活污水依托濉溪县第二污水处理厂处理可行。</w:t>
            </w:r>
          </w:p>
          <w:p w14:paraId="34644904">
            <w:pPr>
              <w:pStyle w:val="55"/>
              <w:keepNext w:val="0"/>
              <w:keepLines w:val="0"/>
              <w:pageBreakBefore w:val="0"/>
              <w:widowControl/>
              <w:kinsoku w:val="0"/>
              <w:wordWrap/>
              <w:overflowPunct/>
              <w:topLinePunct w:val="0"/>
              <w:autoSpaceDE w:val="0"/>
              <w:autoSpaceDN w:val="0"/>
              <w:bidi w:val="0"/>
              <w:adjustRightInd/>
              <w:snapToGrid/>
              <w:spacing w:before="0" w:line="360" w:lineRule="auto"/>
              <w:ind w:firstLine="0"/>
              <w:textAlignment w:val="baseline"/>
              <w:rPr>
                <w:rFonts w:ascii="Times New Roman" w:hAnsi="Times New Roman" w:cs="Times New Roman"/>
                <w:b/>
                <w:bCs/>
                <w:kern w:val="2"/>
                <w:sz w:val="24"/>
              </w:rPr>
            </w:pPr>
            <w:r>
              <w:rPr>
                <w:rFonts w:ascii="Times New Roman" w:hAnsi="Times New Roman" w:cs="Times New Roman"/>
                <w:b/>
                <w:bCs/>
                <w:kern w:val="2"/>
                <w:sz w:val="24"/>
              </w:rPr>
              <w:t>三、噪声污染</w:t>
            </w:r>
          </w:p>
          <w:p w14:paraId="0651FD17">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b/>
                <w:bCs/>
                <w:sz w:val="24"/>
              </w:rPr>
            </w:pPr>
            <w:r>
              <w:rPr>
                <w:rFonts w:ascii="Times New Roman" w:hAnsi="Times New Roman" w:cs="Times New Roman"/>
                <w:sz w:val="24"/>
              </w:rPr>
              <w:t>本次噪声评价范围以</w:t>
            </w:r>
            <w:r>
              <w:rPr>
                <w:rFonts w:ascii="Times New Roman" w:hAnsi="Times New Roman" w:eastAsia="宋体" w:cs="Times New Roman"/>
                <w:sz w:val="24"/>
                <w:lang w:eastAsia="zh-CN"/>
              </w:rPr>
              <w:t>车间中心</w:t>
            </w:r>
            <w:r>
              <w:rPr>
                <w:rFonts w:ascii="Times New Roman" w:hAnsi="Times New Roman" w:cs="Times New Roman"/>
                <w:sz w:val="24"/>
              </w:rPr>
              <w:t>为坐标原点（0，0，0），建立三维坐标系。</w:t>
            </w:r>
          </w:p>
          <w:p w14:paraId="12671EA5">
            <w:pPr>
              <w:pStyle w:val="55"/>
              <w:keepNext w:val="0"/>
              <w:keepLines w:val="0"/>
              <w:pageBreakBefore w:val="0"/>
              <w:widowControl/>
              <w:kinsoku w:val="0"/>
              <w:wordWrap/>
              <w:overflowPunct/>
              <w:topLinePunct w:val="0"/>
              <w:autoSpaceDE w:val="0"/>
              <w:autoSpaceDN w:val="0"/>
              <w:bidi w:val="0"/>
              <w:adjustRightInd/>
              <w:snapToGrid/>
              <w:spacing w:before="0" w:line="360" w:lineRule="auto"/>
              <w:ind w:firstLineChars="200"/>
              <w:textAlignment w:val="baseline"/>
              <w:rPr>
                <w:rFonts w:ascii="Times New Roman" w:hAnsi="Times New Roman" w:cs="Times New Roman"/>
                <w:b/>
                <w:bCs/>
                <w:kern w:val="2"/>
                <w:sz w:val="24"/>
              </w:rPr>
            </w:pPr>
            <w:r>
              <w:rPr>
                <w:rFonts w:ascii="Times New Roman" w:hAnsi="Times New Roman" w:cs="Times New Roman"/>
                <w:b/>
                <w:bCs/>
                <w:kern w:val="2"/>
                <w:sz w:val="24"/>
              </w:rPr>
              <w:t>1、噪声源强</w:t>
            </w:r>
          </w:p>
          <w:p w14:paraId="190F57C4">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拟建项目主要噪声源的源强分布情况见表4-</w:t>
            </w:r>
            <w:r>
              <w:rPr>
                <w:rFonts w:hint="eastAsia" w:ascii="Times New Roman" w:hAnsi="Times New Roman" w:eastAsia="宋体" w:cs="Times New Roman"/>
                <w:color w:val="000000" w:themeColor="text1"/>
                <w:sz w:val="24"/>
                <w:lang w:val="en-US" w:eastAsia="zh-CN"/>
                <w14:textFill>
                  <w14:solidFill>
                    <w14:schemeClr w14:val="tx1"/>
                  </w14:solidFill>
                </w14:textFill>
              </w:rPr>
              <w:t>9</w:t>
            </w:r>
            <w:r>
              <w:rPr>
                <w:rFonts w:ascii="Times New Roman" w:hAnsi="Times New Roman" w:cs="Times New Roman"/>
                <w:color w:val="000000" w:themeColor="text1"/>
                <w:sz w:val="24"/>
                <w14:textFill>
                  <w14:solidFill>
                    <w14:schemeClr w14:val="tx1"/>
                  </w14:solidFill>
                </w14:textFill>
              </w:rPr>
              <w:t>、表4-</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ascii="Times New Roman" w:hAnsi="Times New Roman" w:cs="Times New Roman"/>
                <w:color w:val="000000" w:themeColor="text1"/>
                <w:sz w:val="24"/>
                <w:lang w:eastAsia="zh-CN"/>
                <w14:textFill>
                  <w14:solidFill>
                    <w14:schemeClr w14:val="tx1"/>
                  </w14:solidFill>
                </w14:textFill>
              </w:rPr>
              <w:t>，本项目噪声边界见附图6</w:t>
            </w:r>
            <w:r>
              <w:rPr>
                <w:rFonts w:ascii="Times New Roman" w:hAnsi="Times New Roman" w:cs="Times New Roman"/>
                <w:color w:val="000000" w:themeColor="text1"/>
                <w:sz w:val="24"/>
                <w14:textFill>
                  <w14:solidFill>
                    <w14:schemeClr w14:val="tx1"/>
                  </w14:solidFill>
                </w14:textFill>
              </w:rPr>
              <w:t>。</w:t>
            </w:r>
          </w:p>
          <w:p w14:paraId="7CA6BA0A">
            <w:pPr>
              <w:pStyle w:val="7"/>
              <w:rPr>
                <w:rFonts w:ascii="Times New Roman" w:hAnsi="Times New Roman" w:cs="Times New Roman"/>
              </w:rPr>
            </w:pPr>
          </w:p>
          <w:p w14:paraId="233C088C">
            <w:pPr>
              <w:pStyle w:val="7"/>
              <w:rPr>
                <w:rFonts w:ascii="Times New Roman" w:hAnsi="Times New Roman" w:cs="Times New Roman"/>
              </w:rPr>
            </w:pPr>
          </w:p>
          <w:p w14:paraId="5120A086">
            <w:pPr>
              <w:pStyle w:val="7"/>
              <w:ind w:left="0" w:firstLine="0"/>
              <w:rPr>
                <w:rFonts w:ascii="Times New Roman" w:hAnsi="Times New Roman" w:cs="Times New Roman"/>
              </w:rPr>
            </w:pPr>
          </w:p>
          <w:p w14:paraId="6BBB2153">
            <w:pPr>
              <w:pStyle w:val="7"/>
              <w:ind w:left="0" w:firstLine="0"/>
              <w:rPr>
                <w:rFonts w:ascii="Times New Roman" w:hAnsi="Times New Roman" w:cs="Times New Roman"/>
              </w:rPr>
            </w:pPr>
          </w:p>
          <w:p w14:paraId="04FA5588">
            <w:pPr>
              <w:rPr>
                <w:rFonts w:ascii="Times New Roman" w:hAnsi="Times New Roman" w:cs="Times New Roman"/>
              </w:rPr>
            </w:pPr>
          </w:p>
          <w:p w14:paraId="12AFF6EF">
            <w:pPr>
              <w:rPr>
                <w:rFonts w:ascii="Times New Roman" w:hAnsi="Times New Roman" w:cs="Times New Roman"/>
              </w:rPr>
            </w:pPr>
          </w:p>
          <w:p w14:paraId="03A0EEF8">
            <w:pPr>
              <w:rPr>
                <w:rFonts w:ascii="Times New Roman" w:hAnsi="Times New Roman" w:cs="Times New Roman"/>
              </w:rPr>
            </w:pPr>
          </w:p>
          <w:p w14:paraId="4FFC3FCA">
            <w:pPr>
              <w:rPr>
                <w:rFonts w:ascii="Times New Roman" w:hAnsi="Times New Roman" w:cs="Times New Roman"/>
              </w:rPr>
            </w:pPr>
          </w:p>
          <w:p w14:paraId="1B27FBDB">
            <w:pPr>
              <w:rPr>
                <w:rFonts w:ascii="Times New Roman" w:hAnsi="Times New Roman" w:cs="Times New Roman"/>
              </w:rPr>
            </w:pPr>
          </w:p>
          <w:p w14:paraId="67F5C15F">
            <w:pPr>
              <w:rPr>
                <w:rFonts w:ascii="Times New Roman" w:hAnsi="Times New Roman" w:cs="Times New Roman"/>
              </w:rPr>
            </w:pPr>
          </w:p>
          <w:p w14:paraId="5A0837EC">
            <w:pPr>
              <w:rPr>
                <w:rFonts w:ascii="Times New Roman" w:hAnsi="Times New Roman" w:cs="Times New Roman"/>
              </w:rPr>
            </w:pPr>
          </w:p>
          <w:p w14:paraId="08562D7B">
            <w:pPr>
              <w:rPr>
                <w:rFonts w:ascii="Times New Roman" w:hAnsi="Times New Roman" w:cs="Times New Roman"/>
              </w:rPr>
            </w:pPr>
          </w:p>
          <w:p w14:paraId="6ECC96F3">
            <w:pPr>
              <w:pStyle w:val="2"/>
              <w:rPr>
                <w:rFonts w:ascii="Times New Roman" w:hAnsi="Times New Roman" w:cs="Times New Roman"/>
              </w:rPr>
            </w:pPr>
          </w:p>
          <w:p w14:paraId="39A007AE">
            <w:pPr>
              <w:pStyle w:val="4"/>
            </w:pPr>
          </w:p>
          <w:p w14:paraId="589C3840">
            <w:pPr>
              <w:pStyle w:val="4"/>
            </w:pPr>
          </w:p>
          <w:p w14:paraId="6AA149A7">
            <w:pPr>
              <w:pStyle w:val="4"/>
            </w:pPr>
          </w:p>
          <w:p w14:paraId="41171891">
            <w:pPr>
              <w:pStyle w:val="4"/>
            </w:pPr>
          </w:p>
          <w:p w14:paraId="69D6B274">
            <w:pPr>
              <w:pStyle w:val="4"/>
            </w:pPr>
          </w:p>
          <w:p w14:paraId="4C4DBF8D">
            <w:pPr>
              <w:pStyle w:val="4"/>
            </w:pPr>
          </w:p>
          <w:p w14:paraId="267AF6E2">
            <w:pPr>
              <w:pStyle w:val="4"/>
            </w:pPr>
          </w:p>
          <w:p w14:paraId="3A7AC6FD">
            <w:pPr>
              <w:pStyle w:val="4"/>
            </w:pPr>
          </w:p>
          <w:p w14:paraId="24AD53AF">
            <w:pPr>
              <w:pStyle w:val="4"/>
            </w:pPr>
          </w:p>
          <w:p w14:paraId="4448C396">
            <w:pPr>
              <w:pStyle w:val="4"/>
            </w:pPr>
          </w:p>
          <w:p w14:paraId="514D0EAB">
            <w:pPr>
              <w:pStyle w:val="4"/>
            </w:pPr>
          </w:p>
          <w:p w14:paraId="62932498">
            <w:pPr>
              <w:pStyle w:val="4"/>
            </w:pPr>
          </w:p>
          <w:p w14:paraId="556B916E">
            <w:pPr>
              <w:pStyle w:val="4"/>
            </w:pPr>
          </w:p>
          <w:p w14:paraId="4AE5A4EA">
            <w:pPr>
              <w:pStyle w:val="4"/>
            </w:pPr>
          </w:p>
          <w:p w14:paraId="2FEAFD4C">
            <w:pPr>
              <w:pStyle w:val="4"/>
            </w:pPr>
          </w:p>
        </w:tc>
      </w:tr>
    </w:tbl>
    <w:p w14:paraId="54D1A8BA">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tbl>
      <w:tblPr>
        <w:tblStyle w:val="23"/>
        <w:tblW w:w="14208"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3723"/>
      </w:tblGrid>
      <w:tr w14:paraId="3865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3" w:hRule="atLeast"/>
        </w:trPr>
        <w:tc>
          <w:tcPr>
            <w:tcW w:w="485" w:type="dxa"/>
          </w:tcPr>
          <w:p w14:paraId="0A42C2C3">
            <w:pPr>
              <w:widowControl w:val="0"/>
              <w:ind w:firstLine="600"/>
              <w:jc w:val="center"/>
              <w:rPr>
                <w:rFonts w:ascii="Times New Roman" w:hAnsi="Times New Roman" w:eastAsia="黑体" w:cs="Times New Roman"/>
                <w:color w:val="auto"/>
                <w:sz w:val="30"/>
                <w:szCs w:val="30"/>
              </w:rPr>
            </w:pPr>
          </w:p>
        </w:tc>
        <w:tc>
          <w:tcPr>
            <w:tcW w:w="13723" w:type="dxa"/>
          </w:tcPr>
          <w:p w14:paraId="3E36687D">
            <w:pPr>
              <w:pStyle w:val="21"/>
              <w:widowControl w:val="0"/>
              <w:spacing w:after="0" w:line="240" w:lineRule="auto"/>
              <w:ind w:firstLine="0" w:firstLineChars="0"/>
              <w:jc w:val="center"/>
              <w:rPr>
                <w:rFonts w:ascii="Times New Roman" w:hAnsi="Times New Roman" w:cs="Times New Roman"/>
                <w:color w:val="auto"/>
                <w:sz w:val="24"/>
                <w:szCs w:val="28"/>
              </w:rPr>
            </w:pPr>
            <w:r>
              <w:rPr>
                <w:rFonts w:ascii="Times New Roman" w:hAnsi="Times New Roman" w:cs="Times New Roman" w:eastAsiaTheme="minorEastAsia"/>
                <w:b/>
                <w:bCs/>
                <w:color w:val="auto"/>
                <w:sz w:val="24"/>
                <w:szCs w:val="28"/>
              </w:rPr>
              <w:t>表 4-</w:t>
            </w:r>
            <w:r>
              <w:rPr>
                <w:rFonts w:hint="eastAsia" w:ascii="Times New Roman" w:hAnsi="Times New Roman" w:cs="Times New Roman" w:eastAsiaTheme="minorEastAsia"/>
                <w:b/>
                <w:bCs/>
                <w:color w:val="auto"/>
                <w:sz w:val="24"/>
                <w:szCs w:val="28"/>
                <w:lang w:eastAsia="zh-CN"/>
              </w:rPr>
              <w:t>9</w:t>
            </w:r>
            <w:r>
              <w:rPr>
                <w:rFonts w:ascii="Times New Roman" w:hAnsi="Times New Roman" w:cs="Times New Roman" w:eastAsiaTheme="minorEastAsia"/>
                <w:b/>
                <w:bCs/>
                <w:color w:val="auto"/>
                <w:sz w:val="24"/>
                <w:szCs w:val="28"/>
              </w:rPr>
              <w:t xml:space="preserve">  工业企业噪声源强调查清单（室外声源）</w:t>
            </w:r>
            <w:bookmarkStart w:id="12" w:name="PT_5"/>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3"/>
              <w:gridCol w:w="667"/>
              <w:gridCol w:w="705"/>
              <w:gridCol w:w="705"/>
              <w:gridCol w:w="519"/>
              <w:gridCol w:w="3792"/>
              <w:gridCol w:w="1736"/>
              <w:gridCol w:w="2090"/>
              <w:gridCol w:w="1256"/>
            </w:tblGrid>
            <w:tr w14:paraId="1844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9" w:type="pct"/>
                  <w:vMerge w:val="restart"/>
                  <w:vAlign w:val="center"/>
                </w:tcPr>
                <w:p w14:paraId="48535F59">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序号</w:t>
                  </w:r>
                </w:p>
              </w:tc>
              <w:tc>
                <w:tcPr>
                  <w:tcW w:w="490" w:type="pct"/>
                  <w:vMerge w:val="restart"/>
                  <w:vAlign w:val="center"/>
                </w:tcPr>
                <w:p w14:paraId="417DAE4D">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声源名称</w:t>
                  </w:r>
                </w:p>
              </w:tc>
              <w:tc>
                <w:tcPr>
                  <w:tcW w:w="247" w:type="pct"/>
                  <w:vMerge w:val="restart"/>
                  <w:vAlign w:val="center"/>
                </w:tcPr>
                <w:p w14:paraId="0D949911">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型号</w:t>
                  </w:r>
                </w:p>
              </w:tc>
              <w:tc>
                <w:tcPr>
                  <w:tcW w:w="714" w:type="pct"/>
                  <w:gridSpan w:val="3"/>
                  <w:vAlign w:val="center"/>
                </w:tcPr>
                <w:p w14:paraId="18C0D388">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空间相对位置/m</w:t>
                  </w:r>
                </w:p>
              </w:tc>
              <w:tc>
                <w:tcPr>
                  <w:tcW w:w="2047" w:type="pct"/>
                  <w:gridSpan w:val="2"/>
                  <w:vAlign w:val="center"/>
                </w:tcPr>
                <w:p w14:paraId="387FBE48">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声源源强（任选一种）</w:t>
                  </w:r>
                </w:p>
              </w:tc>
              <w:tc>
                <w:tcPr>
                  <w:tcW w:w="774" w:type="pct"/>
                  <w:vMerge w:val="restart"/>
                  <w:vAlign w:val="center"/>
                </w:tcPr>
                <w:p w14:paraId="17B39AA3">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声源控制措施</w:t>
                  </w:r>
                </w:p>
              </w:tc>
              <w:tc>
                <w:tcPr>
                  <w:tcW w:w="465" w:type="pct"/>
                  <w:vMerge w:val="restart"/>
                  <w:vAlign w:val="center"/>
                </w:tcPr>
                <w:p w14:paraId="604027D2">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运行时段</w:t>
                  </w:r>
                </w:p>
              </w:tc>
            </w:tr>
            <w:tr w14:paraId="1525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 w:type="pct"/>
                  <w:vMerge w:val="continue"/>
                  <w:shd w:val="clear" w:color="auto" w:fill="FFFFFF"/>
                  <w:vAlign w:val="center"/>
                </w:tcPr>
                <w:p w14:paraId="168F8C04">
                  <w:pPr>
                    <w:jc w:val="center"/>
                    <w:rPr>
                      <w:rFonts w:ascii="Times New Roman" w:hAnsi="Times New Roman" w:cs="Times New Roman" w:eastAsiaTheme="minorEastAsia"/>
                      <w:bCs/>
                      <w:color w:val="auto"/>
                    </w:rPr>
                  </w:pPr>
                </w:p>
              </w:tc>
              <w:tc>
                <w:tcPr>
                  <w:tcW w:w="490" w:type="pct"/>
                  <w:vMerge w:val="continue"/>
                  <w:shd w:val="clear" w:color="auto" w:fill="FFFFFF"/>
                  <w:vAlign w:val="center"/>
                </w:tcPr>
                <w:p w14:paraId="1BFB3A3D">
                  <w:pPr>
                    <w:jc w:val="center"/>
                    <w:rPr>
                      <w:rFonts w:ascii="Times New Roman" w:hAnsi="Times New Roman" w:cs="Times New Roman" w:eastAsiaTheme="minorEastAsia"/>
                      <w:bCs/>
                      <w:color w:val="auto"/>
                    </w:rPr>
                  </w:pPr>
                </w:p>
              </w:tc>
              <w:tc>
                <w:tcPr>
                  <w:tcW w:w="247" w:type="pct"/>
                  <w:vMerge w:val="continue"/>
                  <w:shd w:val="clear" w:color="auto" w:fill="FFFFFF"/>
                  <w:vAlign w:val="center"/>
                </w:tcPr>
                <w:p w14:paraId="0FF60643">
                  <w:pPr>
                    <w:rPr>
                      <w:rFonts w:ascii="Times New Roman" w:hAnsi="Times New Roman" w:cs="Times New Roman" w:eastAsiaTheme="minorEastAsia"/>
                      <w:bCs/>
                      <w:color w:val="auto"/>
                    </w:rPr>
                  </w:pPr>
                </w:p>
              </w:tc>
              <w:tc>
                <w:tcPr>
                  <w:tcW w:w="261" w:type="pct"/>
                  <w:shd w:val="clear" w:color="auto" w:fill="FFFFFF"/>
                  <w:vAlign w:val="center"/>
                </w:tcPr>
                <w:p w14:paraId="6C5AF27B">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X</w:t>
                  </w:r>
                </w:p>
              </w:tc>
              <w:tc>
                <w:tcPr>
                  <w:tcW w:w="261" w:type="pct"/>
                  <w:shd w:val="clear" w:color="auto" w:fill="FFFFFF"/>
                  <w:vAlign w:val="center"/>
                </w:tcPr>
                <w:p w14:paraId="78155716">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Y</w:t>
                  </w:r>
                </w:p>
              </w:tc>
              <w:tc>
                <w:tcPr>
                  <w:tcW w:w="192" w:type="pct"/>
                  <w:shd w:val="clear" w:color="auto" w:fill="FFFFFF"/>
                  <w:vAlign w:val="center"/>
                </w:tcPr>
                <w:p w14:paraId="65BAD150">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Z</w:t>
                  </w:r>
                </w:p>
              </w:tc>
              <w:tc>
                <w:tcPr>
                  <w:tcW w:w="1404" w:type="pct"/>
                  <w:shd w:val="clear" w:color="auto" w:fill="FFFFFF"/>
                  <w:vAlign w:val="center"/>
                </w:tcPr>
                <w:p w14:paraId="4AFCE0AC">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（声压级/距声源距离）/（dB(A)/m）</w:t>
                  </w:r>
                </w:p>
              </w:tc>
              <w:tc>
                <w:tcPr>
                  <w:tcW w:w="642" w:type="pct"/>
                  <w:shd w:val="clear" w:color="auto" w:fill="FFFFFF"/>
                  <w:vAlign w:val="center"/>
                </w:tcPr>
                <w:p w14:paraId="624414ED">
                  <w:pPr>
                    <w:jc w:val="center"/>
                    <w:rPr>
                      <w:rFonts w:ascii="Times New Roman" w:hAnsi="Times New Roman" w:cs="Times New Roman" w:eastAsiaTheme="minorEastAsia"/>
                      <w:bCs/>
                      <w:color w:val="auto"/>
                    </w:rPr>
                  </w:pPr>
                  <w:r>
                    <w:rPr>
                      <w:rFonts w:ascii="Times New Roman" w:hAnsi="Times New Roman" w:cs="Times New Roman" w:eastAsiaTheme="minorEastAsia"/>
                      <w:bCs/>
                      <w:color w:val="auto"/>
                    </w:rPr>
                    <w:t>声功率级/dB(A)</w:t>
                  </w:r>
                </w:p>
              </w:tc>
              <w:tc>
                <w:tcPr>
                  <w:tcW w:w="774" w:type="pct"/>
                  <w:vMerge w:val="continue"/>
                  <w:shd w:val="clear" w:color="auto" w:fill="FFFFFF"/>
                  <w:vAlign w:val="center"/>
                </w:tcPr>
                <w:p w14:paraId="68E3BE42">
                  <w:pPr>
                    <w:jc w:val="center"/>
                    <w:rPr>
                      <w:rFonts w:ascii="Times New Roman" w:hAnsi="Times New Roman" w:cs="Times New Roman" w:eastAsiaTheme="minorEastAsia"/>
                      <w:bCs/>
                      <w:color w:val="auto"/>
                    </w:rPr>
                  </w:pPr>
                </w:p>
                <w:bookmarkEnd w:id="12"/>
              </w:tc>
              <w:tc>
                <w:tcPr>
                  <w:tcW w:w="465" w:type="pct"/>
                  <w:vMerge w:val="continue"/>
                  <w:shd w:val="clear" w:color="auto" w:fill="FFFFFF"/>
                  <w:vAlign w:val="center"/>
                </w:tcPr>
                <w:p w14:paraId="0406D4FA">
                  <w:pPr>
                    <w:jc w:val="center"/>
                    <w:rPr>
                      <w:rFonts w:ascii="Times New Roman" w:hAnsi="Times New Roman" w:cs="Times New Roman" w:eastAsiaTheme="minorEastAsia"/>
                      <w:bCs/>
                      <w:color w:val="auto"/>
                    </w:rPr>
                  </w:pPr>
                </w:p>
              </w:tc>
            </w:tr>
            <w:tr w14:paraId="274E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259" w:type="pct"/>
                  <w:shd w:val="clear" w:color="auto" w:fill="FFFFFF"/>
                  <w:vAlign w:val="center"/>
                </w:tcPr>
                <w:p w14:paraId="50A151EF">
                  <w:pPr>
                    <w:jc w:val="center"/>
                    <w:rPr>
                      <w:rFonts w:ascii="Times New Roman" w:hAnsi="Times New Roman" w:cs="Times New Roman"/>
                      <w:bCs/>
                      <w:color w:val="auto"/>
                    </w:rPr>
                  </w:pPr>
                  <w:r>
                    <w:rPr>
                      <w:rFonts w:ascii="Times New Roman" w:hAnsi="Times New Roman" w:cs="Times New Roman"/>
                      <w:bCs/>
                      <w:color w:val="auto"/>
                    </w:rPr>
                    <w:t>1</w:t>
                  </w:r>
                </w:p>
              </w:tc>
              <w:tc>
                <w:tcPr>
                  <w:tcW w:w="490" w:type="pct"/>
                  <w:shd w:val="clear" w:color="auto" w:fill="FFFFFF"/>
                  <w:vAlign w:val="center"/>
                </w:tcPr>
                <w:p w14:paraId="57D1151D">
                  <w:pPr>
                    <w:jc w:val="center"/>
                    <w:rPr>
                      <w:rFonts w:ascii="Times New Roman" w:hAnsi="Times New Roman" w:cs="Times New Roman"/>
                      <w:bCs/>
                      <w:color w:val="auto"/>
                    </w:rPr>
                  </w:pPr>
                  <w:r>
                    <w:rPr>
                      <w:rFonts w:ascii="Times New Roman" w:hAnsi="Times New Roman" w:eastAsia="宋体" w:cs="Times New Roman"/>
                      <w:bCs/>
                      <w:color w:val="auto"/>
                      <w:lang w:eastAsia="zh-CN"/>
                    </w:rPr>
                    <w:t>DA001</w:t>
                  </w:r>
                  <w:r>
                    <w:rPr>
                      <w:rFonts w:ascii="Times New Roman" w:hAnsi="Times New Roman" w:cs="Times New Roman"/>
                      <w:bCs/>
                      <w:color w:val="auto"/>
                    </w:rPr>
                    <w:t>风机</w:t>
                  </w:r>
                </w:p>
              </w:tc>
              <w:tc>
                <w:tcPr>
                  <w:tcW w:w="247" w:type="pct"/>
                  <w:shd w:val="clear" w:color="auto" w:fill="FFFFFF"/>
                  <w:vAlign w:val="center"/>
                </w:tcPr>
                <w:p w14:paraId="0B23EAD5">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w:t>
                  </w:r>
                </w:p>
              </w:tc>
              <w:tc>
                <w:tcPr>
                  <w:tcW w:w="261" w:type="pct"/>
                  <w:shd w:val="clear" w:color="auto" w:fill="FFFFFF"/>
                  <w:vAlign w:val="center"/>
                </w:tcPr>
                <w:p w14:paraId="7BF49311">
                  <w:pPr>
                    <w:jc w:val="center"/>
                    <w:rPr>
                      <w:rFonts w:ascii="Times New Roman" w:hAnsi="Times New Roman" w:eastAsia="宋体" w:cs="Times New Roman"/>
                      <w:bCs/>
                      <w:color w:val="auto"/>
                      <w:lang w:eastAsia="zh-CN"/>
                    </w:rPr>
                  </w:pPr>
                  <w:r>
                    <w:rPr>
                      <w:rFonts w:ascii="Times New Roman" w:hAnsi="Times New Roman" w:cs="Times New Roman"/>
                    </w:rPr>
                    <w:t>42.7</w:t>
                  </w:r>
                </w:p>
              </w:tc>
              <w:tc>
                <w:tcPr>
                  <w:tcW w:w="261" w:type="pct"/>
                  <w:shd w:val="clear" w:color="auto" w:fill="FFFFFF"/>
                  <w:vAlign w:val="center"/>
                </w:tcPr>
                <w:p w14:paraId="70BADB06">
                  <w:pPr>
                    <w:jc w:val="center"/>
                    <w:rPr>
                      <w:rFonts w:ascii="Times New Roman" w:hAnsi="Times New Roman" w:eastAsia="宋体" w:cs="Times New Roman"/>
                      <w:bCs/>
                      <w:color w:val="auto"/>
                      <w:lang w:eastAsia="zh-CN"/>
                    </w:rPr>
                  </w:pPr>
                  <w:r>
                    <w:rPr>
                      <w:rFonts w:ascii="Times New Roman" w:hAnsi="Times New Roman" w:cs="Times New Roman"/>
                    </w:rPr>
                    <w:t>-6.4</w:t>
                  </w:r>
                </w:p>
              </w:tc>
              <w:tc>
                <w:tcPr>
                  <w:tcW w:w="192" w:type="pct"/>
                  <w:shd w:val="clear" w:color="auto" w:fill="FFFFFF"/>
                  <w:vAlign w:val="center"/>
                </w:tcPr>
                <w:p w14:paraId="4B716C17">
                  <w:pPr>
                    <w:jc w:val="center"/>
                    <w:rPr>
                      <w:rFonts w:ascii="Times New Roman" w:hAnsi="Times New Roman" w:cs="Times New Roman"/>
                      <w:bCs/>
                      <w:color w:val="auto"/>
                    </w:rPr>
                  </w:pPr>
                  <w:r>
                    <w:rPr>
                      <w:rFonts w:ascii="Times New Roman" w:hAnsi="Times New Roman" w:cs="Times New Roman"/>
                    </w:rPr>
                    <w:t>1.2</w:t>
                  </w:r>
                </w:p>
              </w:tc>
              <w:tc>
                <w:tcPr>
                  <w:tcW w:w="1404" w:type="pct"/>
                  <w:shd w:val="clear" w:color="auto" w:fill="FFFFFF"/>
                  <w:vAlign w:val="center"/>
                </w:tcPr>
                <w:p w14:paraId="594C9262">
                  <w:pPr>
                    <w:jc w:val="center"/>
                    <w:rPr>
                      <w:rFonts w:ascii="Times New Roman" w:hAnsi="Times New Roman" w:cs="Times New Roman"/>
                      <w:bCs/>
                      <w:color w:val="auto"/>
                    </w:rPr>
                  </w:pPr>
                  <w:r>
                    <w:rPr>
                      <w:rFonts w:ascii="Times New Roman" w:hAnsi="Times New Roman" w:cs="Times New Roman"/>
                      <w:bCs/>
                      <w:color w:val="auto"/>
                    </w:rPr>
                    <w:t>/</w:t>
                  </w:r>
                </w:p>
              </w:tc>
              <w:tc>
                <w:tcPr>
                  <w:tcW w:w="642" w:type="pct"/>
                  <w:shd w:val="clear" w:color="auto" w:fill="FFFFFF"/>
                  <w:vAlign w:val="center"/>
                </w:tcPr>
                <w:p w14:paraId="6998A63F">
                  <w:pPr>
                    <w:jc w:val="center"/>
                    <w:rPr>
                      <w:rFonts w:ascii="Times New Roman" w:hAnsi="Times New Roman" w:eastAsia="宋体" w:cs="Times New Roman"/>
                      <w:bCs/>
                      <w:color w:val="auto"/>
                      <w:lang w:eastAsia="zh-CN"/>
                    </w:rPr>
                  </w:pPr>
                  <w:r>
                    <w:rPr>
                      <w:rFonts w:ascii="Times New Roman" w:hAnsi="Times New Roman" w:cs="Times New Roman"/>
                      <w:bCs/>
                      <w:color w:val="auto"/>
                      <w:lang w:eastAsia="zh-CN"/>
                    </w:rPr>
                    <w:t>85</w:t>
                  </w:r>
                </w:p>
              </w:tc>
              <w:tc>
                <w:tcPr>
                  <w:tcW w:w="774" w:type="pct"/>
                  <w:shd w:val="clear" w:color="auto" w:fill="FFFFFF"/>
                  <w:vAlign w:val="center"/>
                </w:tcPr>
                <w:p w14:paraId="202EA744">
                  <w:pPr>
                    <w:jc w:val="center"/>
                    <w:rPr>
                      <w:rFonts w:ascii="Times New Roman" w:hAnsi="Times New Roman" w:cs="Times New Roman"/>
                      <w:bCs/>
                      <w:color w:val="auto"/>
                    </w:rPr>
                  </w:pPr>
                  <w:r>
                    <w:rPr>
                      <w:rFonts w:ascii="Times New Roman" w:hAnsi="Times New Roman" w:cs="Times New Roman"/>
                      <w:bCs/>
                      <w:color w:val="auto"/>
                    </w:rPr>
                    <w:t>隔声罩，出口消声</w:t>
                  </w:r>
                </w:p>
              </w:tc>
              <w:tc>
                <w:tcPr>
                  <w:tcW w:w="465" w:type="pct"/>
                  <w:shd w:val="clear" w:color="auto" w:fill="FFFFFF"/>
                  <w:vAlign w:val="center"/>
                </w:tcPr>
                <w:p w14:paraId="38D39027">
                  <w:pPr>
                    <w:jc w:val="center"/>
                    <w:rPr>
                      <w:rFonts w:ascii="Times New Roman" w:hAnsi="Times New Roman" w:eastAsia="宋体" w:cs="Times New Roman"/>
                      <w:bCs/>
                      <w:color w:val="auto"/>
                      <w:lang w:eastAsia="zh-CN"/>
                    </w:rPr>
                  </w:pPr>
                  <w:r>
                    <w:rPr>
                      <w:rFonts w:ascii="Times New Roman" w:hAnsi="Times New Roman" w:cs="Times New Roman"/>
                      <w:bCs/>
                      <w:color w:val="auto"/>
                      <w:lang w:eastAsia="zh-CN"/>
                    </w:rPr>
                    <w:t>昼间</w:t>
                  </w:r>
                </w:p>
              </w:tc>
            </w:tr>
            <w:tr w14:paraId="6637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259" w:type="pct"/>
                  <w:shd w:val="clear" w:color="auto" w:fill="FFFFFF"/>
                  <w:vAlign w:val="center"/>
                </w:tcPr>
                <w:p w14:paraId="778A4E91">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w:t>
                  </w:r>
                </w:p>
              </w:tc>
              <w:tc>
                <w:tcPr>
                  <w:tcW w:w="490" w:type="pct"/>
                  <w:shd w:val="clear" w:color="auto" w:fill="FFFFFF"/>
                  <w:vAlign w:val="center"/>
                </w:tcPr>
                <w:p w14:paraId="0FF50A23">
                  <w:pPr>
                    <w:jc w:val="center"/>
                    <w:rPr>
                      <w:rFonts w:ascii="Times New Roman" w:hAnsi="Times New Roman" w:cs="Times New Roman"/>
                      <w:bCs/>
                      <w:color w:val="auto"/>
                    </w:rPr>
                  </w:pPr>
                  <w:r>
                    <w:rPr>
                      <w:rFonts w:ascii="Times New Roman" w:hAnsi="Times New Roman" w:eastAsia="宋体" w:cs="Times New Roman"/>
                      <w:bCs/>
                      <w:color w:val="auto"/>
                      <w:lang w:eastAsia="zh-CN"/>
                    </w:rPr>
                    <w:t>DA002</w:t>
                  </w:r>
                  <w:r>
                    <w:rPr>
                      <w:rFonts w:ascii="Times New Roman" w:hAnsi="Times New Roman" w:cs="Times New Roman"/>
                      <w:bCs/>
                      <w:color w:val="auto"/>
                    </w:rPr>
                    <w:t>风机</w:t>
                  </w:r>
                </w:p>
              </w:tc>
              <w:tc>
                <w:tcPr>
                  <w:tcW w:w="247" w:type="pct"/>
                  <w:shd w:val="clear" w:color="auto" w:fill="FFFFFF"/>
                  <w:vAlign w:val="center"/>
                </w:tcPr>
                <w:p w14:paraId="4692A520">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w:t>
                  </w:r>
                </w:p>
              </w:tc>
              <w:tc>
                <w:tcPr>
                  <w:tcW w:w="261" w:type="pct"/>
                  <w:shd w:val="clear" w:color="auto" w:fill="FFFFFF"/>
                  <w:vAlign w:val="center"/>
                </w:tcPr>
                <w:p w14:paraId="02D59040">
                  <w:pPr>
                    <w:jc w:val="center"/>
                    <w:rPr>
                      <w:rFonts w:ascii="Times New Roman" w:hAnsi="Times New Roman" w:eastAsia="宋体" w:cs="Times New Roman"/>
                      <w:bCs/>
                      <w:color w:val="auto"/>
                      <w:lang w:eastAsia="zh-CN"/>
                    </w:rPr>
                  </w:pPr>
                  <w:r>
                    <w:rPr>
                      <w:rFonts w:ascii="Times New Roman" w:hAnsi="Times New Roman" w:cs="Times New Roman"/>
                    </w:rPr>
                    <w:t>-18.8</w:t>
                  </w:r>
                </w:p>
              </w:tc>
              <w:tc>
                <w:tcPr>
                  <w:tcW w:w="261" w:type="pct"/>
                  <w:shd w:val="clear" w:color="auto" w:fill="FFFFFF"/>
                  <w:vAlign w:val="center"/>
                </w:tcPr>
                <w:p w14:paraId="560B8FA3">
                  <w:pPr>
                    <w:jc w:val="center"/>
                    <w:rPr>
                      <w:rFonts w:ascii="Times New Roman" w:hAnsi="Times New Roman" w:cs="Times New Roman"/>
                      <w:bCs/>
                      <w:color w:val="auto"/>
                      <w:lang w:eastAsia="zh-CN"/>
                    </w:rPr>
                  </w:pPr>
                  <w:r>
                    <w:rPr>
                      <w:rFonts w:ascii="Times New Roman" w:hAnsi="Times New Roman" w:cs="Times New Roman"/>
                    </w:rPr>
                    <w:t>36.4</w:t>
                  </w:r>
                </w:p>
              </w:tc>
              <w:tc>
                <w:tcPr>
                  <w:tcW w:w="192" w:type="pct"/>
                  <w:shd w:val="clear" w:color="auto" w:fill="FFFFFF"/>
                  <w:vAlign w:val="center"/>
                </w:tcPr>
                <w:p w14:paraId="14923663">
                  <w:pPr>
                    <w:jc w:val="center"/>
                    <w:rPr>
                      <w:rFonts w:ascii="Times New Roman" w:hAnsi="Times New Roman" w:cs="Times New Roman"/>
                      <w:bCs/>
                      <w:color w:val="auto"/>
                    </w:rPr>
                  </w:pPr>
                  <w:r>
                    <w:rPr>
                      <w:rFonts w:ascii="Times New Roman" w:hAnsi="Times New Roman" w:cs="Times New Roman"/>
                    </w:rPr>
                    <w:t>1.2</w:t>
                  </w:r>
                </w:p>
              </w:tc>
              <w:tc>
                <w:tcPr>
                  <w:tcW w:w="1404" w:type="pct"/>
                  <w:shd w:val="clear" w:color="auto" w:fill="FFFFFF"/>
                  <w:vAlign w:val="center"/>
                </w:tcPr>
                <w:p w14:paraId="483D3A19">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w:t>
                  </w:r>
                </w:p>
              </w:tc>
              <w:tc>
                <w:tcPr>
                  <w:tcW w:w="642" w:type="pct"/>
                  <w:shd w:val="clear" w:color="auto" w:fill="FFFFFF"/>
                  <w:vAlign w:val="center"/>
                </w:tcPr>
                <w:p w14:paraId="6FEAAB85">
                  <w:pPr>
                    <w:jc w:val="center"/>
                    <w:rPr>
                      <w:rFonts w:ascii="Times New Roman" w:hAnsi="Times New Roman" w:cs="Times New Roman"/>
                      <w:bCs/>
                      <w:color w:val="auto"/>
                      <w:lang w:eastAsia="zh-CN"/>
                    </w:rPr>
                  </w:pPr>
                  <w:r>
                    <w:rPr>
                      <w:rFonts w:ascii="Times New Roman" w:hAnsi="Times New Roman" w:cs="Times New Roman"/>
                      <w:bCs/>
                      <w:color w:val="auto"/>
                      <w:lang w:eastAsia="zh-CN"/>
                    </w:rPr>
                    <w:t>85</w:t>
                  </w:r>
                </w:p>
              </w:tc>
              <w:tc>
                <w:tcPr>
                  <w:tcW w:w="774" w:type="pct"/>
                  <w:shd w:val="clear" w:color="auto" w:fill="FFFFFF"/>
                  <w:vAlign w:val="center"/>
                </w:tcPr>
                <w:p w14:paraId="18C2F060">
                  <w:pPr>
                    <w:jc w:val="center"/>
                    <w:rPr>
                      <w:rFonts w:ascii="Times New Roman" w:hAnsi="Times New Roman" w:cs="Times New Roman"/>
                      <w:bCs/>
                      <w:color w:val="auto"/>
                    </w:rPr>
                  </w:pPr>
                  <w:r>
                    <w:rPr>
                      <w:rFonts w:ascii="Times New Roman" w:hAnsi="Times New Roman" w:cs="Times New Roman"/>
                      <w:bCs/>
                      <w:color w:val="auto"/>
                    </w:rPr>
                    <w:t>隔声罩，出口消声</w:t>
                  </w:r>
                </w:p>
              </w:tc>
              <w:tc>
                <w:tcPr>
                  <w:tcW w:w="465" w:type="pct"/>
                  <w:shd w:val="clear" w:color="auto" w:fill="FFFFFF"/>
                  <w:vAlign w:val="center"/>
                </w:tcPr>
                <w:p w14:paraId="098C4B73">
                  <w:pPr>
                    <w:jc w:val="center"/>
                    <w:rPr>
                      <w:rFonts w:ascii="Times New Roman" w:hAnsi="Times New Roman" w:cs="Times New Roman"/>
                      <w:bCs/>
                      <w:color w:val="auto"/>
                      <w:lang w:eastAsia="zh-CN"/>
                    </w:rPr>
                  </w:pPr>
                  <w:r>
                    <w:rPr>
                      <w:rFonts w:ascii="Times New Roman" w:hAnsi="Times New Roman" w:cs="Times New Roman"/>
                      <w:bCs/>
                      <w:color w:val="auto"/>
                      <w:lang w:eastAsia="zh-CN"/>
                    </w:rPr>
                    <w:t>昼间</w:t>
                  </w:r>
                </w:p>
              </w:tc>
            </w:tr>
            <w:tr w14:paraId="3EF6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259" w:type="pct"/>
                  <w:shd w:val="clear" w:color="auto" w:fill="FFFFFF"/>
                  <w:vAlign w:val="center"/>
                </w:tcPr>
                <w:p w14:paraId="6EC25C1A">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3</w:t>
                  </w:r>
                </w:p>
              </w:tc>
              <w:tc>
                <w:tcPr>
                  <w:tcW w:w="490" w:type="pct"/>
                  <w:shd w:val="clear" w:color="auto" w:fill="FFFFFF"/>
                  <w:vAlign w:val="center"/>
                </w:tcPr>
                <w:p w14:paraId="31543926">
                  <w:pPr>
                    <w:jc w:val="center"/>
                    <w:rPr>
                      <w:rFonts w:ascii="Times New Roman" w:hAnsi="Times New Roman" w:cs="Times New Roman"/>
                      <w:bCs/>
                      <w:color w:val="auto"/>
                    </w:rPr>
                  </w:pPr>
                  <w:r>
                    <w:rPr>
                      <w:rFonts w:ascii="Times New Roman" w:hAnsi="Times New Roman" w:eastAsia="宋体" w:cs="Times New Roman"/>
                      <w:bCs/>
                      <w:color w:val="auto"/>
                      <w:lang w:eastAsia="zh-CN"/>
                    </w:rPr>
                    <w:t>DA003</w:t>
                  </w:r>
                  <w:r>
                    <w:rPr>
                      <w:rFonts w:ascii="Times New Roman" w:hAnsi="Times New Roman" w:cs="Times New Roman"/>
                      <w:bCs/>
                      <w:color w:val="auto"/>
                    </w:rPr>
                    <w:t>风机</w:t>
                  </w:r>
                </w:p>
              </w:tc>
              <w:tc>
                <w:tcPr>
                  <w:tcW w:w="247" w:type="pct"/>
                  <w:shd w:val="clear" w:color="auto" w:fill="FFFFFF"/>
                  <w:vAlign w:val="center"/>
                </w:tcPr>
                <w:p w14:paraId="07212945">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w:t>
                  </w:r>
                </w:p>
              </w:tc>
              <w:tc>
                <w:tcPr>
                  <w:tcW w:w="261" w:type="pct"/>
                  <w:shd w:val="clear" w:color="auto" w:fill="FFFFFF"/>
                  <w:vAlign w:val="center"/>
                </w:tcPr>
                <w:p w14:paraId="1E38F3F7">
                  <w:pPr>
                    <w:jc w:val="center"/>
                    <w:rPr>
                      <w:rFonts w:ascii="Times New Roman" w:hAnsi="Times New Roman" w:eastAsia="宋体" w:cs="Times New Roman"/>
                      <w:bCs/>
                      <w:color w:val="auto"/>
                      <w:lang w:eastAsia="zh-CN"/>
                    </w:rPr>
                  </w:pPr>
                  <w:r>
                    <w:rPr>
                      <w:rFonts w:ascii="Times New Roman" w:hAnsi="Times New Roman" w:cs="Times New Roman"/>
                    </w:rPr>
                    <w:t>3</w:t>
                  </w:r>
                </w:p>
              </w:tc>
              <w:tc>
                <w:tcPr>
                  <w:tcW w:w="261" w:type="pct"/>
                  <w:shd w:val="clear" w:color="auto" w:fill="FFFFFF"/>
                  <w:vAlign w:val="center"/>
                </w:tcPr>
                <w:p w14:paraId="09F4118B">
                  <w:pPr>
                    <w:jc w:val="center"/>
                    <w:rPr>
                      <w:rFonts w:ascii="Times New Roman" w:hAnsi="Times New Roman" w:cs="Times New Roman"/>
                      <w:bCs/>
                      <w:color w:val="auto"/>
                      <w:lang w:eastAsia="zh-CN"/>
                    </w:rPr>
                  </w:pPr>
                  <w:r>
                    <w:rPr>
                      <w:rFonts w:ascii="Times New Roman" w:hAnsi="Times New Roman" w:cs="Times New Roman"/>
                    </w:rPr>
                    <w:t>25.3</w:t>
                  </w:r>
                </w:p>
              </w:tc>
              <w:tc>
                <w:tcPr>
                  <w:tcW w:w="192" w:type="pct"/>
                  <w:shd w:val="clear" w:color="auto" w:fill="FFFFFF"/>
                  <w:vAlign w:val="center"/>
                </w:tcPr>
                <w:p w14:paraId="7351A78F">
                  <w:pPr>
                    <w:jc w:val="center"/>
                    <w:rPr>
                      <w:rFonts w:ascii="Times New Roman" w:hAnsi="Times New Roman" w:cs="Times New Roman"/>
                      <w:bCs/>
                      <w:color w:val="auto"/>
                    </w:rPr>
                  </w:pPr>
                  <w:r>
                    <w:rPr>
                      <w:rFonts w:ascii="Times New Roman" w:hAnsi="Times New Roman" w:cs="Times New Roman"/>
                    </w:rPr>
                    <w:t>1.2</w:t>
                  </w:r>
                </w:p>
              </w:tc>
              <w:tc>
                <w:tcPr>
                  <w:tcW w:w="1404" w:type="pct"/>
                  <w:shd w:val="clear" w:color="auto" w:fill="FFFFFF"/>
                  <w:vAlign w:val="center"/>
                </w:tcPr>
                <w:p w14:paraId="1E95FD48">
                  <w:pPr>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w:t>
                  </w:r>
                </w:p>
              </w:tc>
              <w:tc>
                <w:tcPr>
                  <w:tcW w:w="642" w:type="pct"/>
                  <w:shd w:val="clear" w:color="auto" w:fill="FFFFFF"/>
                  <w:vAlign w:val="center"/>
                </w:tcPr>
                <w:p w14:paraId="7B226F05">
                  <w:pPr>
                    <w:jc w:val="center"/>
                    <w:rPr>
                      <w:rFonts w:ascii="Times New Roman" w:hAnsi="Times New Roman" w:cs="Times New Roman"/>
                      <w:bCs/>
                      <w:color w:val="auto"/>
                      <w:lang w:eastAsia="zh-CN"/>
                    </w:rPr>
                  </w:pPr>
                  <w:r>
                    <w:rPr>
                      <w:rFonts w:ascii="Times New Roman" w:hAnsi="Times New Roman" w:cs="Times New Roman"/>
                      <w:bCs/>
                      <w:color w:val="auto"/>
                      <w:lang w:eastAsia="zh-CN"/>
                    </w:rPr>
                    <w:t>85</w:t>
                  </w:r>
                </w:p>
              </w:tc>
              <w:tc>
                <w:tcPr>
                  <w:tcW w:w="774" w:type="pct"/>
                  <w:shd w:val="clear" w:color="auto" w:fill="FFFFFF"/>
                  <w:vAlign w:val="center"/>
                </w:tcPr>
                <w:p w14:paraId="730A1809">
                  <w:pPr>
                    <w:jc w:val="center"/>
                    <w:rPr>
                      <w:rFonts w:ascii="Times New Roman" w:hAnsi="Times New Roman" w:cs="Times New Roman"/>
                      <w:bCs/>
                      <w:color w:val="auto"/>
                    </w:rPr>
                  </w:pPr>
                  <w:r>
                    <w:rPr>
                      <w:rFonts w:ascii="Times New Roman" w:hAnsi="Times New Roman" w:cs="Times New Roman"/>
                      <w:bCs/>
                      <w:color w:val="auto"/>
                    </w:rPr>
                    <w:t>隔声罩，出口消声</w:t>
                  </w:r>
                </w:p>
              </w:tc>
              <w:tc>
                <w:tcPr>
                  <w:tcW w:w="465" w:type="pct"/>
                  <w:shd w:val="clear" w:color="auto" w:fill="FFFFFF"/>
                  <w:vAlign w:val="center"/>
                </w:tcPr>
                <w:p w14:paraId="65490FF9">
                  <w:pPr>
                    <w:jc w:val="center"/>
                    <w:rPr>
                      <w:rFonts w:ascii="Times New Roman" w:hAnsi="Times New Roman" w:cs="Times New Roman"/>
                      <w:bCs/>
                      <w:color w:val="auto"/>
                      <w:lang w:eastAsia="zh-CN"/>
                    </w:rPr>
                  </w:pPr>
                  <w:r>
                    <w:rPr>
                      <w:rFonts w:ascii="Times New Roman" w:hAnsi="Times New Roman" w:cs="Times New Roman"/>
                      <w:bCs/>
                      <w:color w:val="auto"/>
                      <w:lang w:eastAsia="zh-CN"/>
                    </w:rPr>
                    <w:t>昼间</w:t>
                  </w:r>
                </w:p>
              </w:tc>
            </w:tr>
          </w:tbl>
          <w:p w14:paraId="16E333F0">
            <w:pPr>
              <w:widowControl w:val="0"/>
              <w:jc w:val="center"/>
              <w:rPr>
                <w:rFonts w:ascii="Times New Roman" w:hAnsi="Times New Roman" w:cs="Times New Roman"/>
                <w:color w:val="auto"/>
                <w:sz w:val="24"/>
                <w:szCs w:val="32"/>
              </w:rPr>
            </w:pPr>
            <w:r>
              <w:rPr>
                <w:rFonts w:ascii="Times New Roman" w:hAnsi="Times New Roman" w:cs="Times New Roman"/>
                <w:b/>
                <w:bCs/>
                <w:color w:val="auto"/>
                <w:sz w:val="24"/>
                <w:szCs w:val="40"/>
              </w:rPr>
              <w:t>表4-1</w:t>
            </w:r>
            <w:r>
              <w:rPr>
                <w:rFonts w:ascii="Times New Roman" w:hAnsi="Times New Roman" w:cs="Times New Roman"/>
                <w:b/>
                <w:bCs/>
                <w:color w:val="auto"/>
                <w:sz w:val="24"/>
                <w:szCs w:val="40"/>
                <w:lang w:eastAsia="zh-CN"/>
              </w:rPr>
              <w:t>0</w:t>
            </w:r>
            <w:r>
              <w:rPr>
                <w:rFonts w:ascii="Times New Roman" w:hAnsi="Times New Roman" w:cs="Times New Roman"/>
                <w:b/>
                <w:bCs/>
                <w:color w:val="auto"/>
                <w:sz w:val="24"/>
                <w:szCs w:val="40"/>
              </w:rPr>
              <w:t xml:space="preserve">  项目噪声源强调查清单（室内声源）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927"/>
              <w:gridCol w:w="1172"/>
              <w:gridCol w:w="1016"/>
              <w:gridCol w:w="481"/>
              <w:gridCol w:w="481"/>
              <w:gridCol w:w="475"/>
              <w:gridCol w:w="505"/>
              <w:gridCol w:w="505"/>
              <w:gridCol w:w="505"/>
              <w:gridCol w:w="559"/>
              <w:gridCol w:w="505"/>
              <w:gridCol w:w="505"/>
              <w:gridCol w:w="505"/>
              <w:gridCol w:w="565"/>
              <w:gridCol w:w="505"/>
              <w:gridCol w:w="505"/>
              <w:gridCol w:w="505"/>
              <w:gridCol w:w="565"/>
              <w:gridCol w:w="505"/>
              <w:gridCol w:w="505"/>
              <w:gridCol w:w="505"/>
              <w:gridCol w:w="583"/>
            </w:tblGrid>
            <w:tr w14:paraId="276D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5" w:type="pct"/>
                  <w:vMerge w:val="restart"/>
                  <w:vAlign w:val="center"/>
                </w:tcPr>
                <w:p w14:paraId="254C40CD">
                  <w:pPr>
                    <w:pStyle w:val="42"/>
                    <w:adjustRightInd/>
                    <w:snapToGrid/>
                    <w:ind w:left="0" w:leftChars="0" w:firstLine="0" w:firstLineChars="0"/>
                    <w:rPr>
                      <w:rFonts w:ascii="Times New Roman" w:hAnsi="Times New Roman" w:eastAsia="宋体" w:cs="Times New Roman"/>
                      <w:color w:val="auto"/>
                    </w:rPr>
                  </w:pPr>
                  <w:bookmarkStart w:id="13" w:name="PT_6"/>
                  <w:r>
                    <w:rPr>
                      <w:rFonts w:ascii="Times New Roman" w:hAnsi="Times New Roman" w:eastAsia="宋体" w:cs="Times New Roman"/>
                      <w:color w:val="auto"/>
                    </w:rPr>
                    <w:t>序号</w:t>
                  </w:r>
                </w:p>
              </w:tc>
              <w:tc>
                <w:tcPr>
                  <w:tcW w:w="343" w:type="pct"/>
                  <w:vMerge w:val="restart"/>
                  <w:vAlign w:val="center"/>
                </w:tcPr>
                <w:p w14:paraId="795EBE4D">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建筑物名称</w:t>
                  </w:r>
                </w:p>
              </w:tc>
              <w:tc>
                <w:tcPr>
                  <w:tcW w:w="434" w:type="pct"/>
                  <w:vMerge w:val="restart"/>
                  <w:vAlign w:val="center"/>
                </w:tcPr>
                <w:p w14:paraId="42B79B44">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声源名称</w:t>
                  </w:r>
                </w:p>
              </w:tc>
              <w:tc>
                <w:tcPr>
                  <w:tcW w:w="376" w:type="pct"/>
                  <w:vAlign w:val="center"/>
                </w:tcPr>
                <w:p w14:paraId="18CC4CF5">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声源源强</w:t>
                  </w:r>
                </w:p>
              </w:tc>
              <w:tc>
                <w:tcPr>
                  <w:tcW w:w="532" w:type="pct"/>
                  <w:gridSpan w:val="3"/>
                  <w:vAlign w:val="center"/>
                </w:tcPr>
                <w:p w14:paraId="70B110E4">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空间相对位置/m</w:t>
                  </w:r>
                </w:p>
              </w:tc>
              <w:tc>
                <w:tcPr>
                  <w:tcW w:w="768" w:type="pct"/>
                  <w:gridSpan w:val="4"/>
                  <w:vAlign w:val="center"/>
                </w:tcPr>
                <w:p w14:paraId="53E1FC61">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距室内边界距离/m</w:t>
                  </w:r>
                </w:p>
              </w:tc>
              <w:tc>
                <w:tcPr>
                  <w:tcW w:w="770" w:type="pct"/>
                  <w:gridSpan w:val="4"/>
                  <w:vAlign w:val="center"/>
                </w:tcPr>
                <w:p w14:paraId="1F9BF154">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室内边界声级/dB(A)</w:t>
                  </w:r>
                </w:p>
              </w:tc>
              <w:tc>
                <w:tcPr>
                  <w:tcW w:w="770" w:type="pct"/>
                  <w:gridSpan w:val="4"/>
                  <w:vAlign w:val="center"/>
                </w:tcPr>
                <w:p w14:paraId="3C85E00F">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建筑物插入损失 / dB(A)</w:t>
                  </w:r>
                  <w:bookmarkStart w:id="14" w:name="PT_10"/>
                  <w:bookmarkEnd w:id="14"/>
                </w:p>
              </w:tc>
              <w:tc>
                <w:tcPr>
                  <w:tcW w:w="777" w:type="pct"/>
                  <w:gridSpan w:val="4"/>
                  <w:vAlign w:val="center"/>
                </w:tcPr>
                <w:p w14:paraId="76F1704B">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建筑物外噪声声压级/dB(A)</w:t>
                  </w:r>
                </w:p>
              </w:tc>
            </w:tr>
            <w:tr w14:paraId="6DF8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vMerge w:val="continue"/>
                  <w:shd w:val="clear" w:color="auto" w:fill="FFFFFF"/>
                  <w:tcMar>
                    <w:top w:w="0" w:type="dxa"/>
                    <w:left w:w="0" w:type="dxa"/>
                    <w:bottom w:w="0" w:type="dxa"/>
                    <w:right w:w="0" w:type="dxa"/>
                  </w:tcMar>
                  <w:vAlign w:val="center"/>
                </w:tcPr>
                <w:p w14:paraId="3F2CC73F">
                  <w:pPr>
                    <w:pStyle w:val="42"/>
                    <w:adjustRightInd/>
                    <w:snapToGrid/>
                    <w:ind w:left="0" w:leftChars="0" w:firstLine="0" w:firstLineChars="0"/>
                    <w:rPr>
                      <w:rFonts w:ascii="Times New Roman" w:hAnsi="Times New Roman" w:eastAsia="宋体" w:cs="Times New Roman"/>
                      <w:color w:val="auto"/>
                    </w:rPr>
                  </w:pPr>
                </w:p>
              </w:tc>
              <w:tc>
                <w:tcPr>
                  <w:tcW w:w="343" w:type="pct"/>
                  <w:vMerge w:val="continue"/>
                  <w:shd w:val="clear" w:color="auto" w:fill="FFFFFF"/>
                  <w:tcMar>
                    <w:top w:w="0" w:type="dxa"/>
                    <w:left w:w="0" w:type="dxa"/>
                    <w:bottom w:w="0" w:type="dxa"/>
                    <w:right w:w="0" w:type="dxa"/>
                  </w:tcMar>
                  <w:vAlign w:val="center"/>
                </w:tcPr>
                <w:p w14:paraId="33E49175">
                  <w:pPr>
                    <w:pStyle w:val="42"/>
                    <w:adjustRightInd/>
                    <w:snapToGrid/>
                    <w:ind w:left="0" w:leftChars="0" w:firstLine="0" w:firstLineChars="0"/>
                    <w:rPr>
                      <w:rFonts w:ascii="Times New Roman" w:hAnsi="Times New Roman" w:eastAsia="宋体" w:cs="Times New Roman"/>
                      <w:color w:val="auto"/>
                    </w:rPr>
                  </w:pPr>
                </w:p>
              </w:tc>
              <w:tc>
                <w:tcPr>
                  <w:tcW w:w="434" w:type="pct"/>
                  <w:vMerge w:val="continue"/>
                  <w:shd w:val="clear" w:color="auto" w:fill="FFFFFF"/>
                  <w:tcMar>
                    <w:top w:w="0" w:type="dxa"/>
                    <w:left w:w="0" w:type="dxa"/>
                    <w:bottom w:w="0" w:type="dxa"/>
                    <w:right w:w="0" w:type="dxa"/>
                  </w:tcMar>
                  <w:vAlign w:val="center"/>
                </w:tcPr>
                <w:p w14:paraId="62ACF99D">
                  <w:pPr>
                    <w:pStyle w:val="42"/>
                    <w:adjustRightInd/>
                    <w:snapToGrid/>
                    <w:ind w:left="0" w:leftChars="0" w:firstLine="0" w:firstLineChars="0"/>
                    <w:rPr>
                      <w:rFonts w:ascii="Times New Roman" w:hAnsi="Times New Roman" w:eastAsia="宋体" w:cs="Times New Roman"/>
                      <w:color w:val="auto"/>
                    </w:rPr>
                  </w:pPr>
                </w:p>
              </w:tc>
              <w:tc>
                <w:tcPr>
                  <w:tcW w:w="376" w:type="pct"/>
                  <w:shd w:val="clear" w:color="auto" w:fill="FFFFFF"/>
                  <w:tcMar>
                    <w:top w:w="0" w:type="dxa"/>
                    <w:left w:w="0" w:type="dxa"/>
                    <w:bottom w:w="0" w:type="dxa"/>
                    <w:right w:w="0" w:type="dxa"/>
                  </w:tcMar>
                  <w:vAlign w:val="center"/>
                </w:tcPr>
                <w:p w14:paraId="20F0DA26">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声功率级/dB(A)</w:t>
                  </w:r>
                </w:p>
              </w:tc>
              <w:tc>
                <w:tcPr>
                  <w:tcW w:w="178" w:type="pct"/>
                  <w:shd w:val="clear" w:color="auto" w:fill="FFFFFF"/>
                  <w:tcMar>
                    <w:top w:w="0" w:type="dxa"/>
                    <w:left w:w="0" w:type="dxa"/>
                    <w:bottom w:w="0" w:type="dxa"/>
                    <w:right w:w="0" w:type="dxa"/>
                  </w:tcMar>
                  <w:vAlign w:val="center"/>
                </w:tcPr>
                <w:p w14:paraId="52ED9CAD">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X</w:t>
                  </w:r>
                </w:p>
              </w:tc>
              <w:tc>
                <w:tcPr>
                  <w:tcW w:w="178" w:type="pct"/>
                  <w:shd w:val="clear" w:color="auto" w:fill="FFFFFF"/>
                  <w:tcMar>
                    <w:top w:w="0" w:type="dxa"/>
                    <w:left w:w="0" w:type="dxa"/>
                    <w:bottom w:w="0" w:type="dxa"/>
                    <w:right w:w="0" w:type="dxa"/>
                  </w:tcMar>
                  <w:vAlign w:val="center"/>
                </w:tcPr>
                <w:p w14:paraId="00A06D85">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Y</w:t>
                  </w:r>
                </w:p>
              </w:tc>
              <w:tc>
                <w:tcPr>
                  <w:tcW w:w="176" w:type="pct"/>
                  <w:shd w:val="clear" w:color="auto" w:fill="FFFFFF"/>
                  <w:tcMar>
                    <w:top w:w="0" w:type="dxa"/>
                    <w:left w:w="0" w:type="dxa"/>
                    <w:bottom w:w="0" w:type="dxa"/>
                    <w:right w:w="0" w:type="dxa"/>
                  </w:tcMar>
                  <w:vAlign w:val="center"/>
                </w:tcPr>
                <w:p w14:paraId="25964489">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Z</w:t>
                  </w:r>
                </w:p>
              </w:tc>
              <w:tc>
                <w:tcPr>
                  <w:tcW w:w="187" w:type="pct"/>
                  <w:shd w:val="clear" w:color="auto" w:fill="FFFFFF"/>
                  <w:tcMar>
                    <w:top w:w="0" w:type="dxa"/>
                    <w:left w:w="0" w:type="dxa"/>
                    <w:bottom w:w="0" w:type="dxa"/>
                    <w:right w:w="0" w:type="dxa"/>
                  </w:tcMar>
                  <w:vAlign w:val="center"/>
                </w:tcPr>
                <w:p w14:paraId="10CFFE9C">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东</w:t>
                  </w:r>
                </w:p>
              </w:tc>
              <w:tc>
                <w:tcPr>
                  <w:tcW w:w="187" w:type="pct"/>
                  <w:shd w:val="clear" w:color="auto" w:fill="FFFFFF"/>
                  <w:tcMar>
                    <w:top w:w="0" w:type="dxa"/>
                    <w:left w:w="0" w:type="dxa"/>
                    <w:bottom w:w="0" w:type="dxa"/>
                    <w:right w:w="0" w:type="dxa"/>
                  </w:tcMar>
                  <w:vAlign w:val="center"/>
                </w:tcPr>
                <w:p w14:paraId="1667668D">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南</w:t>
                  </w:r>
                </w:p>
              </w:tc>
              <w:tc>
                <w:tcPr>
                  <w:tcW w:w="187" w:type="pct"/>
                  <w:shd w:val="clear" w:color="auto" w:fill="FFFFFF"/>
                  <w:tcMar>
                    <w:top w:w="0" w:type="dxa"/>
                    <w:left w:w="0" w:type="dxa"/>
                    <w:bottom w:w="0" w:type="dxa"/>
                    <w:right w:w="0" w:type="dxa"/>
                  </w:tcMar>
                  <w:vAlign w:val="center"/>
                </w:tcPr>
                <w:p w14:paraId="17D5F013">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西</w:t>
                  </w:r>
                </w:p>
              </w:tc>
              <w:tc>
                <w:tcPr>
                  <w:tcW w:w="207" w:type="pct"/>
                  <w:shd w:val="clear" w:color="auto" w:fill="FFFFFF"/>
                  <w:tcMar>
                    <w:top w:w="0" w:type="dxa"/>
                    <w:left w:w="0" w:type="dxa"/>
                    <w:bottom w:w="0" w:type="dxa"/>
                    <w:right w:w="0" w:type="dxa"/>
                  </w:tcMar>
                  <w:vAlign w:val="center"/>
                </w:tcPr>
                <w:p w14:paraId="0567D79E">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北</w:t>
                  </w:r>
                </w:p>
              </w:tc>
              <w:tc>
                <w:tcPr>
                  <w:tcW w:w="187" w:type="pct"/>
                  <w:shd w:val="clear" w:color="auto" w:fill="FFFFFF"/>
                  <w:tcMar>
                    <w:top w:w="0" w:type="dxa"/>
                    <w:left w:w="0" w:type="dxa"/>
                    <w:bottom w:w="0" w:type="dxa"/>
                    <w:right w:w="0" w:type="dxa"/>
                  </w:tcMar>
                  <w:vAlign w:val="center"/>
                </w:tcPr>
                <w:p w14:paraId="7BC787E6">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东</w:t>
                  </w:r>
                </w:p>
              </w:tc>
              <w:tc>
                <w:tcPr>
                  <w:tcW w:w="187" w:type="pct"/>
                  <w:shd w:val="clear" w:color="auto" w:fill="FFFFFF"/>
                  <w:tcMar>
                    <w:top w:w="0" w:type="dxa"/>
                    <w:left w:w="0" w:type="dxa"/>
                    <w:bottom w:w="0" w:type="dxa"/>
                    <w:right w:w="0" w:type="dxa"/>
                  </w:tcMar>
                  <w:vAlign w:val="center"/>
                </w:tcPr>
                <w:p w14:paraId="30B56D4B">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南</w:t>
                  </w:r>
                </w:p>
              </w:tc>
              <w:tc>
                <w:tcPr>
                  <w:tcW w:w="187" w:type="pct"/>
                  <w:shd w:val="clear" w:color="auto" w:fill="FFFFFF"/>
                  <w:tcMar>
                    <w:top w:w="0" w:type="dxa"/>
                    <w:left w:w="0" w:type="dxa"/>
                    <w:bottom w:w="0" w:type="dxa"/>
                    <w:right w:w="0" w:type="dxa"/>
                  </w:tcMar>
                  <w:vAlign w:val="center"/>
                </w:tcPr>
                <w:p w14:paraId="3B2E9350">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西</w:t>
                  </w:r>
                </w:p>
              </w:tc>
              <w:tc>
                <w:tcPr>
                  <w:tcW w:w="209" w:type="pct"/>
                  <w:shd w:val="clear" w:color="auto" w:fill="FFFFFF"/>
                  <w:tcMar>
                    <w:top w:w="0" w:type="dxa"/>
                    <w:left w:w="0" w:type="dxa"/>
                    <w:bottom w:w="0" w:type="dxa"/>
                    <w:right w:w="0" w:type="dxa"/>
                  </w:tcMar>
                  <w:vAlign w:val="center"/>
                </w:tcPr>
                <w:p w14:paraId="04D63F54">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北</w:t>
                  </w:r>
                </w:p>
              </w:tc>
              <w:tc>
                <w:tcPr>
                  <w:tcW w:w="187" w:type="pct"/>
                  <w:shd w:val="clear" w:color="auto" w:fill="FFFFFF"/>
                  <w:tcMar>
                    <w:top w:w="0" w:type="dxa"/>
                    <w:left w:w="0" w:type="dxa"/>
                    <w:bottom w:w="0" w:type="dxa"/>
                    <w:right w:w="0" w:type="dxa"/>
                  </w:tcMar>
                  <w:vAlign w:val="center"/>
                </w:tcPr>
                <w:p w14:paraId="2A483622">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东</w:t>
                  </w:r>
                </w:p>
              </w:tc>
              <w:tc>
                <w:tcPr>
                  <w:tcW w:w="187" w:type="pct"/>
                  <w:shd w:val="clear" w:color="auto" w:fill="FFFFFF"/>
                  <w:tcMar>
                    <w:top w:w="0" w:type="dxa"/>
                    <w:left w:w="0" w:type="dxa"/>
                    <w:bottom w:w="0" w:type="dxa"/>
                    <w:right w:w="0" w:type="dxa"/>
                  </w:tcMar>
                  <w:vAlign w:val="center"/>
                </w:tcPr>
                <w:p w14:paraId="2F518E2B">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南</w:t>
                  </w:r>
                </w:p>
              </w:tc>
              <w:tc>
                <w:tcPr>
                  <w:tcW w:w="187" w:type="pct"/>
                  <w:shd w:val="clear" w:color="auto" w:fill="FFFFFF"/>
                  <w:tcMar>
                    <w:top w:w="0" w:type="dxa"/>
                    <w:left w:w="0" w:type="dxa"/>
                    <w:bottom w:w="0" w:type="dxa"/>
                    <w:right w:w="0" w:type="dxa"/>
                  </w:tcMar>
                  <w:vAlign w:val="center"/>
                </w:tcPr>
                <w:p w14:paraId="66C7DCF6">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西</w:t>
                  </w:r>
                </w:p>
              </w:tc>
              <w:tc>
                <w:tcPr>
                  <w:tcW w:w="209" w:type="pct"/>
                  <w:shd w:val="clear" w:color="auto" w:fill="FFFFFF"/>
                  <w:tcMar>
                    <w:top w:w="0" w:type="dxa"/>
                    <w:left w:w="0" w:type="dxa"/>
                    <w:bottom w:w="0" w:type="dxa"/>
                    <w:right w:w="0" w:type="dxa"/>
                  </w:tcMar>
                  <w:vAlign w:val="center"/>
                </w:tcPr>
                <w:p w14:paraId="1C74C54D">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北</w:t>
                  </w:r>
                </w:p>
              </w:tc>
              <w:tc>
                <w:tcPr>
                  <w:tcW w:w="187" w:type="pct"/>
                  <w:shd w:val="clear" w:color="auto" w:fill="FFFFFF"/>
                  <w:tcMar>
                    <w:top w:w="0" w:type="dxa"/>
                    <w:left w:w="0" w:type="dxa"/>
                    <w:bottom w:w="0" w:type="dxa"/>
                    <w:right w:w="0" w:type="dxa"/>
                  </w:tcMar>
                  <w:vAlign w:val="center"/>
                </w:tcPr>
                <w:p w14:paraId="46C1DF15">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东</w:t>
                  </w:r>
                </w:p>
              </w:tc>
              <w:tc>
                <w:tcPr>
                  <w:tcW w:w="187" w:type="pct"/>
                  <w:shd w:val="clear" w:color="auto" w:fill="FFFFFF"/>
                  <w:tcMar>
                    <w:top w:w="0" w:type="dxa"/>
                    <w:left w:w="0" w:type="dxa"/>
                    <w:bottom w:w="0" w:type="dxa"/>
                    <w:right w:w="0" w:type="dxa"/>
                  </w:tcMar>
                  <w:vAlign w:val="center"/>
                </w:tcPr>
                <w:p w14:paraId="169806BE">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南</w:t>
                  </w:r>
                </w:p>
              </w:tc>
              <w:tc>
                <w:tcPr>
                  <w:tcW w:w="187" w:type="pct"/>
                  <w:shd w:val="clear" w:color="auto" w:fill="FFFFFF"/>
                  <w:tcMar>
                    <w:top w:w="0" w:type="dxa"/>
                    <w:left w:w="0" w:type="dxa"/>
                    <w:bottom w:w="0" w:type="dxa"/>
                    <w:right w:w="0" w:type="dxa"/>
                  </w:tcMar>
                  <w:vAlign w:val="center"/>
                </w:tcPr>
                <w:p w14:paraId="61475FE4">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西</w:t>
                  </w:r>
                </w:p>
              </w:tc>
              <w:tc>
                <w:tcPr>
                  <w:tcW w:w="216" w:type="pct"/>
                  <w:shd w:val="clear" w:color="auto" w:fill="FFFFFF"/>
                  <w:tcMar>
                    <w:top w:w="0" w:type="dxa"/>
                    <w:left w:w="0" w:type="dxa"/>
                    <w:bottom w:w="0" w:type="dxa"/>
                    <w:right w:w="0" w:type="dxa"/>
                  </w:tcMar>
                  <w:vAlign w:val="center"/>
                </w:tcPr>
                <w:p w14:paraId="0A36A8DD">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北</w:t>
                  </w:r>
                </w:p>
              </w:tc>
            </w:tr>
            <w:tr w14:paraId="70AA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03C8EB4">
                  <w:pPr>
                    <w:pStyle w:val="42"/>
                    <w:adjustRightInd/>
                    <w:snapToGrid/>
                    <w:ind w:left="0" w:leftChars="0" w:firstLine="0" w:firstLine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343" w:type="pct"/>
                  <w:vMerge w:val="restart"/>
                  <w:shd w:val="clear" w:color="auto" w:fill="FFFFFF"/>
                  <w:tcMar>
                    <w:top w:w="0" w:type="dxa"/>
                    <w:left w:w="0" w:type="dxa"/>
                    <w:bottom w:w="0" w:type="dxa"/>
                    <w:right w:w="0" w:type="dxa"/>
                  </w:tcMar>
                  <w:vAlign w:val="center"/>
                </w:tcPr>
                <w:p w14:paraId="2E3B43C4">
                  <w:pPr>
                    <w:pStyle w:val="42"/>
                    <w:adjustRightInd/>
                    <w:snapToGrid/>
                    <w:ind w:left="0" w:leftChars="0" w:firstLine="0" w:firstLine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生产车间</w:t>
                  </w:r>
                </w:p>
              </w:tc>
              <w:tc>
                <w:tcPr>
                  <w:tcW w:w="434" w:type="pct"/>
                  <w:shd w:val="clear" w:color="auto" w:fill="FFFFFF"/>
                  <w:tcMar>
                    <w:top w:w="0" w:type="dxa"/>
                    <w:left w:w="0" w:type="dxa"/>
                    <w:bottom w:w="0" w:type="dxa"/>
                    <w:right w:w="0" w:type="dxa"/>
                  </w:tcMar>
                  <w:vAlign w:val="center"/>
                </w:tcPr>
                <w:p w14:paraId="32A38EC5">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激光下料机</w:t>
                  </w:r>
                </w:p>
              </w:tc>
              <w:tc>
                <w:tcPr>
                  <w:tcW w:w="376" w:type="pct"/>
                  <w:shd w:val="clear" w:color="auto" w:fill="FFFFFF"/>
                  <w:tcMar>
                    <w:top w:w="0" w:type="dxa"/>
                    <w:left w:w="0" w:type="dxa"/>
                    <w:bottom w:w="0" w:type="dxa"/>
                    <w:right w:w="0" w:type="dxa"/>
                  </w:tcMar>
                  <w:vAlign w:val="center"/>
                </w:tcPr>
                <w:p w14:paraId="47A8F841">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3848A38A">
                  <w:pPr>
                    <w:jc w:val="center"/>
                    <w:rPr>
                      <w:rFonts w:ascii="Times New Roman" w:hAnsi="Times New Roman" w:eastAsia="宋体" w:cs="Times New Roman"/>
                      <w:color w:val="auto"/>
                      <w:sz w:val="21"/>
                      <w:szCs w:val="21"/>
                    </w:rPr>
                  </w:pPr>
                  <w:r>
                    <w:rPr>
                      <w:rFonts w:ascii="Times New Roman" w:hAnsi="Times New Roman" w:cs="Times New Roman"/>
                      <w:sz w:val="21"/>
                      <w:szCs w:val="21"/>
                    </w:rPr>
                    <w:t>20.4</w:t>
                  </w:r>
                </w:p>
              </w:tc>
              <w:tc>
                <w:tcPr>
                  <w:tcW w:w="178" w:type="pct"/>
                  <w:shd w:val="clear" w:color="auto" w:fill="FFFFFF"/>
                  <w:tcMar>
                    <w:top w:w="0" w:type="dxa"/>
                    <w:left w:w="0" w:type="dxa"/>
                    <w:bottom w:w="0" w:type="dxa"/>
                    <w:right w:w="0" w:type="dxa"/>
                  </w:tcMar>
                  <w:vAlign w:val="center"/>
                </w:tcPr>
                <w:p w14:paraId="55B6BB60">
                  <w:pPr>
                    <w:jc w:val="center"/>
                    <w:rPr>
                      <w:rFonts w:ascii="Times New Roman" w:hAnsi="Times New Roman" w:eastAsia="宋体" w:cs="Times New Roman"/>
                      <w:color w:val="auto"/>
                      <w:sz w:val="21"/>
                      <w:szCs w:val="21"/>
                    </w:rPr>
                  </w:pPr>
                  <w:r>
                    <w:rPr>
                      <w:rFonts w:ascii="Times New Roman" w:hAnsi="Times New Roman" w:cs="Times New Roman"/>
                      <w:sz w:val="21"/>
                      <w:szCs w:val="21"/>
                    </w:rPr>
                    <w:t>-10.6</w:t>
                  </w:r>
                </w:p>
              </w:tc>
              <w:tc>
                <w:tcPr>
                  <w:tcW w:w="176" w:type="pct"/>
                  <w:shd w:val="clear" w:color="auto" w:fill="FFFFFF"/>
                  <w:tcMar>
                    <w:top w:w="0" w:type="dxa"/>
                    <w:left w:w="0" w:type="dxa"/>
                    <w:bottom w:w="0" w:type="dxa"/>
                    <w:right w:w="0" w:type="dxa"/>
                  </w:tcMar>
                  <w:vAlign w:val="center"/>
                </w:tcPr>
                <w:p w14:paraId="5E3F2E56">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38E178A0">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14.0</w:t>
                  </w:r>
                </w:p>
              </w:tc>
              <w:tc>
                <w:tcPr>
                  <w:tcW w:w="187" w:type="pct"/>
                  <w:shd w:val="clear" w:color="auto" w:fill="FFFFFF"/>
                  <w:tcMar>
                    <w:top w:w="0" w:type="dxa"/>
                    <w:left w:w="0" w:type="dxa"/>
                    <w:bottom w:w="0" w:type="dxa"/>
                    <w:right w:w="0" w:type="dxa"/>
                  </w:tcMar>
                  <w:vAlign w:val="center"/>
                </w:tcPr>
                <w:p w14:paraId="3CDD74BB">
                  <w:pPr>
                    <w:jc w:val="center"/>
                    <w:rPr>
                      <w:rFonts w:ascii="Times New Roman" w:hAnsi="Times New Roman" w:cs="Times New Roman"/>
                      <w:color w:val="auto"/>
                      <w:sz w:val="21"/>
                      <w:szCs w:val="21"/>
                    </w:rPr>
                  </w:pPr>
                  <w:r>
                    <w:rPr>
                      <w:rFonts w:ascii="Times New Roman" w:hAnsi="Times New Roman" w:cs="Times New Roman"/>
                      <w:sz w:val="21"/>
                      <w:szCs w:val="21"/>
                    </w:rPr>
                    <w:t>23.9</w:t>
                  </w:r>
                </w:p>
              </w:tc>
              <w:tc>
                <w:tcPr>
                  <w:tcW w:w="187" w:type="pct"/>
                  <w:shd w:val="clear" w:color="auto" w:fill="FFFFFF"/>
                  <w:tcMar>
                    <w:top w:w="0" w:type="dxa"/>
                    <w:left w:w="0" w:type="dxa"/>
                    <w:bottom w:w="0" w:type="dxa"/>
                    <w:right w:w="0" w:type="dxa"/>
                  </w:tcMar>
                  <w:vAlign w:val="center"/>
                </w:tcPr>
                <w:p w14:paraId="16D40546">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69.7</w:t>
                  </w:r>
                </w:p>
              </w:tc>
              <w:tc>
                <w:tcPr>
                  <w:tcW w:w="207" w:type="pct"/>
                  <w:shd w:val="clear" w:color="auto" w:fill="FFFFFF"/>
                  <w:tcMar>
                    <w:top w:w="0" w:type="dxa"/>
                    <w:left w:w="0" w:type="dxa"/>
                    <w:bottom w:w="0" w:type="dxa"/>
                    <w:right w:w="0" w:type="dxa"/>
                  </w:tcMar>
                  <w:vAlign w:val="center"/>
                </w:tcPr>
                <w:p w14:paraId="5EDB120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11.8</w:t>
                  </w:r>
                </w:p>
              </w:tc>
              <w:tc>
                <w:tcPr>
                  <w:tcW w:w="187" w:type="pct"/>
                  <w:shd w:val="clear" w:color="auto" w:fill="FFFFFF"/>
                  <w:tcMar>
                    <w:top w:w="0" w:type="dxa"/>
                    <w:left w:w="0" w:type="dxa"/>
                    <w:bottom w:w="0" w:type="dxa"/>
                    <w:right w:w="0" w:type="dxa"/>
                  </w:tcMar>
                  <w:vAlign w:val="center"/>
                </w:tcPr>
                <w:p w14:paraId="154EF727">
                  <w:pPr>
                    <w:jc w:val="center"/>
                    <w:rPr>
                      <w:rFonts w:ascii="Times New Roman" w:hAnsi="Times New Roman" w:eastAsia="宋体" w:cs="Times New Roman"/>
                      <w:color w:val="auto"/>
                      <w:sz w:val="21"/>
                      <w:szCs w:val="21"/>
                    </w:rPr>
                  </w:pPr>
                  <w:r>
                    <w:rPr>
                      <w:rFonts w:ascii="Times New Roman" w:hAnsi="Times New Roman" w:cs="Times New Roman"/>
                      <w:sz w:val="21"/>
                      <w:szCs w:val="21"/>
                    </w:rPr>
                    <w:t>64.0</w:t>
                  </w:r>
                </w:p>
              </w:tc>
              <w:tc>
                <w:tcPr>
                  <w:tcW w:w="187" w:type="pct"/>
                  <w:shd w:val="clear" w:color="auto" w:fill="FFFFFF"/>
                  <w:tcMar>
                    <w:top w:w="0" w:type="dxa"/>
                    <w:left w:w="0" w:type="dxa"/>
                    <w:bottom w:w="0" w:type="dxa"/>
                    <w:right w:w="0" w:type="dxa"/>
                  </w:tcMar>
                  <w:vAlign w:val="center"/>
                </w:tcPr>
                <w:p w14:paraId="116C4287">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187" w:type="pct"/>
                  <w:shd w:val="clear" w:color="auto" w:fill="FFFFFF"/>
                  <w:tcMar>
                    <w:top w:w="0" w:type="dxa"/>
                    <w:left w:w="0" w:type="dxa"/>
                    <w:bottom w:w="0" w:type="dxa"/>
                    <w:right w:w="0" w:type="dxa"/>
                  </w:tcMar>
                  <w:vAlign w:val="center"/>
                </w:tcPr>
                <w:p w14:paraId="0140E0BB">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209" w:type="pct"/>
                  <w:shd w:val="clear" w:color="auto" w:fill="FFFFFF"/>
                  <w:tcMar>
                    <w:top w:w="0" w:type="dxa"/>
                    <w:left w:w="0" w:type="dxa"/>
                    <w:bottom w:w="0" w:type="dxa"/>
                    <w:right w:w="0" w:type="dxa"/>
                  </w:tcMar>
                  <w:vAlign w:val="center"/>
                </w:tcPr>
                <w:p w14:paraId="30FA1570">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187" w:type="pct"/>
                  <w:shd w:val="clear" w:color="auto" w:fill="FFFFFF"/>
                  <w:tcMar>
                    <w:top w:w="0" w:type="dxa"/>
                    <w:left w:w="0" w:type="dxa"/>
                    <w:bottom w:w="0" w:type="dxa"/>
                    <w:right w:w="0" w:type="dxa"/>
                  </w:tcMar>
                  <w:vAlign w:val="center"/>
                </w:tcPr>
                <w:p w14:paraId="051549AD">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1CB8249D">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5F61640D">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36483415">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0B02D443">
                  <w:pPr>
                    <w:jc w:val="center"/>
                    <w:rPr>
                      <w:rFonts w:ascii="Times New Roman" w:hAnsi="Times New Roman" w:eastAsia="宋体" w:cs="Times New Roman"/>
                      <w:color w:val="auto"/>
                      <w:sz w:val="21"/>
                      <w:szCs w:val="21"/>
                    </w:rPr>
                  </w:pPr>
                  <w:r>
                    <w:rPr>
                      <w:rFonts w:ascii="Times New Roman" w:hAnsi="Times New Roman" w:cs="Times New Roman"/>
                      <w:sz w:val="21"/>
                      <w:szCs w:val="21"/>
                    </w:rPr>
                    <w:t>38.0</w:t>
                  </w:r>
                </w:p>
              </w:tc>
              <w:tc>
                <w:tcPr>
                  <w:tcW w:w="187" w:type="pct"/>
                  <w:shd w:val="clear" w:color="auto" w:fill="FFFFFF"/>
                  <w:tcMar>
                    <w:top w:w="0" w:type="dxa"/>
                    <w:left w:w="0" w:type="dxa"/>
                    <w:bottom w:w="0" w:type="dxa"/>
                    <w:right w:w="0" w:type="dxa"/>
                  </w:tcMar>
                  <w:vAlign w:val="center"/>
                </w:tcPr>
                <w:p w14:paraId="0695BE86">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c>
                <w:tcPr>
                  <w:tcW w:w="187" w:type="pct"/>
                  <w:shd w:val="clear" w:color="auto" w:fill="FFFFFF"/>
                  <w:tcMar>
                    <w:top w:w="0" w:type="dxa"/>
                    <w:left w:w="0" w:type="dxa"/>
                    <w:bottom w:w="0" w:type="dxa"/>
                    <w:right w:w="0" w:type="dxa"/>
                  </w:tcMar>
                  <w:vAlign w:val="center"/>
                </w:tcPr>
                <w:p w14:paraId="39BAC64A">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c>
                <w:tcPr>
                  <w:tcW w:w="216" w:type="pct"/>
                  <w:shd w:val="clear" w:color="auto" w:fill="FFFFFF"/>
                  <w:tcMar>
                    <w:top w:w="0" w:type="dxa"/>
                    <w:left w:w="0" w:type="dxa"/>
                    <w:bottom w:w="0" w:type="dxa"/>
                    <w:right w:w="0" w:type="dxa"/>
                  </w:tcMar>
                  <w:vAlign w:val="center"/>
                </w:tcPr>
                <w:p w14:paraId="4D55D3C8">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r>
            <w:tr w14:paraId="2CDE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588D9D17">
                  <w:pPr>
                    <w:pStyle w:val="42"/>
                    <w:adjustRightInd/>
                    <w:snapToGrid/>
                    <w:ind w:left="0" w:leftChars="0" w:firstLine="0" w:firstLine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343" w:type="pct"/>
                  <w:vMerge w:val="continue"/>
                  <w:shd w:val="clear" w:color="auto" w:fill="FFFFFF"/>
                  <w:tcMar>
                    <w:top w:w="0" w:type="dxa"/>
                    <w:left w:w="0" w:type="dxa"/>
                    <w:bottom w:w="0" w:type="dxa"/>
                    <w:right w:w="0" w:type="dxa"/>
                  </w:tcMar>
                  <w:vAlign w:val="center"/>
                </w:tcPr>
                <w:p w14:paraId="4BD05FAF">
                  <w:pPr>
                    <w:pStyle w:val="42"/>
                    <w:adjustRightInd/>
                    <w:snapToGrid/>
                    <w:ind w:left="0" w:leftChars="0" w:firstLine="0" w:firstLineChars="0"/>
                    <w:rPr>
                      <w:rFonts w:ascii="Times New Roman" w:hAnsi="Times New Roman" w:eastAsia="宋体" w:cs="Times New Roman"/>
                      <w:color w:val="auto"/>
                      <w:sz w:val="21"/>
                      <w:szCs w:val="21"/>
                    </w:rPr>
                  </w:pPr>
                </w:p>
              </w:tc>
              <w:tc>
                <w:tcPr>
                  <w:tcW w:w="434" w:type="pct"/>
                  <w:shd w:val="clear" w:color="auto" w:fill="FFFFFF"/>
                  <w:tcMar>
                    <w:top w:w="0" w:type="dxa"/>
                    <w:left w:w="0" w:type="dxa"/>
                    <w:bottom w:w="0" w:type="dxa"/>
                    <w:right w:w="0" w:type="dxa"/>
                  </w:tcMar>
                  <w:vAlign w:val="center"/>
                </w:tcPr>
                <w:p w14:paraId="13F39EBC">
                  <w:pPr>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折弯机</w:t>
                  </w:r>
                </w:p>
              </w:tc>
              <w:tc>
                <w:tcPr>
                  <w:tcW w:w="376" w:type="pct"/>
                  <w:shd w:val="clear" w:color="auto" w:fill="FFFFFF"/>
                  <w:tcMar>
                    <w:top w:w="0" w:type="dxa"/>
                    <w:left w:w="0" w:type="dxa"/>
                    <w:bottom w:w="0" w:type="dxa"/>
                    <w:right w:w="0" w:type="dxa"/>
                  </w:tcMar>
                  <w:vAlign w:val="center"/>
                </w:tcPr>
                <w:p w14:paraId="041D43D4">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71BFD1F6">
                  <w:pPr>
                    <w:jc w:val="center"/>
                    <w:rPr>
                      <w:rFonts w:ascii="Times New Roman" w:hAnsi="Times New Roman" w:eastAsia="宋体" w:cs="Times New Roman"/>
                      <w:color w:val="auto"/>
                      <w:sz w:val="21"/>
                      <w:szCs w:val="21"/>
                    </w:rPr>
                  </w:pPr>
                  <w:r>
                    <w:rPr>
                      <w:rFonts w:ascii="Times New Roman" w:hAnsi="Times New Roman" w:cs="Times New Roman"/>
                      <w:sz w:val="21"/>
                      <w:szCs w:val="21"/>
                    </w:rPr>
                    <w:t>11.4</w:t>
                  </w:r>
                </w:p>
              </w:tc>
              <w:tc>
                <w:tcPr>
                  <w:tcW w:w="178" w:type="pct"/>
                  <w:shd w:val="clear" w:color="auto" w:fill="FFFFFF"/>
                  <w:tcMar>
                    <w:top w:w="0" w:type="dxa"/>
                    <w:left w:w="0" w:type="dxa"/>
                    <w:bottom w:w="0" w:type="dxa"/>
                    <w:right w:w="0" w:type="dxa"/>
                  </w:tcMar>
                  <w:vAlign w:val="center"/>
                </w:tcPr>
                <w:p w14:paraId="66E6C22D">
                  <w:pPr>
                    <w:jc w:val="center"/>
                    <w:rPr>
                      <w:rFonts w:ascii="Times New Roman" w:hAnsi="Times New Roman" w:eastAsia="宋体" w:cs="Times New Roman"/>
                      <w:color w:val="auto"/>
                      <w:sz w:val="21"/>
                      <w:szCs w:val="21"/>
                    </w:rPr>
                  </w:pPr>
                  <w:r>
                    <w:rPr>
                      <w:rFonts w:ascii="Times New Roman" w:hAnsi="Times New Roman" w:cs="Times New Roman"/>
                      <w:sz w:val="21"/>
                      <w:szCs w:val="21"/>
                    </w:rPr>
                    <w:t>-6</w:t>
                  </w:r>
                </w:p>
              </w:tc>
              <w:tc>
                <w:tcPr>
                  <w:tcW w:w="176" w:type="pct"/>
                  <w:shd w:val="clear" w:color="auto" w:fill="FFFFFF"/>
                  <w:tcMar>
                    <w:top w:w="0" w:type="dxa"/>
                    <w:left w:w="0" w:type="dxa"/>
                    <w:bottom w:w="0" w:type="dxa"/>
                    <w:right w:w="0" w:type="dxa"/>
                  </w:tcMar>
                  <w:vAlign w:val="center"/>
                </w:tcPr>
                <w:p w14:paraId="3DB42345">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42B9EFA0">
                  <w:pPr>
                    <w:jc w:val="center"/>
                    <w:rPr>
                      <w:rFonts w:ascii="Times New Roman" w:hAnsi="Times New Roman" w:eastAsia="宋体" w:cs="Times New Roman"/>
                      <w:color w:val="auto"/>
                      <w:sz w:val="21"/>
                      <w:szCs w:val="21"/>
                    </w:rPr>
                  </w:pPr>
                  <w:r>
                    <w:rPr>
                      <w:rFonts w:ascii="Times New Roman" w:hAnsi="Times New Roman" w:cs="Times New Roman"/>
                      <w:sz w:val="21"/>
                      <w:szCs w:val="21"/>
                    </w:rPr>
                    <w:t>24.1</w:t>
                  </w:r>
                </w:p>
              </w:tc>
              <w:tc>
                <w:tcPr>
                  <w:tcW w:w="187" w:type="pct"/>
                  <w:shd w:val="clear" w:color="auto" w:fill="FFFFFF"/>
                  <w:tcMar>
                    <w:top w:w="0" w:type="dxa"/>
                    <w:left w:w="0" w:type="dxa"/>
                    <w:bottom w:w="0" w:type="dxa"/>
                    <w:right w:w="0" w:type="dxa"/>
                  </w:tcMar>
                  <w:vAlign w:val="center"/>
                </w:tcPr>
                <w:p w14:paraId="722A93A1">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23.8</w:t>
                  </w:r>
                </w:p>
              </w:tc>
              <w:tc>
                <w:tcPr>
                  <w:tcW w:w="187" w:type="pct"/>
                  <w:shd w:val="clear" w:color="auto" w:fill="FFFFFF"/>
                  <w:tcMar>
                    <w:top w:w="0" w:type="dxa"/>
                    <w:left w:w="0" w:type="dxa"/>
                    <w:bottom w:w="0" w:type="dxa"/>
                    <w:right w:w="0" w:type="dxa"/>
                  </w:tcMar>
                  <w:vAlign w:val="center"/>
                </w:tcPr>
                <w:p w14:paraId="666E84C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c>
                <w:tcPr>
                  <w:tcW w:w="207" w:type="pct"/>
                  <w:shd w:val="clear" w:color="auto" w:fill="FFFFFF"/>
                  <w:tcMar>
                    <w:top w:w="0" w:type="dxa"/>
                    <w:left w:w="0" w:type="dxa"/>
                    <w:bottom w:w="0" w:type="dxa"/>
                    <w:right w:w="0" w:type="dxa"/>
                  </w:tcMar>
                  <w:vAlign w:val="center"/>
                </w:tcPr>
                <w:p w14:paraId="38E8480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w:t>
                  </w:r>
                </w:p>
              </w:tc>
              <w:tc>
                <w:tcPr>
                  <w:tcW w:w="187" w:type="pct"/>
                  <w:shd w:val="clear" w:color="auto" w:fill="FFFFFF"/>
                  <w:tcMar>
                    <w:top w:w="0" w:type="dxa"/>
                    <w:left w:w="0" w:type="dxa"/>
                    <w:bottom w:w="0" w:type="dxa"/>
                    <w:right w:w="0" w:type="dxa"/>
                  </w:tcMar>
                  <w:vAlign w:val="center"/>
                </w:tcPr>
                <w:p w14:paraId="421FA21C">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529AF226">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1D487DD0">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209" w:type="pct"/>
                  <w:shd w:val="clear" w:color="auto" w:fill="FFFFFF"/>
                  <w:tcMar>
                    <w:top w:w="0" w:type="dxa"/>
                    <w:left w:w="0" w:type="dxa"/>
                    <w:bottom w:w="0" w:type="dxa"/>
                    <w:right w:w="0" w:type="dxa"/>
                  </w:tcMar>
                  <w:vAlign w:val="center"/>
                </w:tcPr>
                <w:p w14:paraId="010F5E85">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45A9D282">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1EFD95EE">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016D7C18">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603E53C6">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5220AF77">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4AF85A0C">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34A354D4">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216" w:type="pct"/>
                  <w:shd w:val="clear" w:color="auto" w:fill="FFFFFF"/>
                  <w:tcMar>
                    <w:top w:w="0" w:type="dxa"/>
                    <w:left w:w="0" w:type="dxa"/>
                    <w:bottom w:w="0" w:type="dxa"/>
                    <w:right w:w="0" w:type="dxa"/>
                  </w:tcMar>
                  <w:vAlign w:val="center"/>
                </w:tcPr>
                <w:p w14:paraId="78FA1404">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r>
            <w:tr w14:paraId="461C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7BE4B378">
                  <w:pPr>
                    <w:pStyle w:val="42"/>
                    <w:adjustRightInd/>
                    <w:snapToGrid/>
                    <w:ind w:left="0" w:leftChars="0" w:firstLine="0" w:firstLine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w:t>
                  </w:r>
                </w:p>
              </w:tc>
              <w:tc>
                <w:tcPr>
                  <w:tcW w:w="343" w:type="pct"/>
                  <w:vMerge w:val="continue"/>
                  <w:shd w:val="clear" w:color="auto" w:fill="FFFFFF"/>
                  <w:tcMar>
                    <w:top w:w="0" w:type="dxa"/>
                    <w:left w:w="0" w:type="dxa"/>
                    <w:bottom w:w="0" w:type="dxa"/>
                    <w:right w:w="0" w:type="dxa"/>
                  </w:tcMar>
                  <w:vAlign w:val="center"/>
                </w:tcPr>
                <w:p w14:paraId="0FC5F9BC">
                  <w:pPr>
                    <w:pStyle w:val="42"/>
                    <w:adjustRightInd/>
                    <w:snapToGrid/>
                    <w:ind w:left="0" w:leftChars="0" w:firstLine="0" w:firstLineChars="0"/>
                    <w:rPr>
                      <w:rFonts w:ascii="Times New Roman" w:hAnsi="Times New Roman" w:eastAsia="宋体" w:cs="Times New Roman"/>
                      <w:color w:val="auto"/>
                      <w:sz w:val="21"/>
                      <w:szCs w:val="21"/>
                    </w:rPr>
                  </w:pPr>
                </w:p>
              </w:tc>
              <w:tc>
                <w:tcPr>
                  <w:tcW w:w="434" w:type="pct"/>
                  <w:shd w:val="clear" w:color="auto" w:fill="FFFFFF"/>
                  <w:tcMar>
                    <w:top w:w="0" w:type="dxa"/>
                    <w:left w:w="0" w:type="dxa"/>
                    <w:bottom w:w="0" w:type="dxa"/>
                    <w:right w:w="0" w:type="dxa"/>
                  </w:tcMar>
                  <w:vAlign w:val="center"/>
                </w:tcPr>
                <w:p w14:paraId="390A4D95">
                  <w:pPr>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焊接机</w:t>
                  </w:r>
                </w:p>
              </w:tc>
              <w:tc>
                <w:tcPr>
                  <w:tcW w:w="376" w:type="pct"/>
                  <w:shd w:val="clear" w:color="auto" w:fill="FFFFFF"/>
                  <w:tcMar>
                    <w:top w:w="0" w:type="dxa"/>
                    <w:left w:w="0" w:type="dxa"/>
                    <w:bottom w:w="0" w:type="dxa"/>
                    <w:right w:w="0" w:type="dxa"/>
                  </w:tcMar>
                  <w:vAlign w:val="center"/>
                </w:tcPr>
                <w:p w14:paraId="5B4F0E04">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02D994D6">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4.7</w:t>
                  </w:r>
                </w:p>
              </w:tc>
              <w:tc>
                <w:tcPr>
                  <w:tcW w:w="178" w:type="pct"/>
                  <w:shd w:val="clear" w:color="auto" w:fill="FFFFFF"/>
                  <w:tcMar>
                    <w:top w:w="0" w:type="dxa"/>
                    <w:left w:w="0" w:type="dxa"/>
                    <w:bottom w:w="0" w:type="dxa"/>
                    <w:right w:w="0" w:type="dxa"/>
                  </w:tcMar>
                  <w:vAlign w:val="center"/>
                </w:tcPr>
                <w:p w14:paraId="702F8000">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-20</w:t>
                  </w:r>
                </w:p>
              </w:tc>
              <w:tc>
                <w:tcPr>
                  <w:tcW w:w="176" w:type="pct"/>
                  <w:shd w:val="clear" w:color="auto" w:fill="FFFFFF"/>
                  <w:tcMar>
                    <w:top w:w="0" w:type="dxa"/>
                    <w:left w:w="0" w:type="dxa"/>
                    <w:bottom w:w="0" w:type="dxa"/>
                    <w:right w:w="0" w:type="dxa"/>
                  </w:tcMar>
                  <w:vAlign w:val="center"/>
                </w:tcPr>
                <w:p w14:paraId="694E6AEC">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0068D84C">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25.1</w:t>
                  </w:r>
                </w:p>
              </w:tc>
              <w:tc>
                <w:tcPr>
                  <w:tcW w:w="187" w:type="pct"/>
                  <w:shd w:val="clear" w:color="auto" w:fill="FFFFFF"/>
                  <w:tcMar>
                    <w:top w:w="0" w:type="dxa"/>
                    <w:left w:w="0" w:type="dxa"/>
                    <w:bottom w:w="0" w:type="dxa"/>
                    <w:right w:w="0" w:type="dxa"/>
                  </w:tcMar>
                  <w:vAlign w:val="center"/>
                </w:tcPr>
                <w:p w14:paraId="513E990D">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8.2</w:t>
                  </w:r>
                </w:p>
              </w:tc>
              <w:tc>
                <w:tcPr>
                  <w:tcW w:w="187" w:type="pct"/>
                  <w:shd w:val="clear" w:color="auto" w:fill="FFFFFF"/>
                  <w:tcMar>
                    <w:top w:w="0" w:type="dxa"/>
                    <w:left w:w="0" w:type="dxa"/>
                    <w:bottom w:w="0" w:type="dxa"/>
                    <w:right w:w="0" w:type="dxa"/>
                  </w:tcMar>
                  <w:vAlign w:val="center"/>
                </w:tcPr>
                <w:p w14:paraId="69825F7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46.1</w:t>
                  </w:r>
                </w:p>
              </w:tc>
              <w:tc>
                <w:tcPr>
                  <w:tcW w:w="207" w:type="pct"/>
                  <w:shd w:val="clear" w:color="auto" w:fill="FFFFFF"/>
                  <w:tcMar>
                    <w:top w:w="0" w:type="dxa"/>
                    <w:left w:w="0" w:type="dxa"/>
                    <w:bottom w:w="0" w:type="dxa"/>
                    <w:right w:w="0" w:type="dxa"/>
                  </w:tcMar>
                  <w:vAlign w:val="center"/>
                </w:tcPr>
                <w:p w14:paraId="499534F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27.5</w:t>
                  </w:r>
                </w:p>
              </w:tc>
              <w:tc>
                <w:tcPr>
                  <w:tcW w:w="187" w:type="pct"/>
                  <w:shd w:val="clear" w:color="auto" w:fill="FFFFFF"/>
                  <w:tcMar>
                    <w:top w:w="0" w:type="dxa"/>
                    <w:left w:w="0" w:type="dxa"/>
                    <w:bottom w:w="0" w:type="dxa"/>
                    <w:right w:w="0" w:type="dxa"/>
                  </w:tcMar>
                  <w:vAlign w:val="center"/>
                </w:tcPr>
                <w:p w14:paraId="7C1EC92A">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441848BE">
                  <w:pPr>
                    <w:jc w:val="center"/>
                    <w:rPr>
                      <w:rFonts w:ascii="Times New Roman" w:hAnsi="Times New Roman" w:eastAsia="宋体" w:cs="Times New Roman"/>
                      <w:color w:val="auto"/>
                      <w:sz w:val="21"/>
                      <w:szCs w:val="21"/>
                    </w:rPr>
                  </w:pPr>
                  <w:r>
                    <w:rPr>
                      <w:rFonts w:ascii="Times New Roman" w:hAnsi="Times New Roman" w:cs="Times New Roman"/>
                      <w:sz w:val="21"/>
                      <w:szCs w:val="21"/>
                    </w:rPr>
                    <w:t>59.1</w:t>
                  </w:r>
                </w:p>
              </w:tc>
              <w:tc>
                <w:tcPr>
                  <w:tcW w:w="187" w:type="pct"/>
                  <w:shd w:val="clear" w:color="auto" w:fill="FFFFFF"/>
                  <w:tcMar>
                    <w:top w:w="0" w:type="dxa"/>
                    <w:left w:w="0" w:type="dxa"/>
                    <w:bottom w:w="0" w:type="dxa"/>
                    <w:right w:w="0" w:type="dxa"/>
                  </w:tcMar>
                  <w:vAlign w:val="center"/>
                </w:tcPr>
                <w:p w14:paraId="72AB7DDB">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209" w:type="pct"/>
                  <w:shd w:val="clear" w:color="auto" w:fill="FFFFFF"/>
                  <w:tcMar>
                    <w:top w:w="0" w:type="dxa"/>
                    <w:left w:w="0" w:type="dxa"/>
                    <w:bottom w:w="0" w:type="dxa"/>
                    <w:right w:w="0" w:type="dxa"/>
                  </w:tcMar>
                  <w:vAlign w:val="center"/>
                </w:tcPr>
                <w:p w14:paraId="38083CC9">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2F10B92C">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2F9C91C5">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249102AB">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6A201443">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6BB64CBE">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4BAAFF45">
                  <w:pPr>
                    <w:jc w:val="center"/>
                    <w:rPr>
                      <w:rFonts w:ascii="Times New Roman" w:hAnsi="Times New Roman" w:eastAsia="宋体" w:cs="Times New Roman"/>
                      <w:color w:val="auto"/>
                      <w:sz w:val="21"/>
                      <w:szCs w:val="21"/>
                    </w:rPr>
                  </w:pPr>
                  <w:r>
                    <w:rPr>
                      <w:rFonts w:ascii="Times New Roman" w:hAnsi="Times New Roman" w:cs="Times New Roman"/>
                      <w:sz w:val="21"/>
                      <w:szCs w:val="21"/>
                    </w:rPr>
                    <w:t>33.1</w:t>
                  </w:r>
                </w:p>
              </w:tc>
              <w:tc>
                <w:tcPr>
                  <w:tcW w:w="187" w:type="pct"/>
                  <w:shd w:val="clear" w:color="auto" w:fill="FFFFFF"/>
                  <w:tcMar>
                    <w:top w:w="0" w:type="dxa"/>
                    <w:left w:w="0" w:type="dxa"/>
                    <w:bottom w:w="0" w:type="dxa"/>
                    <w:right w:w="0" w:type="dxa"/>
                  </w:tcMar>
                  <w:vAlign w:val="center"/>
                </w:tcPr>
                <w:p w14:paraId="7A0FE9C8">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216" w:type="pct"/>
                  <w:shd w:val="clear" w:color="auto" w:fill="FFFFFF"/>
                  <w:tcMar>
                    <w:top w:w="0" w:type="dxa"/>
                    <w:left w:w="0" w:type="dxa"/>
                    <w:bottom w:w="0" w:type="dxa"/>
                    <w:right w:w="0" w:type="dxa"/>
                  </w:tcMar>
                  <w:vAlign w:val="center"/>
                </w:tcPr>
                <w:p w14:paraId="4F889730">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r>
            <w:tr w14:paraId="298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6152DA14">
                  <w:pPr>
                    <w:pStyle w:val="42"/>
                    <w:adjustRightInd/>
                    <w:snapToGrid/>
                    <w:ind w:left="0" w:leftChars="0" w:firstLine="0" w:firstLine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w:t>
                  </w:r>
                </w:p>
              </w:tc>
              <w:tc>
                <w:tcPr>
                  <w:tcW w:w="343" w:type="pct"/>
                  <w:vMerge w:val="continue"/>
                  <w:shd w:val="clear" w:color="auto" w:fill="FFFFFF"/>
                  <w:tcMar>
                    <w:top w:w="0" w:type="dxa"/>
                    <w:left w:w="0" w:type="dxa"/>
                    <w:bottom w:w="0" w:type="dxa"/>
                    <w:right w:w="0" w:type="dxa"/>
                  </w:tcMar>
                  <w:vAlign w:val="center"/>
                </w:tcPr>
                <w:p w14:paraId="428522A2">
                  <w:pPr>
                    <w:pStyle w:val="42"/>
                    <w:adjustRightInd/>
                    <w:snapToGrid/>
                    <w:ind w:left="0" w:leftChars="0" w:firstLine="0" w:firstLineChars="0"/>
                    <w:rPr>
                      <w:rFonts w:ascii="Times New Roman" w:hAnsi="Times New Roman" w:eastAsia="宋体" w:cs="Times New Roman"/>
                      <w:color w:val="auto"/>
                      <w:sz w:val="21"/>
                      <w:szCs w:val="21"/>
                    </w:rPr>
                  </w:pPr>
                </w:p>
              </w:tc>
              <w:tc>
                <w:tcPr>
                  <w:tcW w:w="434" w:type="pct"/>
                  <w:shd w:val="clear" w:color="auto" w:fill="FFFFFF"/>
                  <w:tcMar>
                    <w:top w:w="0" w:type="dxa"/>
                    <w:left w:w="0" w:type="dxa"/>
                    <w:bottom w:w="0" w:type="dxa"/>
                    <w:right w:w="0" w:type="dxa"/>
                  </w:tcMar>
                  <w:vAlign w:val="center"/>
                </w:tcPr>
                <w:p w14:paraId="088E73E0">
                  <w:pPr>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抛光机</w:t>
                  </w:r>
                </w:p>
              </w:tc>
              <w:tc>
                <w:tcPr>
                  <w:tcW w:w="376" w:type="pct"/>
                  <w:shd w:val="clear" w:color="auto" w:fill="FFFFFF"/>
                  <w:tcMar>
                    <w:top w:w="0" w:type="dxa"/>
                    <w:left w:w="0" w:type="dxa"/>
                    <w:bottom w:w="0" w:type="dxa"/>
                    <w:right w:w="0" w:type="dxa"/>
                  </w:tcMar>
                  <w:vAlign w:val="center"/>
                </w:tcPr>
                <w:p w14:paraId="5C0015BD">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0A4EEACD">
                  <w:pPr>
                    <w:jc w:val="center"/>
                    <w:rPr>
                      <w:rFonts w:ascii="Times New Roman" w:hAnsi="Times New Roman" w:eastAsia="宋体" w:cs="Times New Roman"/>
                      <w:color w:val="auto"/>
                      <w:sz w:val="21"/>
                      <w:szCs w:val="21"/>
                    </w:rPr>
                  </w:pPr>
                  <w:r>
                    <w:rPr>
                      <w:rFonts w:ascii="Times New Roman" w:hAnsi="Times New Roman" w:cs="Times New Roman"/>
                      <w:sz w:val="21"/>
                      <w:szCs w:val="21"/>
                    </w:rPr>
                    <w:t>-5.3</w:t>
                  </w:r>
                </w:p>
              </w:tc>
              <w:tc>
                <w:tcPr>
                  <w:tcW w:w="178" w:type="pct"/>
                  <w:shd w:val="clear" w:color="auto" w:fill="FFFFFF"/>
                  <w:tcMar>
                    <w:top w:w="0" w:type="dxa"/>
                    <w:left w:w="0" w:type="dxa"/>
                    <w:bottom w:w="0" w:type="dxa"/>
                    <w:right w:w="0" w:type="dxa"/>
                  </w:tcMar>
                  <w:vAlign w:val="center"/>
                </w:tcPr>
                <w:p w14:paraId="1092669C">
                  <w:pPr>
                    <w:jc w:val="center"/>
                    <w:rPr>
                      <w:rFonts w:ascii="Times New Roman" w:hAnsi="Times New Roman" w:eastAsia="宋体" w:cs="Times New Roman"/>
                      <w:color w:val="auto"/>
                      <w:sz w:val="21"/>
                      <w:szCs w:val="21"/>
                    </w:rPr>
                  </w:pPr>
                  <w:r>
                    <w:rPr>
                      <w:rFonts w:ascii="Times New Roman" w:hAnsi="Times New Roman" w:cs="Times New Roman"/>
                      <w:sz w:val="21"/>
                      <w:szCs w:val="21"/>
                    </w:rPr>
                    <w:t>-14.7</w:t>
                  </w:r>
                </w:p>
              </w:tc>
              <w:tc>
                <w:tcPr>
                  <w:tcW w:w="176" w:type="pct"/>
                  <w:shd w:val="clear" w:color="auto" w:fill="FFFFFF"/>
                  <w:tcMar>
                    <w:top w:w="0" w:type="dxa"/>
                    <w:left w:w="0" w:type="dxa"/>
                    <w:bottom w:w="0" w:type="dxa"/>
                    <w:right w:w="0" w:type="dxa"/>
                  </w:tcMar>
                  <w:vAlign w:val="center"/>
                </w:tcPr>
                <w:p w14:paraId="5B77219F">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0451BE63">
                  <w:pPr>
                    <w:jc w:val="center"/>
                    <w:rPr>
                      <w:rFonts w:ascii="Times New Roman" w:hAnsi="Times New Roman" w:eastAsia="宋体" w:cs="Times New Roman"/>
                      <w:color w:val="auto"/>
                      <w:sz w:val="21"/>
                      <w:szCs w:val="21"/>
                    </w:rPr>
                  </w:pPr>
                  <w:r>
                    <w:rPr>
                      <w:rFonts w:ascii="Times New Roman" w:hAnsi="Times New Roman" w:cs="Times New Roman"/>
                      <w:sz w:val="21"/>
                      <w:szCs w:val="21"/>
                    </w:rPr>
                    <w:t>36.4</w:t>
                  </w:r>
                </w:p>
              </w:tc>
              <w:tc>
                <w:tcPr>
                  <w:tcW w:w="187" w:type="pct"/>
                  <w:shd w:val="clear" w:color="auto" w:fill="FFFFFF"/>
                  <w:tcMar>
                    <w:top w:w="0" w:type="dxa"/>
                    <w:left w:w="0" w:type="dxa"/>
                    <w:bottom w:w="0" w:type="dxa"/>
                    <w:right w:w="0" w:type="dxa"/>
                  </w:tcMar>
                  <w:vAlign w:val="center"/>
                </w:tcPr>
                <w:p w14:paraId="4F018579">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8.2</w:t>
                  </w:r>
                </w:p>
              </w:tc>
              <w:tc>
                <w:tcPr>
                  <w:tcW w:w="187" w:type="pct"/>
                  <w:shd w:val="clear" w:color="auto" w:fill="FFFFFF"/>
                  <w:tcMar>
                    <w:top w:w="0" w:type="dxa"/>
                    <w:left w:w="0" w:type="dxa"/>
                    <w:bottom w:w="0" w:type="dxa"/>
                    <w:right w:w="0" w:type="dxa"/>
                  </w:tcMar>
                  <w:vAlign w:val="center"/>
                </w:tcPr>
                <w:p w14:paraId="086A64E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34.8</w:t>
                  </w:r>
                </w:p>
              </w:tc>
              <w:tc>
                <w:tcPr>
                  <w:tcW w:w="207" w:type="pct"/>
                  <w:shd w:val="clear" w:color="auto" w:fill="FFFFFF"/>
                  <w:tcMar>
                    <w:top w:w="0" w:type="dxa"/>
                    <w:left w:w="0" w:type="dxa"/>
                    <w:bottom w:w="0" w:type="dxa"/>
                    <w:right w:w="0" w:type="dxa"/>
                  </w:tcMar>
                  <w:vAlign w:val="center"/>
                </w:tcPr>
                <w:p w14:paraId="74AE962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27.5</w:t>
                  </w:r>
                </w:p>
              </w:tc>
              <w:tc>
                <w:tcPr>
                  <w:tcW w:w="187" w:type="pct"/>
                  <w:shd w:val="clear" w:color="auto" w:fill="FFFFFF"/>
                  <w:tcMar>
                    <w:top w:w="0" w:type="dxa"/>
                    <w:left w:w="0" w:type="dxa"/>
                    <w:bottom w:w="0" w:type="dxa"/>
                    <w:right w:w="0" w:type="dxa"/>
                  </w:tcMar>
                  <w:vAlign w:val="center"/>
                </w:tcPr>
                <w:p w14:paraId="68C2A5D6">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187" w:type="pct"/>
                  <w:shd w:val="clear" w:color="auto" w:fill="FFFFFF"/>
                  <w:tcMar>
                    <w:top w:w="0" w:type="dxa"/>
                    <w:left w:w="0" w:type="dxa"/>
                    <w:bottom w:w="0" w:type="dxa"/>
                    <w:right w:w="0" w:type="dxa"/>
                  </w:tcMar>
                  <w:vAlign w:val="center"/>
                </w:tcPr>
                <w:p w14:paraId="0E60FCF4">
                  <w:pPr>
                    <w:jc w:val="center"/>
                    <w:rPr>
                      <w:rFonts w:ascii="Times New Roman" w:hAnsi="Times New Roman" w:eastAsia="宋体" w:cs="Times New Roman"/>
                      <w:color w:val="auto"/>
                      <w:sz w:val="21"/>
                      <w:szCs w:val="21"/>
                    </w:rPr>
                  </w:pPr>
                  <w:r>
                    <w:rPr>
                      <w:rFonts w:ascii="Times New Roman" w:hAnsi="Times New Roman" w:cs="Times New Roman"/>
                      <w:sz w:val="21"/>
                      <w:szCs w:val="21"/>
                    </w:rPr>
                    <w:t>64.1</w:t>
                  </w:r>
                </w:p>
              </w:tc>
              <w:tc>
                <w:tcPr>
                  <w:tcW w:w="187" w:type="pct"/>
                  <w:shd w:val="clear" w:color="auto" w:fill="FFFFFF"/>
                  <w:tcMar>
                    <w:top w:w="0" w:type="dxa"/>
                    <w:left w:w="0" w:type="dxa"/>
                    <w:bottom w:w="0" w:type="dxa"/>
                    <w:right w:w="0" w:type="dxa"/>
                  </w:tcMar>
                  <w:vAlign w:val="center"/>
                </w:tcPr>
                <w:p w14:paraId="39D4D9EF">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209" w:type="pct"/>
                  <w:shd w:val="clear" w:color="auto" w:fill="FFFFFF"/>
                  <w:tcMar>
                    <w:top w:w="0" w:type="dxa"/>
                    <w:left w:w="0" w:type="dxa"/>
                    <w:bottom w:w="0" w:type="dxa"/>
                    <w:right w:w="0" w:type="dxa"/>
                  </w:tcMar>
                  <w:vAlign w:val="center"/>
                </w:tcPr>
                <w:p w14:paraId="35B96FA1">
                  <w:pPr>
                    <w:jc w:val="center"/>
                    <w:rPr>
                      <w:rFonts w:ascii="Times New Roman" w:hAnsi="Times New Roman" w:eastAsia="宋体" w:cs="Times New Roman"/>
                      <w:color w:val="auto"/>
                      <w:sz w:val="21"/>
                      <w:szCs w:val="21"/>
                    </w:rPr>
                  </w:pPr>
                  <w:r>
                    <w:rPr>
                      <w:rFonts w:ascii="Times New Roman" w:hAnsi="Times New Roman" w:cs="Times New Roman"/>
                      <w:sz w:val="21"/>
                      <w:szCs w:val="21"/>
                    </w:rPr>
                    <w:t>63.9</w:t>
                  </w:r>
                </w:p>
              </w:tc>
              <w:tc>
                <w:tcPr>
                  <w:tcW w:w="187" w:type="pct"/>
                  <w:shd w:val="clear" w:color="auto" w:fill="FFFFFF"/>
                  <w:tcMar>
                    <w:top w:w="0" w:type="dxa"/>
                    <w:left w:w="0" w:type="dxa"/>
                    <w:bottom w:w="0" w:type="dxa"/>
                    <w:right w:w="0" w:type="dxa"/>
                  </w:tcMar>
                  <w:vAlign w:val="center"/>
                </w:tcPr>
                <w:p w14:paraId="25FC4A1B">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5AB3C6BF">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3DDC7E87">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4EEEE585">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3DE80F69">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c>
                <w:tcPr>
                  <w:tcW w:w="187" w:type="pct"/>
                  <w:shd w:val="clear" w:color="auto" w:fill="FFFFFF"/>
                  <w:tcMar>
                    <w:top w:w="0" w:type="dxa"/>
                    <w:left w:w="0" w:type="dxa"/>
                    <w:bottom w:w="0" w:type="dxa"/>
                    <w:right w:w="0" w:type="dxa"/>
                  </w:tcMar>
                  <w:vAlign w:val="center"/>
                </w:tcPr>
                <w:p w14:paraId="0AA3FECC">
                  <w:pPr>
                    <w:jc w:val="center"/>
                    <w:rPr>
                      <w:rFonts w:ascii="Times New Roman" w:hAnsi="Times New Roman" w:eastAsia="宋体" w:cs="Times New Roman"/>
                      <w:color w:val="auto"/>
                      <w:sz w:val="21"/>
                      <w:szCs w:val="21"/>
                    </w:rPr>
                  </w:pPr>
                  <w:r>
                    <w:rPr>
                      <w:rFonts w:ascii="Times New Roman" w:hAnsi="Times New Roman" w:cs="Times New Roman"/>
                      <w:sz w:val="21"/>
                      <w:szCs w:val="21"/>
                    </w:rPr>
                    <w:t>38.1</w:t>
                  </w:r>
                </w:p>
              </w:tc>
              <w:tc>
                <w:tcPr>
                  <w:tcW w:w="187" w:type="pct"/>
                  <w:shd w:val="clear" w:color="auto" w:fill="FFFFFF"/>
                  <w:tcMar>
                    <w:top w:w="0" w:type="dxa"/>
                    <w:left w:w="0" w:type="dxa"/>
                    <w:bottom w:w="0" w:type="dxa"/>
                    <w:right w:w="0" w:type="dxa"/>
                  </w:tcMar>
                  <w:vAlign w:val="center"/>
                </w:tcPr>
                <w:p w14:paraId="50728ECE">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c>
                <w:tcPr>
                  <w:tcW w:w="216" w:type="pct"/>
                  <w:shd w:val="clear" w:color="auto" w:fill="FFFFFF"/>
                  <w:tcMar>
                    <w:top w:w="0" w:type="dxa"/>
                    <w:left w:w="0" w:type="dxa"/>
                    <w:bottom w:w="0" w:type="dxa"/>
                    <w:right w:w="0" w:type="dxa"/>
                  </w:tcMar>
                  <w:vAlign w:val="center"/>
                </w:tcPr>
                <w:p w14:paraId="55DD659A">
                  <w:pPr>
                    <w:jc w:val="center"/>
                    <w:rPr>
                      <w:rFonts w:ascii="Times New Roman" w:hAnsi="Times New Roman" w:eastAsia="宋体" w:cs="Times New Roman"/>
                      <w:color w:val="auto"/>
                      <w:sz w:val="21"/>
                      <w:szCs w:val="21"/>
                    </w:rPr>
                  </w:pPr>
                  <w:r>
                    <w:rPr>
                      <w:rFonts w:ascii="Times New Roman" w:hAnsi="Times New Roman" w:cs="Times New Roman"/>
                      <w:sz w:val="21"/>
                      <w:szCs w:val="21"/>
                    </w:rPr>
                    <w:t>37.9</w:t>
                  </w:r>
                </w:p>
              </w:tc>
            </w:tr>
            <w:tr w14:paraId="054B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07EA9E41">
                  <w:pPr>
                    <w:pStyle w:val="42"/>
                    <w:adjustRightInd/>
                    <w:snapToGrid/>
                    <w:ind w:left="0" w:leftChars="0" w:firstLine="0" w:firstLine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w:t>
                  </w:r>
                </w:p>
              </w:tc>
              <w:tc>
                <w:tcPr>
                  <w:tcW w:w="343" w:type="pct"/>
                  <w:vMerge w:val="continue"/>
                  <w:shd w:val="clear" w:color="auto" w:fill="FFFFFF"/>
                  <w:tcMar>
                    <w:top w:w="0" w:type="dxa"/>
                    <w:left w:w="0" w:type="dxa"/>
                    <w:bottom w:w="0" w:type="dxa"/>
                    <w:right w:w="0" w:type="dxa"/>
                  </w:tcMar>
                  <w:vAlign w:val="center"/>
                </w:tcPr>
                <w:p w14:paraId="4EC5CB06">
                  <w:pPr>
                    <w:pStyle w:val="42"/>
                    <w:adjustRightInd/>
                    <w:snapToGrid/>
                    <w:ind w:left="0" w:leftChars="0" w:firstLine="0" w:firstLineChars="0"/>
                    <w:rPr>
                      <w:rFonts w:ascii="Times New Roman" w:hAnsi="Times New Roman" w:eastAsia="宋体" w:cs="Times New Roman"/>
                      <w:color w:val="auto"/>
                      <w:sz w:val="21"/>
                      <w:szCs w:val="21"/>
                    </w:rPr>
                  </w:pPr>
                </w:p>
              </w:tc>
              <w:tc>
                <w:tcPr>
                  <w:tcW w:w="434" w:type="pct"/>
                  <w:shd w:val="clear" w:color="auto" w:fill="FFFFFF"/>
                  <w:tcMar>
                    <w:top w:w="0" w:type="dxa"/>
                    <w:left w:w="0" w:type="dxa"/>
                    <w:bottom w:w="0" w:type="dxa"/>
                    <w:right w:w="0" w:type="dxa"/>
                  </w:tcMar>
                  <w:vAlign w:val="center"/>
                </w:tcPr>
                <w:p w14:paraId="150A93DA">
                  <w:pPr>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喷塑房</w:t>
                  </w:r>
                </w:p>
              </w:tc>
              <w:tc>
                <w:tcPr>
                  <w:tcW w:w="376" w:type="pct"/>
                  <w:shd w:val="clear" w:color="auto" w:fill="FFFFFF"/>
                  <w:tcMar>
                    <w:top w:w="0" w:type="dxa"/>
                    <w:left w:w="0" w:type="dxa"/>
                    <w:bottom w:w="0" w:type="dxa"/>
                    <w:right w:w="0" w:type="dxa"/>
                  </w:tcMar>
                  <w:vAlign w:val="center"/>
                </w:tcPr>
                <w:p w14:paraId="51D6D089">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390AF668">
                  <w:pPr>
                    <w:jc w:val="center"/>
                    <w:rPr>
                      <w:rFonts w:ascii="Times New Roman" w:hAnsi="Times New Roman" w:eastAsia="宋体" w:cs="Times New Roman"/>
                      <w:color w:val="auto"/>
                      <w:sz w:val="21"/>
                      <w:szCs w:val="21"/>
                    </w:rPr>
                  </w:pPr>
                  <w:r>
                    <w:rPr>
                      <w:rFonts w:ascii="Times New Roman" w:hAnsi="Times New Roman" w:cs="Times New Roman"/>
                      <w:sz w:val="21"/>
                      <w:szCs w:val="21"/>
                    </w:rPr>
                    <w:t>-21.6</w:t>
                  </w:r>
                </w:p>
              </w:tc>
              <w:tc>
                <w:tcPr>
                  <w:tcW w:w="178" w:type="pct"/>
                  <w:shd w:val="clear" w:color="auto" w:fill="FFFFFF"/>
                  <w:tcMar>
                    <w:top w:w="0" w:type="dxa"/>
                    <w:left w:w="0" w:type="dxa"/>
                    <w:bottom w:w="0" w:type="dxa"/>
                    <w:right w:w="0" w:type="dxa"/>
                  </w:tcMar>
                  <w:vAlign w:val="center"/>
                </w:tcPr>
                <w:p w14:paraId="749BB710">
                  <w:pPr>
                    <w:jc w:val="center"/>
                    <w:rPr>
                      <w:rFonts w:ascii="Times New Roman" w:hAnsi="Times New Roman" w:eastAsia="宋体" w:cs="Times New Roman"/>
                      <w:color w:val="auto"/>
                      <w:sz w:val="21"/>
                      <w:szCs w:val="21"/>
                    </w:rPr>
                  </w:pPr>
                  <w:r>
                    <w:rPr>
                      <w:rFonts w:ascii="Times New Roman" w:hAnsi="Times New Roman" w:cs="Times New Roman"/>
                      <w:sz w:val="21"/>
                      <w:szCs w:val="21"/>
                    </w:rPr>
                    <w:t>26.1</w:t>
                  </w:r>
                </w:p>
              </w:tc>
              <w:tc>
                <w:tcPr>
                  <w:tcW w:w="176" w:type="pct"/>
                  <w:shd w:val="clear" w:color="auto" w:fill="FFFFFF"/>
                  <w:tcMar>
                    <w:top w:w="0" w:type="dxa"/>
                    <w:left w:w="0" w:type="dxa"/>
                    <w:bottom w:w="0" w:type="dxa"/>
                    <w:right w:w="0" w:type="dxa"/>
                  </w:tcMar>
                  <w:vAlign w:val="center"/>
                </w:tcPr>
                <w:p w14:paraId="14CAE55D">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46CDE0B3">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66.5</w:t>
                  </w:r>
                </w:p>
              </w:tc>
              <w:tc>
                <w:tcPr>
                  <w:tcW w:w="187" w:type="pct"/>
                  <w:shd w:val="clear" w:color="auto" w:fill="FFFFFF"/>
                  <w:tcMar>
                    <w:top w:w="0" w:type="dxa"/>
                    <w:left w:w="0" w:type="dxa"/>
                    <w:bottom w:w="0" w:type="dxa"/>
                    <w:right w:w="0" w:type="dxa"/>
                  </w:tcMar>
                  <w:vAlign w:val="center"/>
                </w:tcPr>
                <w:p w14:paraId="63320A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29.8</w:t>
                  </w:r>
                </w:p>
              </w:tc>
              <w:tc>
                <w:tcPr>
                  <w:tcW w:w="187" w:type="pct"/>
                  <w:shd w:val="clear" w:color="auto" w:fill="FFFFFF"/>
                  <w:tcMar>
                    <w:top w:w="0" w:type="dxa"/>
                    <w:left w:w="0" w:type="dxa"/>
                    <w:bottom w:w="0" w:type="dxa"/>
                    <w:right w:w="0" w:type="dxa"/>
                  </w:tcMar>
                  <w:vAlign w:val="center"/>
                </w:tcPr>
                <w:p w14:paraId="11CB565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4.7</w:t>
                  </w:r>
                </w:p>
              </w:tc>
              <w:tc>
                <w:tcPr>
                  <w:tcW w:w="207" w:type="pct"/>
                  <w:shd w:val="clear" w:color="auto" w:fill="FFFFFF"/>
                  <w:tcMar>
                    <w:top w:w="0" w:type="dxa"/>
                    <w:left w:w="0" w:type="dxa"/>
                    <w:bottom w:w="0" w:type="dxa"/>
                    <w:right w:w="0" w:type="dxa"/>
                  </w:tcMar>
                  <w:vAlign w:val="center"/>
                </w:tcPr>
                <w:p w14:paraId="40BBBA91">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5.9</w:t>
                  </w:r>
                </w:p>
              </w:tc>
              <w:tc>
                <w:tcPr>
                  <w:tcW w:w="187" w:type="pct"/>
                  <w:shd w:val="clear" w:color="auto" w:fill="FFFFFF"/>
                  <w:tcMar>
                    <w:top w:w="0" w:type="dxa"/>
                    <w:left w:w="0" w:type="dxa"/>
                    <w:bottom w:w="0" w:type="dxa"/>
                    <w:right w:w="0" w:type="dxa"/>
                  </w:tcMar>
                  <w:vAlign w:val="center"/>
                </w:tcPr>
                <w:p w14:paraId="7CF135A6">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4CA40D80">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4CA6CC6E">
                  <w:pPr>
                    <w:jc w:val="center"/>
                    <w:rPr>
                      <w:rFonts w:ascii="Times New Roman" w:hAnsi="Times New Roman" w:eastAsia="宋体" w:cs="Times New Roman"/>
                      <w:color w:val="auto"/>
                      <w:sz w:val="21"/>
                      <w:szCs w:val="21"/>
                    </w:rPr>
                  </w:pPr>
                  <w:r>
                    <w:rPr>
                      <w:rFonts w:ascii="Times New Roman" w:hAnsi="Times New Roman" w:cs="Times New Roman"/>
                      <w:sz w:val="21"/>
                      <w:szCs w:val="21"/>
                    </w:rPr>
                    <w:t>59.0</w:t>
                  </w:r>
                </w:p>
              </w:tc>
              <w:tc>
                <w:tcPr>
                  <w:tcW w:w="209" w:type="pct"/>
                  <w:shd w:val="clear" w:color="auto" w:fill="FFFFFF"/>
                  <w:tcMar>
                    <w:top w:w="0" w:type="dxa"/>
                    <w:left w:w="0" w:type="dxa"/>
                    <w:bottom w:w="0" w:type="dxa"/>
                    <w:right w:w="0" w:type="dxa"/>
                  </w:tcMar>
                  <w:vAlign w:val="center"/>
                </w:tcPr>
                <w:p w14:paraId="35FD6523">
                  <w:pPr>
                    <w:jc w:val="center"/>
                    <w:rPr>
                      <w:rFonts w:ascii="Times New Roman" w:hAnsi="Times New Roman" w:eastAsia="宋体" w:cs="Times New Roman"/>
                      <w:color w:val="auto"/>
                      <w:sz w:val="21"/>
                      <w:szCs w:val="21"/>
                    </w:rPr>
                  </w:pPr>
                  <w:r>
                    <w:rPr>
                      <w:rFonts w:ascii="Times New Roman" w:hAnsi="Times New Roman" w:cs="Times New Roman"/>
                      <w:sz w:val="21"/>
                      <w:szCs w:val="21"/>
                    </w:rPr>
                    <w:t>59.3</w:t>
                  </w:r>
                </w:p>
              </w:tc>
              <w:tc>
                <w:tcPr>
                  <w:tcW w:w="187" w:type="pct"/>
                  <w:shd w:val="clear" w:color="auto" w:fill="FFFFFF"/>
                  <w:tcMar>
                    <w:top w:w="0" w:type="dxa"/>
                    <w:left w:w="0" w:type="dxa"/>
                    <w:bottom w:w="0" w:type="dxa"/>
                    <w:right w:w="0" w:type="dxa"/>
                  </w:tcMar>
                  <w:vAlign w:val="center"/>
                </w:tcPr>
                <w:p w14:paraId="551DCD00">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734E584E">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1F9EAA57">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24F984C7">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1367907A">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071E450E">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2F4BEE6C">
                  <w:pPr>
                    <w:jc w:val="center"/>
                    <w:rPr>
                      <w:rFonts w:ascii="Times New Roman" w:hAnsi="Times New Roman" w:eastAsia="宋体" w:cs="Times New Roman"/>
                      <w:color w:val="auto"/>
                      <w:sz w:val="21"/>
                      <w:szCs w:val="21"/>
                    </w:rPr>
                  </w:pPr>
                  <w:r>
                    <w:rPr>
                      <w:rFonts w:ascii="Times New Roman" w:hAnsi="Times New Roman" w:cs="Times New Roman"/>
                      <w:sz w:val="21"/>
                      <w:szCs w:val="21"/>
                    </w:rPr>
                    <w:t>33.0</w:t>
                  </w:r>
                </w:p>
              </w:tc>
              <w:tc>
                <w:tcPr>
                  <w:tcW w:w="216" w:type="pct"/>
                  <w:shd w:val="clear" w:color="auto" w:fill="FFFFFF"/>
                  <w:tcMar>
                    <w:top w:w="0" w:type="dxa"/>
                    <w:left w:w="0" w:type="dxa"/>
                    <w:bottom w:w="0" w:type="dxa"/>
                    <w:right w:w="0" w:type="dxa"/>
                  </w:tcMar>
                  <w:vAlign w:val="center"/>
                </w:tcPr>
                <w:p w14:paraId="0F0671E4">
                  <w:pPr>
                    <w:jc w:val="center"/>
                    <w:rPr>
                      <w:rFonts w:ascii="Times New Roman" w:hAnsi="Times New Roman" w:eastAsia="宋体" w:cs="Times New Roman"/>
                      <w:color w:val="auto"/>
                      <w:sz w:val="21"/>
                      <w:szCs w:val="21"/>
                    </w:rPr>
                  </w:pPr>
                  <w:r>
                    <w:rPr>
                      <w:rFonts w:ascii="Times New Roman" w:hAnsi="Times New Roman" w:cs="Times New Roman"/>
                      <w:sz w:val="21"/>
                      <w:szCs w:val="21"/>
                    </w:rPr>
                    <w:t>33.3</w:t>
                  </w:r>
                </w:p>
              </w:tc>
            </w:tr>
            <w:tr w14:paraId="4589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trPr>
              <w:tc>
                <w:tcPr>
                  <w:tcW w:w="225" w:type="pct"/>
                  <w:shd w:val="clear" w:color="auto" w:fill="FFFFFF"/>
                  <w:tcMar>
                    <w:top w:w="0" w:type="dxa"/>
                    <w:left w:w="0" w:type="dxa"/>
                    <w:bottom w:w="0" w:type="dxa"/>
                    <w:right w:w="0" w:type="dxa"/>
                  </w:tcMar>
                  <w:vAlign w:val="center"/>
                </w:tcPr>
                <w:p w14:paraId="4B838D09">
                  <w:pPr>
                    <w:pStyle w:val="42"/>
                    <w:adjustRightInd/>
                    <w:snapToGrid/>
                    <w:ind w:left="0" w:leftChars="0" w:firstLine="0" w:firstLine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6</w:t>
                  </w:r>
                </w:p>
              </w:tc>
              <w:tc>
                <w:tcPr>
                  <w:tcW w:w="343" w:type="pct"/>
                  <w:vMerge w:val="continue"/>
                  <w:shd w:val="clear" w:color="auto" w:fill="FFFFFF"/>
                  <w:tcMar>
                    <w:top w:w="0" w:type="dxa"/>
                    <w:left w:w="0" w:type="dxa"/>
                    <w:bottom w:w="0" w:type="dxa"/>
                    <w:right w:w="0" w:type="dxa"/>
                  </w:tcMar>
                  <w:vAlign w:val="center"/>
                </w:tcPr>
                <w:p w14:paraId="10C66B4A">
                  <w:pPr>
                    <w:pStyle w:val="42"/>
                    <w:adjustRightInd/>
                    <w:snapToGrid/>
                    <w:ind w:left="0" w:leftChars="0" w:firstLine="0" w:firstLineChars="0"/>
                    <w:rPr>
                      <w:rFonts w:ascii="Times New Roman" w:hAnsi="Times New Roman" w:eastAsia="宋体" w:cs="Times New Roman"/>
                      <w:color w:val="auto"/>
                      <w:sz w:val="21"/>
                      <w:szCs w:val="21"/>
                    </w:rPr>
                  </w:pPr>
                </w:p>
              </w:tc>
              <w:tc>
                <w:tcPr>
                  <w:tcW w:w="434" w:type="pct"/>
                  <w:shd w:val="clear" w:color="auto" w:fill="FFFFFF"/>
                  <w:tcMar>
                    <w:top w:w="0" w:type="dxa"/>
                    <w:left w:w="0" w:type="dxa"/>
                    <w:bottom w:w="0" w:type="dxa"/>
                    <w:right w:w="0" w:type="dxa"/>
                  </w:tcMar>
                  <w:vAlign w:val="center"/>
                </w:tcPr>
                <w:p w14:paraId="270EA145">
                  <w:pPr>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固化房</w:t>
                  </w:r>
                </w:p>
              </w:tc>
              <w:tc>
                <w:tcPr>
                  <w:tcW w:w="376" w:type="pct"/>
                  <w:shd w:val="clear" w:color="auto" w:fill="FFFFFF"/>
                  <w:tcMar>
                    <w:top w:w="0" w:type="dxa"/>
                    <w:left w:w="0" w:type="dxa"/>
                    <w:bottom w:w="0" w:type="dxa"/>
                    <w:right w:w="0" w:type="dxa"/>
                  </w:tcMar>
                  <w:vAlign w:val="center"/>
                </w:tcPr>
                <w:p w14:paraId="774D8E0F">
                  <w:pPr>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178" w:type="pct"/>
                  <w:shd w:val="clear" w:color="auto" w:fill="FFFFFF"/>
                  <w:tcMar>
                    <w:top w:w="0" w:type="dxa"/>
                    <w:left w:w="0" w:type="dxa"/>
                    <w:bottom w:w="0" w:type="dxa"/>
                    <w:right w:w="0" w:type="dxa"/>
                  </w:tcMar>
                  <w:vAlign w:val="center"/>
                </w:tcPr>
                <w:p w14:paraId="754FC5EA">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-9.7</w:t>
                  </w:r>
                </w:p>
              </w:tc>
              <w:tc>
                <w:tcPr>
                  <w:tcW w:w="178" w:type="pct"/>
                  <w:shd w:val="clear" w:color="auto" w:fill="FFFFFF"/>
                  <w:tcMar>
                    <w:top w:w="0" w:type="dxa"/>
                    <w:left w:w="0" w:type="dxa"/>
                    <w:bottom w:w="0" w:type="dxa"/>
                    <w:right w:w="0" w:type="dxa"/>
                  </w:tcMar>
                  <w:vAlign w:val="center"/>
                </w:tcPr>
                <w:p w14:paraId="10689494">
                  <w:pPr>
                    <w:jc w:val="center"/>
                    <w:rPr>
                      <w:rFonts w:ascii="Times New Roman" w:hAnsi="Times New Roman" w:eastAsia="宋体" w:cs="Times New Roman"/>
                      <w:color w:val="auto"/>
                      <w:sz w:val="21"/>
                      <w:szCs w:val="21"/>
                    </w:rPr>
                  </w:pPr>
                  <w:r>
                    <w:rPr>
                      <w:rFonts w:ascii="Times New Roman" w:hAnsi="Times New Roman" w:cs="Times New Roman"/>
                      <w:sz w:val="21"/>
                      <w:szCs w:val="21"/>
                    </w:rPr>
                    <w:t>20.1</w:t>
                  </w:r>
                </w:p>
              </w:tc>
              <w:tc>
                <w:tcPr>
                  <w:tcW w:w="176" w:type="pct"/>
                  <w:shd w:val="clear" w:color="auto" w:fill="FFFFFF"/>
                  <w:tcMar>
                    <w:top w:w="0" w:type="dxa"/>
                    <w:left w:w="0" w:type="dxa"/>
                    <w:bottom w:w="0" w:type="dxa"/>
                    <w:right w:w="0" w:type="dxa"/>
                  </w:tcMar>
                  <w:vAlign w:val="center"/>
                </w:tcPr>
                <w:p w14:paraId="17189AE7">
                  <w:pPr>
                    <w:jc w:val="center"/>
                    <w:rPr>
                      <w:rFonts w:ascii="Times New Roman" w:hAnsi="Times New Roman" w:eastAsia="宋体" w:cs="Times New Roman"/>
                      <w:color w:val="auto"/>
                      <w:sz w:val="21"/>
                      <w:szCs w:val="21"/>
                    </w:rPr>
                  </w:pPr>
                  <w:r>
                    <w:rPr>
                      <w:rFonts w:ascii="Times New Roman" w:hAnsi="Times New Roman" w:cs="Times New Roman"/>
                      <w:sz w:val="21"/>
                      <w:szCs w:val="21"/>
                    </w:rPr>
                    <w:t>1.2</w:t>
                  </w:r>
                </w:p>
              </w:tc>
              <w:tc>
                <w:tcPr>
                  <w:tcW w:w="187" w:type="pct"/>
                  <w:shd w:val="clear" w:color="auto" w:fill="FFFFFF"/>
                  <w:tcMar>
                    <w:top w:w="0" w:type="dxa"/>
                    <w:left w:w="0" w:type="dxa"/>
                    <w:bottom w:w="0" w:type="dxa"/>
                    <w:right w:w="0" w:type="dxa"/>
                  </w:tcMar>
                  <w:vAlign w:val="center"/>
                </w:tcPr>
                <w:p w14:paraId="25FB5F0B">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53.3</w:t>
                  </w:r>
                </w:p>
              </w:tc>
              <w:tc>
                <w:tcPr>
                  <w:tcW w:w="187" w:type="pct"/>
                  <w:shd w:val="clear" w:color="auto" w:fill="FFFFFF"/>
                  <w:tcMar>
                    <w:top w:w="0" w:type="dxa"/>
                    <w:left w:w="0" w:type="dxa"/>
                    <w:bottom w:w="0" w:type="dxa"/>
                    <w:right w:w="0" w:type="dxa"/>
                  </w:tcMar>
                  <w:vAlign w:val="center"/>
                </w:tcPr>
                <w:p w14:paraId="3779FBA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29.8</w:t>
                  </w:r>
                </w:p>
              </w:tc>
              <w:tc>
                <w:tcPr>
                  <w:tcW w:w="187" w:type="pct"/>
                  <w:shd w:val="clear" w:color="auto" w:fill="FFFFFF"/>
                  <w:tcMar>
                    <w:top w:w="0" w:type="dxa"/>
                    <w:left w:w="0" w:type="dxa"/>
                    <w:bottom w:w="0" w:type="dxa"/>
                    <w:right w:w="0" w:type="dxa"/>
                  </w:tcMar>
                  <w:vAlign w:val="center"/>
                </w:tcPr>
                <w:p w14:paraId="5DB7A9D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17.9</w:t>
                  </w:r>
                </w:p>
              </w:tc>
              <w:tc>
                <w:tcPr>
                  <w:tcW w:w="207" w:type="pct"/>
                  <w:shd w:val="clear" w:color="auto" w:fill="FFFFFF"/>
                  <w:tcMar>
                    <w:top w:w="0" w:type="dxa"/>
                    <w:left w:w="0" w:type="dxa"/>
                    <w:bottom w:w="0" w:type="dxa"/>
                    <w:right w:w="0" w:type="dxa"/>
                  </w:tcMar>
                  <w:vAlign w:val="center"/>
                </w:tcPr>
                <w:p w14:paraId="69FB0F64">
                  <w:pPr>
                    <w:jc w:val="center"/>
                    <w:rPr>
                      <w:rFonts w:ascii="Times New Roman" w:hAnsi="Times New Roman" w:eastAsia="宋体" w:cs="Times New Roman"/>
                      <w:color w:val="auto"/>
                      <w:sz w:val="21"/>
                      <w:szCs w:val="21"/>
                      <w:lang w:eastAsia="zh-CN"/>
                    </w:rPr>
                  </w:pPr>
                  <w:r>
                    <w:rPr>
                      <w:rFonts w:ascii="Times New Roman" w:hAnsi="Times New Roman" w:cs="Times New Roman"/>
                      <w:sz w:val="21"/>
                      <w:szCs w:val="21"/>
                    </w:rPr>
                    <w:t>5.9</w:t>
                  </w:r>
                </w:p>
              </w:tc>
              <w:tc>
                <w:tcPr>
                  <w:tcW w:w="187" w:type="pct"/>
                  <w:shd w:val="clear" w:color="auto" w:fill="FFFFFF"/>
                  <w:tcMar>
                    <w:top w:w="0" w:type="dxa"/>
                    <w:left w:w="0" w:type="dxa"/>
                    <w:bottom w:w="0" w:type="dxa"/>
                    <w:right w:w="0" w:type="dxa"/>
                  </w:tcMar>
                  <w:vAlign w:val="center"/>
                </w:tcPr>
                <w:p w14:paraId="5F8A6650">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5B83F5FC">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187" w:type="pct"/>
                  <w:shd w:val="clear" w:color="auto" w:fill="FFFFFF"/>
                  <w:tcMar>
                    <w:top w:w="0" w:type="dxa"/>
                    <w:left w:w="0" w:type="dxa"/>
                    <w:bottom w:w="0" w:type="dxa"/>
                    <w:right w:w="0" w:type="dxa"/>
                  </w:tcMar>
                  <w:vAlign w:val="center"/>
                </w:tcPr>
                <w:p w14:paraId="7080A61A">
                  <w:pPr>
                    <w:jc w:val="center"/>
                    <w:rPr>
                      <w:rFonts w:ascii="Times New Roman" w:hAnsi="Times New Roman" w:eastAsia="宋体" w:cs="Times New Roman"/>
                      <w:color w:val="auto"/>
                      <w:sz w:val="21"/>
                      <w:szCs w:val="21"/>
                    </w:rPr>
                  </w:pPr>
                  <w:r>
                    <w:rPr>
                      <w:rFonts w:ascii="Times New Roman" w:hAnsi="Times New Roman" w:cs="Times New Roman"/>
                      <w:sz w:val="21"/>
                      <w:szCs w:val="21"/>
                    </w:rPr>
                    <w:t>58.9</w:t>
                  </w:r>
                </w:p>
              </w:tc>
              <w:tc>
                <w:tcPr>
                  <w:tcW w:w="209" w:type="pct"/>
                  <w:shd w:val="clear" w:color="auto" w:fill="FFFFFF"/>
                  <w:tcMar>
                    <w:top w:w="0" w:type="dxa"/>
                    <w:left w:w="0" w:type="dxa"/>
                    <w:bottom w:w="0" w:type="dxa"/>
                    <w:right w:w="0" w:type="dxa"/>
                  </w:tcMar>
                  <w:vAlign w:val="center"/>
                </w:tcPr>
                <w:p w14:paraId="12712052">
                  <w:pPr>
                    <w:jc w:val="center"/>
                    <w:rPr>
                      <w:rFonts w:ascii="Times New Roman" w:hAnsi="Times New Roman" w:eastAsia="宋体" w:cs="Times New Roman"/>
                      <w:color w:val="auto"/>
                      <w:sz w:val="21"/>
                      <w:szCs w:val="21"/>
                    </w:rPr>
                  </w:pPr>
                  <w:r>
                    <w:rPr>
                      <w:rFonts w:ascii="Times New Roman" w:hAnsi="Times New Roman" w:cs="Times New Roman"/>
                      <w:sz w:val="21"/>
                      <w:szCs w:val="21"/>
                    </w:rPr>
                    <w:t>59.3</w:t>
                  </w:r>
                </w:p>
              </w:tc>
              <w:tc>
                <w:tcPr>
                  <w:tcW w:w="187" w:type="pct"/>
                  <w:shd w:val="clear" w:color="auto" w:fill="FFFFFF"/>
                  <w:tcMar>
                    <w:top w:w="0" w:type="dxa"/>
                    <w:left w:w="0" w:type="dxa"/>
                    <w:bottom w:w="0" w:type="dxa"/>
                    <w:right w:w="0" w:type="dxa"/>
                  </w:tcMar>
                  <w:vAlign w:val="center"/>
                </w:tcPr>
                <w:p w14:paraId="18F19A6C">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07BDD04B">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17EC836C">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209" w:type="pct"/>
                  <w:shd w:val="clear" w:color="auto" w:fill="FFFFFF"/>
                  <w:tcMar>
                    <w:top w:w="0" w:type="dxa"/>
                    <w:left w:w="0" w:type="dxa"/>
                    <w:bottom w:w="0" w:type="dxa"/>
                    <w:right w:w="0" w:type="dxa"/>
                  </w:tcMar>
                  <w:vAlign w:val="center"/>
                </w:tcPr>
                <w:p w14:paraId="677A8639">
                  <w:pPr>
                    <w:jc w:val="center"/>
                    <w:rPr>
                      <w:rFonts w:ascii="Times New Roman" w:hAnsi="Times New Roman" w:eastAsia="宋体" w:cs="Times New Roman"/>
                      <w:color w:val="auto"/>
                      <w:sz w:val="21"/>
                      <w:szCs w:val="21"/>
                    </w:rPr>
                  </w:pPr>
                  <w:r>
                    <w:rPr>
                      <w:rFonts w:ascii="Times New Roman" w:hAnsi="Times New Roman" w:cs="Times New Roman"/>
                      <w:sz w:val="21"/>
                      <w:szCs w:val="21"/>
                    </w:rPr>
                    <w:t>26.0</w:t>
                  </w:r>
                </w:p>
              </w:tc>
              <w:tc>
                <w:tcPr>
                  <w:tcW w:w="187" w:type="pct"/>
                  <w:shd w:val="clear" w:color="auto" w:fill="FFFFFF"/>
                  <w:tcMar>
                    <w:top w:w="0" w:type="dxa"/>
                    <w:left w:w="0" w:type="dxa"/>
                    <w:bottom w:w="0" w:type="dxa"/>
                    <w:right w:w="0" w:type="dxa"/>
                  </w:tcMar>
                  <w:vAlign w:val="center"/>
                </w:tcPr>
                <w:p w14:paraId="627C1731">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4D928E83">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187" w:type="pct"/>
                  <w:shd w:val="clear" w:color="auto" w:fill="FFFFFF"/>
                  <w:tcMar>
                    <w:top w:w="0" w:type="dxa"/>
                    <w:left w:w="0" w:type="dxa"/>
                    <w:bottom w:w="0" w:type="dxa"/>
                    <w:right w:w="0" w:type="dxa"/>
                  </w:tcMar>
                  <w:vAlign w:val="center"/>
                </w:tcPr>
                <w:p w14:paraId="0A721E05">
                  <w:pPr>
                    <w:jc w:val="center"/>
                    <w:rPr>
                      <w:rFonts w:ascii="Times New Roman" w:hAnsi="Times New Roman" w:eastAsia="宋体" w:cs="Times New Roman"/>
                      <w:color w:val="auto"/>
                      <w:sz w:val="21"/>
                      <w:szCs w:val="21"/>
                    </w:rPr>
                  </w:pPr>
                  <w:r>
                    <w:rPr>
                      <w:rFonts w:ascii="Times New Roman" w:hAnsi="Times New Roman" w:cs="Times New Roman"/>
                      <w:sz w:val="21"/>
                      <w:szCs w:val="21"/>
                    </w:rPr>
                    <w:t>32.9</w:t>
                  </w:r>
                </w:p>
              </w:tc>
              <w:tc>
                <w:tcPr>
                  <w:tcW w:w="216" w:type="pct"/>
                  <w:shd w:val="clear" w:color="auto" w:fill="FFFFFF"/>
                  <w:tcMar>
                    <w:top w:w="0" w:type="dxa"/>
                    <w:left w:w="0" w:type="dxa"/>
                    <w:bottom w:w="0" w:type="dxa"/>
                    <w:right w:w="0" w:type="dxa"/>
                  </w:tcMar>
                  <w:vAlign w:val="center"/>
                </w:tcPr>
                <w:p w14:paraId="56F664E8">
                  <w:pPr>
                    <w:jc w:val="center"/>
                    <w:rPr>
                      <w:rFonts w:ascii="Times New Roman" w:hAnsi="Times New Roman" w:eastAsia="宋体" w:cs="Times New Roman"/>
                      <w:color w:val="auto"/>
                      <w:sz w:val="21"/>
                      <w:szCs w:val="21"/>
                    </w:rPr>
                  </w:pPr>
                  <w:r>
                    <w:rPr>
                      <w:rFonts w:ascii="Times New Roman" w:hAnsi="Times New Roman" w:cs="Times New Roman"/>
                      <w:sz w:val="21"/>
                      <w:szCs w:val="21"/>
                    </w:rPr>
                    <w:t>33.3</w:t>
                  </w:r>
                </w:p>
              </w:tc>
            </w:tr>
            <w:bookmarkEnd w:id="13"/>
          </w:tbl>
          <w:p w14:paraId="728F0A69">
            <w:pPr>
              <w:widowControl w:val="0"/>
              <w:jc w:val="both"/>
              <w:rPr>
                <w:rFonts w:ascii="Times New Roman" w:hAnsi="Times New Roman" w:cs="Times New Roman"/>
              </w:rPr>
            </w:pPr>
            <w:r>
              <w:rPr>
                <w:rFonts w:ascii="Times New Roman" w:hAnsi="Times New Roman" w:cs="Times New Roman" w:eastAsiaTheme="minorEastAsia"/>
                <w:bCs/>
                <w:lang w:eastAsia="zh-CN"/>
              </w:rPr>
              <w:t>表中坐标以厂界中心（</w:t>
            </w:r>
            <w:bookmarkStart w:id="15" w:name="PO_7"/>
            <w:r>
              <w:rPr>
                <w:rFonts w:ascii="Times New Roman" w:hAnsi="Times New Roman" w:cs="Times New Roman" w:eastAsiaTheme="minorEastAsia"/>
                <w:bCs/>
                <w:lang w:eastAsia="zh-CN"/>
              </w:rPr>
              <w:t>116.739006，33.870571</w:t>
            </w:r>
            <w:bookmarkEnd w:id="15"/>
            <w:r>
              <w:rPr>
                <w:rFonts w:ascii="Times New Roman" w:hAnsi="Times New Roman" w:cs="Times New Roman" w:eastAsiaTheme="minorEastAsia"/>
                <w:bCs/>
                <w:lang w:eastAsia="zh-CN"/>
              </w:rPr>
              <w:t>）为坐标原点，正东向为X轴正方向，正北向为Y轴正方向</w:t>
            </w:r>
          </w:p>
          <w:p w14:paraId="748F4C10">
            <w:pPr>
              <w:widowControl w:val="0"/>
              <w:jc w:val="both"/>
              <w:rPr>
                <w:rFonts w:ascii="Times New Roman" w:hAnsi="Times New Roman" w:eastAsia="黑体" w:cs="Times New Roman"/>
                <w:color w:val="auto"/>
                <w:sz w:val="30"/>
                <w:szCs w:val="30"/>
              </w:rPr>
            </w:pPr>
          </w:p>
        </w:tc>
      </w:tr>
    </w:tbl>
    <w:p w14:paraId="395A4861">
      <w:pP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tbl>
      <w:tblPr>
        <w:tblStyle w:val="22"/>
        <w:tblW w:w="51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8104"/>
      </w:tblGrid>
      <w:tr w14:paraId="3E72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76" w:hRule="atLeast"/>
          <w:jc w:val="center"/>
        </w:trPr>
        <w:tc>
          <w:tcPr>
            <w:tcW w:w="507" w:type="pct"/>
          </w:tcPr>
          <w:p w14:paraId="579773A0">
            <w:pPr>
              <w:pStyle w:val="27"/>
              <w:adjustRightInd/>
              <w:snapToGrid/>
              <w:rPr>
                <w:rFonts w:ascii="Times New Roman" w:hAnsi="Times New Roman"/>
                <w:color w:val="auto"/>
              </w:rPr>
            </w:pPr>
          </w:p>
        </w:tc>
        <w:tc>
          <w:tcPr>
            <w:tcW w:w="4492" w:type="pct"/>
          </w:tcPr>
          <w:p w14:paraId="683B986A">
            <w:pPr>
              <w:pStyle w:val="55"/>
              <w:keepNext w:val="0"/>
              <w:keepLines w:val="0"/>
              <w:pageBreakBefore w:val="0"/>
              <w:widowControl/>
              <w:wordWrap/>
              <w:overflowPunct/>
              <w:topLinePunct w:val="0"/>
              <w:autoSpaceDE w:val="0"/>
              <w:autoSpaceDN w:val="0"/>
              <w:bidi w:val="0"/>
              <w:adjustRightInd/>
              <w:snapToGrid/>
              <w:spacing w:before="0" w:line="360" w:lineRule="auto"/>
              <w:ind w:firstLineChars="200"/>
              <w:textAlignment w:val="baseline"/>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2、厂界达标情况分析</w:t>
            </w:r>
          </w:p>
          <w:p w14:paraId="51530BCC">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bCs/>
                <w:color w:val="auto"/>
                <w:spacing w:val="8"/>
                <w:sz w:val="24"/>
              </w:rPr>
            </w:pPr>
            <w:r>
              <w:rPr>
                <w:rFonts w:ascii="Times New Roman" w:hAnsi="Times New Roman" w:eastAsia="宋体" w:cs="Times New Roman"/>
                <w:color w:val="auto"/>
                <w:sz w:val="24"/>
              </w:rPr>
              <w:t>预测模式采用《环境影响评价技术导则 声环境》（HJ 2.4—2021）中推荐的模型。根据建设项目噪声源和环境特征，预测过程中考虑了厂房等建筑物的屏障作用、空气吸收效应。</w:t>
            </w:r>
          </w:p>
          <w:p w14:paraId="79F88386">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（1）室外声源</w:t>
            </w:r>
          </w:p>
          <w:p w14:paraId="4DDA9388">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① 计算某个声源在预测点的倍频带声压级</w:t>
            </w:r>
          </w:p>
          <w:p w14:paraId="555A98F4">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lang w:val="zh-CN"/>
              </w:rPr>
            </w:pPr>
            <w:r>
              <w:rPr>
                <w:rFonts w:ascii="Times New Roman" w:hAnsi="Times New Roman" w:eastAsia="宋体" w:cs="Times New Roman"/>
                <w:color w:val="auto"/>
              </w:rPr>
              <w:drawing>
                <wp:inline distT="0" distB="0" distL="114300" distR="114300">
                  <wp:extent cx="2016760" cy="436880"/>
                  <wp:effectExtent l="0" t="0" r="10160" b="4445"/>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18"/>
                          <a:stretch>
                            <a:fillRect/>
                          </a:stretch>
                        </pic:blipFill>
                        <pic:spPr>
                          <a:xfrm>
                            <a:off x="0" y="0"/>
                            <a:ext cx="2016760" cy="436880"/>
                          </a:xfrm>
                          <a:prstGeom prst="rect">
                            <a:avLst/>
                          </a:prstGeom>
                          <a:noFill/>
                          <a:ln>
                            <a:noFill/>
                          </a:ln>
                        </pic:spPr>
                      </pic:pic>
                    </a:graphicData>
                  </a:graphic>
                </wp:inline>
              </w:drawing>
            </w:r>
          </w:p>
          <w:p w14:paraId="0FAAAC99">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iCs/>
                <w:color w:val="auto"/>
                <w:sz w:val="24"/>
                <w:lang w:val="zh-CN"/>
              </w:rPr>
            </w:pPr>
            <w:r>
              <w:rPr>
                <w:rFonts w:ascii="Times New Roman" w:hAnsi="Times New Roman" w:eastAsia="宋体" w:cs="Times New Roman"/>
                <w:iCs/>
                <w:color w:val="auto"/>
                <w:sz w:val="24"/>
                <w:lang w:val="zh-CN"/>
              </w:rPr>
              <w:t>式中：</w:t>
            </w:r>
          </w:p>
          <w:p w14:paraId="21AC28E6">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i/>
                <w:iCs/>
                <w:color w:val="auto"/>
                <w:sz w:val="24"/>
                <w:lang w:val="zh-CN"/>
              </w:rPr>
              <w:t>L</w:t>
            </w:r>
            <w:r>
              <w:rPr>
                <w:rFonts w:ascii="Times New Roman" w:hAnsi="Times New Roman" w:eastAsia="宋体" w:cs="Times New Roman"/>
                <w:color w:val="auto"/>
                <w:sz w:val="24"/>
                <w:vertAlign w:val="subscript"/>
              </w:rPr>
              <w:t>oct</w:t>
            </w:r>
            <w:r>
              <w:rPr>
                <w:rFonts w:ascii="Times New Roman" w:hAnsi="Times New Roman" w:eastAsia="宋体" w:cs="Times New Roman"/>
                <w:i/>
                <w:iCs/>
                <w:color w:val="auto"/>
                <w:sz w:val="24"/>
              </w:rPr>
              <w:t>(r)</w:t>
            </w:r>
            <w:r>
              <w:rPr>
                <w:rFonts w:ascii="Times New Roman" w:hAnsi="Times New Roman" w:eastAsia="宋体" w:cs="Times New Roman"/>
                <w:color w:val="auto"/>
                <w:sz w:val="24"/>
              </w:rPr>
              <w:t>——点声源在预测点产生的倍频带声压级；</w:t>
            </w:r>
          </w:p>
          <w:p w14:paraId="64A9C5B0">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i/>
                <w:iCs/>
                <w:color w:val="auto"/>
                <w:sz w:val="24"/>
              </w:rPr>
              <w:t>L</w:t>
            </w:r>
            <w:r>
              <w:rPr>
                <w:rFonts w:ascii="Times New Roman" w:hAnsi="Times New Roman" w:eastAsia="宋体" w:cs="Times New Roman"/>
                <w:color w:val="auto"/>
                <w:sz w:val="24"/>
                <w:vertAlign w:val="subscript"/>
              </w:rPr>
              <w:t>oct</w:t>
            </w:r>
            <w:r>
              <w:rPr>
                <w:rFonts w:ascii="Times New Roman" w:hAnsi="Times New Roman" w:eastAsia="宋体" w:cs="Times New Roman"/>
                <w:i/>
                <w:iCs/>
                <w:color w:val="auto"/>
                <w:sz w:val="24"/>
              </w:rPr>
              <w:t>(r</w:t>
            </w:r>
            <w:r>
              <w:rPr>
                <w:rFonts w:ascii="Times New Roman" w:hAnsi="Times New Roman" w:eastAsia="宋体" w:cs="Times New Roman"/>
                <w:i/>
                <w:iCs/>
                <w:color w:val="auto"/>
                <w:sz w:val="24"/>
                <w:vertAlign w:val="subscript"/>
              </w:rPr>
              <w:t>0</w:t>
            </w:r>
            <w:r>
              <w:rPr>
                <w:rFonts w:ascii="Times New Roman" w:hAnsi="Times New Roman" w:eastAsia="宋体" w:cs="Times New Roman"/>
                <w:i/>
                <w:iCs/>
                <w:color w:val="auto"/>
                <w:sz w:val="24"/>
              </w:rPr>
              <w:t>)</w:t>
            </w:r>
            <w:r>
              <w:rPr>
                <w:rFonts w:ascii="Times New Roman" w:hAnsi="Times New Roman" w:eastAsia="宋体" w:cs="Times New Roman"/>
                <w:color w:val="auto"/>
                <w:sz w:val="24"/>
              </w:rPr>
              <w:t>——参考位置</w:t>
            </w:r>
            <w:r>
              <w:rPr>
                <w:rFonts w:ascii="Times New Roman" w:hAnsi="Times New Roman" w:eastAsia="宋体" w:cs="Times New Roman"/>
                <w:i/>
                <w:iCs/>
                <w:color w:val="auto"/>
                <w:sz w:val="24"/>
              </w:rPr>
              <w:t>r</w:t>
            </w:r>
            <w:r>
              <w:rPr>
                <w:rFonts w:ascii="Times New Roman" w:hAnsi="Times New Roman" w:eastAsia="宋体" w:cs="Times New Roman"/>
                <w:i/>
                <w:iCs/>
                <w:color w:val="auto"/>
                <w:sz w:val="24"/>
                <w:vertAlign w:val="subscript"/>
              </w:rPr>
              <w:t>0</w:t>
            </w:r>
            <w:r>
              <w:rPr>
                <w:rFonts w:ascii="Times New Roman" w:hAnsi="Times New Roman" w:eastAsia="宋体" w:cs="Times New Roman"/>
                <w:color w:val="auto"/>
                <w:sz w:val="24"/>
              </w:rPr>
              <w:t>处的倍频带声压级；</w:t>
            </w:r>
          </w:p>
          <w:p w14:paraId="6011CB60">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i/>
                <w:iCs/>
                <w:color w:val="auto"/>
                <w:sz w:val="24"/>
              </w:rPr>
              <w:t>r</w:t>
            </w:r>
            <w:r>
              <w:rPr>
                <w:rFonts w:ascii="Times New Roman" w:hAnsi="Times New Roman" w:eastAsia="宋体" w:cs="Times New Roman"/>
                <w:color w:val="auto"/>
                <w:sz w:val="24"/>
              </w:rPr>
              <w:t>——预测点距声源的距离，m；</w:t>
            </w:r>
          </w:p>
          <w:p w14:paraId="25B404EF">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i/>
                <w:iCs/>
                <w:color w:val="auto"/>
                <w:sz w:val="24"/>
              </w:rPr>
              <w:t>r</w:t>
            </w:r>
            <w:r>
              <w:rPr>
                <w:rFonts w:ascii="Times New Roman" w:hAnsi="Times New Roman" w:eastAsia="宋体" w:cs="Times New Roman"/>
                <w:i/>
                <w:iCs/>
                <w:color w:val="auto"/>
                <w:sz w:val="24"/>
                <w:vertAlign w:val="subscript"/>
              </w:rPr>
              <w:t>0</w:t>
            </w:r>
            <w:r>
              <w:rPr>
                <w:rFonts w:ascii="Times New Roman" w:hAnsi="Times New Roman" w:eastAsia="宋体" w:cs="Times New Roman"/>
                <w:color w:val="auto"/>
                <w:sz w:val="24"/>
              </w:rPr>
              <w:t>——参考位置距声源的距离，m；</w:t>
            </w:r>
          </w:p>
          <w:p w14:paraId="062DFD40">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i/>
                <w:iCs/>
                <w:color w:val="auto"/>
                <w:sz w:val="24"/>
              </w:rPr>
              <w:t>ΔL</w:t>
            </w:r>
            <w:r>
              <w:rPr>
                <w:rFonts w:ascii="Times New Roman" w:hAnsi="Times New Roman" w:eastAsia="宋体" w:cs="Times New Roman"/>
                <w:i/>
                <w:iCs/>
                <w:color w:val="auto"/>
                <w:sz w:val="24"/>
                <w:vertAlign w:val="subscript"/>
              </w:rPr>
              <w:t>oct</w:t>
            </w:r>
            <w:r>
              <w:rPr>
                <w:rFonts w:ascii="Times New Roman" w:hAnsi="Times New Roman" w:eastAsia="宋体" w:cs="Times New Roman"/>
                <w:color w:val="auto"/>
                <w:sz w:val="24"/>
              </w:rPr>
              <w:t>——各种因素引起的衰减量（包括声屏障、遮挡物、空气吸收、地面效应等引起的衰减量，其计算方法详见“导则”正文）。</w:t>
            </w:r>
          </w:p>
          <w:p w14:paraId="2D592B1C">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如果已知声源的倍频带声功率级</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w oct</w:t>
            </w:r>
            <w:r>
              <w:rPr>
                <w:rFonts w:ascii="Times New Roman" w:hAnsi="Times New Roman" w:eastAsia="宋体" w:cs="Times New Roman"/>
                <w:color w:val="auto"/>
                <w:sz w:val="24"/>
              </w:rPr>
              <w:t>，且声源可看作是位于地面上的，则</w:t>
            </w:r>
          </w:p>
          <w:p w14:paraId="50D7A71D">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sz w:val="24"/>
                <w:lang w:val="zh-CN"/>
              </w:rPr>
            </w:pPr>
            <w:r>
              <w:rPr>
                <w:rFonts w:ascii="Times New Roman" w:hAnsi="Times New Roman" w:eastAsia="宋体" w:cs="Times New Roman"/>
                <w:color w:val="auto"/>
                <w:position w:val="-14"/>
                <w:sz w:val="24"/>
              </w:rPr>
              <w:drawing>
                <wp:inline distT="0" distB="0" distL="114300" distR="114300">
                  <wp:extent cx="1795780" cy="230505"/>
                  <wp:effectExtent l="0" t="0" r="254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1795780" cy="230505"/>
                          </a:xfrm>
                          <a:prstGeom prst="rect">
                            <a:avLst/>
                          </a:prstGeom>
                          <a:noFill/>
                          <a:ln>
                            <a:noFill/>
                          </a:ln>
                        </pic:spPr>
                      </pic:pic>
                    </a:graphicData>
                  </a:graphic>
                </wp:inline>
              </w:drawing>
            </w:r>
          </w:p>
          <w:p w14:paraId="7C32EA7C">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② 由各倍频带声压级合成计算出该声源产生的声级</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A</w:t>
            </w:r>
            <w:r>
              <w:rPr>
                <w:rFonts w:ascii="Times New Roman" w:hAnsi="Times New Roman" w:eastAsia="宋体" w:cs="Times New Roman"/>
                <w:color w:val="auto"/>
                <w:sz w:val="24"/>
              </w:rPr>
              <w:t>。</w:t>
            </w:r>
          </w:p>
          <w:p w14:paraId="485A86EA">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bCs/>
                <w:color w:val="auto"/>
                <w:sz w:val="24"/>
              </w:rPr>
              <w:t>（2）室内声源</w:t>
            </w:r>
          </w:p>
          <w:p w14:paraId="53F6A030">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① 首先计算出某个室内靠近围护结构处的倍频带声压级：</w:t>
            </w:r>
          </w:p>
          <w:p w14:paraId="376C41D5">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lang w:val="zh-CN"/>
              </w:rPr>
            </w:pPr>
            <w:r>
              <w:rPr>
                <w:rFonts w:ascii="Times New Roman" w:hAnsi="Times New Roman" w:eastAsia="宋体" w:cs="Times New Roman"/>
                <w:color w:val="auto"/>
              </w:rPr>
              <w:drawing>
                <wp:inline distT="0" distB="0" distL="114300" distR="114300">
                  <wp:extent cx="2017395" cy="485775"/>
                  <wp:effectExtent l="0" t="0" r="952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2017395" cy="485775"/>
                          </a:xfrm>
                          <a:prstGeom prst="rect">
                            <a:avLst/>
                          </a:prstGeom>
                          <a:noFill/>
                          <a:ln>
                            <a:noFill/>
                          </a:ln>
                        </pic:spPr>
                      </pic:pic>
                    </a:graphicData>
                  </a:graphic>
                </wp:inline>
              </w:drawing>
            </w:r>
          </w:p>
          <w:p w14:paraId="4F264D8A">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lang w:val="zh-CN"/>
              </w:rPr>
              <w:t>式中：</w:t>
            </w:r>
            <w:r>
              <w:rPr>
                <w:rFonts w:ascii="Times New Roman" w:hAnsi="Times New Roman" w:eastAsia="宋体" w:cs="Times New Roman"/>
                <w:i/>
                <w:iCs/>
                <w:color w:val="auto"/>
                <w:sz w:val="24"/>
                <w:lang w:val="zh-CN"/>
              </w:rPr>
              <w:t>L</w:t>
            </w:r>
            <w:r>
              <w:rPr>
                <w:rFonts w:ascii="Times New Roman" w:hAnsi="Times New Roman" w:eastAsia="宋体" w:cs="Times New Roman"/>
                <w:i/>
                <w:iCs/>
                <w:color w:val="auto"/>
                <w:sz w:val="24"/>
                <w:vertAlign w:val="subscript"/>
              </w:rPr>
              <w:t>oct,1</w:t>
            </w:r>
            <w:r>
              <w:rPr>
                <w:rFonts w:ascii="Times New Roman" w:hAnsi="Times New Roman" w:eastAsia="宋体" w:cs="Times New Roman"/>
                <w:color w:val="auto"/>
                <w:sz w:val="24"/>
              </w:rPr>
              <w:t>为某个室内声源在靠近围护结构处产生的倍频带声压级，</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w oct</w:t>
            </w:r>
            <w:r>
              <w:rPr>
                <w:rFonts w:ascii="Times New Roman" w:hAnsi="Times New Roman" w:eastAsia="宋体" w:cs="Times New Roman"/>
                <w:color w:val="auto"/>
                <w:sz w:val="24"/>
              </w:rPr>
              <w:t>为某个声源的倍频带声功率级，r</w:t>
            </w:r>
            <w:r>
              <w:rPr>
                <w:rFonts w:ascii="Times New Roman" w:hAnsi="Times New Roman" w:eastAsia="宋体" w:cs="Times New Roman"/>
                <w:color w:val="auto"/>
                <w:sz w:val="24"/>
                <w:vertAlign w:val="subscript"/>
              </w:rPr>
              <w:t>1</w:t>
            </w:r>
            <w:r>
              <w:rPr>
                <w:rFonts w:ascii="Times New Roman" w:hAnsi="Times New Roman" w:eastAsia="宋体" w:cs="Times New Roman"/>
                <w:color w:val="auto"/>
                <w:sz w:val="24"/>
              </w:rPr>
              <w:t>为室内某个声源与靠近围护结构处的距离，R为房间常数，Q为方向因子。</w:t>
            </w:r>
          </w:p>
          <w:p w14:paraId="0B7973B7">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② 计算出所有室内声源在靠近围护结构处产生的总倍频带声压级：</w:t>
            </w:r>
          </w:p>
          <w:p w14:paraId="4D58D905">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1837690" cy="461010"/>
                  <wp:effectExtent l="0" t="0" r="635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1837690" cy="461010"/>
                          </a:xfrm>
                          <a:prstGeom prst="rect">
                            <a:avLst/>
                          </a:prstGeom>
                          <a:noFill/>
                          <a:ln>
                            <a:noFill/>
                          </a:ln>
                        </pic:spPr>
                      </pic:pic>
                    </a:graphicData>
                  </a:graphic>
                </wp:inline>
              </w:drawing>
            </w:r>
          </w:p>
          <w:p w14:paraId="648A6EBA">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③ 计算出室外靠近围护结构处的声压级：</w:t>
            </w:r>
          </w:p>
          <w:p w14:paraId="2DC6D493">
            <w:pPr>
              <w:keepNext w:val="0"/>
              <w:keepLines w:val="0"/>
              <w:pageBreakBefore w:val="0"/>
              <w:widowControl/>
              <w:wordWrap/>
              <w:overflowPunct/>
              <w:topLinePunct w:val="0"/>
              <w:autoSpaceDE w:val="0"/>
              <w:autoSpaceDN w:val="0"/>
              <w:bidi w:val="0"/>
              <w:adjustRightInd/>
              <w:snapToGrid/>
              <w:spacing w:line="360" w:lineRule="auto"/>
              <w:ind w:firstLine="360" w:firstLineChars="200"/>
              <w:jc w:val="center"/>
              <w:textAlignment w:val="baseline"/>
              <w:rPr>
                <w:rFonts w:ascii="Times New Roman" w:hAnsi="Times New Roman" w:eastAsia="宋体" w:cs="Times New Roman"/>
                <w:color w:val="auto"/>
              </w:rPr>
            </w:pPr>
            <w:r>
              <w:rPr>
                <w:rFonts w:ascii="Times New Roman" w:hAnsi="Times New Roman" w:eastAsia="宋体" w:cs="Times New Roman"/>
                <w:color w:val="auto"/>
                <w:sz w:val="18"/>
                <w:szCs w:val="18"/>
              </w:rPr>
              <w:drawing>
                <wp:inline distT="0" distB="0" distL="114300" distR="114300">
                  <wp:extent cx="1952625" cy="230505"/>
                  <wp:effectExtent l="0" t="0" r="13335" b="13970"/>
                  <wp:docPr id="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
                          <pic:cNvPicPr>
                            <a:picLocks noChangeAspect="1"/>
                          </pic:cNvPicPr>
                        </pic:nvPicPr>
                        <pic:blipFill>
                          <a:blip r:embed="rId22"/>
                          <a:stretch>
                            <a:fillRect/>
                          </a:stretch>
                        </pic:blipFill>
                        <pic:spPr>
                          <a:xfrm>
                            <a:off x="0" y="0"/>
                            <a:ext cx="1952625" cy="230505"/>
                          </a:xfrm>
                          <a:prstGeom prst="rect">
                            <a:avLst/>
                          </a:prstGeom>
                          <a:noFill/>
                          <a:ln>
                            <a:noFill/>
                          </a:ln>
                        </pic:spPr>
                      </pic:pic>
                    </a:graphicData>
                  </a:graphic>
                </wp:inline>
              </w:drawing>
            </w:r>
          </w:p>
          <w:p w14:paraId="3FD5E0AC">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④ 将室外声级</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oct,2</w:t>
            </w:r>
            <w:r>
              <w:rPr>
                <w:rFonts w:ascii="Times New Roman" w:hAnsi="Times New Roman" w:eastAsia="宋体" w:cs="Times New Roman"/>
                <w:i/>
                <w:iCs/>
                <w:color w:val="auto"/>
                <w:sz w:val="24"/>
              </w:rPr>
              <w:t>(T)</w:t>
            </w:r>
            <w:r>
              <w:rPr>
                <w:rFonts w:ascii="Times New Roman" w:hAnsi="Times New Roman" w:eastAsia="宋体" w:cs="Times New Roman"/>
                <w:color w:val="auto"/>
                <w:sz w:val="24"/>
              </w:rPr>
              <w:t>和透声面积换算成等效的室外声源，计算出等效声源第i个倍频带的声功率级</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w oct</w:t>
            </w:r>
            <w:r>
              <w:rPr>
                <w:rFonts w:ascii="Times New Roman" w:hAnsi="Times New Roman" w:eastAsia="宋体" w:cs="Times New Roman"/>
                <w:color w:val="auto"/>
                <w:sz w:val="24"/>
              </w:rPr>
              <w:t>：</w:t>
            </w:r>
          </w:p>
          <w:p w14:paraId="0B18F516">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1929765" cy="273685"/>
                  <wp:effectExtent l="0" t="0" r="571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1929765" cy="273685"/>
                          </a:xfrm>
                          <a:prstGeom prst="rect">
                            <a:avLst/>
                          </a:prstGeom>
                          <a:noFill/>
                          <a:ln>
                            <a:noFill/>
                          </a:ln>
                        </pic:spPr>
                      </pic:pic>
                    </a:graphicData>
                  </a:graphic>
                </wp:inline>
              </w:drawing>
            </w:r>
          </w:p>
          <w:p w14:paraId="577F1539">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式中：S为透声面积，m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w:t>
            </w:r>
          </w:p>
          <w:p w14:paraId="415E0971">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⑤ 等效室外声源的位置为围护结构的位置，其倍频带声功率级为</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w oct</w:t>
            </w:r>
            <w:r>
              <w:rPr>
                <w:rFonts w:ascii="Times New Roman" w:hAnsi="Times New Roman" w:eastAsia="宋体" w:cs="Times New Roman"/>
                <w:color w:val="auto"/>
                <w:sz w:val="24"/>
              </w:rPr>
              <w:t>，由此按室外声源方法计算等效室外声源在预测点产生的声级。</w:t>
            </w:r>
          </w:p>
          <w:p w14:paraId="4F9D16CE">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bCs/>
                <w:color w:val="auto"/>
                <w:sz w:val="24"/>
              </w:rPr>
              <w:t>（3）计算总声压级</w:t>
            </w:r>
          </w:p>
          <w:p w14:paraId="5880C61C">
            <w:pPr>
              <w:keepNext w:val="0"/>
              <w:keepLines w:val="0"/>
              <w:pageBreakBefore w:val="0"/>
              <w:widowControl/>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设第i个室外声源在预测点产生的A声级为</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A in,i</w:t>
            </w:r>
            <w:r>
              <w:rPr>
                <w:rFonts w:ascii="Times New Roman" w:hAnsi="Times New Roman" w:eastAsia="宋体" w:cs="Times New Roman"/>
                <w:color w:val="auto"/>
                <w:sz w:val="24"/>
              </w:rPr>
              <w:t>，在T时间内该声源工作时间为</w:t>
            </w:r>
            <w:r>
              <w:rPr>
                <w:rFonts w:ascii="Times New Roman" w:hAnsi="Times New Roman" w:eastAsia="宋体" w:cs="Times New Roman"/>
                <w:i/>
                <w:iCs/>
                <w:color w:val="auto"/>
                <w:sz w:val="24"/>
              </w:rPr>
              <w:t>t</w:t>
            </w:r>
            <w:r>
              <w:rPr>
                <w:rFonts w:ascii="Times New Roman" w:hAnsi="Times New Roman" w:eastAsia="宋体" w:cs="Times New Roman"/>
                <w:i/>
                <w:iCs/>
                <w:color w:val="auto"/>
                <w:sz w:val="24"/>
                <w:vertAlign w:val="subscript"/>
              </w:rPr>
              <w:t>in,i</w:t>
            </w:r>
            <w:r>
              <w:rPr>
                <w:rFonts w:ascii="Times New Roman" w:hAnsi="Times New Roman" w:eastAsia="宋体" w:cs="Times New Roman"/>
                <w:color w:val="auto"/>
                <w:sz w:val="24"/>
              </w:rPr>
              <w:t>；第j个等效室外声源在预测点产生的A声级为</w:t>
            </w:r>
            <w:r>
              <w:rPr>
                <w:rFonts w:ascii="Times New Roman" w:hAnsi="Times New Roman" w:eastAsia="宋体" w:cs="Times New Roman"/>
                <w:i/>
                <w:iCs/>
                <w:color w:val="auto"/>
                <w:sz w:val="24"/>
              </w:rPr>
              <w:t>L</w:t>
            </w:r>
            <w:r>
              <w:rPr>
                <w:rFonts w:ascii="Times New Roman" w:hAnsi="Times New Roman" w:eastAsia="宋体" w:cs="Times New Roman"/>
                <w:i/>
                <w:iCs/>
                <w:color w:val="auto"/>
                <w:sz w:val="24"/>
                <w:vertAlign w:val="subscript"/>
              </w:rPr>
              <w:t>A out,j</w:t>
            </w:r>
            <w:r>
              <w:rPr>
                <w:rFonts w:ascii="Times New Roman" w:hAnsi="Times New Roman" w:eastAsia="宋体" w:cs="Times New Roman"/>
                <w:color w:val="auto"/>
                <w:sz w:val="24"/>
              </w:rPr>
              <w:t>，在T时间内该声源工作时间为</w:t>
            </w:r>
            <w:r>
              <w:rPr>
                <w:rFonts w:ascii="Times New Roman" w:hAnsi="Times New Roman" w:eastAsia="宋体" w:cs="Times New Roman"/>
                <w:i/>
                <w:iCs/>
                <w:color w:val="auto"/>
                <w:sz w:val="24"/>
              </w:rPr>
              <w:t>t</w:t>
            </w:r>
            <w:r>
              <w:rPr>
                <w:rFonts w:ascii="Times New Roman" w:hAnsi="Times New Roman" w:eastAsia="宋体" w:cs="Times New Roman"/>
                <w:i/>
                <w:iCs/>
                <w:color w:val="auto"/>
                <w:sz w:val="24"/>
                <w:vertAlign w:val="subscript"/>
              </w:rPr>
              <w:t>out,j</w:t>
            </w:r>
            <w:r>
              <w:rPr>
                <w:rFonts w:ascii="Times New Roman" w:hAnsi="Times New Roman" w:eastAsia="宋体" w:cs="Times New Roman"/>
                <w:color w:val="auto"/>
                <w:sz w:val="24"/>
              </w:rPr>
              <w:t>，则预测点的总等效声级为：</w:t>
            </w:r>
          </w:p>
          <w:p w14:paraId="5F3D01E0">
            <w:pPr>
              <w:keepNext w:val="0"/>
              <w:keepLines w:val="0"/>
              <w:pageBreakBefore w:val="0"/>
              <w:widowControl/>
              <w:wordWrap/>
              <w:overflowPunct/>
              <w:topLinePunct w:val="0"/>
              <w:autoSpaceDE w:val="0"/>
              <w:autoSpaceDN w:val="0"/>
              <w:bidi w:val="0"/>
              <w:adjustRightInd/>
              <w:snapToGrid/>
              <w:spacing w:line="360" w:lineRule="auto"/>
              <w:jc w:val="center"/>
              <w:textAlignment w:val="baseline"/>
              <w:rPr>
                <w:rFonts w:ascii="Times New Roman" w:hAnsi="Times New Roman" w:eastAsia="宋体" w:cs="Times New Roman"/>
                <w:color w:val="auto"/>
              </w:rPr>
            </w:pPr>
            <w:r>
              <w:rPr>
                <w:rFonts w:ascii="Times New Roman" w:hAnsi="Times New Roman" w:eastAsia="宋体" w:cs="Times New Roman"/>
                <w:color w:val="auto"/>
              </w:rPr>
              <w:drawing>
                <wp:inline distT="0" distB="0" distL="114300" distR="114300">
                  <wp:extent cx="3409315" cy="485775"/>
                  <wp:effectExtent l="0" t="0" r="444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3409315" cy="485775"/>
                          </a:xfrm>
                          <a:prstGeom prst="rect">
                            <a:avLst/>
                          </a:prstGeom>
                          <a:noFill/>
                          <a:ln>
                            <a:noFill/>
                          </a:ln>
                        </pic:spPr>
                      </pic:pic>
                    </a:graphicData>
                  </a:graphic>
                </wp:inline>
              </w:drawing>
            </w:r>
          </w:p>
          <w:p w14:paraId="427DE92F">
            <w:pPr>
              <w:keepNext w:val="0"/>
              <w:keepLines w:val="0"/>
              <w:pageBreakBefore w:val="0"/>
              <w:widowControl/>
              <w:wordWrap/>
              <w:overflowPunct/>
              <w:topLinePunct w:val="0"/>
              <w:autoSpaceDE w:val="0"/>
              <w:autoSpaceDN w:val="0"/>
              <w:bidi w:val="0"/>
              <w:adjustRightInd/>
              <w:snapToGrid/>
              <w:spacing w:line="360" w:lineRule="auto"/>
              <w:textAlignment w:val="baseline"/>
              <w:rPr>
                <w:rFonts w:ascii="Times New Roman" w:hAnsi="Times New Roman" w:eastAsia="宋体" w:cs="Times New Roman"/>
                <w:bCs/>
                <w:color w:val="auto"/>
                <w:spacing w:val="8"/>
                <w:sz w:val="24"/>
              </w:rPr>
            </w:pPr>
            <w:r>
              <w:rPr>
                <w:rFonts w:ascii="Times New Roman" w:hAnsi="Times New Roman" w:eastAsia="宋体" w:cs="Times New Roman"/>
                <w:color w:val="auto"/>
                <w:sz w:val="24"/>
              </w:rPr>
              <w:t>式中：T为计算等效声级的时间，N为室外声源个数，M为等效室外声源个数。</w:t>
            </w:r>
          </w:p>
          <w:p w14:paraId="73677EBF">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（4）预测结果</w:t>
            </w:r>
          </w:p>
          <w:p w14:paraId="64765AF3">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项目噪声预测结果见下表。</w:t>
            </w:r>
          </w:p>
          <w:p w14:paraId="2B8BF5F8">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ascii="Times New Roman" w:hAnsi="Times New Roman" w:eastAsia="宋体" w:cs="Times New Roman"/>
                <w:b/>
                <w:bCs/>
                <w:color w:val="auto"/>
                <w:sz w:val="24"/>
                <w:lang w:eastAsia="zh-CN"/>
              </w:rPr>
              <w:t xml:space="preserve">11 </w:t>
            </w:r>
            <w:r>
              <w:rPr>
                <w:rFonts w:hint="eastAsia" w:ascii="Times New Roman" w:hAnsi="Times New Roman" w:eastAsia="宋体" w:cs="Times New Roman"/>
                <w:b/>
                <w:bCs/>
                <w:color w:val="auto"/>
                <w:sz w:val="24"/>
                <w:lang w:eastAsia="zh-CN"/>
              </w:rPr>
              <w:t xml:space="preserve"> </w:t>
            </w:r>
            <w:r>
              <w:rPr>
                <w:rFonts w:ascii="Times New Roman" w:hAnsi="Times New Roman" w:eastAsia="宋体" w:cs="Times New Roman"/>
                <w:b/>
                <w:bCs/>
                <w:color w:val="auto"/>
                <w:sz w:val="24"/>
              </w:rPr>
              <w:t>噪声预测结果  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278"/>
              <w:gridCol w:w="1716"/>
              <w:gridCol w:w="1936"/>
              <w:gridCol w:w="1532"/>
            </w:tblGrid>
            <w:tr w14:paraId="73E2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7" w:type="pct"/>
                  <w:vMerge w:val="restart"/>
                  <w:vAlign w:val="center"/>
                </w:tcPr>
                <w:p w14:paraId="3367EED4">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bCs/>
                      <w:color w:val="auto"/>
                    </w:rPr>
                  </w:pPr>
                  <w:r>
                    <w:rPr>
                      <w:rFonts w:ascii="Times New Roman" w:hAnsi="Times New Roman" w:cs="Times New Roman"/>
                      <w:bCs/>
                      <w:color w:val="auto"/>
                    </w:rPr>
                    <w:t>预测方位</w:t>
                  </w:r>
                </w:p>
              </w:tc>
              <w:tc>
                <w:tcPr>
                  <w:tcW w:w="811" w:type="pct"/>
                  <w:vMerge w:val="restart"/>
                  <w:vAlign w:val="center"/>
                </w:tcPr>
                <w:p w14:paraId="35421CA6">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bCs/>
                      <w:color w:val="auto"/>
                    </w:rPr>
                  </w:pPr>
                  <w:r>
                    <w:rPr>
                      <w:rFonts w:ascii="Times New Roman" w:hAnsi="Times New Roman" w:cs="Times New Roman"/>
                      <w:bCs/>
                      <w:color w:val="auto"/>
                    </w:rPr>
                    <w:t>时段</w:t>
                  </w:r>
                </w:p>
              </w:tc>
              <w:tc>
                <w:tcPr>
                  <w:tcW w:w="1089" w:type="pct"/>
                  <w:vMerge w:val="restart"/>
                  <w:vAlign w:val="center"/>
                </w:tcPr>
                <w:p w14:paraId="4451D9C8">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bCs/>
                      <w:color w:val="auto"/>
                    </w:rPr>
                  </w:pPr>
                  <w:r>
                    <w:rPr>
                      <w:rFonts w:ascii="Times New Roman" w:hAnsi="Times New Roman" w:cs="Times New Roman"/>
                      <w:bCs/>
                      <w:color w:val="auto"/>
                    </w:rPr>
                    <w:t>贡献值（dB(A)）</w:t>
                  </w:r>
                </w:p>
              </w:tc>
              <w:tc>
                <w:tcPr>
                  <w:tcW w:w="1229" w:type="pct"/>
                  <w:vMerge w:val="restart"/>
                  <w:vAlign w:val="center"/>
                </w:tcPr>
                <w:p w14:paraId="131CA075">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bCs/>
                      <w:color w:val="auto"/>
                    </w:rPr>
                  </w:pPr>
                  <w:r>
                    <w:rPr>
                      <w:rFonts w:ascii="Times New Roman" w:hAnsi="Times New Roman" w:cs="Times New Roman"/>
                      <w:bCs/>
                      <w:color w:val="auto"/>
                    </w:rPr>
                    <w:t>标准限值（dB(A)）</w:t>
                  </w:r>
                </w:p>
              </w:tc>
              <w:tc>
                <w:tcPr>
                  <w:tcW w:w="972" w:type="pct"/>
                  <w:vMerge w:val="restart"/>
                  <w:vAlign w:val="center"/>
                </w:tcPr>
                <w:p w14:paraId="4C4450F7">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bCs/>
                      <w:color w:val="auto"/>
                    </w:rPr>
                  </w:pPr>
                  <w:r>
                    <w:rPr>
                      <w:rFonts w:ascii="Times New Roman" w:hAnsi="Times New Roman" w:cs="Times New Roman"/>
                      <w:bCs/>
                      <w:color w:val="auto"/>
                    </w:rPr>
                    <w:t>达标情况</w:t>
                  </w:r>
                </w:p>
              </w:tc>
            </w:tr>
            <w:tr w14:paraId="57AF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pct"/>
                  <w:vMerge w:val="continue"/>
                  <w:shd w:val="clear" w:color="auto" w:fill="FFFFFF"/>
                  <w:vAlign w:val="center"/>
                </w:tcPr>
                <w:p w14:paraId="643F4605">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p>
              </w:tc>
              <w:tc>
                <w:tcPr>
                  <w:tcW w:w="811" w:type="pct"/>
                  <w:vMerge w:val="continue"/>
                  <w:shd w:val="clear" w:color="auto" w:fill="FFFFFF"/>
                  <w:vAlign w:val="center"/>
                </w:tcPr>
                <w:p w14:paraId="6A6E11D8">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p>
              </w:tc>
              <w:tc>
                <w:tcPr>
                  <w:tcW w:w="1089" w:type="pct"/>
                  <w:vMerge w:val="continue"/>
                  <w:shd w:val="clear" w:color="auto" w:fill="FFFFFF"/>
                  <w:vAlign w:val="center"/>
                </w:tcPr>
                <w:p w14:paraId="1BAF781E">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p>
              </w:tc>
              <w:tc>
                <w:tcPr>
                  <w:tcW w:w="1229" w:type="pct"/>
                  <w:vMerge w:val="continue"/>
                  <w:shd w:val="clear" w:color="auto" w:fill="FFFFFF"/>
                  <w:vAlign w:val="center"/>
                </w:tcPr>
                <w:p w14:paraId="359FD8E9">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p>
              </w:tc>
              <w:tc>
                <w:tcPr>
                  <w:tcW w:w="972" w:type="pct"/>
                  <w:vMerge w:val="continue"/>
                  <w:shd w:val="clear" w:color="auto" w:fill="FFFFFF"/>
                  <w:vAlign w:val="center"/>
                </w:tcPr>
                <w:p w14:paraId="50513D75">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p>
              </w:tc>
            </w:tr>
            <w:tr w14:paraId="6C10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055BF6D1">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东侧</w:t>
                  </w:r>
                </w:p>
              </w:tc>
              <w:tc>
                <w:tcPr>
                  <w:tcW w:w="811" w:type="pct"/>
                  <w:shd w:val="clear" w:color="auto" w:fill="FFFFFF"/>
                  <w:vAlign w:val="center"/>
                </w:tcPr>
                <w:p w14:paraId="34185CA9">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昼间</w:t>
                  </w:r>
                </w:p>
              </w:tc>
              <w:tc>
                <w:tcPr>
                  <w:tcW w:w="1089" w:type="pct"/>
                  <w:shd w:val="clear" w:color="auto" w:fill="FFFFFF"/>
                  <w:vAlign w:val="center"/>
                </w:tcPr>
                <w:p w14:paraId="25A783BB">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57.1</w:t>
                  </w:r>
                </w:p>
              </w:tc>
              <w:tc>
                <w:tcPr>
                  <w:tcW w:w="1229" w:type="pct"/>
                  <w:shd w:val="clear" w:color="auto" w:fill="FFFFFF"/>
                  <w:vAlign w:val="center"/>
                </w:tcPr>
                <w:p w14:paraId="26756996">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65</w:t>
                  </w:r>
                </w:p>
              </w:tc>
              <w:tc>
                <w:tcPr>
                  <w:tcW w:w="972" w:type="pct"/>
                  <w:shd w:val="clear" w:color="auto" w:fill="FFFFFF"/>
                  <w:vAlign w:val="center"/>
                </w:tcPr>
                <w:p w14:paraId="0160725E">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达标</w:t>
                  </w:r>
                </w:p>
              </w:tc>
            </w:tr>
            <w:tr w14:paraId="3BDD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43FE19C8">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南侧</w:t>
                  </w:r>
                </w:p>
              </w:tc>
              <w:tc>
                <w:tcPr>
                  <w:tcW w:w="811" w:type="pct"/>
                  <w:shd w:val="clear" w:color="auto" w:fill="FFFFFF"/>
                  <w:vAlign w:val="center"/>
                </w:tcPr>
                <w:p w14:paraId="062FEAF2">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昼间</w:t>
                  </w:r>
                </w:p>
              </w:tc>
              <w:tc>
                <w:tcPr>
                  <w:tcW w:w="1089" w:type="pct"/>
                  <w:shd w:val="clear" w:color="auto" w:fill="FFFFFF"/>
                  <w:vAlign w:val="center"/>
                </w:tcPr>
                <w:p w14:paraId="7754FEDB">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51.3</w:t>
                  </w:r>
                </w:p>
              </w:tc>
              <w:tc>
                <w:tcPr>
                  <w:tcW w:w="1229" w:type="pct"/>
                  <w:shd w:val="clear" w:color="auto" w:fill="FFFFFF"/>
                  <w:vAlign w:val="center"/>
                </w:tcPr>
                <w:p w14:paraId="12C21990">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65</w:t>
                  </w:r>
                </w:p>
              </w:tc>
              <w:tc>
                <w:tcPr>
                  <w:tcW w:w="972" w:type="pct"/>
                  <w:shd w:val="clear" w:color="auto" w:fill="FFFFFF"/>
                  <w:vAlign w:val="center"/>
                </w:tcPr>
                <w:p w14:paraId="3B5B627C">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达标</w:t>
                  </w:r>
                </w:p>
              </w:tc>
            </w:tr>
            <w:tr w14:paraId="71B8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8" w:hRule="exact"/>
                <w:jc w:val="center"/>
              </w:trPr>
              <w:tc>
                <w:tcPr>
                  <w:tcW w:w="897" w:type="pct"/>
                  <w:shd w:val="clear" w:color="auto" w:fill="FFFFFF"/>
                  <w:vAlign w:val="center"/>
                </w:tcPr>
                <w:p w14:paraId="4DAEF92A">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西侧</w:t>
                  </w:r>
                </w:p>
              </w:tc>
              <w:tc>
                <w:tcPr>
                  <w:tcW w:w="811" w:type="pct"/>
                  <w:shd w:val="clear" w:color="auto" w:fill="FFFFFF"/>
                  <w:vAlign w:val="center"/>
                </w:tcPr>
                <w:p w14:paraId="4C99AAF5">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昼间</w:t>
                  </w:r>
                </w:p>
              </w:tc>
              <w:tc>
                <w:tcPr>
                  <w:tcW w:w="1089" w:type="pct"/>
                  <w:shd w:val="clear" w:color="auto" w:fill="FFFFFF"/>
                  <w:vAlign w:val="center"/>
                </w:tcPr>
                <w:p w14:paraId="3E4045A8">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hint="eastAsia" w:ascii="Times New Roman" w:hAnsi="Times New Roman" w:eastAsia="宋体" w:cs="Times New Roman"/>
                      <w:color w:val="auto"/>
                      <w:lang w:eastAsia="zh-CN"/>
                    </w:rPr>
                    <w:t>61.8</w:t>
                  </w:r>
                </w:p>
              </w:tc>
              <w:tc>
                <w:tcPr>
                  <w:tcW w:w="1229" w:type="pct"/>
                  <w:shd w:val="clear" w:color="auto" w:fill="FFFFFF"/>
                  <w:vAlign w:val="center"/>
                </w:tcPr>
                <w:p w14:paraId="42BD10E7">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65</w:t>
                  </w:r>
                </w:p>
              </w:tc>
              <w:tc>
                <w:tcPr>
                  <w:tcW w:w="972" w:type="pct"/>
                  <w:shd w:val="clear" w:color="auto" w:fill="FFFFFF"/>
                  <w:vAlign w:val="center"/>
                </w:tcPr>
                <w:p w14:paraId="6A3E43B5">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达标</w:t>
                  </w:r>
                </w:p>
              </w:tc>
            </w:tr>
            <w:tr w14:paraId="6D83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jc w:val="center"/>
              </w:trPr>
              <w:tc>
                <w:tcPr>
                  <w:tcW w:w="897" w:type="pct"/>
                  <w:shd w:val="clear" w:color="auto" w:fill="FFFFFF"/>
                  <w:vAlign w:val="center"/>
                </w:tcPr>
                <w:p w14:paraId="4C98C819">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北侧</w:t>
                  </w:r>
                </w:p>
              </w:tc>
              <w:tc>
                <w:tcPr>
                  <w:tcW w:w="811" w:type="pct"/>
                  <w:shd w:val="clear" w:color="auto" w:fill="FFFFFF"/>
                  <w:vAlign w:val="center"/>
                </w:tcPr>
                <w:p w14:paraId="1C414784">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昼间</w:t>
                  </w:r>
                </w:p>
              </w:tc>
              <w:tc>
                <w:tcPr>
                  <w:tcW w:w="1089" w:type="pct"/>
                  <w:shd w:val="clear" w:color="auto" w:fill="FFFFFF"/>
                  <w:vAlign w:val="center"/>
                </w:tcPr>
                <w:p w14:paraId="0F616407">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57.3</w:t>
                  </w:r>
                </w:p>
              </w:tc>
              <w:tc>
                <w:tcPr>
                  <w:tcW w:w="1229" w:type="pct"/>
                  <w:shd w:val="clear" w:color="auto" w:fill="FFFFFF"/>
                  <w:vAlign w:val="center"/>
                </w:tcPr>
                <w:p w14:paraId="2647288D">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65</w:t>
                  </w:r>
                </w:p>
              </w:tc>
              <w:tc>
                <w:tcPr>
                  <w:tcW w:w="972" w:type="pct"/>
                  <w:shd w:val="clear" w:color="auto" w:fill="FFFFFF"/>
                  <w:vAlign w:val="center"/>
                </w:tcPr>
                <w:p w14:paraId="12EB720E">
                  <w:pPr>
                    <w:keepNext w:val="0"/>
                    <w:keepLines w:val="0"/>
                    <w:pageBreakBefore w:val="0"/>
                    <w:widowControl/>
                    <w:wordWrap/>
                    <w:overflowPunct/>
                    <w:topLinePunct w:val="0"/>
                    <w:autoSpaceDE w:val="0"/>
                    <w:autoSpaceDN w:val="0"/>
                    <w:bidi w:val="0"/>
                    <w:adjustRightInd/>
                    <w:snapToGrid/>
                    <w:jc w:val="center"/>
                    <w:textAlignment w:val="baseline"/>
                    <w:rPr>
                      <w:rFonts w:ascii="Times New Roman" w:hAnsi="Times New Roman" w:cs="Times New Roman"/>
                      <w:color w:val="auto"/>
                    </w:rPr>
                  </w:pPr>
                  <w:r>
                    <w:rPr>
                      <w:rFonts w:ascii="Times New Roman" w:hAnsi="Times New Roman" w:cs="Times New Roman"/>
                      <w:color w:val="auto"/>
                    </w:rPr>
                    <w:t>达标</w:t>
                  </w:r>
                </w:p>
              </w:tc>
            </w:tr>
          </w:tbl>
          <w:p w14:paraId="61015F41">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lang w:eastAsia="zh-CN"/>
              </w:rPr>
            </w:pPr>
            <w:r>
              <w:rPr>
                <w:rFonts w:ascii="Times New Roman" w:hAnsi="Times New Roman" w:cs="Times New Roman"/>
                <w:color w:val="auto"/>
                <w:kern w:val="2"/>
                <w:sz w:val="24"/>
                <w:lang w:eastAsia="zh-CN"/>
              </w:rPr>
              <w:t>项目生产时间均在昼间生产，夜间不生产。</w:t>
            </w:r>
            <w:r>
              <w:rPr>
                <w:rFonts w:ascii="Times New Roman" w:hAnsi="Times New Roman" w:eastAsia="宋体" w:cs="Times New Roman"/>
                <w:color w:val="auto"/>
                <w:kern w:val="2"/>
                <w:sz w:val="24"/>
              </w:rPr>
              <w:t>根据预测结果可知，经以上防护措施及墙体隔声和距离的自然衰减等措施后，项目四周厂界均满足《工业企业厂界环境噪声排放标准》（GB12348-2008）中3类标准要求</w:t>
            </w:r>
            <w:r>
              <w:rPr>
                <w:rFonts w:ascii="Times New Roman" w:hAnsi="Times New Roman" w:cs="Times New Roman"/>
                <w:color w:val="auto"/>
                <w:kern w:val="2"/>
                <w:sz w:val="24"/>
                <w:lang w:eastAsia="zh-CN"/>
              </w:rPr>
              <w:t>。</w:t>
            </w:r>
          </w:p>
          <w:p w14:paraId="0CB02D0A">
            <w:pPr>
              <w:pStyle w:val="55"/>
              <w:keepNext w:val="0"/>
              <w:keepLines w:val="0"/>
              <w:pageBreakBefore w:val="0"/>
              <w:widowControl/>
              <w:wordWrap/>
              <w:overflowPunct/>
              <w:topLinePunct w:val="0"/>
              <w:autoSpaceDE w:val="0"/>
              <w:autoSpaceDN w:val="0"/>
              <w:bidi w:val="0"/>
              <w:adjustRightInd/>
              <w:snapToGrid/>
              <w:spacing w:before="0" w:line="360" w:lineRule="auto"/>
              <w:ind w:firstLineChars="200"/>
              <w:textAlignment w:val="baseline"/>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3、噪声降噪具体措施</w:t>
            </w:r>
          </w:p>
          <w:p w14:paraId="5DBC85BD">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本项目生产设备在运行期间均会产生噪声，建设单位采取以下措施来减轻生产设备运行噪声的环境影响。</w:t>
            </w:r>
          </w:p>
          <w:p w14:paraId="24638AD7">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（1）选用低噪声设备或带隔声、消声的设备，从源头减少噪声的产生。</w:t>
            </w:r>
          </w:p>
          <w:p w14:paraId="19D21228">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（2）合理布局设备位置，</w:t>
            </w:r>
            <w:r>
              <w:rPr>
                <w:rFonts w:ascii="Times New Roman" w:hAnsi="Times New Roman" w:cs="Times New Roman"/>
                <w:color w:val="auto"/>
                <w:kern w:val="2"/>
                <w:sz w:val="24"/>
                <w:lang w:eastAsia="zh-CN"/>
              </w:rPr>
              <w:t>并对产生高噪声设备采取基座减振措施，降低噪声值</w:t>
            </w:r>
            <w:r>
              <w:rPr>
                <w:rFonts w:ascii="Times New Roman" w:hAnsi="Times New Roman" w:eastAsia="宋体" w:cs="Times New Roman"/>
                <w:color w:val="auto"/>
                <w:kern w:val="2"/>
                <w:sz w:val="24"/>
              </w:rPr>
              <w:t>。</w:t>
            </w:r>
          </w:p>
          <w:p w14:paraId="2B0F36EA">
            <w:pPr>
              <w:pStyle w:val="55"/>
              <w:keepNext w:val="0"/>
              <w:keepLines w:val="0"/>
              <w:pageBreakBefore w:val="0"/>
              <w:widowControl/>
              <w:kinsoku/>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w:t>
            </w:r>
            <w:r>
              <w:rPr>
                <w:rFonts w:ascii="Times New Roman" w:hAnsi="Times New Roman" w:cs="Times New Roman"/>
                <w:color w:val="auto"/>
                <w:kern w:val="2"/>
                <w:sz w:val="24"/>
                <w:lang w:eastAsia="zh-CN"/>
              </w:rPr>
              <w:t>3</w:t>
            </w:r>
            <w:r>
              <w:rPr>
                <w:rFonts w:ascii="Times New Roman" w:hAnsi="Times New Roman" w:eastAsia="宋体" w:cs="Times New Roman"/>
                <w:color w:val="auto"/>
                <w:kern w:val="2"/>
                <w:sz w:val="24"/>
              </w:rPr>
              <w:t>）</w:t>
            </w:r>
            <w:r>
              <w:rPr>
                <w:rFonts w:ascii="Times New Roman" w:hAnsi="Times New Roman" w:eastAsia="宋体" w:cs="Times New Roman"/>
                <w:color w:val="auto"/>
                <w:kern w:val="2"/>
                <w:sz w:val="24"/>
                <w:lang w:eastAsia="zh-CN"/>
              </w:rPr>
              <w:t>对室外风机采取减振、加装隔音罩等措施降低噪声值。</w:t>
            </w:r>
          </w:p>
          <w:p w14:paraId="01BA7332">
            <w:pPr>
              <w:pStyle w:val="55"/>
              <w:keepNext w:val="0"/>
              <w:keepLines w:val="0"/>
              <w:pageBreakBefore w:val="0"/>
              <w:widowControl/>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w:t>
            </w:r>
            <w:r>
              <w:rPr>
                <w:rFonts w:ascii="Times New Roman" w:hAnsi="Times New Roman" w:cs="Times New Roman"/>
                <w:color w:val="auto"/>
                <w:kern w:val="2"/>
                <w:sz w:val="24"/>
                <w:lang w:eastAsia="zh-CN"/>
              </w:rPr>
              <w:t>4</w:t>
            </w:r>
            <w:r>
              <w:rPr>
                <w:rFonts w:ascii="Times New Roman" w:hAnsi="Times New Roman" w:eastAsia="宋体" w:cs="Times New Roman"/>
                <w:color w:val="auto"/>
                <w:kern w:val="2"/>
                <w:sz w:val="24"/>
              </w:rPr>
              <w:t>）定期对生产设备进行保养维修，保证生产设备维持良好使用状态，并严格遵守生产设备的操作规范。</w:t>
            </w:r>
          </w:p>
          <w:p w14:paraId="68E203E0">
            <w:pPr>
              <w:pStyle w:val="55"/>
              <w:adjustRightInd/>
              <w:snapToGrid/>
              <w:spacing w:before="0" w:line="360" w:lineRule="auto"/>
              <w:ind w:firstLineChars="200"/>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4、噪声监测计划</w:t>
            </w:r>
          </w:p>
          <w:p w14:paraId="41BBA9DB">
            <w:pPr>
              <w:pStyle w:val="55"/>
              <w:adjustRightInd/>
              <w:snapToGrid/>
              <w:spacing w:before="0" w:line="360" w:lineRule="auto"/>
              <w:ind w:firstLine="480" w:firstLineChars="200"/>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根据《排污许可证申请与核发技术规范 工业噪声》（HJ</w:t>
            </w:r>
            <w:r>
              <w:rPr>
                <w:rFonts w:ascii="Times New Roman" w:hAnsi="Times New Roman" w:eastAsia="宋体" w:cs="Times New Roman"/>
                <w:color w:val="auto"/>
                <w:kern w:val="2"/>
                <w:sz w:val="24"/>
                <w:lang w:eastAsia="zh-CN"/>
              </w:rPr>
              <w:t>1301</w:t>
            </w:r>
            <w:r>
              <w:rPr>
                <w:rFonts w:ascii="Times New Roman" w:hAnsi="Times New Roman" w:eastAsia="宋体" w:cs="Times New Roman"/>
                <w:color w:val="auto"/>
                <w:kern w:val="2"/>
                <w:sz w:val="24"/>
              </w:rPr>
              <w:t>-20</w:t>
            </w:r>
            <w:r>
              <w:rPr>
                <w:rFonts w:ascii="Times New Roman" w:hAnsi="Times New Roman" w:eastAsia="宋体" w:cs="Times New Roman"/>
                <w:color w:val="auto"/>
                <w:kern w:val="2"/>
                <w:sz w:val="24"/>
                <w:lang w:eastAsia="zh-CN"/>
              </w:rPr>
              <w:t>23</w:t>
            </w:r>
            <w:r>
              <w:rPr>
                <w:rFonts w:ascii="Times New Roman" w:hAnsi="Times New Roman" w:eastAsia="宋体" w:cs="Times New Roman"/>
                <w:color w:val="auto"/>
                <w:kern w:val="2"/>
                <w:sz w:val="24"/>
              </w:rPr>
              <w:t>），项目噪声监测计划如下所示。</w:t>
            </w:r>
          </w:p>
          <w:p w14:paraId="576FFC3E">
            <w:pPr>
              <w:adjustRightInd/>
              <w:snapToGrid/>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ascii="Times New Roman" w:hAnsi="Times New Roman" w:eastAsia="宋体" w:cs="Times New Roman"/>
                <w:b/>
                <w:bCs/>
                <w:color w:val="auto"/>
                <w:sz w:val="24"/>
                <w:lang w:eastAsia="zh-CN"/>
              </w:rPr>
              <w:t xml:space="preserve">12 </w:t>
            </w:r>
            <w:r>
              <w:rPr>
                <w:rFonts w:ascii="Times New Roman" w:hAnsi="Times New Roman" w:eastAsia="宋体" w:cs="Times New Roman"/>
                <w:b/>
                <w:bCs/>
                <w:color w:val="auto"/>
                <w:sz w:val="24"/>
              </w:rPr>
              <w:t>噪声监测计划表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2"/>
              <w:gridCol w:w="1642"/>
              <w:gridCol w:w="1041"/>
              <w:gridCol w:w="2200"/>
            </w:tblGrid>
            <w:tr w14:paraId="1405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99" w:type="pct"/>
                  <w:tcBorders>
                    <w:top w:val="single" w:color="auto" w:sz="4" w:space="0"/>
                    <w:left w:val="single" w:color="auto" w:sz="4" w:space="0"/>
                    <w:bottom w:val="single" w:color="auto" w:sz="4" w:space="0"/>
                    <w:right w:val="single" w:color="auto" w:sz="4" w:space="0"/>
                  </w:tcBorders>
                  <w:vAlign w:val="center"/>
                </w:tcPr>
                <w:p w14:paraId="7E2CAD83">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监测点位置</w:t>
                  </w:r>
                </w:p>
              </w:tc>
              <w:tc>
                <w:tcPr>
                  <w:tcW w:w="1042" w:type="pct"/>
                  <w:tcBorders>
                    <w:top w:val="single" w:color="auto" w:sz="4" w:space="0"/>
                    <w:left w:val="nil"/>
                    <w:bottom w:val="single" w:color="auto" w:sz="4" w:space="0"/>
                    <w:right w:val="single" w:color="auto" w:sz="4" w:space="0"/>
                  </w:tcBorders>
                  <w:vAlign w:val="center"/>
                </w:tcPr>
                <w:p w14:paraId="13097660">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监测指标</w:t>
                  </w:r>
                </w:p>
              </w:tc>
              <w:tc>
                <w:tcPr>
                  <w:tcW w:w="661" w:type="pct"/>
                  <w:tcBorders>
                    <w:top w:val="single" w:color="auto" w:sz="4" w:space="0"/>
                    <w:left w:val="nil"/>
                    <w:bottom w:val="single" w:color="auto" w:sz="4" w:space="0"/>
                    <w:right w:val="single" w:color="auto" w:sz="4" w:space="0"/>
                  </w:tcBorders>
                  <w:vAlign w:val="center"/>
                </w:tcPr>
                <w:p w14:paraId="6D0EF70C">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监测频次</w:t>
                  </w:r>
                </w:p>
              </w:tc>
              <w:tc>
                <w:tcPr>
                  <w:tcW w:w="1396" w:type="pct"/>
                  <w:tcBorders>
                    <w:top w:val="single" w:color="auto" w:sz="4" w:space="0"/>
                    <w:left w:val="nil"/>
                    <w:bottom w:val="single" w:color="auto" w:sz="4" w:space="0"/>
                    <w:right w:val="single" w:color="auto" w:sz="4" w:space="0"/>
                  </w:tcBorders>
                  <w:vAlign w:val="center"/>
                </w:tcPr>
                <w:p w14:paraId="72286DB5">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监测天数</w:t>
                  </w:r>
                </w:p>
              </w:tc>
            </w:tr>
            <w:tr w14:paraId="2633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99" w:type="pct"/>
                  <w:tcBorders>
                    <w:top w:val="single" w:color="auto" w:sz="4" w:space="0"/>
                    <w:left w:val="single" w:color="auto" w:sz="4" w:space="0"/>
                    <w:bottom w:val="single" w:color="auto" w:sz="4" w:space="0"/>
                    <w:right w:val="single" w:color="auto" w:sz="4" w:space="0"/>
                  </w:tcBorders>
                  <w:vAlign w:val="center"/>
                </w:tcPr>
                <w:p w14:paraId="3B4D5879">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厂界四周各布设一个噪声监测点</w:t>
                  </w:r>
                </w:p>
              </w:tc>
              <w:tc>
                <w:tcPr>
                  <w:tcW w:w="1042" w:type="pct"/>
                  <w:tcBorders>
                    <w:top w:val="single" w:color="auto" w:sz="4" w:space="0"/>
                    <w:left w:val="nil"/>
                    <w:bottom w:val="single" w:color="auto" w:sz="4" w:space="0"/>
                    <w:right w:val="single" w:color="auto" w:sz="4" w:space="0"/>
                  </w:tcBorders>
                  <w:vAlign w:val="center"/>
                </w:tcPr>
                <w:p w14:paraId="2147FF1D">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连续等效A声级</w:t>
                  </w:r>
                </w:p>
              </w:tc>
              <w:tc>
                <w:tcPr>
                  <w:tcW w:w="661" w:type="pct"/>
                  <w:tcBorders>
                    <w:top w:val="single" w:color="auto" w:sz="4" w:space="0"/>
                    <w:left w:val="nil"/>
                    <w:bottom w:val="single" w:color="auto" w:sz="4" w:space="0"/>
                    <w:right w:val="single" w:color="auto" w:sz="4" w:space="0"/>
                  </w:tcBorders>
                  <w:vAlign w:val="center"/>
                </w:tcPr>
                <w:p w14:paraId="6212B740">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每季一次</w:t>
                  </w:r>
                </w:p>
              </w:tc>
              <w:tc>
                <w:tcPr>
                  <w:tcW w:w="1396" w:type="pct"/>
                  <w:tcBorders>
                    <w:top w:val="single" w:color="auto" w:sz="4" w:space="0"/>
                    <w:left w:val="nil"/>
                    <w:bottom w:val="single" w:color="auto" w:sz="4" w:space="0"/>
                    <w:right w:val="single" w:color="auto" w:sz="4" w:space="0"/>
                  </w:tcBorders>
                  <w:vAlign w:val="center"/>
                </w:tcPr>
                <w:p w14:paraId="030D098A">
                  <w:pPr>
                    <w:pStyle w:val="57"/>
                    <w:adjustRightInd/>
                    <w:snapToGri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连续1天，昼夜各一次</w:t>
                  </w:r>
                </w:p>
              </w:tc>
            </w:tr>
          </w:tbl>
          <w:p w14:paraId="278874F8">
            <w:pPr>
              <w:pStyle w:val="55"/>
              <w:adjustRightInd/>
              <w:snapToGrid/>
              <w:spacing w:before="0" w:line="360" w:lineRule="auto"/>
              <w:ind w:firstLine="0"/>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四、固体废物</w:t>
            </w:r>
          </w:p>
          <w:p w14:paraId="38FC06BE">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本项目营运期固体废物主要为一般工业固废、危险废物和生活垃圾。</w:t>
            </w:r>
          </w:p>
          <w:p w14:paraId="379B66CA">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（1）一般工业固废</w:t>
            </w:r>
          </w:p>
          <w:p w14:paraId="5FC31CF6">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 xml:space="preserve">① </w:t>
            </w:r>
            <w:r>
              <w:rPr>
                <w:rFonts w:ascii="Times New Roman" w:hAnsi="Times New Roman" w:eastAsia="宋体" w:cs="Times New Roman"/>
                <w:color w:val="auto"/>
                <w:sz w:val="24"/>
                <w:lang w:eastAsia="zh-CN" w:bidi="zh-CN"/>
              </w:rPr>
              <w:t>金属边角料</w:t>
            </w:r>
          </w:p>
          <w:p w14:paraId="5B3AF171">
            <w:pPr>
              <w:kinsoku/>
              <w:adjustRightInd/>
              <w:snapToGrid/>
              <w:spacing w:line="360" w:lineRule="auto"/>
              <w:ind w:firstLine="480" w:firstLineChars="200"/>
              <w:rPr>
                <w:rFonts w:ascii="Times New Roman" w:hAnsi="Times New Roman" w:eastAsia="宋体" w:cs="Times New Roman"/>
                <w:color w:val="auto"/>
                <w:sz w:val="24"/>
                <w:lang w:eastAsia="zh-CN" w:bidi="zh-CN"/>
              </w:rPr>
            </w:pPr>
            <w:r>
              <w:rPr>
                <w:rFonts w:ascii="Times New Roman" w:hAnsi="Times New Roman" w:eastAsia="宋体" w:cs="Times New Roman"/>
                <w:color w:val="auto"/>
                <w:sz w:val="24"/>
                <w:lang w:eastAsia="zh-CN" w:bidi="zh-CN"/>
              </w:rPr>
              <w:t>金属边角料：项目金属材料加工过程会产生金属边角料，产生量约占使用量的1‰，项目金属边角料产生量</w:t>
            </w:r>
            <w:r>
              <w:rPr>
                <w:rFonts w:ascii="Times New Roman" w:hAnsi="Times New Roman" w:cs="Times New Roman"/>
                <w:color w:val="auto"/>
                <w:sz w:val="24"/>
                <w:lang w:eastAsia="zh-CN" w:bidi="zh-CN"/>
              </w:rPr>
              <w:t>约</w:t>
            </w:r>
            <w:r>
              <w:rPr>
                <w:rFonts w:ascii="Times New Roman" w:hAnsi="Times New Roman" w:eastAsia="宋体" w:cs="Times New Roman"/>
                <w:color w:val="auto"/>
                <w:sz w:val="24"/>
                <w:lang w:eastAsia="zh-CN" w:bidi="zh-CN"/>
              </w:rPr>
              <w:t>为</w:t>
            </w:r>
            <w:r>
              <w:rPr>
                <w:rFonts w:hint="eastAsia" w:ascii="Times New Roman" w:hAnsi="Times New Roman" w:cs="Times New Roman"/>
                <w:color w:val="auto"/>
                <w:sz w:val="24"/>
                <w:lang w:eastAsia="zh-CN" w:bidi="zh-CN"/>
              </w:rPr>
              <w:t>2.5</w:t>
            </w:r>
            <w:r>
              <w:rPr>
                <w:rFonts w:ascii="Times New Roman" w:hAnsi="Times New Roman" w:eastAsia="宋体" w:cs="Times New Roman"/>
                <w:color w:val="auto"/>
                <w:sz w:val="24"/>
                <w:lang w:eastAsia="zh-CN" w:bidi="zh-CN"/>
              </w:rPr>
              <w:t>t/a，本项目金属边角料经收集</w:t>
            </w:r>
            <w:r>
              <w:rPr>
                <w:rFonts w:hint="eastAsia" w:ascii="Times New Roman" w:hAnsi="Times New Roman" w:eastAsia="宋体" w:cs="Times New Roman"/>
                <w:color w:val="auto"/>
                <w:sz w:val="24"/>
                <w:lang w:eastAsia="zh-CN" w:bidi="zh-CN"/>
              </w:rPr>
              <w:t>外售综合利用</w:t>
            </w:r>
            <w:r>
              <w:rPr>
                <w:rFonts w:ascii="Times New Roman" w:hAnsi="Times New Roman" w:eastAsia="宋体" w:cs="Times New Roman"/>
                <w:color w:val="auto"/>
                <w:sz w:val="24"/>
                <w:lang w:eastAsia="zh-CN" w:bidi="zh-CN"/>
              </w:rPr>
              <w:t>。</w:t>
            </w:r>
          </w:p>
          <w:p w14:paraId="7F4D615A">
            <w:pPr>
              <w:pStyle w:val="12"/>
              <w:adjustRightInd/>
              <w:snapToGrid/>
              <w:spacing w:after="0" w:line="360" w:lineRule="auto"/>
              <w:ind w:left="0" w:leftChars="0" w:firstLine="480"/>
              <w:rPr>
                <w:rFonts w:ascii="Times New Roman" w:hAnsi="Times New Roman" w:eastAsia="宋体" w:cs="Times New Roman"/>
                <w:color w:val="auto"/>
                <w:szCs w:val="21"/>
                <w:lang w:eastAsia="zh-CN" w:bidi="zh-CN"/>
              </w:rPr>
            </w:pPr>
            <w:r>
              <w:rPr>
                <w:rFonts w:ascii="Times New Roman" w:hAnsi="Times New Roman" w:eastAsia="宋体" w:cs="Times New Roman"/>
                <w:color w:val="auto"/>
                <w:szCs w:val="21"/>
                <w:lang w:eastAsia="zh-CN"/>
              </w:rPr>
              <w:t>②焊渣：</w:t>
            </w:r>
            <w:r>
              <w:rPr>
                <w:rFonts w:ascii="Times New Roman" w:hAnsi="Times New Roman" w:eastAsia="宋体" w:cs="Times New Roman"/>
                <w:color w:val="auto"/>
                <w:szCs w:val="21"/>
                <w:lang w:eastAsia="zh-CN" w:bidi="zh-CN"/>
              </w:rPr>
              <w:t>项目焊接过程会产生焊渣，焊渣产生系数为焊接材料的15%，则焊渣的产生量为</w:t>
            </w:r>
            <w:r>
              <w:rPr>
                <w:rFonts w:hint="eastAsia" w:ascii="Times New Roman" w:hAnsi="Times New Roman" w:eastAsia="宋体" w:cs="Times New Roman"/>
                <w:color w:val="auto"/>
                <w:szCs w:val="21"/>
                <w:lang w:eastAsia="zh-CN" w:bidi="zh-CN"/>
              </w:rPr>
              <w:t>1.5</w:t>
            </w:r>
            <w:r>
              <w:rPr>
                <w:rFonts w:ascii="Times New Roman" w:hAnsi="Times New Roman" w:eastAsia="宋体" w:cs="Times New Roman"/>
                <w:color w:val="auto"/>
                <w:szCs w:val="21"/>
                <w:lang w:eastAsia="zh-CN" w:bidi="zh-CN"/>
              </w:rPr>
              <w:t>t/a，焊渣经收集后委托外单位处置。</w:t>
            </w:r>
          </w:p>
          <w:p w14:paraId="569CA9B6">
            <w:pPr>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③布袋除尘器收尘：根据前文分析，项目布袋除尘器收集粉尘产生量约为</w:t>
            </w:r>
            <w:r>
              <w:rPr>
                <w:rFonts w:hint="eastAsia" w:ascii="Times New Roman" w:hAnsi="Times New Roman" w:cs="Times New Roman"/>
                <w:color w:val="auto"/>
                <w:sz w:val="24"/>
                <w:lang w:eastAsia="zh-CN"/>
              </w:rPr>
              <w:t>6.9</w:t>
            </w:r>
            <w:r>
              <w:rPr>
                <w:rFonts w:ascii="Times New Roman" w:hAnsi="Times New Roman" w:eastAsia="宋体" w:cs="Times New Roman"/>
                <w:color w:val="auto"/>
                <w:sz w:val="24"/>
                <w:lang w:eastAsia="zh-CN"/>
              </w:rPr>
              <w:t>t/a，粉尘经收集后</w:t>
            </w:r>
            <w:r>
              <w:rPr>
                <w:rFonts w:ascii="Times New Roman" w:hAnsi="Times New Roman" w:eastAsia="宋体" w:cs="Times New Roman"/>
                <w:color w:val="auto"/>
                <w:sz w:val="24"/>
                <w:lang w:eastAsia="zh-CN" w:bidi="zh-CN"/>
              </w:rPr>
              <w:t>委托外单位处置</w:t>
            </w:r>
            <w:r>
              <w:rPr>
                <w:rFonts w:ascii="Times New Roman" w:hAnsi="Times New Roman" w:eastAsia="宋体" w:cs="Times New Roman"/>
                <w:color w:val="auto"/>
                <w:sz w:val="24"/>
                <w:lang w:eastAsia="zh-CN"/>
              </w:rPr>
              <w:t>。</w:t>
            </w:r>
          </w:p>
          <w:p w14:paraId="53279A3C">
            <w:pPr>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④滤芯收尘：项目喷塑过程在密闭喷塑房内进行，粉尘产生量根据前文分析产生量约</w:t>
            </w:r>
            <w:r>
              <w:rPr>
                <w:rFonts w:hint="eastAsia" w:ascii="Times New Roman" w:hAnsi="Times New Roman" w:cs="Times New Roman"/>
                <w:color w:val="auto"/>
                <w:sz w:val="24"/>
                <w:lang w:eastAsia="zh-CN"/>
              </w:rPr>
              <w:t>31.65</w:t>
            </w:r>
            <w:r>
              <w:rPr>
                <w:rFonts w:ascii="Times New Roman" w:hAnsi="Times New Roman" w:eastAsia="宋体" w:cs="Times New Roman"/>
                <w:color w:val="auto"/>
                <w:sz w:val="24"/>
                <w:lang w:eastAsia="zh-CN"/>
              </w:rPr>
              <w:t>t/a，粉尘收集后回用生产。</w:t>
            </w:r>
          </w:p>
          <w:p w14:paraId="3154D7F3">
            <w:pPr>
              <w:adjustRightInd/>
              <w:snapToGrid/>
              <w:spacing w:line="360" w:lineRule="auto"/>
              <w:ind w:firstLine="480" w:firstLineChars="200"/>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⑤碎玻璃：</w:t>
            </w:r>
            <w:r>
              <w:rPr>
                <w:rFonts w:ascii="Times New Roman" w:hAnsi="Times New Roman" w:cs="Times New Roman"/>
                <w:kern w:val="2"/>
                <w:sz w:val="24"/>
                <w:szCs w:val="24"/>
                <w:lang w:eastAsia="zh-CN"/>
              </w:rPr>
              <w:t>项目在</w:t>
            </w:r>
            <w:r>
              <w:rPr>
                <w:rFonts w:hint="eastAsia" w:ascii="Times New Roman" w:hAnsi="Times New Roman" w:cs="Times New Roman"/>
                <w:kern w:val="2"/>
                <w:sz w:val="24"/>
                <w:szCs w:val="24"/>
                <w:lang w:eastAsia="zh-CN"/>
              </w:rPr>
              <w:t>拼装</w:t>
            </w:r>
            <w:r>
              <w:rPr>
                <w:rFonts w:ascii="Times New Roman" w:hAnsi="Times New Roman" w:cs="Times New Roman"/>
                <w:kern w:val="2"/>
                <w:sz w:val="24"/>
                <w:szCs w:val="24"/>
                <w:lang w:eastAsia="zh-CN"/>
              </w:rPr>
              <w:t>过程中会产生碎玻璃，碎玻璃产生量约0.01t/a，项目碎玻璃经收集后外售综合利用。</w:t>
            </w:r>
          </w:p>
          <w:p w14:paraId="1EED4B30">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（2）危险废物</w:t>
            </w:r>
          </w:p>
          <w:p w14:paraId="106A35F9">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①废活性炭</w:t>
            </w:r>
          </w:p>
          <w:p w14:paraId="55A55A83">
            <w:pPr>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cs="Times New Roman"/>
                <w:color w:val="auto"/>
                <w:sz w:val="24"/>
                <w:lang w:eastAsia="zh-CN"/>
              </w:rPr>
              <w:t>项目活性炭需要量与应吸附废气量的比例为1:0.25。根据前文分析，本项目废气处理设施活性炭箱吸附非甲烷总烃为</w:t>
            </w:r>
            <w:r>
              <w:rPr>
                <w:rFonts w:hint="eastAsia" w:ascii="Times New Roman" w:hAnsi="Times New Roman" w:cs="Times New Roman"/>
                <w:color w:val="auto"/>
                <w:sz w:val="24"/>
                <w:lang w:eastAsia="zh-CN"/>
              </w:rPr>
              <w:t>0.277</w:t>
            </w:r>
            <w:r>
              <w:rPr>
                <w:rFonts w:ascii="Times New Roman" w:hAnsi="Times New Roman" w:cs="Times New Roman"/>
                <w:color w:val="auto"/>
                <w:sz w:val="24"/>
                <w:lang w:eastAsia="zh-CN"/>
              </w:rPr>
              <w:t>t/a，则需活性炭量为</w:t>
            </w:r>
            <w:r>
              <w:rPr>
                <w:rFonts w:hint="eastAsia" w:ascii="Times New Roman" w:hAnsi="Times New Roman" w:cs="Times New Roman"/>
                <w:color w:val="auto"/>
                <w:sz w:val="24"/>
                <w:lang w:eastAsia="zh-CN"/>
              </w:rPr>
              <w:t>1.1</w:t>
            </w:r>
            <w:r>
              <w:rPr>
                <w:rFonts w:ascii="Times New Roman" w:hAnsi="Times New Roman" w:cs="Times New Roman"/>
                <w:color w:val="auto"/>
                <w:sz w:val="24"/>
                <w:lang w:eastAsia="zh-CN"/>
              </w:rPr>
              <w:t>t/a。则项目废活性炭产生量为</w:t>
            </w:r>
            <w:r>
              <w:rPr>
                <w:rFonts w:hint="eastAsia" w:ascii="Times New Roman" w:hAnsi="Times New Roman" w:cs="Times New Roman"/>
                <w:color w:val="auto"/>
                <w:sz w:val="24"/>
                <w:lang w:eastAsia="zh-CN"/>
              </w:rPr>
              <w:t>1.377</w:t>
            </w:r>
            <w:r>
              <w:rPr>
                <w:rFonts w:ascii="Times New Roman" w:hAnsi="Times New Roman" w:cs="Times New Roman"/>
                <w:color w:val="auto"/>
                <w:sz w:val="24"/>
                <w:lang w:eastAsia="zh-CN"/>
              </w:rPr>
              <w:t>t/a。本次评价建议企业</w:t>
            </w:r>
            <w:r>
              <w:rPr>
                <w:rFonts w:hint="eastAsia" w:ascii="Times New Roman" w:hAnsi="Times New Roman" w:cs="Times New Roman"/>
                <w:color w:val="auto"/>
                <w:sz w:val="24"/>
                <w:lang w:eastAsia="zh-CN"/>
              </w:rPr>
              <w:t>每</w:t>
            </w:r>
            <w:r>
              <w:rPr>
                <w:rFonts w:ascii="Times New Roman" w:hAnsi="Times New Roman" w:cs="Times New Roman"/>
                <w:color w:val="auto"/>
                <w:sz w:val="24"/>
                <w:lang w:eastAsia="zh-CN"/>
              </w:rPr>
              <w:t>季度更换一次活性炭，以确保活性炭吸附效果。</w:t>
            </w:r>
            <w:r>
              <w:rPr>
                <w:rFonts w:ascii="Times New Roman" w:hAnsi="Times New Roman" w:eastAsia="宋体" w:cs="Times New Roman"/>
                <w:color w:val="auto"/>
                <w:sz w:val="24"/>
              </w:rPr>
              <w:t>根据《国家危险废物名录》</w:t>
            </w:r>
            <w:r>
              <w:rPr>
                <w:rFonts w:ascii="Times New Roman" w:hAnsi="Times New Roman" w:cs="Times New Roman"/>
                <w:color w:val="auto"/>
                <w:sz w:val="24"/>
                <w:lang w:eastAsia="zh-CN"/>
              </w:rPr>
              <w:t>（2025版）</w:t>
            </w:r>
            <w:r>
              <w:rPr>
                <w:rFonts w:ascii="Times New Roman" w:hAnsi="Times New Roman" w:eastAsia="宋体" w:cs="Times New Roman"/>
                <w:color w:val="auto"/>
                <w:sz w:val="24"/>
              </w:rPr>
              <w:t>，废活性炭属于危险废物，废物类别HW49，废物代码900-039-49，经收集后</w:t>
            </w:r>
            <w:r>
              <w:rPr>
                <w:rFonts w:ascii="Times New Roman" w:hAnsi="Times New Roman" w:cs="Times New Roman"/>
                <w:color w:val="auto"/>
                <w:sz w:val="24"/>
                <w:lang w:eastAsia="zh-CN"/>
              </w:rPr>
              <w:t>由薄膜包裹缠绕后存放密闭包装桶内并</w:t>
            </w:r>
            <w:r>
              <w:rPr>
                <w:rFonts w:ascii="Times New Roman" w:hAnsi="Times New Roman" w:eastAsia="宋体" w:cs="Times New Roman"/>
                <w:color w:val="auto"/>
                <w:sz w:val="24"/>
              </w:rPr>
              <w:t>暂存于危险废物暂存</w:t>
            </w:r>
            <w:r>
              <w:rPr>
                <w:rFonts w:ascii="Times New Roman" w:hAnsi="Times New Roman" w:cs="Times New Roman"/>
                <w:color w:val="auto"/>
                <w:sz w:val="24"/>
                <w:lang w:eastAsia="zh-CN"/>
              </w:rPr>
              <w:t>间</w:t>
            </w:r>
            <w:r>
              <w:rPr>
                <w:rFonts w:ascii="Times New Roman" w:hAnsi="Times New Roman" w:eastAsia="宋体" w:cs="Times New Roman"/>
                <w:color w:val="auto"/>
                <w:sz w:val="24"/>
              </w:rPr>
              <w:t>，由有资质单位进行处理。</w:t>
            </w:r>
          </w:p>
          <w:p w14:paraId="438E3140">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lang w:bidi="zh-CN"/>
              </w:rPr>
            </w:pPr>
            <w:r>
              <w:rPr>
                <w:rFonts w:hint="eastAsia" w:ascii="Times New Roman" w:hAnsi="Times New Roman" w:cs="Times New Roman"/>
                <w:color w:val="auto"/>
                <w:sz w:val="24"/>
                <w:lang w:bidi="zh-CN"/>
              </w:rPr>
              <w:t>②</w:t>
            </w:r>
            <w:r>
              <w:rPr>
                <w:rFonts w:ascii="Times New Roman" w:hAnsi="Times New Roman" w:cs="Times New Roman"/>
                <w:color w:val="auto"/>
                <w:sz w:val="24"/>
                <w:lang w:bidi="zh-CN"/>
              </w:rPr>
              <w:t>废机油</w:t>
            </w:r>
          </w:p>
          <w:p w14:paraId="4104400A">
            <w:pPr>
              <w:widowControl w:val="0"/>
              <w:kinsoku/>
              <w:autoSpaceDE/>
              <w:autoSpaceDN/>
              <w:adjustRightInd/>
              <w:snapToGrid/>
              <w:spacing w:line="360" w:lineRule="auto"/>
              <w:ind w:firstLine="480" w:firstLineChars="200"/>
              <w:textAlignment w:val="auto"/>
              <w:rPr>
                <w:rFonts w:ascii="Times New Roman" w:hAnsi="Times New Roman" w:cs="Times New Roman"/>
                <w:color w:val="auto"/>
              </w:rPr>
            </w:pPr>
            <w:r>
              <w:rPr>
                <w:rFonts w:ascii="Times New Roman" w:hAnsi="Times New Roman" w:eastAsia="宋体" w:cs="Times New Roman"/>
                <w:color w:val="auto"/>
                <w:sz w:val="24"/>
                <w:lang w:bidi="zh-CN"/>
              </w:rPr>
              <w:t>本项目设备维护保养时产生的废机油，年产生量约</w:t>
            </w:r>
            <w:r>
              <w:rPr>
                <w:rFonts w:hint="eastAsia" w:ascii="Times New Roman" w:hAnsi="Times New Roman" w:cs="Times New Roman"/>
                <w:color w:val="auto"/>
                <w:sz w:val="24"/>
                <w:lang w:bidi="zh-CN"/>
              </w:rPr>
              <w:t>0.1</w:t>
            </w:r>
            <w:r>
              <w:rPr>
                <w:rFonts w:ascii="Times New Roman" w:hAnsi="Times New Roman" w:eastAsia="宋体" w:cs="Times New Roman"/>
                <w:color w:val="auto"/>
                <w:sz w:val="24"/>
                <w:lang w:bidi="zh-CN"/>
              </w:rPr>
              <w:t>t/a。经查《国家危险废物名录（202</w:t>
            </w:r>
            <w:r>
              <w:rPr>
                <w:rFonts w:ascii="Times New Roman" w:hAnsi="Times New Roman" w:cs="Times New Roman"/>
                <w:color w:val="auto"/>
                <w:sz w:val="24"/>
                <w:lang w:bidi="zh-CN"/>
              </w:rPr>
              <w:t>5</w:t>
            </w:r>
            <w:r>
              <w:rPr>
                <w:rFonts w:ascii="Times New Roman" w:hAnsi="Times New Roman" w:eastAsia="宋体" w:cs="Times New Roman"/>
                <w:color w:val="auto"/>
                <w:sz w:val="24"/>
                <w:lang w:bidi="zh-CN"/>
              </w:rPr>
              <w:t>版）》，为危险固废，废物类别为HW08</w:t>
            </w:r>
            <w:r>
              <w:rPr>
                <w:rFonts w:ascii="Times New Roman" w:hAnsi="Times New Roman" w:cs="Times New Roman"/>
                <w:color w:val="auto"/>
                <w:sz w:val="24"/>
                <w:lang w:bidi="zh-CN"/>
              </w:rPr>
              <w:t>，</w:t>
            </w:r>
            <w:r>
              <w:rPr>
                <w:rFonts w:ascii="Times New Roman" w:hAnsi="Times New Roman" w:eastAsia="宋体" w:cs="Times New Roman"/>
                <w:color w:val="auto"/>
                <w:sz w:val="24"/>
                <w:lang w:bidi="zh-CN"/>
              </w:rPr>
              <w:t>900-249-08，委托有资质单位收集处理。</w:t>
            </w:r>
          </w:p>
          <w:p w14:paraId="5B1986AA">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bidi="zh-CN"/>
              </w:rPr>
            </w:pPr>
            <w:r>
              <w:rPr>
                <w:rFonts w:ascii="Times New Roman" w:hAnsi="Times New Roman" w:cs="Times New Roman"/>
                <w:color w:val="auto"/>
                <w:sz w:val="24"/>
                <w:lang w:bidi="zh-CN"/>
              </w:rPr>
              <w:t>⑥</w:t>
            </w:r>
            <w:r>
              <w:rPr>
                <w:rFonts w:ascii="Times New Roman" w:hAnsi="Times New Roman" w:eastAsia="宋体" w:cs="Times New Roman"/>
                <w:color w:val="auto"/>
                <w:sz w:val="24"/>
                <w:lang w:bidi="zh-CN"/>
              </w:rPr>
              <w:t>废机油桶</w:t>
            </w:r>
          </w:p>
          <w:p w14:paraId="7D500916">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eastAsia="zh-CN" w:bidi="zh-CN"/>
              </w:rPr>
            </w:pPr>
            <w:r>
              <w:rPr>
                <w:rFonts w:ascii="Times New Roman" w:hAnsi="Times New Roman" w:eastAsia="宋体" w:cs="Times New Roman"/>
                <w:color w:val="auto"/>
                <w:sz w:val="24"/>
                <w:lang w:bidi="zh-CN"/>
              </w:rPr>
              <w:t>根据原料使用量，项目一年共产生</w:t>
            </w:r>
            <w:r>
              <w:rPr>
                <w:rFonts w:hint="eastAsia" w:ascii="Times New Roman" w:hAnsi="Times New Roman" w:cs="Times New Roman"/>
                <w:color w:val="auto"/>
                <w:sz w:val="24"/>
                <w:lang w:bidi="zh-CN"/>
              </w:rPr>
              <w:t>2</w:t>
            </w:r>
            <w:r>
              <w:rPr>
                <w:rFonts w:ascii="Times New Roman" w:hAnsi="Times New Roman" w:eastAsia="宋体" w:cs="Times New Roman"/>
                <w:color w:val="auto"/>
                <w:sz w:val="24"/>
                <w:lang w:bidi="zh-CN"/>
              </w:rPr>
              <w:t>个废机油桶，平均每个包装重约5kg，则废机油桶产生量为</w:t>
            </w:r>
            <w:r>
              <w:rPr>
                <w:rFonts w:hint="eastAsia" w:ascii="Times New Roman" w:hAnsi="Times New Roman" w:eastAsia="宋体" w:cs="Times New Roman"/>
                <w:color w:val="auto"/>
                <w:sz w:val="24"/>
                <w:lang w:bidi="zh-CN"/>
              </w:rPr>
              <w:t>0.01</w:t>
            </w:r>
            <w:r>
              <w:rPr>
                <w:rFonts w:ascii="Times New Roman" w:hAnsi="Times New Roman" w:eastAsia="宋体" w:cs="Times New Roman"/>
                <w:color w:val="auto"/>
                <w:sz w:val="24"/>
                <w:lang w:bidi="zh-CN"/>
              </w:rPr>
              <w:t>t/a，废油桶属于危险物质，危废类别为HW08，900-249-08，废机油桶经收集后，暂存于厂区危废暂存库，委托有资质单位处置。</w:t>
            </w:r>
          </w:p>
          <w:p w14:paraId="02798F53">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（3）生活垃圾</w:t>
            </w:r>
          </w:p>
          <w:p w14:paraId="0C7C2039">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本项目职工定员</w:t>
            </w:r>
            <w:r>
              <w:rPr>
                <w:rFonts w:hint="eastAsia" w:ascii="Times New Roman" w:hAnsi="Times New Roman" w:eastAsia="宋体" w:cs="Times New Roman"/>
                <w:color w:val="auto"/>
                <w:sz w:val="24"/>
                <w:lang w:eastAsia="zh-CN"/>
              </w:rPr>
              <w:t>6</w:t>
            </w:r>
            <w:r>
              <w:rPr>
                <w:rFonts w:ascii="Times New Roman" w:hAnsi="Times New Roman" w:eastAsia="宋体" w:cs="Times New Roman"/>
                <w:color w:val="auto"/>
                <w:sz w:val="24"/>
              </w:rPr>
              <w:t>人，按0.5kg/人•d计算，则生活垃圾产生量</w:t>
            </w:r>
            <w:r>
              <w:rPr>
                <w:rFonts w:hint="eastAsia" w:ascii="Times New Roman" w:hAnsi="Times New Roman" w:eastAsia="宋体" w:cs="Times New Roman"/>
                <w:color w:val="auto"/>
                <w:sz w:val="24"/>
                <w:lang w:eastAsia="zh-CN"/>
              </w:rPr>
              <w:t>0.9</w:t>
            </w:r>
            <w:r>
              <w:rPr>
                <w:rFonts w:ascii="Times New Roman" w:hAnsi="Times New Roman" w:eastAsia="宋体" w:cs="Times New Roman"/>
                <w:color w:val="auto"/>
                <w:sz w:val="24"/>
              </w:rPr>
              <w:t>t/a，集中收集后交由环卫部门统一清运处理。</w:t>
            </w:r>
          </w:p>
          <w:p w14:paraId="10ECDF9D">
            <w:pPr>
              <w:adjustRightInd/>
              <w:snapToGrid/>
              <w:spacing w:line="360" w:lineRule="auto"/>
              <w:ind w:left="160" w:right="239" w:firstLine="480"/>
              <w:rPr>
                <w:rFonts w:ascii="Times New Roman" w:hAnsi="Times New Roman" w:eastAsia="宋体" w:cs="Times New Roman"/>
                <w:color w:val="auto"/>
                <w:sz w:val="24"/>
                <w:lang w:bidi="zh-CN"/>
              </w:rPr>
            </w:pPr>
            <w:r>
              <w:rPr>
                <w:rFonts w:ascii="Times New Roman" w:hAnsi="Times New Roman" w:eastAsia="宋体" w:cs="Times New Roman"/>
                <w:color w:val="auto"/>
                <w:sz w:val="24"/>
                <w:lang w:bidi="zh-CN"/>
              </w:rPr>
              <w:t>项目运营期固体废物产生情况见表4-1</w:t>
            </w:r>
            <w:r>
              <w:rPr>
                <w:rFonts w:ascii="Times New Roman" w:hAnsi="Times New Roman" w:cs="Times New Roman"/>
                <w:color w:val="auto"/>
                <w:sz w:val="24"/>
                <w:lang w:bidi="zh-CN"/>
              </w:rPr>
              <w:t>3</w:t>
            </w:r>
            <w:r>
              <w:rPr>
                <w:rFonts w:ascii="Times New Roman" w:hAnsi="Times New Roman" w:eastAsia="宋体" w:cs="Times New Roman"/>
                <w:color w:val="auto"/>
                <w:sz w:val="24"/>
                <w:lang w:bidi="zh-CN"/>
              </w:rPr>
              <w:t>。</w:t>
            </w:r>
          </w:p>
          <w:p w14:paraId="6A4B3748">
            <w:pPr>
              <w:adjustRightInd/>
              <w:snapToGrid/>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表4-1</w:t>
            </w:r>
            <w:r>
              <w:rPr>
                <w:rFonts w:ascii="Times New Roman" w:hAnsi="Times New Roman" w:eastAsia="宋体" w:cs="Times New Roman"/>
                <w:b/>
                <w:bCs/>
                <w:color w:val="auto"/>
                <w:sz w:val="24"/>
                <w:lang w:eastAsia="zh-CN"/>
              </w:rPr>
              <w:t xml:space="preserve">3 </w:t>
            </w:r>
            <w:r>
              <w:rPr>
                <w:rFonts w:ascii="Times New Roman" w:hAnsi="Times New Roman" w:eastAsia="宋体" w:cs="Times New Roman"/>
                <w:b/>
                <w:bCs/>
                <w:color w:val="auto"/>
                <w:sz w:val="24"/>
              </w:rPr>
              <w:t>本项目固废产生情况汇总表  单位：t/a</w:t>
            </w:r>
          </w:p>
          <w:tbl>
            <w:tblPr>
              <w:tblStyle w:val="22"/>
              <w:tblW w:w="499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1"/>
              <w:gridCol w:w="715"/>
              <w:gridCol w:w="792"/>
              <w:gridCol w:w="488"/>
              <w:gridCol w:w="568"/>
              <w:gridCol w:w="847"/>
              <w:gridCol w:w="579"/>
              <w:gridCol w:w="963"/>
              <w:gridCol w:w="987"/>
              <w:gridCol w:w="506"/>
              <w:gridCol w:w="1121"/>
            </w:tblGrid>
            <w:tr w14:paraId="17F72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6294AB05">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序号</w:t>
                  </w:r>
                </w:p>
              </w:tc>
              <w:tc>
                <w:tcPr>
                  <w:tcW w:w="455" w:type="pct"/>
                  <w:tcBorders>
                    <w:tl2br w:val="nil"/>
                    <w:tr2bl w:val="nil"/>
                  </w:tcBorders>
                  <w:vAlign w:val="center"/>
                </w:tcPr>
                <w:p w14:paraId="7C71C98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固废名称</w:t>
                  </w:r>
                </w:p>
              </w:tc>
              <w:tc>
                <w:tcPr>
                  <w:tcW w:w="504" w:type="pct"/>
                  <w:tcBorders>
                    <w:tl2br w:val="nil"/>
                    <w:tr2bl w:val="nil"/>
                  </w:tcBorders>
                  <w:vAlign w:val="center"/>
                </w:tcPr>
                <w:p w14:paraId="344C999B">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产生工序</w:t>
                  </w:r>
                </w:p>
              </w:tc>
              <w:tc>
                <w:tcPr>
                  <w:tcW w:w="311" w:type="pct"/>
                  <w:tcBorders>
                    <w:tl2br w:val="nil"/>
                    <w:tr2bl w:val="nil"/>
                  </w:tcBorders>
                  <w:vAlign w:val="center"/>
                </w:tcPr>
                <w:p w14:paraId="79ADA240">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属性</w:t>
                  </w:r>
                </w:p>
              </w:tc>
              <w:tc>
                <w:tcPr>
                  <w:tcW w:w="362" w:type="pct"/>
                  <w:tcBorders>
                    <w:tl2br w:val="nil"/>
                    <w:tr2bl w:val="nil"/>
                  </w:tcBorders>
                  <w:vAlign w:val="center"/>
                </w:tcPr>
                <w:p w14:paraId="15367461">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形态</w:t>
                  </w:r>
                </w:p>
              </w:tc>
              <w:tc>
                <w:tcPr>
                  <w:tcW w:w="539" w:type="pct"/>
                  <w:tcBorders>
                    <w:tl2br w:val="nil"/>
                    <w:tr2bl w:val="nil"/>
                  </w:tcBorders>
                  <w:vAlign w:val="center"/>
                </w:tcPr>
                <w:p w14:paraId="651B5BEB">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主要成分</w:t>
                  </w:r>
                </w:p>
              </w:tc>
              <w:tc>
                <w:tcPr>
                  <w:tcW w:w="369" w:type="pct"/>
                  <w:tcBorders>
                    <w:tl2br w:val="nil"/>
                    <w:tr2bl w:val="nil"/>
                  </w:tcBorders>
                  <w:vAlign w:val="center"/>
                </w:tcPr>
                <w:p w14:paraId="65A2266D">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产生量</w:t>
                  </w:r>
                  <w:r>
                    <w:rPr>
                      <w:rFonts w:ascii="Times New Roman" w:hAnsi="Times New Roman" w:eastAsia="宋体" w:cs="Times New Roman"/>
                      <w:color w:val="auto"/>
                      <w:lang w:eastAsia="zh-CN"/>
                    </w:rPr>
                    <w:t>t/a</w:t>
                  </w:r>
                </w:p>
              </w:tc>
              <w:tc>
                <w:tcPr>
                  <w:tcW w:w="612" w:type="pct"/>
                  <w:tcBorders>
                    <w:tl2br w:val="nil"/>
                    <w:tr2bl w:val="nil"/>
                  </w:tcBorders>
                  <w:vAlign w:val="center"/>
                </w:tcPr>
                <w:p w14:paraId="18A91E8F">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废物类别</w:t>
                  </w:r>
                </w:p>
              </w:tc>
              <w:tc>
                <w:tcPr>
                  <w:tcW w:w="615" w:type="pct"/>
                  <w:tcBorders>
                    <w:tl2br w:val="nil"/>
                    <w:tr2bl w:val="nil"/>
                  </w:tcBorders>
                  <w:vAlign w:val="center"/>
                </w:tcPr>
                <w:p w14:paraId="2B060A3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废物代码</w:t>
                  </w:r>
                </w:p>
              </w:tc>
              <w:tc>
                <w:tcPr>
                  <w:tcW w:w="322" w:type="pct"/>
                  <w:tcBorders>
                    <w:tl2br w:val="nil"/>
                    <w:tr2bl w:val="nil"/>
                  </w:tcBorders>
                  <w:vAlign w:val="center"/>
                </w:tcPr>
                <w:p w14:paraId="21C20D7D">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危险特性</w:t>
                  </w:r>
                </w:p>
              </w:tc>
              <w:tc>
                <w:tcPr>
                  <w:tcW w:w="712" w:type="pct"/>
                  <w:tcBorders>
                    <w:tl2br w:val="nil"/>
                    <w:tr2bl w:val="nil"/>
                  </w:tcBorders>
                  <w:vAlign w:val="center"/>
                </w:tcPr>
                <w:p w14:paraId="2C8C2869">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利用处置方式</w:t>
                  </w:r>
                </w:p>
              </w:tc>
            </w:tr>
            <w:tr w14:paraId="1047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7E9C5A56">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455" w:type="pct"/>
                  <w:tcBorders>
                    <w:tl2br w:val="nil"/>
                    <w:tr2bl w:val="nil"/>
                  </w:tcBorders>
                  <w:vAlign w:val="center"/>
                </w:tcPr>
                <w:p w14:paraId="4F428C74">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金属边角料</w:t>
                  </w:r>
                </w:p>
              </w:tc>
              <w:tc>
                <w:tcPr>
                  <w:tcW w:w="504" w:type="pct"/>
                  <w:tcBorders>
                    <w:tl2br w:val="nil"/>
                    <w:tr2bl w:val="nil"/>
                  </w:tcBorders>
                  <w:vAlign w:val="center"/>
                </w:tcPr>
                <w:p w14:paraId="471317AE">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原料</w:t>
                  </w:r>
                  <w:r>
                    <w:rPr>
                      <w:rFonts w:ascii="Times New Roman" w:hAnsi="Times New Roman" w:eastAsia="宋体" w:cs="Times New Roman"/>
                      <w:color w:val="auto"/>
                      <w:lang w:eastAsia="zh-CN"/>
                    </w:rPr>
                    <w:t>加工</w:t>
                  </w:r>
                </w:p>
              </w:tc>
              <w:tc>
                <w:tcPr>
                  <w:tcW w:w="311" w:type="pct"/>
                  <w:tcBorders>
                    <w:tl2br w:val="nil"/>
                    <w:tr2bl w:val="nil"/>
                  </w:tcBorders>
                  <w:vAlign w:val="center"/>
                </w:tcPr>
                <w:p w14:paraId="42804A5F">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一般固废</w:t>
                  </w:r>
                </w:p>
              </w:tc>
              <w:tc>
                <w:tcPr>
                  <w:tcW w:w="362" w:type="pct"/>
                  <w:tcBorders>
                    <w:tl2br w:val="nil"/>
                    <w:tr2bl w:val="nil"/>
                  </w:tcBorders>
                  <w:vAlign w:val="center"/>
                </w:tcPr>
                <w:p w14:paraId="4EB2086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1EF88AB2">
                  <w:pPr>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钢材</w:t>
                  </w:r>
                </w:p>
              </w:tc>
              <w:tc>
                <w:tcPr>
                  <w:tcW w:w="369" w:type="pct"/>
                  <w:tcBorders>
                    <w:tl2br w:val="nil"/>
                    <w:tr2bl w:val="nil"/>
                  </w:tcBorders>
                  <w:vAlign w:val="center"/>
                </w:tcPr>
                <w:p w14:paraId="3FED8224">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szCs w:val="18"/>
                      <w:lang w:eastAsia="zh-CN" w:bidi="zh-CN"/>
                    </w:rPr>
                    <w:t>2.5</w:t>
                  </w:r>
                </w:p>
              </w:tc>
              <w:tc>
                <w:tcPr>
                  <w:tcW w:w="612" w:type="pct"/>
                  <w:tcBorders>
                    <w:tl2br w:val="nil"/>
                    <w:tr2bl w:val="nil"/>
                  </w:tcBorders>
                  <w:vAlign w:val="center"/>
                </w:tcPr>
                <w:p w14:paraId="15A670C1">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615" w:type="pct"/>
                  <w:tcBorders>
                    <w:tl2br w:val="nil"/>
                    <w:tr2bl w:val="nil"/>
                  </w:tcBorders>
                  <w:vAlign w:val="center"/>
                </w:tcPr>
                <w:p w14:paraId="2D404F24">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322" w:type="pct"/>
                  <w:tcBorders>
                    <w:tl2br w:val="nil"/>
                    <w:tr2bl w:val="nil"/>
                  </w:tcBorders>
                  <w:vAlign w:val="center"/>
                </w:tcPr>
                <w:p w14:paraId="1728E64E">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712" w:type="pct"/>
                  <w:tcBorders>
                    <w:tl2br w:val="nil"/>
                    <w:tr2bl w:val="nil"/>
                  </w:tcBorders>
                  <w:vAlign w:val="center"/>
                </w:tcPr>
                <w:p w14:paraId="17180A17">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收集后外售</w:t>
                  </w:r>
                  <w:r>
                    <w:rPr>
                      <w:rFonts w:hint="eastAsia" w:ascii="Times New Roman" w:hAnsi="Times New Roman" w:eastAsia="宋体" w:cs="Times New Roman"/>
                      <w:color w:val="auto"/>
                      <w:lang w:eastAsia="zh-CN"/>
                    </w:rPr>
                    <w:t>综合利用</w:t>
                  </w:r>
                </w:p>
              </w:tc>
            </w:tr>
            <w:tr w14:paraId="57B6F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3075FDC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455" w:type="pct"/>
                  <w:tcBorders>
                    <w:tl2br w:val="nil"/>
                    <w:tr2bl w:val="nil"/>
                  </w:tcBorders>
                  <w:vAlign w:val="center"/>
                </w:tcPr>
                <w:p w14:paraId="3994F65C">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焊渣</w:t>
                  </w:r>
                </w:p>
              </w:tc>
              <w:tc>
                <w:tcPr>
                  <w:tcW w:w="504" w:type="pct"/>
                  <w:tcBorders>
                    <w:tl2br w:val="nil"/>
                    <w:tr2bl w:val="nil"/>
                  </w:tcBorders>
                  <w:vAlign w:val="center"/>
                </w:tcPr>
                <w:p w14:paraId="22BBFD11">
                  <w:pPr>
                    <w:kinsoku/>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焊接</w:t>
                  </w:r>
                </w:p>
              </w:tc>
              <w:tc>
                <w:tcPr>
                  <w:tcW w:w="311" w:type="pct"/>
                  <w:tcBorders>
                    <w:tl2br w:val="nil"/>
                    <w:tr2bl w:val="nil"/>
                  </w:tcBorders>
                  <w:vAlign w:val="center"/>
                </w:tcPr>
                <w:p w14:paraId="20E84042">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一般固废</w:t>
                  </w:r>
                </w:p>
              </w:tc>
              <w:tc>
                <w:tcPr>
                  <w:tcW w:w="362" w:type="pct"/>
                  <w:tcBorders>
                    <w:tl2br w:val="nil"/>
                    <w:tr2bl w:val="nil"/>
                  </w:tcBorders>
                  <w:vAlign w:val="center"/>
                </w:tcPr>
                <w:p w14:paraId="08F5D79B">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5A5D0E8D">
                  <w:pPr>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金属</w:t>
                  </w:r>
                </w:p>
              </w:tc>
              <w:tc>
                <w:tcPr>
                  <w:tcW w:w="369" w:type="pct"/>
                  <w:tcBorders>
                    <w:tl2br w:val="nil"/>
                    <w:tr2bl w:val="nil"/>
                  </w:tcBorders>
                  <w:vAlign w:val="center"/>
                </w:tcPr>
                <w:p w14:paraId="3F042EBC">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612" w:type="pct"/>
                  <w:tcBorders>
                    <w:tl2br w:val="nil"/>
                    <w:tr2bl w:val="nil"/>
                  </w:tcBorders>
                  <w:vAlign w:val="center"/>
                </w:tcPr>
                <w:p w14:paraId="1E81B146">
                  <w:pPr>
                    <w:pStyle w:val="58"/>
                    <w:adjustRightInd/>
                    <w:snapToGrid/>
                    <w:spacing w:line="240" w:lineRule="auto"/>
                    <w:rPr>
                      <w:rFonts w:cs="Times New Roman"/>
                      <w:color w:val="auto"/>
                      <w:lang w:eastAsia="zh-CN"/>
                    </w:rPr>
                  </w:pPr>
                  <w:r>
                    <w:rPr>
                      <w:rFonts w:cs="Times New Roman"/>
                      <w:color w:val="auto"/>
                      <w:lang w:eastAsia="zh-CN"/>
                    </w:rPr>
                    <w:t>/</w:t>
                  </w:r>
                </w:p>
              </w:tc>
              <w:tc>
                <w:tcPr>
                  <w:tcW w:w="615" w:type="pct"/>
                  <w:tcBorders>
                    <w:tl2br w:val="nil"/>
                    <w:tr2bl w:val="nil"/>
                  </w:tcBorders>
                  <w:vAlign w:val="center"/>
                </w:tcPr>
                <w:p w14:paraId="707A8F23">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322" w:type="pct"/>
                  <w:tcBorders>
                    <w:tl2br w:val="nil"/>
                    <w:tr2bl w:val="nil"/>
                  </w:tcBorders>
                  <w:vAlign w:val="center"/>
                </w:tcPr>
                <w:p w14:paraId="28D22136">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12" w:type="pct"/>
                  <w:tcBorders>
                    <w:tl2br w:val="nil"/>
                    <w:tr2bl w:val="nil"/>
                  </w:tcBorders>
                  <w:vAlign w:val="center"/>
                </w:tcPr>
                <w:p w14:paraId="2050D2E3">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统一收集</w:t>
                  </w:r>
                  <w:r>
                    <w:rPr>
                      <w:rFonts w:ascii="Times New Roman" w:hAnsi="Times New Roman" w:cs="Times New Roman"/>
                      <w:color w:val="auto"/>
                      <w:lang w:eastAsia="zh-CN"/>
                    </w:rPr>
                    <w:t>委托外单位处置</w:t>
                  </w:r>
                </w:p>
              </w:tc>
            </w:tr>
            <w:tr w14:paraId="5098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227EEFFA">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p>
              </w:tc>
              <w:tc>
                <w:tcPr>
                  <w:tcW w:w="455" w:type="pct"/>
                  <w:tcBorders>
                    <w:tl2br w:val="nil"/>
                    <w:tr2bl w:val="nil"/>
                  </w:tcBorders>
                  <w:vAlign w:val="center"/>
                </w:tcPr>
                <w:p w14:paraId="7AC90144">
                  <w:pPr>
                    <w:kinsoku/>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布袋除尘器收尘</w:t>
                  </w:r>
                </w:p>
              </w:tc>
              <w:tc>
                <w:tcPr>
                  <w:tcW w:w="504" w:type="pct"/>
                  <w:tcBorders>
                    <w:tl2br w:val="nil"/>
                    <w:tr2bl w:val="nil"/>
                  </w:tcBorders>
                  <w:vAlign w:val="center"/>
                </w:tcPr>
                <w:p w14:paraId="0C42776E">
                  <w:pPr>
                    <w:kinsoku/>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废气收集</w:t>
                  </w:r>
                </w:p>
              </w:tc>
              <w:tc>
                <w:tcPr>
                  <w:tcW w:w="311" w:type="pct"/>
                  <w:tcBorders>
                    <w:tl2br w:val="nil"/>
                    <w:tr2bl w:val="nil"/>
                  </w:tcBorders>
                  <w:vAlign w:val="center"/>
                </w:tcPr>
                <w:p w14:paraId="6CEC75D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一般固废</w:t>
                  </w:r>
                </w:p>
              </w:tc>
              <w:tc>
                <w:tcPr>
                  <w:tcW w:w="362" w:type="pct"/>
                  <w:tcBorders>
                    <w:tl2br w:val="nil"/>
                    <w:tr2bl w:val="nil"/>
                  </w:tcBorders>
                  <w:vAlign w:val="center"/>
                </w:tcPr>
                <w:p w14:paraId="467108B4">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7967AE57">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金属</w:t>
                  </w:r>
                </w:p>
              </w:tc>
              <w:tc>
                <w:tcPr>
                  <w:tcW w:w="369" w:type="pct"/>
                  <w:tcBorders>
                    <w:tl2br w:val="nil"/>
                    <w:tr2bl w:val="nil"/>
                  </w:tcBorders>
                  <w:vAlign w:val="center"/>
                </w:tcPr>
                <w:p w14:paraId="19982E5A">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6.9</w:t>
                  </w:r>
                </w:p>
              </w:tc>
              <w:tc>
                <w:tcPr>
                  <w:tcW w:w="612" w:type="pct"/>
                  <w:tcBorders>
                    <w:tl2br w:val="nil"/>
                    <w:tr2bl w:val="nil"/>
                  </w:tcBorders>
                  <w:vAlign w:val="center"/>
                </w:tcPr>
                <w:p w14:paraId="7E36F826">
                  <w:pPr>
                    <w:pStyle w:val="58"/>
                    <w:adjustRightInd/>
                    <w:snapToGrid/>
                    <w:spacing w:line="240" w:lineRule="auto"/>
                    <w:rPr>
                      <w:rFonts w:cs="Times New Roman"/>
                      <w:color w:val="auto"/>
                      <w:lang w:eastAsia="zh-CN"/>
                    </w:rPr>
                  </w:pPr>
                  <w:r>
                    <w:rPr>
                      <w:rFonts w:cs="Times New Roman"/>
                      <w:color w:val="auto"/>
                      <w:lang w:eastAsia="zh-CN"/>
                    </w:rPr>
                    <w:t>/</w:t>
                  </w:r>
                </w:p>
              </w:tc>
              <w:tc>
                <w:tcPr>
                  <w:tcW w:w="615" w:type="pct"/>
                  <w:tcBorders>
                    <w:tl2br w:val="nil"/>
                    <w:tr2bl w:val="nil"/>
                  </w:tcBorders>
                  <w:vAlign w:val="center"/>
                </w:tcPr>
                <w:p w14:paraId="1DDAD89F">
                  <w:pPr>
                    <w:widowControl w:val="0"/>
                    <w:kinsoku/>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322" w:type="pct"/>
                  <w:tcBorders>
                    <w:tl2br w:val="nil"/>
                    <w:tr2bl w:val="nil"/>
                  </w:tcBorders>
                  <w:vAlign w:val="center"/>
                </w:tcPr>
                <w:p w14:paraId="6FB50754">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12" w:type="pct"/>
                  <w:tcBorders>
                    <w:tl2br w:val="nil"/>
                    <w:tr2bl w:val="nil"/>
                  </w:tcBorders>
                  <w:vAlign w:val="center"/>
                </w:tcPr>
                <w:p w14:paraId="0EE70ADE">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统一收集</w:t>
                  </w:r>
                  <w:r>
                    <w:rPr>
                      <w:rFonts w:ascii="Times New Roman" w:hAnsi="Times New Roman" w:cs="Times New Roman"/>
                      <w:color w:val="auto"/>
                      <w:lang w:eastAsia="zh-CN"/>
                    </w:rPr>
                    <w:t>委托外单位处置</w:t>
                  </w:r>
                </w:p>
              </w:tc>
            </w:tr>
            <w:tr w14:paraId="77FCB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2" w:type="pct"/>
                  <w:tcBorders>
                    <w:tl2br w:val="nil"/>
                    <w:tr2bl w:val="nil"/>
                  </w:tcBorders>
                  <w:vAlign w:val="center"/>
                </w:tcPr>
                <w:p w14:paraId="0B9C756F">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w:t>
                  </w:r>
                </w:p>
              </w:tc>
              <w:tc>
                <w:tcPr>
                  <w:tcW w:w="455" w:type="pct"/>
                  <w:tcBorders>
                    <w:tl2br w:val="nil"/>
                    <w:tr2bl w:val="nil"/>
                  </w:tcBorders>
                  <w:vAlign w:val="center"/>
                </w:tcPr>
                <w:p w14:paraId="0C51EA23">
                  <w:pPr>
                    <w:pStyle w:val="60"/>
                    <w:adjustRightInd/>
                    <w:snapToGrid/>
                    <w:jc w:val="center"/>
                    <w:rPr>
                      <w:rFonts w:ascii="Times New Roman" w:hAnsi="Times New Roman" w:cs="Times New Roman"/>
                      <w:color w:val="auto"/>
                      <w:lang w:eastAsia="zh-CN"/>
                    </w:rPr>
                  </w:pPr>
                  <w:r>
                    <w:rPr>
                      <w:rFonts w:ascii="Times New Roman" w:hAnsi="Times New Roman" w:cs="Times New Roman"/>
                      <w:color w:val="auto"/>
                      <w:sz w:val="21"/>
                      <w:szCs w:val="21"/>
                      <w:lang w:eastAsia="zh-CN"/>
                    </w:rPr>
                    <w:t>滤芯收集尘</w:t>
                  </w:r>
                </w:p>
              </w:tc>
              <w:tc>
                <w:tcPr>
                  <w:tcW w:w="504" w:type="pct"/>
                  <w:tcBorders>
                    <w:tl2br w:val="nil"/>
                    <w:tr2bl w:val="nil"/>
                  </w:tcBorders>
                  <w:vAlign w:val="center"/>
                </w:tcPr>
                <w:p w14:paraId="3D8FE6C7">
                  <w:pPr>
                    <w:pStyle w:val="60"/>
                    <w:adjustRightInd/>
                    <w:snapToGrid/>
                    <w:jc w:val="center"/>
                    <w:rPr>
                      <w:rFonts w:ascii="Times New Roman" w:hAnsi="Times New Roman" w:cs="Times New Roman"/>
                      <w:color w:val="auto"/>
                      <w:lang w:eastAsia="zh-CN"/>
                    </w:rPr>
                  </w:pPr>
                  <w:r>
                    <w:rPr>
                      <w:rFonts w:ascii="Times New Roman" w:hAnsi="Times New Roman" w:cs="Times New Roman"/>
                      <w:color w:val="auto"/>
                      <w:sz w:val="21"/>
                      <w:szCs w:val="21"/>
                      <w:lang w:eastAsia="zh-CN"/>
                    </w:rPr>
                    <w:t>喷塑</w:t>
                  </w:r>
                </w:p>
              </w:tc>
              <w:tc>
                <w:tcPr>
                  <w:tcW w:w="311" w:type="pct"/>
                  <w:tcBorders>
                    <w:tl2br w:val="nil"/>
                    <w:tr2bl w:val="nil"/>
                  </w:tcBorders>
                  <w:vAlign w:val="center"/>
                </w:tcPr>
                <w:p w14:paraId="5495449F">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一般固废</w:t>
                  </w:r>
                </w:p>
              </w:tc>
              <w:tc>
                <w:tcPr>
                  <w:tcW w:w="362" w:type="pct"/>
                  <w:tcBorders>
                    <w:tl2br w:val="nil"/>
                    <w:tr2bl w:val="nil"/>
                  </w:tcBorders>
                  <w:vAlign w:val="center"/>
                </w:tcPr>
                <w:p w14:paraId="7D7669EA">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42CA3443">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塑粉</w:t>
                  </w:r>
                </w:p>
              </w:tc>
              <w:tc>
                <w:tcPr>
                  <w:tcW w:w="369" w:type="pct"/>
                  <w:tcBorders>
                    <w:tl2br w:val="nil"/>
                    <w:tr2bl w:val="nil"/>
                  </w:tcBorders>
                  <w:vAlign w:val="center"/>
                </w:tcPr>
                <w:p w14:paraId="6243CABA">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31.65</w:t>
                  </w:r>
                </w:p>
              </w:tc>
              <w:tc>
                <w:tcPr>
                  <w:tcW w:w="612" w:type="pct"/>
                  <w:tcBorders>
                    <w:tl2br w:val="nil"/>
                    <w:tr2bl w:val="nil"/>
                  </w:tcBorders>
                  <w:vAlign w:val="center"/>
                </w:tcPr>
                <w:p w14:paraId="5DC519FC">
                  <w:pPr>
                    <w:pStyle w:val="58"/>
                    <w:adjustRightInd/>
                    <w:snapToGrid/>
                    <w:spacing w:line="240" w:lineRule="auto"/>
                    <w:rPr>
                      <w:rFonts w:cs="Times New Roman"/>
                      <w:color w:val="auto"/>
                      <w:lang w:eastAsia="zh-CN"/>
                    </w:rPr>
                  </w:pPr>
                  <w:r>
                    <w:rPr>
                      <w:rFonts w:cs="Times New Roman"/>
                      <w:color w:val="auto"/>
                      <w:lang w:eastAsia="zh-CN"/>
                    </w:rPr>
                    <w:t>/</w:t>
                  </w:r>
                </w:p>
              </w:tc>
              <w:tc>
                <w:tcPr>
                  <w:tcW w:w="615" w:type="pct"/>
                  <w:tcBorders>
                    <w:tl2br w:val="nil"/>
                    <w:tr2bl w:val="nil"/>
                  </w:tcBorders>
                  <w:vAlign w:val="center"/>
                </w:tcPr>
                <w:p w14:paraId="6D82BF45">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322" w:type="pct"/>
                  <w:tcBorders>
                    <w:tl2br w:val="nil"/>
                    <w:tr2bl w:val="nil"/>
                  </w:tcBorders>
                  <w:vAlign w:val="center"/>
                </w:tcPr>
                <w:p w14:paraId="4BF0BB64">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712" w:type="pct"/>
                  <w:tcBorders>
                    <w:tl2br w:val="nil"/>
                    <w:tr2bl w:val="nil"/>
                  </w:tcBorders>
                  <w:vAlign w:val="center"/>
                </w:tcPr>
                <w:p w14:paraId="6D51D8F2">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回用于生产</w:t>
                  </w:r>
                </w:p>
              </w:tc>
            </w:tr>
            <w:tr w14:paraId="72BA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jc w:val="center"/>
              </w:trPr>
              <w:tc>
                <w:tcPr>
                  <w:tcW w:w="192" w:type="pct"/>
                  <w:tcBorders>
                    <w:tl2br w:val="nil"/>
                    <w:tr2bl w:val="nil"/>
                  </w:tcBorders>
                  <w:vAlign w:val="center"/>
                </w:tcPr>
                <w:p w14:paraId="344B4DEC">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455" w:type="pct"/>
                  <w:tcBorders>
                    <w:tl2br w:val="nil"/>
                    <w:tr2bl w:val="nil"/>
                  </w:tcBorders>
                  <w:vAlign w:val="center"/>
                </w:tcPr>
                <w:p w14:paraId="47F922C9">
                  <w:pPr>
                    <w:pStyle w:val="60"/>
                    <w:adjustRightInd/>
                    <w:snapToGrid/>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碎玻璃</w:t>
                  </w:r>
                </w:p>
              </w:tc>
              <w:tc>
                <w:tcPr>
                  <w:tcW w:w="504" w:type="pct"/>
                  <w:tcBorders>
                    <w:tl2br w:val="nil"/>
                    <w:tr2bl w:val="nil"/>
                  </w:tcBorders>
                  <w:vAlign w:val="center"/>
                </w:tcPr>
                <w:p w14:paraId="3BB860DF">
                  <w:pPr>
                    <w:pStyle w:val="60"/>
                    <w:adjustRightInd/>
                    <w:snapToGrid/>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拼装</w:t>
                  </w:r>
                </w:p>
              </w:tc>
              <w:tc>
                <w:tcPr>
                  <w:tcW w:w="311" w:type="pct"/>
                  <w:tcBorders>
                    <w:tl2br w:val="nil"/>
                    <w:tr2bl w:val="nil"/>
                  </w:tcBorders>
                  <w:vAlign w:val="center"/>
                </w:tcPr>
                <w:p w14:paraId="2B691B69">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一般固废</w:t>
                  </w:r>
                </w:p>
              </w:tc>
              <w:tc>
                <w:tcPr>
                  <w:tcW w:w="362" w:type="pct"/>
                  <w:tcBorders>
                    <w:tl2br w:val="nil"/>
                    <w:tr2bl w:val="nil"/>
                  </w:tcBorders>
                  <w:vAlign w:val="center"/>
                </w:tcPr>
                <w:p w14:paraId="7A4D6129">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05954FD1">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玻璃</w:t>
                  </w:r>
                </w:p>
              </w:tc>
              <w:tc>
                <w:tcPr>
                  <w:tcW w:w="369" w:type="pct"/>
                  <w:tcBorders>
                    <w:tl2br w:val="nil"/>
                    <w:tr2bl w:val="nil"/>
                  </w:tcBorders>
                  <w:vAlign w:val="center"/>
                </w:tcPr>
                <w:p w14:paraId="4C23CA62">
                  <w:pPr>
                    <w:adjustRightInd/>
                    <w:snapToGrid/>
                    <w:jc w:val="center"/>
                    <w:rPr>
                      <w:rFonts w:ascii="Times New Roman" w:hAnsi="Times New Roman" w:cs="Times New Roman"/>
                      <w:color w:val="auto"/>
                      <w:lang w:eastAsia="zh-CN"/>
                    </w:rPr>
                  </w:pPr>
                  <w:r>
                    <w:rPr>
                      <w:rFonts w:hint="eastAsia" w:ascii="Times New Roman" w:hAnsi="Times New Roman" w:cs="Times New Roman"/>
                      <w:color w:val="auto"/>
                      <w:lang w:eastAsia="zh-CN"/>
                    </w:rPr>
                    <w:t>0.01</w:t>
                  </w:r>
                </w:p>
              </w:tc>
              <w:tc>
                <w:tcPr>
                  <w:tcW w:w="612" w:type="pct"/>
                  <w:tcBorders>
                    <w:tl2br w:val="nil"/>
                    <w:tr2bl w:val="nil"/>
                  </w:tcBorders>
                  <w:vAlign w:val="center"/>
                </w:tcPr>
                <w:p w14:paraId="1417FA0E">
                  <w:pPr>
                    <w:pStyle w:val="58"/>
                    <w:adjustRightInd/>
                    <w:snapToGrid/>
                    <w:spacing w:line="240" w:lineRule="auto"/>
                    <w:rPr>
                      <w:rFonts w:cs="Times New Roman"/>
                      <w:color w:val="auto"/>
                      <w:lang w:eastAsia="zh-CN"/>
                    </w:rPr>
                  </w:pPr>
                  <w:r>
                    <w:rPr>
                      <w:rFonts w:hint="eastAsia" w:cs="Times New Roman"/>
                      <w:color w:val="auto"/>
                      <w:lang w:eastAsia="zh-CN"/>
                    </w:rPr>
                    <w:t>/</w:t>
                  </w:r>
                </w:p>
              </w:tc>
              <w:tc>
                <w:tcPr>
                  <w:tcW w:w="615" w:type="pct"/>
                  <w:tcBorders>
                    <w:tl2br w:val="nil"/>
                    <w:tr2bl w:val="nil"/>
                  </w:tcBorders>
                  <w:vAlign w:val="center"/>
                </w:tcPr>
                <w:p w14:paraId="76E0A680">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322" w:type="pct"/>
                  <w:tcBorders>
                    <w:tl2br w:val="nil"/>
                    <w:tr2bl w:val="nil"/>
                  </w:tcBorders>
                  <w:vAlign w:val="center"/>
                </w:tcPr>
                <w:p w14:paraId="23607E47">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712" w:type="pct"/>
                  <w:tcBorders>
                    <w:tl2br w:val="nil"/>
                    <w:tr2bl w:val="nil"/>
                  </w:tcBorders>
                  <w:vAlign w:val="center"/>
                </w:tcPr>
                <w:p w14:paraId="47D93459">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收集后外售</w:t>
                  </w:r>
                  <w:r>
                    <w:rPr>
                      <w:rFonts w:hint="eastAsia" w:ascii="Times New Roman" w:hAnsi="Times New Roman" w:eastAsia="宋体" w:cs="Times New Roman"/>
                      <w:color w:val="auto"/>
                      <w:lang w:eastAsia="zh-CN"/>
                    </w:rPr>
                    <w:t>综合利用</w:t>
                  </w:r>
                </w:p>
              </w:tc>
            </w:tr>
            <w:tr w14:paraId="5ECE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661ADF5F">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p>
              </w:tc>
              <w:tc>
                <w:tcPr>
                  <w:tcW w:w="455" w:type="pct"/>
                  <w:tcBorders>
                    <w:tl2br w:val="nil"/>
                    <w:tr2bl w:val="nil"/>
                  </w:tcBorders>
                  <w:vAlign w:val="center"/>
                </w:tcPr>
                <w:p w14:paraId="2FF8347A">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废活性炭</w:t>
                  </w:r>
                </w:p>
              </w:tc>
              <w:tc>
                <w:tcPr>
                  <w:tcW w:w="504" w:type="pct"/>
                  <w:tcBorders>
                    <w:tl2br w:val="nil"/>
                    <w:tr2bl w:val="nil"/>
                  </w:tcBorders>
                  <w:vAlign w:val="center"/>
                </w:tcPr>
                <w:p w14:paraId="6001F48D">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废气收集</w:t>
                  </w:r>
                </w:p>
              </w:tc>
              <w:tc>
                <w:tcPr>
                  <w:tcW w:w="311" w:type="pct"/>
                  <w:tcBorders>
                    <w:tl2br w:val="nil"/>
                    <w:tr2bl w:val="nil"/>
                  </w:tcBorders>
                  <w:vAlign w:val="center"/>
                </w:tcPr>
                <w:p w14:paraId="460FA2F5">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w:t>
                  </w:r>
                </w:p>
              </w:tc>
              <w:tc>
                <w:tcPr>
                  <w:tcW w:w="362" w:type="pct"/>
                  <w:tcBorders>
                    <w:tl2br w:val="nil"/>
                    <w:tr2bl w:val="nil"/>
                  </w:tcBorders>
                  <w:vAlign w:val="center"/>
                </w:tcPr>
                <w:p w14:paraId="60EB73C2">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43C4C2C0">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有机废气、活性炭</w:t>
                  </w:r>
                </w:p>
              </w:tc>
              <w:tc>
                <w:tcPr>
                  <w:tcW w:w="369" w:type="pct"/>
                  <w:tcBorders>
                    <w:tl2br w:val="nil"/>
                    <w:tr2bl w:val="nil"/>
                  </w:tcBorders>
                  <w:vAlign w:val="center"/>
                </w:tcPr>
                <w:p w14:paraId="6E702174">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1.377</w:t>
                  </w:r>
                </w:p>
              </w:tc>
              <w:tc>
                <w:tcPr>
                  <w:tcW w:w="612" w:type="pct"/>
                  <w:tcBorders>
                    <w:tl2br w:val="nil"/>
                    <w:tr2bl w:val="nil"/>
                  </w:tcBorders>
                  <w:vAlign w:val="center"/>
                </w:tcPr>
                <w:p w14:paraId="5EC059F2">
                  <w:pPr>
                    <w:adjustRightInd/>
                    <w:snapToGrid/>
                    <w:spacing w:line="360" w:lineRule="exact"/>
                    <w:jc w:val="center"/>
                    <w:rPr>
                      <w:rFonts w:ascii="Times New Roman" w:hAnsi="Times New Roman" w:eastAsia="宋体" w:cs="Times New Roman"/>
                      <w:color w:val="auto"/>
                    </w:rPr>
                  </w:pPr>
                  <w:r>
                    <w:rPr>
                      <w:rFonts w:ascii="Times New Roman" w:hAnsi="Times New Roman" w:eastAsia="宋体" w:cs="Times New Roman"/>
                      <w:color w:val="auto"/>
                    </w:rPr>
                    <w:t>HW49</w:t>
                  </w:r>
                </w:p>
              </w:tc>
              <w:tc>
                <w:tcPr>
                  <w:tcW w:w="615" w:type="pct"/>
                  <w:tcBorders>
                    <w:tl2br w:val="nil"/>
                    <w:tr2bl w:val="nil"/>
                  </w:tcBorders>
                  <w:vAlign w:val="center"/>
                </w:tcPr>
                <w:p w14:paraId="14478E08">
                  <w:pPr>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bidi="ar"/>
                    </w:rPr>
                    <w:t>900-039-49</w:t>
                  </w:r>
                </w:p>
              </w:tc>
              <w:tc>
                <w:tcPr>
                  <w:tcW w:w="322" w:type="pct"/>
                  <w:tcBorders>
                    <w:tl2br w:val="nil"/>
                    <w:tr2bl w:val="nil"/>
                  </w:tcBorders>
                  <w:vAlign w:val="center"/>
                </w:tcPr>
                <w:p w14:paraId="182078B7">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T</w:t>
                  </w:r>
                </w:p>
              </w:tc>
              <w:tc>
                <w:tcPr>
                  <w:tcW w:w="712" w:type="pct"/>
                  <w:vMerge w:val="restart"/>
                  <w:tcBorders>
                    <w:tl2br w:val="nil"/>
                    <w:tr2bl w:val="nil"/>
                  </w:tcBorders>
                  <w:vAlign w:val="center"/>
                </w:tcPr>
                <w:p w14:paraId="30C3B39D">
                  <w:pPr>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委托有资质单位处置</w:t>
                  </w:r>
                </w:p>
              </w:tc>
            </w:tr>
            <w:tr w14:paraId="178D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2" w:type="pct"/>
                  <w:tcBorders>
                    <w:tl2br w:val="nil"/>
                    <w:tr2bl w:val="nil"/>
                  </w:tcBorders>
                  <w:vAlign w:val="center"/>
                </w:tcPr>
                <w:p w14:paraId="2B26DF95">
                  <w:pPr>
                    <w:adjustRightInd/>
                    <w:snapToGrid/>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455" w:type="pct"/>
                  <w:tcBorders>
                    <w:tl2br w:val="nil"/>
                    <w:tr2bl w:val="nil"/>
                  </w:tcBorders>
                  <w:vAlign w:val="center"/>
                </w:tcPr>
                <w:p w14:paraId="0D5C0FA1">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废机油</w:t>
                  </w:r>
                </w:p>
              </w:tc>
              <w:tc>
                <w:tcPr>
                  <w:tcW w:w="504" w:type="pct"/>
                  <w:tcBorders>
                    <w:tl2br w:val="nil"/>
                    <w:tr2bl w:val="nil"/>
                  </w:tcBorders>
                  <w:vAlign w:val="center"/>
                </w:tcPr>
                <w:p w14:paraId="1FD04551">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维修保养</w:t>
                  </w:r>
                </w:p>
              </w:tc>
              <w:tc>
                <w:tcPr>
                  <w:tcW w:w="311" w:type="pct"/>
                  <w:tcBorders>
                    <w:tl2br w:val="nil"/>
                    <w:tr2bl w:val="nil"/>
                  </w:tcBorders>
                  <w:vAlign w:val="center"/>
                </w:tcPr>
                <w:p w14:paraId="14000640">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w:t>
                  </w:r>
                </w:p>
              </w:tc>
              <w:tc>
                <w:tcPr>
                  <w:tcW w:w="362" w:type="pct"/>
                  <w:tcBorders>
                    <w:tl2br w:val="nil"/>
                    <w:tr2bl w:val="nil"/>
                  </w:tcBorders>
                  <w:vAlign w:val="center"/>
                </w:tcPr>
                <w:p w14:paraId="5FFC8636">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液态</w:t>
                  </w:r>
                </w:p>
              </w:tc>
              <w:tc>
                <w:tcPr>
                  <w:tcW w:w="539" w:type="pct"/>
                  <w:tcBorders>
                    <w:tl2br w:val="nil"/>
                    <w:tr2bl w:val="nil"/>
                  </w:tcBorders>
                  <w:vAlign w:val="center"/>
                </w:tcPr>
                <w:p w14:paraId="75B5B1F6">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矿物油</w:t>
                  </w:r>
                </w:p>
              </w:tc>
              <w:tc>
                <w:tcPr>
                  <w:tcW w:w="369" w:type="pct"/>
                  <w:tcBorders>
                    <w:tl2br w:val="nil"/>
                    <w:tr2bl w:val="nil"/>
                  </w:tcBorders>
                  <w:vAlign w:val="center"/>
                </w:tcPr>
                <w:p w14:paraId="56791D3B">
                  <w:pPr>
                    <w:adjustRightInd/>
                    <w:snapToGrid/>
                    <w:jc w:val="center"/>
                    <w:rPr>
                      <w:rFonts w:ascii="Times New Roman" w:hAnsi="Times New Roman" w:cs="Times New Roman"/>
                      <w:color w:val="auto"/>
                      <w:lang w:eastAsia="zh-CN"/>
                    </w:rPr>
                  </w:pPr>
                  <w:r>
                    <w:rPr>
                      <w:rFonts w:hint="eastAsia" w:ascii="Times New Roman" w:hAnsi="Times New Roman" w:cs="Times New Roman"/>
                      <w:color w:val="auto"/>
                      <w:lang w:eastAsia="zh-CN"/>
                    </w:rPr>
                    <w:t>0.1</w:t>
                  </w:r>
                </w:p>
              </w:tc>
              <w:tc>
                <w:tcPr>
                  <w:tcW w:w="612" w:type="pct"/>
                  <w:tcBorders>
                    <w:tl2br w:val="nil"/>
                    <w:tr2bl w:val="nil"/>
                  </w:tcBorders>
                  <w:vAlign w:val="center"/>
                </w:tcPr>
                <w:p w14:paraId="7F634BCD">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HW08</w:t>
                  </w:r>
                </w:p>
              </w:tc>
              <w:tc>
                <w:tcPr>
                  <w:tcW w:w="615" w:type="pct"/>
                  <w:tcBorders>
                    <w:tl2br w:val="nil"/>
                    <w:tr2bl w:val="nil"/>
                  </w:tcBorders>
                  <w:vAlign w:val="center"/>
                </w:tcPr>
                <w:p w14:paraId="1F6002D7">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900-249-08</w:t>
                  </w:r>
                </w:p>
              </w:tc>
              <w:tc>
                <w:tcPr>
                  <w:tcW w:w="322" w:type="pct"/>
                  <w:tcBorders>
                    <w:tl2br w:val="nil"/>
                    <w:tr2bl w:val="nil"/>
                  </w:tcBorders>
                  <w:vAlign w:val="center"/>
                </w:tcPr>
                <w:p w14:paraId="4159C640">
                  <w:pPr>
                    <w:adjustRightInd/>
                    <w:snapToGrid/>
                    <w:jc w:val="center"/>
                    <w:rPr>
                      <w:rFonts w:ascii="Times New Roman" w:hAnsi="Times New Roman" w:cs="Times New Roman"/>
                      <w:color w:val="auto"/>
                    </w:rPr>
                  </w:pPr>
                  <w:r>
                    <w:rPr>
                      <w:rFonts w:ascii="Times New Roman" w:hAnsi="Times New Roman" w:cs="Times New Roman"/>
                      <w:color w:val="auto"/>
                    </w:rPr>
                    <w:t>T/In</w:t>
                  </w:r>
                </w:p>
              </w:tc>
              <w:tc>
                <w:tcPr>
                  <w:tcW w:w="712" w:type="pct"/>
                  <w:vMerge w:val="continue"/>
                  <w:tcBorders>
                    <w:tl2br w:val="nil"/>
                    <w:tr2bl w:val="nil"/>
                  </w:tcBorders>
                  <w:vAlign w:val="center"/>
                </w:tcPr>
                <w:p w14:paraId="2C175E6B">
                  <w:pPr>
                    <w:adjustRightInd/>
                    <w:snapToGrid/>
                    <w:jc w:val="center"/>
                    <w:rPr>
                      <w:rFonts w:ascii="Times New Roman" w:hAnsi="Times New Roman" w:eastAsia="宋体" w:cs="Times New Roman"/>
                      <w:color w:val="auto"/>
                    </w:rPr>
                  </w:pPr>
                </w:p>
              </w:tc>
            </w:tr>
            <w:tr w14:paraId="2C8E4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jc w:val="center"/>
              </w:trPr>
              <w:tc>
                <w:tcPr>
                  <w:tcW w:w="192" w:type="pct"/>
                  <w:tcBorders>
                    <w:tl2br w:val="nil"/>
                    <w:tr2bl w:val="nil"/>
                  </w:tcBorders>
                  <w:vAlign w:val="center"/>
                </w:tcPr>
                <w:p w14:paraId="3A1177EB">
                  <w:pPr>
                    <w:adjustRightInd/>
                    <w:snapToGrid/>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455" w:type="pct"/>
                  <w:tcBorders>
                    <w:tl2br w:val="nil"/>
                    <w:tr2bl w:val="nil"/>
                  </w:tcBorders>
                  <w:vAlign w:val="center"/>
                </w:tcPr>
                <w:p w14:paraId="4B323D39">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废机油桶</w:t>
                  </w:r>
                </w:p>
              </w:tc>
              <w:tc>
                <w:tcPr>
                  <w:tcW w:w="504" w:type="pct"/>
                  <w:tcBorders>
                    <w:tl2br w:val="nil"/>
                    <w:tr2bl w:val="nil"/>
                  </w:tcBorders>
                  <w:vAlign w:val="center"/>
                </w:tcPr>
                <w:p w14:paraId="61639F27">
                  <w:pPr>
                    <w:kinsoku/>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维修保养</w:t>
                  </w:r>
                </w:p>
              </w:tc>
              <w:tc>
                <w:tcPr>
                  <w:tcW w:w="311" w:type="pct"/>
                  <w:tcBorders>
                    <w:tl2br w:val="nil"/>
                    <w:tr2bl w:val="nil"/>
                  </w:tcBorders>
                  <w:vAlign w:val="center"/>
                </w:tcPr>
                <w:p w14:paraId="45DD8724">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w:t>
                  </w:r>
                </w:p>
              </w:tc>
              <w:tc>
                <w:tcPr>
                  <w:tcW w:w="362" w:type="pct"/>
                  <w:tcBorders>
                    <w:tl2br w:val="nil"/>
                    <w:tr2bl w:val="nil"/>
                  </w:tcBorders>
                  <w:vAlign w:val="center"/>
                </w:tcPr>
                <w:p w14:paraId="5E96401A">
                  <w:pPr>
                    <w:adjustRightInd/>
                    <w:snapToGrid/>
                    <w:jc w:val="center"/>
                    <w:rPr>
                      <w:rFonts w:ascii="Times New Roman" w:hAnsi="Times New Roman" w:cs="Times New Roman"/>
                      <w:color w:val="auto"/>
                      <w:lang w:eastAsia="zh-CN"/>
                    </w:rPr>
                  </w:pPr>
                  <w:r>
                    <w:rPr>
                      <w:rFonts w:ascii="Times New Roman" w:hAnsi="Times New Roman" w:eastAsia="宋体" w:cs="Times New Roman"/>
                      <w:color w:val="auto"/>
                    </w:rPr>
                    <w:t>固态</w:t>
                  </w:r>
                </w:p>
              </w:tc>
              <w:tc>
                <w:tcPr>
                  <w:tcW w:w="539" w:type="pct"/>
                  <w:tcBorders>
                    <w:tl2br w:val="nil"/>
                    <w:tr2bl w:val="nil"/>
                  </w:tcBorders>
                  <w:vAlign w:val="center"/>
                </w:tcPr>
                <w:p w14:paraId="4525FEFC">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矿物油</w:t>
                  </w:r>
                </w:p>
              </w:tc>
              <w:tc>
                <w:tcPr>
                  <w:tcW w:w="369" w:type="pct"/>
                  <w:tcBorders>
                    <w:tl2br w:val="nil"/>
                    <w:tr2bl w:val="nil"/>
                  </w:tcBorders>
                  <w:vAlign w:val="center"/>
                </w:tcPr>
                <w:p w14:paraId="5DB3E5B5">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0.</w:t>
                  </w:r>
                  <w:r>
                    <w:rPr>
                      <w:rFonts w:hint="eastAsia" w:ascii="Times New Roman" w:hAnsi="Times New Roman" w:cs="Times New Roman"/>
                      <w:color w:val="auto"/>
                      <w:lang w:eastAsia="zh-CN"/>
                    </w:rPr>
                    <w:t>01</w:t>
                  </w:r>
                </w:p>
              </w:tc>
              <w:tc>
                <w:tcPr>
                  <w:tcW w:w="612" w:type="pct"/>
                  <w:tcBorders>
                    <w:tl2br w:val="nil"/>
                    <w:tr2bl w:val="nil"/>
                  </w:tcBorders>
                  <w:vAlign w:val="center"/>
                </w:tcPr>
                <w:p w14:paraId="59803AA0">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lang w:eastAsia="zh-CN"/>
                    </w:rPr>
                    <w:t>HW08</w:t>
                  </w:r>
                </w:p>
              </w:tc>
              <w:tc>
                <w:tcPr>
                  <w:tcW w:w="615" w:type="pct"/>
                  <w:tcBorders>
                    <w:tl2br w:val="nil"/>
                    <w:tr2bl w:val="nil"/>
                  </w:tcBorders>
                  <w:vAlign w:val="center"/>
                </w:tcPr>
                <w:p w14:paraId="2755FF37">
                  <w:pPr>
                    <w:adjustRightInd/>
                    <w:snapToGrid/>
                    <w:jc w:val="center"/>
                    <w:rPr>
                      <w:rFonts w:ascii="Times New Roman" w:hAnsi="Times New Roman" w:cs="Times New Roman"/>
                      <w:color w:val="auto"/>
                      <w:lang w:eastAsia="zh-CN"/>
                    </w:rPr>
                  </w:pPr>
                  <w:r>
                    <w:rPr>
                      <w:rFonts w:ascii="Times New Roman" w:hAnsi="Times New Roman" w:cs="Times New Roman"/>
                      <w:color w:val="auto"/>
                      <w:lang w:eastAsia="zh-CN"/>
                    </w:rPr>
                    <w:t>900-249-08</w:t>
                  </w:r>
                </w:p>
              </w:tc>
              <w:tc>
                <w:tcPr>
                  <w:tcW w:w="322" w:type="pct"/>
                  <w:tcBorders>
                    <w:tl2br w:val="nil"/>
                    <w:tr2bl w:val="nil"/>
                  </w:tcBorders>
                  <w:vAlign w:val="center"/>
                </w:tcPr>
                <w:p w14:paraId="292CBAD2">
                  <w:pPr>
                    <w:adjustRightInd/>
                    <w:snapToGrid/>
                    <w:jc w:val="center"/>
                    <w:rPr>
                      <w:rFonts w:ascii="Times New Roman" w:hAnsi="Times New Roman" w:cs="Times New Roman"/>
                      <w:color w:val="auto"/>
                    </w:rPr>
                  </w:pPr>
                  <w:r>
                    <w:rPr>
                      <w:rFonts w:ascii="Times New Roman" w:hAnsi="Times New Roman" w:cs="Times New Roman"/>
                      <w:color w:val="auto"/>
                    </w:rPr>
                    <w:t>T/In</w:t>
                  </w:r>
                </w:p>
              </w:tc>
              <w:tc>
                <w:tcPr>
                  <w:tcW w:w="712" w:type="pct"/>
                  <w:vMerge w:val="continue"/>
                  <w:tcBorders>
                    <w:tl2br w:val="nil"/>
                    <w:tr2bl w:val="nil"/>
                  </w:tcBorders>
                  <w:vAlign w:val="center"/>
                </w:tcPr>
                <w:p w14:paraId="3407DBF6">
                  <w:pPr>
                    <w:adjustRightInd/>
                    <w:snapToGrid/>
                    <w:jc w:val="center"/>
                    <w:rPr>
                      <w:rFonts w:ascii="Times New Roman" w:hAnsi="Times New Roman" w:eastAsia="宋体" w:cs="Times New Roman"/>
                      <w:color w:val="auto"/>
                    </w:rPr>
                  </w:pPr>
                </w:p>
              </w:tc>
            </w:tr>
            <w:tr w14:paraId="30321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192" w:type="pct"/>
                  <w:tcBorders>
                    <w:tl2br w:val="nil"/>
                    <w:tr2bl w:val="nil"/>
                  </w:tcBorders>
                  <w:vAlign w:val="center"/>
                </w:tcPr>
                <w:p w14:paraId="6916F1B3">
                  <w:pPr>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455" w:type="pct"/>
                  <w:tcBorders>
                    <w:tl2br w:val="nil"/>
                    <w:tr2bl w:val="nil"/>
                  </w:tcBorders>
                  <w:vAlign w:val="center"/>
                </w:tcPr>
                <w:p w14:paraId="30435225">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504" w:type="pct"/>
                  <w:tcBorders>
                    <w:tl2br w:val="nil"/>
                    <w:tr2bl w:val="nil"/>
                  </w:tcBorders>
                  <w:vAlign w:val="center"/>
                </w:tcPr>
                <w:p w14:paraId="21B3216C">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办公生活</w:t>
                  </w:r>
                </w:p>
              </w:tc>
              <w:tc>
                <w:tcPr>
                  <w:tcW w:w="311" w:type="pct"/>
                  <w:tcBorders>
                    <w:tl2br w:val="nil"/>
                    <w:tr2bl w:val="nil"/>
                  </w:tcBorders>
                  <w:vAlign w:val="center"/>
                </w:tcPr>
                <w:p w14:paraId="7015E6C0">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362" w:type="pct"/>
                  <w:tcBorders>
                    <w:tl2br w:val="nil"/>
                    <w:tr2bl w:val="nil"/>
                  </w:tcBorders>
                  <w:vAlign w:val="center"/>
                </w:tcPr>
                <w:p w14:paraId="13424EA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固态</w:t>
                  </w:r>
                </w:p>
              </w:tc>
              <w:tc>
                <w:tcPr>
                  <w:tcW w:w="539" w:type="pct"/>
                  <w:tcBorders>
                    <w:tl2br w:val="nil"/>
                    <w:tr2bl w:val="nil"/>
                  </w:tcBorders>
                  <w:vAlign w:val="center"/>
                </w:tcPr>
                <w:p w14:paraId="71CF727E">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果皮、纸屑</w:t>
                  </w:r>
                </w:p>
              </w:tc>
              <w:tc>
                <w:tcPr>
                  <w:tcW w:w="369" w:type="pct"/>
                  <w:tcBorders>
                    <w:tl2br w:val="nil"/>
                    <w:tr2bl w:val="nil"/>
                  </w:tcBorders>
                  <w:vAlign w:val="center"/>
                </w:tcPr>
                <w:p w14:paraId="3E683D37">
                  <w:pPr>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18</w:t>
                  </w:r>
                </w:p>
              </w:tc>
              <w:tc>
                <w:tcPr>
                  <w:tcW w:w="612" w:type="pct"/>
                  <w:tcBorders>
                    <w:tl2br w:val="nil"/>
                    <w:tr2bl w:val="nil"/>
                  </w:tcBorders>
                  <w:vAlign w:val="center"/>
                </w:tcPr>
                <w:p w14:paraId="4001411F">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615" w:type="pct"/>
                  <w:tcBorders>
                    <w:tl2br w:val="nil"/>
                    <w:tr2bl w:val="nil"/>
                  </w:tcBorders>
                  <w:vAlign w:val="center"/>
                </w:tcPr>
                <w:p w14:paraId="0B2C0972">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322" w:type="pct"/>
                  <w:tcBorders>
                    <w:tl2br w:val="nil"/>
                    <w:tr2bl w:val="nil"/>
                  </w:tcBorders>
                  <w:vAlign w:val="center"/>
                </w:tcPr>
                <w:p w14:paraId="33732352">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712" w:type="pct"/>
                  <w:tcBorders>
                    <w:tl2br w:val="nil"/>
                    <w:tr2bl w:val="nil"/>
                  </w:tcBorders>
                  <w:vAlign w:val="center"/>
                </w:tcPr>
                <w:p w14:paraId="631ED083">
                  <w:pPr>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委托环卫部门处置</w:t>
                  </w:r>
                </w:p>
              </w:tc>
            </w:tr>
          </w:tbl>
          <w:p w14:paraId="0C743B0C">
            <w:pPr>
              <w:adjustRightInd/>
              <w:snapToGrid/>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表4-1</w:t>
            </w:r>
            <w:r>
              <w:rPr>
                <w:rFonts w:ascii="Times New Roman" w:hAnsi="Times New Roman" w:eastAsia="宋体" w:cs="Times New Roman"/>
                <w:b/>
                <w:bCs/>
                <w:color w:val="auto"/>
                <w:sz w:val="24"/>
                <w:lang w:eastAsia="zh-CN"/>
              </w:rPr>
              <w:t xml:space="preserve">4 </w:t>
            </w:r>
            <w:r>
              <w:rPr>
                <w:rFonts w:ascii="Times New Roman" w:hAnsi="Times New Roman" w:eastAsia="宋体" w:cs="Times New Roman"/>
                <w:b/>
                <w:bCs/>
                <w:color w:val="auto"/>
                <w:sz w:val="24"/>
              </w:rPr>
              <w:t>危险废物汇总表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6"/>
              <w:gridCol w:w="776"/>
              <w:gridCol w:w="1196"/>
              <w:gridCol w:w="846"/>
              <w:gridCol w:w="952"/>
              <w:gridCol w:w="430"/>
              <w:gridCol w:w="738"/>
              <w:gridCol w:w="517"/>
              <w:gridCol w:w="579"/>
              <w:gridCol w:w="544"/>
            </w:tblGrid>
            <w:tr w14:paraId="040B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263" w:type="pct"/>
                  <w:vAlign w:val="center"/>
                </w:tcPr>
                <w:p w14:paraId="6209FD5F">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序号</w:t>
                  </w:r>
                </w:p>
              </w:tc>
              <w:tc>
                <w:tcPr>
                  <w:tcW w:w="564" w:type="pct"/>
                  <w:vAlign w:val="center"/>
                </w:tcPr>
                <w:p w14:paraId="344A0053">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危险废物名称</w:t>
                  </w:r>
                </w:p>
              </w:tc>
              <w:tc>
                <w:tcPr>
                  <w:tcW w:w="479" w:type="pct"/>
                  <w:vAlign w:val="center"/>
                </w:tcPr>
                <w:p w14:paraId="15FB4FB0">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危险废物类别</w:t>
                  </w:r>
                </w:p>
              </w:tc>
              <w:tc>
                <w:tcPr>
                  <w:tcW w:w="739" w:type="pct"/>
                  <w:vAlign w:val="center"/>
                </w:tcPr>
                <w:p w14:paraId="652CDD1D">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危险废物代码</w:t>
                  </w:r>
                </w:p>
              </w:tc>
              <w:tc>
                <w:tcPr>
                  <w:tcW w:w="522" w:type="pct"/>
                  <w:vAlign w:val="center"/>
                </w:tcPr>
                <w:p w14:paraId="052B9AFF">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产生量（t/a）</w:t>
                  </w:r>
                </w:p>
              </w:tc>
              <w:tc>
                <w:tcPr>
                  <w:tcW w:w="619" w:type="pct"/>
                  <w:vAlign w:val="center"/>
                </w:tcPr>
                <w:p w14:paraId="74E5ECF8">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产生工序及装置</w:t>
                  </w:r>
                </w:p>
              </w:tc>
              <w:tc>
                <w:tcPr>
                  <w:tcW w:w="265" w:type="pct"/>
                  <w:vAlign w:val="center"/>
                </w:tcPr>
                <w:p w14:paraId="33C0D91C">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形态</w:t>
                  </w:r>
                </w:p>
              </w:tc>
              <w:tc>
                <w:tcPr>
                  <w:tcW w:w="483" w:type="pct"/>
                  <w:vAlign w:val="center"/>
                </w:tcPr>
                <w:p w14:paraId="0855DA1F">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有害成分</w:t>
                  </w:r>
                </w:p>
              </w:tc>
              <w:tc>
                <w:tcPr>
                  <w:tcW w:w="343" w:type="pct"/>
                  <w:vAlign w:val="center"/>
                </w:tcPr>
                <w:p w14:paraId="609D8DA8">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产废周期</w:t>
                  </w:r>
                </w:p>
              </w:tc>
              <w:tc>
                <w:tcPr>
                  <w:tcW w:w="359" w:type="pct"/>
                  <w:vAlign w:val="center"/>
                </w:tcPr>
                <w:p w14:paraId="1750614B">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危险特性</w:t>
                  </w:r>
                </w:p>
              </w:tc>
              <w:tc>
                <w:tcPr>
                  <w:tcW w:w="359" w:type="pct"/>
                  <w:vAlign w:val="center"/>
                </w:tcPr>
                <w:p w14:paraId="01B12602">
                  <w:pPr>
                    <w:pStyle w:val="57"/>
                    <w:adjustRightInd/>
                    <w:snapToGrid/>
                    <w:spacing w:line="240" w:lineRule="auto"/>
                    <w:rPr>
                      <w:rFonts w:ascii="Times New Roman" w:hAnsi="Times New Roman" w:cs="Times New Roman"/>
                      <w:color w:val="auto"/>
                      <w:kern w:val="2"/>
                      <w:sz w:val="21"/>
                      <w:szCs w:val="21"/>
                      <w:lang w:val="zh-CN"/>
                    </w:rPr>
                  </w:pPr>
                  <w:r>
                    <w:rPr>
                      <w:rFonts w:ascii="Times New Roman" w:hAnsi="Times New Roman" w:cs="Times New Roman"/>
                      <w:color w:val="auto"/>
                      <w:kern w:val="2"/>
                      <w:sz w:val="21"/>
                      <w:szCs w:val="21"/>
                      <w:lang w:val="zh-CN"/>
                    </w:rPr>
                    <w:t>污染防治措施</w:t>
                  </w:r>
                </w:p>
              </w:tc>
            </w:tr>
            <w:tr w14:paraId="7A04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54656D64">
                  <w:pPr>
                    <w:pStyle w:val="42"/>
                    <w:adjustRightInd/>
                    <w:snapToGrid/>
                    <w:ind w:left="0" w:leftChars="0" w:firstLine="0" w:firstLine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564" w:type="pct"/>
                  <w:vAlign w:val="center"/>
                </w:tcPr>
                <w:p w14:paraId="52227A52">
                  <w:pPr>
                    <w:adjustRightInd/>
                    <w:snapToGrid/>
                    <w:jc w:val="center"/>
                    <w:rPr>
                      <w:rFonts w:ascii="Times New Roman" w:hAnsi="Times New Roman" w:cs="Times New Roman"/>
                      <w:color w:val="auto"/>
                    </w:rPr>
                  </w:pPr>
                  <w:r>
                    <w:rPr>
                      <w:rFonts w:ascii="Times New Roman" w:hAnsi="Times New Roman" w:eastAsia="宋体" w:cs="Times New Roman"/>
                      <w:color w:val="auto"/>
                    </w:rPr>
                    <w:t>废活性炭</w:t>
                  </w:r>
                </w:p>
              </w:tc>
              <w:tc>
                <w:tcPr>
                  <w:tcW w:w="776" w:type="dxa"/>
                  <w:vAlign w:val="center"/>
                </w:tcPr>
                <w:p w14:paraId="0FBB8704">
                  <w:pPr>
                    <w:adjustRightInd/>
                    <w:snapToGrid/>
                    <w:spacing w:line="360" w:lineRule="exact"/>
                    <w:jc w:val="center"/>
                    <w:rPr>
                      <w:rFonts w:ascii="Times New Roman" w:hAnsi="Times New Roman" w:cs="Times New Roman"/>
                      <w:color w:val="auto"/>
                      <w:spacing w:val="2"/>
                    </w:rPr>
                  </w:pPr>
                  <w:r>
                    <w:rPr>
                      <w:rFonts w:ascii="Times New Roman" w:hAnsi="Times New Roman" w:eastAsia="宋体" w:cs="Times New Roman"/>
                      <w:color w:val="auto"/>
                    </w:rPr>
                    <w:t>HW49</w:t>
                  </w:r>
                </w:p>
              </w:tc>
              <w:tc>
                <w:tcPr>
                  <w:tcW w:w="1197" w:type="dxa"/>
                  <w:vAlign w:val="center"/>
                </w:tcPr>
                <w:p w14:paraId="28375529">
                  <w:pPr>
                    <w:adjustRightInd/>
                    <w:snapToGrid/>
                    <w:jc w:val="center"/>
                    <w:rPr>
                      <w:rFonts w:ascii="Times New Roman" w:hAnsi="Times New Roman" w:cs="Times New Roman"/>
                      <w:color w:val="auto"/>
                    </w:rPr>
                  </w:pPr>
                  <w:r>
                    <w:rPr>
                      <w:rFonts w:ascii="Times New Roman" w:hAnsi="Times New Roman" w:eastAsia="宋体" w:cs="Times New Roman"/>
                      <w:color w:val="auto"/>
                      <w:lang w:bidi="ar"/>
                    </w:rPr>
                    <w:t>900-039-49</w:t>
                  </w:r>
                </w:p>
              </w:tc>
              <w:tc>
                <w:tcPr>
                  <w:tcW w:w="846" w:type="dxa"/>
                  <w:vAlign w:val="center"/>
                </w:tcPr>
                <w:p w14:paraId="6DCABBEA">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1.377</w:t>
                  </w:r>
                </w:p>
              </w:tc>
              <w:tc>
                <w:tcPr>
                  <w:tcW w:w="619" w:type="pct"/>
                  <w:vAlign w:val="center"/>
                </w:tcPr>
                <w:p w14:paraId="1597FECA">
                  <w:pPr>
                    <w:adjustRightInd/>
                    <w:snapToGrid/>
                    <w:jc w:val="center"/>
                    <w:rPr>
                      <w:rFonts w:ascii="Times New Roman" w:hAnsi="Times New Roman" w:cs="Times New Roman"/>
                      <w:color w:val="auto"/>
                      <w:spacing w:val="2"/>
                    </w:rPr>
                  </w:pPr>
                  <w:r>
                    <w:rPr>
                      <w:rFonts w:ascii="Times New Roman" w:hAnsi="Times New Roman" w:eastAsia="宋体" w:cs="Times New Roman"/>
                      <w:color w:val="auto"/>
                    </w:rPr>
                    <w:t>废气收集</w:t>
                  </w:r>
                </w:p>
              </w:tc>
              <w:tc>
                <w:tcPr>
                  <w:tcW w:w="265" w:type="pct"/>
                  <w:vAlign w:val="center"/>
                </w:tcPr>
                <w:p w14:paraId="03164BC0">
                  <w:pPr>
                    <w:pStyle w:val="42"/>
                    <w:adjustRightInd/>
                    <w:snapToGrid/>
                    <w:ind w:left="0" w:leftChars="0" w:firstLine="0" w:firstLineChars="0"/>
                    <w:rPr>
                      <w:rFonts w:ascii="Times New Roman" w:hAnsi="Times New Roman" w:eastAsia="宋体" w:cs="Times New Roman"/>
                      <w:color w:val="auto"/>
                      <w:spacing w:val="2"/>
                      <w:lang w:eastAsia="zh-CN"/>
                    </w:rPr>
                  </w:pPr>
                  <w:r>
                    <w:rPr>
                      <w:rFonts w:ascii="Times New Roman" w:hAnsi="Times New Roman" w:cs="Times New Roman"/>
                      <w:color w:val="auto"/>
                      <w:spacing w:val="2"/>
                    </w:rPr>
                    <w:t>固态</w:t>
                  </w:r>
                </w:p>
              </w:tc>
              <w:tc>
                <w:tcPr>
                  <w:tcW w:w="483" w:type="pct"/>
                  <w:vAlign w:val="center"/>
                </w:tcPr>
                <w:p w14:paraId="0964B95A">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有机废气、活性炭</w:t>
                  </w:r>
                </w:p>
              </w:tc>
              <w:tc>
                <w:tcPr>
                  <w:tcW w:w="343" w:type="pct"/>
                  <w:vAlign w:val="center"/>
                </w:tcPr>
                <w:p w14:paraId="782778CD">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rPr>
                    <w:t>半年</w:t>
                  </w:r>
                </w:p>
              </w:tc>
              <w:tc>
                <w:tcPr>
                  <w:tcW w:w="359" w:type="pct"/>
                  <w:vAlign w:val="center"/>
                </w:tcPr>
                <w:p w14:paraId="1D524FC5">
                  <w:pPr>
                    <w:adjustRightInd/>
                    <w:snapToGrid/>
                    <w:jc w:val="center"/>
                    <w:rPr>
                      <w:rFonts w:ascii="Times New Roman" w:hAnsi="Times New Roman" w:cs="Times New Roman"/>
                      <w:color w:val="auto"/>
                    </w:rPr>
                  </w:pPr>
                  <w:r>
                    <w:rPr>
                      <w:rFonts w:ascii="Times New Roman" w:hAnsi="Times New Roman" w:eastAsia="宋体" w:cs="Times New Roman"/>
                      <w:color w:val="auto"/>
                    </w:rPr>
                    <w:t>T</w:t>
                  </w:r>
                </w:p>
              </w:tc>
              <w:tc>
                <w:tcPr>
                  <w:tcW w:w="359" w:type="pct"/>
                  <w:vAlign w:val="center"/>
                </w:tcPr>
                <w:p w14:paraId="79CAF422">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rPr>
                    <w:t>袋装封口</w:t>
                  </w:r>
                </w:p>
              </w:tc>
            </w:tr>
            <w:tr w14:paraId="1F1B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1F55ACDB">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2</w:t>
                  </w:r>
                </w:p>
              </w:tc>
              <w:tc>
                <w:tcPr>
                  <w:tcW w:w="564" w:type="pct"/>
                  <w:vAlign w:val="center"/>
                </w:tcPr>
                <w:p w14:paraId="34D50588">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废机油</w:t>
                  </w:r>
                </w:p>
              </w:tc>
              <w:tc>
                <w:tcPr>
                  <w:tcW w:w="776" w:type="dxa"/>
                  <w:vAlign w:val="center"/>
                </w:tcPr>
                <w:p w14:paraId="6B42002E">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lang w:eastAsia="zh-CN"/>
                    </w:rPr>
                    <w:t>HW08</w:t>
                  </w:r>
                </w:p>
              </w:tc>
              <w:tc>
                <w:tcPr>
                  <w:tcW w:w="1197" w:type="dxa"/>
                  <w:vAlign w:val="center"/>
                </w:tcPr>
                <w:p w14:paraId="5E0DD361">
                  <w:pPr>
                    <w:adjustRightInd/>
                    <w:snapToGrid/>
                    <w:jc w:val="center"/>
                    <w:rPr>
                      <w:rFonts w:ascii="Times New Roman" w:hAnsi="Times New Roman" w:eastAsia="宋体" w:cs="Times New Roman"/>
                      <w:color w:val="auto"/>
                    </w:rPr>
                  </w:pPr>
                  <w:r>
                    <w:rPr>
                      <w:rFonts w:ascii="Times New Roman" w:hAnsi="Times New Roman" w:cs="Times New Roman"/>
                      <w:color w:val="auto"/>
                      <w:lang w:eastAsia="zh-CN"/>
                    </w:rPr>
                    <w:t>900-249-08</w:t>
                  </w:r>
                </w:p>
              </w:tc>
              <w:tc>
                <w:tcPr>
                  <w:tcW w:w="846" w:type="dxa"/>
                  <w:vAlign w:val="center"/>
                </w:tcPr>
                <w:p w14:paraId="53731504">
                  <w:pPr>
                    <w:adjustRightInd/>
                    <w:snapToGrid/>
                    <w:jc w:val="center"/>
                    <w:rPr>
                      <w:rFonts w:ascii="Times New Roman" w:hAnsi="Times New Roman" w:eastAsia="宋体" w:cs="Times New Roman"/>
                      <w:color w:val="auto"/>
                      <w:lang w:eastAsia="zh-CN"/>
                    </w:rPr>
                  </w:pPr>
                  <w:r>
                    <w:rPr>
                      <w:rFonts w:hint="eastAsia" w:ascii="Times New Roman" w:hAnsi="Times New Roman" w:cs="Times New Roman"/>
                      <w:color w:val="auto"/>
                      <w:lang w:eastAsia="zh-CN"/>
                    </w:rPr>
                    <w:t>0.1</w:t>
                  </w:r>
                </w:p>
              </w:tc>
              <w:tc>
                <w:tcPr>
                  <w:tcW w:w="619" w:type="pct"/>
                  <w:vAlign w:val="center"/>
                </w:tcPr>
                <w:p w14:paraId="00FA200F">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维修保养</w:t>
                  </w:r>
                </w:p>
              </w:tc>
              <w:tc>
                <w:tcPr>
                  <w:tcW w:w="265" w:type="pct"/>
                  <w:vAlign w:val="center"/>
                </w:tcPr>
                <w:p w14:paraId="16AC9E9E">
                  <w:pPr>
                    <w:pStyle w:val="42"/>
                    <w:adjustRightInd/>
                    <w:snapToGrid/>
                    <w:ind w:left="0" w:leftChars="0" w:firstLine="0" w:firstLineChars="0"/>
                    <w:rPr>
                      <w:rFonts w:ascii="Times New Roman" w:hAnsi="Times New Roman" w:cs="Times New Roman"/>
                      <w:color w:val="auto"/>
                      <w:spacing w:val="2"/>
                      <w:lang w:eastAsia="zh-CN"/>
                    </w:rPr>
                  </w:pPr>
                  <w:r>
                    <w:rPr>
                      <w:rFonts w:ascii="Times New Roman" w:hAnsi="Times New Roman" w:cs="Times New Roman"/>
                      <w:color w:val="auto"/>
                      <w:spacing w:val="2"/>
                      <w:lang w:eastAsia="zh-CN"/>
                    </w:rPr>
                    <w:t>液态</w:t>
                  </w:r>
                </w:p>
              </w:tc>
              <w:tc>
                <w:tcPr>
                  <w:tcW w:w="483" w:type="pct"/>
                  <w:vAlign w:val="center"/>
                </w:tcPr>
                <w:p w14:paraId="774DCB98">
                  <w:pPr>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矿物油</w:t>
                  </w:r>
                </w:p>
              </w:tc>
              <w:tc>
                <w:tcPr>
                  <w:tcW w:w="343" w:type="pct"/>
                  <w:vAlign w:val="center"/>
                </w:tcPr>
                <w:p w14:paraId="7E887466">
                  <w:pPr>
                    <w:pStyle w:val="42"/>
                    <w:adjustRightInd/>
                    <w:snapToGrid/>
                    <w:ind w:left="0" w:leftChars="0" w:firstLine="0" w:firstLineChars="0"/>
                    <w:rPr>
                      <w:rFonts w:ascii="Times New Roman" w:hAnsi="Times New Roman" w:cs="Times New Roman"/>
                      <w:color w:val="auto"/>
                    </w:rPr>
                  </w:pPr>
                  <w:r>
                    <w:rPr>
                      <w:rFonts w:ascii="Times New Roman" w:hAnsi="Times New Roman" w:cs="Times New Roman"/>
                      <w:color w:val="auto"/>
                    </w:rPr>
                    <w:t>半年</w:t>
                  </w:r>
                </w:p>
              </w:tc>
              <w:tc>
                <w:tcPr>
                  <w:tcW w:w="359" w:type="pct"/>
                  <w:vAlign w:val="center"/>
                </w:tcPr>
                <w:p w14:paraId="53E65E1F">
                  <w:pPr>
                    <w:adjustRightInd/>
                    <w:snapToGrid/>
                    <w:jc w:val="center"/>
                    <w:rPr>
                      <w:rFonts w:ascii="Times New Roman" w:hAnsi="Times New Roman" w:cs="Times New Roman"/>
                      <w:color w:val="auto"/>
                    </w:rPr>
                  </w:pPr>
                  <w:r>
                    <w:rPr>
                      <w:rFonts w:ascii="Times New Roman" w:hAnsi="Times New Roman" w:cs="Times New Roman"/>
                      <w:color w:val="auto"/>
                    </w:rPr>
                    <w:t>T/In</w:t>
                  </w:r>
                </w:p>
              </w:tc>
              <w:tc>
                <w:tcPr>
                  <w:tcW w:w="359" w:type="pct"/>
                  <w:vAlign w:val="center"/>
                </w:tcPr>
                <w:p w14:paraId="47B5A8D9">
                  <w:pPr>
                    <w:pStyle w:val="42"/>
                    <w:adjustRightInd/>
                    <w:snapToGrid/>
                    <w:ind w:left="0" w:leftChars="0" w:firstLine="0" w:firstLineChars="0"/>
                    <w:rPr>
                      <w:rFonts w:ascii="Times New Roman" w:hAnsi="Times New Roman" w:cs="Times New Roman"/>
                      <w:color w:val="auto"/>
                    </w:rPr>
                  </w:pPr>
                  <w:r>
                    <w:rPr>
                      <w:rFonts w:ascii="Times New Roman" w:hAnsi="Times New Roman" w:cs="Times New Roman"/>
                      <w:color w:val="auto"/>
                      <w:lang w:eastAsia="zh-CN"/>
                    </w:rPr>
                    <w:t>桶装</w:t>
                  </w:r>
                </w:p>
              </w:tc>
            </w:tr>
            <w:tr w14:paraId="6285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3" w:type="pct"/>
                  <w:vAlign w:val="center"/>
                </w:tcPr>
                <w:p w14:paraId="787E0ED1">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3</w:t>
                  </w:r>
                </w:p>
              </w:tc>
              <w:tc>
                <w:tcPr>
                  <w:tcW w:w="564" w:type="pct"/>
                  <w:vAlign w:val="center"/>
                </w:tcPr>
                <w:p w14:paraId="170B6F40">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废机油桶</w:t>
                  </w:r>
                </w:p>
              </w:tc>
              <w:tc>
                <w:tcPr>
                  <w:tcW w:w="776" w:type="dxa"/>
                  <w:vAlign w:val="center"/>
                </w:tcPr>
                <w:p w14:paraId="2CB79F87">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lang w:eastAsia="zh-CN"/>
                    </w:rPr>
                    <w:t>HW08</w:t>
                  </w:r>
                </w:p>
              </w:tc>
              <w:tc>
                <w:tcPr>
                  <w:tcW w:w="1197" w:type="dxa"/>
                  <w:vAlign w:val="center"/>
                </w:tcPr>
                <w:p w14:paraId="1B6FB724">
                  <w:pPr>
                    <w:adjustRightInd/>
                    <w:snapToGrid/>
                    <w:jc w:val="center"/>
                    <w:rPr>
                      <w:rFonts w:ascii="Times New Roman" w:hAnsi="Times New Roman" w:eastAsia="宋体" w:cs="Times New Roman"/>
                      <w:color w:val="auto"/>
                    </w:rPr>
                  </w:pPr>
                  <w:r>
                    <w:rPr>
                      <w:rFonts w:ascii="Times New Roman" w:hAnsi="Times New Roman" w:cs="Times New Roman"/>
                      <w:color w:val="auto"/>
                      <w:lang w:eastAsia="zh-CN"/>
                    </w:rPr>
                    <w:t>900-249-08</w:t>
                  </w:r>
                </w:p>
              </w:tc>
              <w:tc>
                <w:tcPr>
                  <w:tcW w:w="846" w:type="dxa"/>
                  <w:vAlign w:val="center"/>
                </w:tcPr>
                <w:p w14:paraId="27D1A34A">
                  <w:pPr>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0.</w:t>
                  </w:r>
                  <w:r>
                    <w:rPr>
                      <w:rFonts w:hint="eastAsia" w:ascii="Times New Roman" w:hAnsi="Times New Roman" w:cs="Times New Roman"/>
                      <w:color w:val="auto"/>
                      <w:lang w:eastAsia="zh-CN"/>
                    </w:rPr>
                    <w:t>01</w:t>
                  </w:r>
                </w:p>
              </w:tc>
              <w:tc>
                <w:tcPr>
                  <w:tcW w:w="619" w:type="pct"/>
                  <w:vAlign w:val="center"/>
                </w:tcPr>
                <w:p w14:paraId="3072251A">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维修保养</w:t>
                  </w:r>
                </w:p>
              </w:tc>
              <w:tc>
                <w:tcPr>
                  <w:tcW w:w="265" w:type="pct"/>
                  <w:vAlign w:val="center"/>
                </w:tcPr>
                <w:p w14:paraId="26061A68">
                  <w:pPr>
                    <w:pStyle w:val="42"/>
                    <w:adjustRightInd/>
                    <w:snapToGrid/>
                    <w:ind w:left="0" w:leftChars="0" w:firstLine="0" w:firstLineChars="0"/>
                    <w:rPr>
                      <w:rFonts w:ascii="Times New Roman" w:hAnsi="Times New Roman" w:cs="Times New Roman"/>
                      <w:color w:val="auto"/>
                      <w:spacing w:val="2"/>
                      <w:lang w:eastAsia="zh-CN"/>
                    </w:rPr>
                  </w:pPr>
                  <w:r>
                    <w:rPr>
                      <w:rFonts w:ascii="Times New Roman" w:hAnsi="Times New Roman" w:cs="Times New Roman"/>
                      <w:color w:val="auto"/>
                      <w:spacing w:val="2"/>
                      <w:lang w:eastAsia="zh-CN"/>
                    </w:rPr>
                    <w:t>固态</w:t>
                  </w:r>
                </w:p>
              </w:tc>
              <w:tc>
                <w:tcPr>
                  <w:tcW w:w="483" w:type="pct"/>
                  <w:vAlign w:val="center"/>
                </w:tcPr>
                <w:p w14:paraId="532FD7F4">
                  <w:pPr>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矿物油</w:t>
                  </w:r>
                </w:p>
              </w:tc>
              <w:tc>
                <w:tcPr>
                  <w:tcW w:w="343" w:type="pct"/>
                  <w:vAlign w:val="center"/>
                </w:tcPr>
                <w:p w14:paraId="6D7C931D">
                  <w:pPr>
                    <w:pStyle w:val="42"/>
                    <w:adjustRightInd/>
                    <w:snapToGrid/>
                    <w:ind w:left="0" w:leftChars="0" w:firstLine="0" w:firstLineChars="0"/>
                    <w:rPr>
                      <w:rFonts w:ascii="Times New Roman" w:hAnsi="Times New Roman" w:cs="Times New Roman"/>
                      <w:color w:val="auto"/>
                    </w:rPr>
                  </w:pPr>
                  <w:r>
                    <w:rPr>
                      <w:rFonts w:ascii="Times New Roman" w:hAnsi="Times New Roman" w:cs="Times New Roman"/>
                      <w:color w:val="auto"/>
                    </w:rPr>
                    <w:t>半年</w:t>
                  </w:r>
                </w:p>
              </w:tc>
              <w:tc>
                <w:tcPr>
                  <w:tcW w:w="359" w:type="pct"/>
                  <w:vAlign w:val="center"/>
                </w:tcPr>
                <w:p w14:paraId="5F24B9D1">
                  <w:pPr>
                    <w:adjustRightInd/>
                    <w:snapToGrid/>
                    <w:jc w:val="center"/>
                    <w:rPr>
                      <w:rFonts w:ascii="Times New Roman" w:hAnsi="Times New Roman" w:cs="Times New Roman"/>
                      <w:color w:val="auto"/>
                    </w:rPr>
                  </w:pPr>
                  <w:r>
                    <w:rPr>
                      <w:rFonts w:ascii="Times New Roman" w:hAnsi="Times New Roman" w:cs="Times New Roman"/>
                      <w:color w:val="auto"/>
                    </w:rPr>
                    <w:t>T/In</w:t>
                  </w:r>
                </w:p>
              </w:tc>
              <w:tc>
                <w:tcPr>
                  <w:tcW w:w="359" w:type="pct"/>
                  <w:vAlign w:val="center"/>
                </w:tcPr>
                <w:p w14:paraId="1EF9718D">
                  <w:pPr>
                    <w:pStyle w:val="42"/>
                    <w:adjustRightInd/>
                    <w:snapToGrid/>
                    <w:ind w:left="0" w:leftChars="0" w:firstLine="0" w:firstLineChars="0"/>
                    <w:rPr>
                      <w:rFonts w:ascii="Times New Roman" w:hAnsi="Times New Roman" w:cs="Times New Roman"/>
                      <w:color w:val="auto"/>
                    </w:rPr>
                  </w:pPr>
                  <w:r>
                    <w:rPr>
                      <w:rFonts w:ascii="Times New Roman" w:hAnsi="Times New Roman" w:cs="Times New Roman"/>
                      <w:color w:val="auto"/>
                      <w:lang w:eastAsia="zh-CN"/>
                    </w:rPr>
                    <w:t>桶装</w:t>
                  </w:r>
                </w:p>
              </w:tc>
            </w:tr>
          </w:tbl>
          <w:p w14:paraId="47EAE246">
            <w:pPr>
              <w:adjustRightInd/>
              <w:snapToGrid/>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ascii="Times New Roman" w:hAnsi="Times New Roman" w:eastAsia="宋体" w:cs="Times New Roman"/>
                <w:b/>
                <w:bCs/>
                <w:color w:val="auto"/>
                <w:sz w:val="24"/>
                <w:lang w:eastAsia="zh-CN"/>
              </w:rPr>
              <w:t xml:space="preserve">15 </w:t>
            </w:r>
            <w:r>
              <w:rPr>
                <w:rFonts w:ascii="Times New Roman" w:hAnsi="Times New Roman" w:eastAsia="宋体" w:cs="Times New Roman"/>
                <w:b/>
                <w:bCs/>
                <w:color w:val="auto"/>
                <w:sz w:val="24"/>
              </w:rPr>
              <w:t>建设项目危险废物贮存场所（设施）基本情况样表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173"/>
              <w:gridCol w:w="829"/>
              <w:gridCol w:w="905"/>
              <w:gridCol w:w="1331"/>
              <w:gridCol w:w="605"/>
              <w:gridCol w:w="715"/>
              <w:gridCol w:w="628"/>
              <w:gridCol w:w="633"/>
              <w:gridCol w:w="604"/>
            </w:tblGrid>
            <w:tr w14:paraId="05C7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18F76CDA">
                  <w:pPr>
                    <w:widowControl w:val="0"/>
                    <w:kinsoku/>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序号</w:t>
                  </w:r>
                </w:p>
              </w:tc>
              <w:tc>
                <w:tcPr>
                  <w:tcW w:w="1230" w:type="dxa"/>
                  <w:vAlign w:val="center"/>
                </w:tcPr>
                <w:p w14:paraId="67179D5E">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贮存场所（设施）名称</w:t>
                  </w:r>
                </w:p>
              </w:tc>
              <w:tc>
                <w:tcPr>
                  <w:tcW w:w="872" w:type="dxa"/>
                  <w:vAlign w:val="center"/>
                </w:tcPr>
                <w:p w14:paraId="0FFD0581">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危险废物名称</w:t>
                  </w:r>
                </w:p>
              </w:tc>
              <w:tc>
                <w:tcPr>
                  <w:tcW w:w="919" w:type="dxa"/>
                  <w:vAlign w:val="center"/>
                </w:tcPr>
                <w:p w14:paraId="78C8DDFB">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危险废物类别</w:t>
                  </w:r>
                </w:p>
              </w:tc>
              <w:tc>
                <w:tcPr>
                  <w:tcW w:w="1345" w:type="dxa"/>
                  <w:vAlign w:val="center"/>
                </w:tcPr>
                <w:p w14:paraId="4CF8E84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危险废物代码</w:t>
                  </w:r>
                </w:p>
              </w:tc>
              <w:tc>
                <w:tcPr>
                  <w:tcW w:w="624" w:type="dxa"/>
                  <w:vAlign w:val="center"/>
                </w:tcPr>
                <w:p w14:paraId="03F31268">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位置</w:t>
                  </w:r>
                </w:p>
              </w:tc>
              <w:tc>
                <w:tcPr>
                  <w:tcW w:w="721" w:type="dxa"/>
                  <w:vAlign w:val="center"/>
                </w:tcPr>
                <w:p w14:paraId="1F15DEE0">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占地面积</w:t>
                  </w:r>
                </w:p>
              </w:tc>
              <w:tc>
                <w:tcPr>
                  <w:tcW w:w="649" w:type="dxa"/>
                  <w:vAlign w:val="center"/>
                </w:tcPr>
                <w:p w14:paraId="2513E89B">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贮存方式</w:t>
                  </w:r>
                </w:p>
              </w:tc>
              <w:tc>
                <w:tcPr>
                  <w:tcW w:w="655" w:type="dxa"/>
                  <w:vAlign w:val="center"/>
                </w:tcPr>
                <w:p w14:paraId="07CF42C0">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贮存能力</w:t>
                  </w:r>
                </w:p>
              </w:tc>
              <w:tc>
                <w:tcPr>
                  <w:tcW w:w="623" w:type="dxa"/>
                  <w:vAlign w:val="center"/>
                </w:tcPr>
                <w:p w14:paraId="35407B5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贮存周期</w:t>
                  </w:r>
                </w:p>
              </w:tc>
            </w:tr>
            <w:tr w14:paraId="22CC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5A7B839A">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1230" w:type="dxa"/>
                  <w:vMerge w:val="restart"/>
                  <w:vAlign w:val="center"/>
                </w:tcPr>
                <w:p w14:paraId="4F74A1A2">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危险废物暂存间</w:t>
                  </w:r>
                </w:p>
              </w:tc>
              <w:tc>
                <w:tcPr>
                  <w:tcW w:w="872" w:type="dxa"/>
                  <w:vAlign w:val="center"/>
                </w:tcPr>
                <w:p w14:paraId="486992E7">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废活性炭</w:t>
                  </w:r>
                </w:p>
              </w:tc>
              <w:tc>
                <w:tcPr>
                  <w:tcW w:w="919" w:type="dxa"/>
                  <w:vAlign w:val="center"/>
                </w:tcPr>
                <w:p w14:paraId="15357399">
                  <w:pPr>
                    <w:adjustRightInd/>
                    <w:snapToGrid/>
                    <w:spacing w:line="360" w:lineRule="exact"/>
                    <w:jc w:val="center"/>
                    <w:rPr>
                      <w:rFonts w:ascii="Times New Roman" w:hAnsi="Times New Roman" w:cs="Times New Roman"/>
                      <w:color w:val="auto"/>
                      <w:lang w:eastAsia="zh-CN"/>
                    </w:rPr>
                  </w:pPr>
                  <w:r>
                    <w:rPr>
                      <w:rFonts w:ascii="Times New Roman" w:hAnsi="Times New Roman" w:eastAsia="宋体" w:cs="Times New Roman"/>
                      <w:color w:val="auto"/>
                    </w:rPr>
                    <w:t>HW49</w:t>
                  </w:r>
                </w:p>
              </w:tc>
              <w:tc>
                <w:tcPr>
                  <w:tcW w:w="1345" w:type="dxa"/>
                  <w:vAlign w:val="center"/>
                </w:tcPr>
                <w:p w14:paraId="3EA07997">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bidi="ar"/>
                    </w:rPr>
                    <w:t>900-039-49</w:t>
                  </w:r>
                </w:p>
              </w:tc>
              <w:tc>
                <w:tcPr>
                  <w:tcW w:w="624" w:type="dxa"/>
                  <w:vMerge w:val="restart"/>
                  <w:vAlign w:val="center"/>
                </w:tcPr>
                <w:p w14:paraId="2D657ADC">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生产车间</w:t>
                  </w:r>
                </w:p>
              </w:tc>
              <w:tc>
                <w:tcPr>
                  <w:tcW w:w="721" w:type="dxa"/>
                  <w:vMerge w:val="restart"/>
                  <w:vAlign w:val="center"/>
                </w:tcPr>
                <w:p w14:paraId="29271E11">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1</w:t>
                  </w:r>
                  <w:r>
                    <w:rPr>
                      <w:rFonts w:ascii="Times New Roman" w:hAnsi="Times New Roman" w:eastAsia="宋体" w:cs="Times New Roman"/>
                      <w:color w:val="auto"/>
                      <w:lang w:eastAsia="zh-CN" w:bidi="ar"/>
                    </w:rPr>
                    <w:t>0m</w:t>
                  </w:r>
                  <w:r>
                    <w:rPr>
                      <w:rFonts w:ascii="Times New Roman" w:hAnsi="Times New Roman" w:eastAsia="宋体" w:cs="Times New Roman"/>
                      <w:color w:val="auto"/>
                      <w:vertAlign w:val="superscript"/>
                      <w:lang w:eastAsia="zh-CN" w:bidi="ar"/>
                    </w:rPr>
                    <w:t>2</w:t>
                  </w:r>
                </w:p>
              </w:tc>
              <w:tc>
                <w:tcPr>
                  <w:tcW w:w="649" w:type="dxa"/>
                  <w:vAlign w:val="center"/>
                </w:tcPr>
                <w:p w14:paraId="5CB94B57">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lang w:eastAsia="zh-CN"/>
                    </w:rPr>
                    <w:t>袋装</w:t>
                  </w:r>
                </w:p>
              </w:tc>
              <w:tc>
                <w:tcPr>
                  <w:tcW w:w="655" w:type="dxa"/>
                  <w:vMerge w:val="restart"/>
                  <w:vAlign w:val="center"/>
                </w:tcPr>
                <w:p w14:paraId="4B8C284A">
                  <w:pPr>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20</w:t>
                  </w:r>
                </w:p>
              </w:tc>
              <w:tc>
                <w:tcPr>
                  <w:tcW w:w="623" w:type="dxa"/>
                  <w:vAlign w:val="center"/>
                </w:tcPr>
                <w:p w14:paraId="5AF276FF">
                  <w:pPr>
                    <w:widowControl w:val="0"/>
                    <w:kinsoku/>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cs="Times New Roman"/>
                      <w:color w:val="auto"/>
                    </w:rPr>
                    <w:t>半年</w:t>
                  </w:r>
                </w:p>
              </w:tc>
            </w:tr>
            <w:tr w14:paraId="059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080967A5">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230" w:type="dxa"/>
                  <w:vMerge w:val="continue"/>
                  <w:vAlign w:val="center"/>
                </w:tcPr>
                <w:p w14:paraId="6BD9EA8C">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872" w:type="dxa"/>
                  <w:vAlign w:val="center"/>
                </w:tcPr>
                <w:p w14:paraId="2207F340">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废机油</w:t>
                  </w:r>
                </w:p>
              </w:tc>
              <w:tc>
                <w:tcPr>
                  <w:tcW w:w="919" w:type="dxa"/>
                  <w:vAlign w:val="center"/>
                </w:tcPr>
                <w:p w14:paraId="260B916E">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lang w:eastAsia="zh-CN"/>
                    </w:rPr>
                    <w:t>HW08</w:t>
                  </w:r>
                </w:p>
              </w:tc>
              <w:tc>
                <w:tcPr>
                  <w:tcW w:w="1345" w:type="dxa"/>
                  <w:vAlign w:val="center"/>
                </w:tcPr>
                <w:p w14:paraId="24D6DEC3">
                  <w:pPr>
                    <w:adjustRightInd/>
                    <w:snapToGrid/>
                    <w:jc w:val="center"/>
                    <w:rPr>
                      <w:rFonts w:ascii="Times New Roman" w:hAnsi="Times New Roman" w:eastAsia="宋体" w:cs="Times New Roman"/>
                      <w:color w:val="auto"/>
                    </w:rPr>
                  </w:pPr>
                  <w:r>
                    <w:rPr>
                      <w:rFonts w:ascii="Times New Roman" w:hAnsi="Times New Roman" w:cs="Times New Roman"/>
                      <w:color w:val="auto"/>
                      <w:lang w:eastAsia="zh-CN"/>
                    </w:rPr>
                    <w:t>900-249-08</w:t>
                  </w:r>
                </w:p>
              </w:tc>
              <w:tc>
                <w:tcPr>
                  <w:tcW w:w="624" w:type="dxa"/>
                  <w:vMerge w:val="continue"/>
                  <w:vAlign w:val="center"/>
                </w:tcPr>
                <w:p w14:paraId="622CA259">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721" w:type="dxa"/>
                  <w:vMerge w:val="continue"/>
                  <w:vAlign w:val="center"/>
                </w:tcPr>
                <w:p w14:paraId="655D236C">
                  <w:pPr>
                    <w:widowControl w:val="0"/>
                    <w:kinsoku/>
                    <w:autoSpaceDE/>
                    <w:autoSpaceDN/>
                    <w:adjustRightInd/>
                    <w:snapToGrid/>
                    <w:jc w:val="center"/>
                    <w:textAlignment w:val="auto"/>
                    <w:rPr>
                      <w:rFonts w:ascii="Times New Roman" w:hAnsi="Times New Roman" w:cs="Times New Roman"/>
                      <w:color w:val="auto"/>
                      <w:lang w:eastAsia="zh-CN"/>
                    </w:rPr>
                  </w:pPr>
                </w:p>
              </w:tc>
              <w:tc>
                <w:tcPr>
                  <w:tcW w:w="649" w:type="dxa"/>
                  <w:vAlign w:val="center"/>
                </w:tcPr>
                <w:p w14:paraId="4124C013">
                  <w:pPr>
                    <w:pStyle w:val="42"/>
                    <w:adjustRightInd/>
                    <w:snapToGrid/>
                    <w:ind w:left="0" w:leftChars="0" w:firstLine="0" w:firstLineChars="0"/>
                    <w:rPr>
                      <w:rFonts w:ascii="Times New Roman" w:hAnsi="Times New Roman" w:cs="Times New Roman"/>
                      <w:color w:val="auto"/>
                      <w:lang w:eastAsia="zh-CN"/>
                    </w:rPr>
                  </w:pPr>
                  <w:r>
                    <w:rPr>
                      <w:rFonts w:ascii="Times New Roman" w:hAnsi="Times New Roman" w:cs="Times New Roman"/>
                      <w:color w:val="auto"/>
                      <w:lang w:eastAsia="zh-CN"/>
                    </w:rPr>
                    <w:t>桶装</w:t>
                  </w:r>
                </w:p>
              </w:tc>
              <w:tc>
                <w:tcPr>
                  <w:tcW w:w="655" w:type="dxa"/>
                  <w:vMerge w:val="continue"/>
                  <w:vAlign w:val="center"/>
                </w:tcPr>
                <w:p w14:paraId="39E96A93">
                  <w:pPr>
                    <w:adjustRightInd/>
                    <w:snapToGrid/>
                    <w:jc w:val="center"/>
                    <w:rPr>
                      <w:rFonts w:ascii="Times New Roman" w:hAnsi="Times New Roman" w:eastAsia="宋体" w:cs="Times New Roman"/>
                      <w:color w:val="auto"/>
                      <w:lang w:eastAsia="zh-CN"/>
                    </w:rPr>
                  </w:pPr>
                </w:p>
              </w:tc>
              <w:tc>
                <w:tcPr>
                  <w:tcW w:w="623" w:type="dxa"/>
                  <w:vAlign w:val="center"/>
                </w:tcPr>
                <w:p w14:paraId="4AAA62CB">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rPr>
                    <w:t>半年</w:t>
                  </w:r>
                </w:p>
              </w:tc>
            </w:tr>
            <w:tr w14:paraId="56A4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vAlign w:val="center"/>
                </w:tcPr>
                <w:p w14:paraId="6C7CC335">
                  <w:pPr>
                    <w:widowControl w:val="0"/>
                    <w:kinsoku/>
                    <w:autoSpaceDE/>
                    <w:autoSpaceDN/>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230" w:type="dxa"/>
                  <w:vMerge w:val="continue"/>
                  <w:vAlign w:val="center"/>
                </w:tcPr>
                <w:p w14:paraId="0959BA99">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872" w:type="dxa"/>
                  <w:vAlign w:val="center"/>
                </w:tcPr>
                <w:p w14:paraId="52583A40">
                  <w:pPr>
                    <w:kinsoku/>
                    <w:adjustRightInd/>
                    <w:snapToGrid/>
                    <w:jc w:val="center"/>
                    <w:rPr>
                      <w:rFonts w:ascii="Times New Roman" w:hAnsi="Times New Roman" w:eastAsia="宋体" w:cs="Times New Roman"/>
                      <w:color w:val="auto"/>
                      <w:lang w:eastAsia="zh-CN"/>
                    </w:rPr>
                  </w:pPr>
                  <w:r>
                    <w:rPr>
                      <w:rFonts w:ascii="Times New Roman" w:hAnsi="Times New Roman" w:cs="Times New Roman"/>
                      <w:color w:val="auto"/>
                      <w:lang w:eastAsia="zh-CN"/>
                    </w:rPr>
                    <w:t>废机油桶</w:t>
                  </w:r>
                </w:p>
              </w:tc>
              <w:tc>
                <w:tcPr>
                  <w:tcW w:w="919" w:type="dxa"/>
                  <w:vAlign w:val="center"/>
                </w:tcPr>
                <w:p w14:paraId="1DBF8BB5">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lang w:eastAsia="zh-CN"/>
                    </w:rPr>
                    <w:t>HW08</w:t>
                  </w:r>
                </w:p>
              </w:tc>
              <w:tc>
                <w:tcPr>
                  <w:tcW w:w="1345" w:type="dxa"/>
                  <w:vAlign w:val="center"/>
                </w:tcPr>
                <w:p w14:paraId="585F6C27">
                  <w:pPr>
                    <w:adjustRightInd/>
                    <w:snapToGrid/>
                    <w:jc w:val="center"/>
                    <w:rPr>
                      <w:rFonts w:ascii="Times New Roman" w:hAnsi="Times New Roman" w:eastAsia="宋体" w:cs="Times New Roman"/>
                      <w:color w:val="auto"/>
                    </w:rPr>
                  </w:pPr>
                  <w:r>
                    <w:rPr>
                      <w:rFonts w:ascii="Times New Roman" w:hAnsi="Times New Roman" w:cs="Times New Roman"/>
                      <w:color w:val="auto"/>
                      <w:lang w:eastAsia="zh-CN"/>
                    </w:rPr>
                    <w:t>900-249-08</w:t>
                  </w:r>
                </w:p>
              </w:tc>
              <w:tc>
                <w:tcPr>
                  <w:tcW w:w="624" w:type="dxa"/>
                  <w:vMerge w:val="continue"/>
                  <w:vAlign w:val="center"/>
                </w:tcPr>
                <w:p w14:paraId="5FC5065B">
                  <w:pPr>
                    <w:widowControl w:val="0"/>
                    <w:kinsoku/>
                    <w:autoSpaceDE/>
                    <w:autoSpaceDN/>
                    <w:adjustRightInd/>
                    <w:snapToGrid/>
                    <w:jc w:val="center"/>
                    <w:textAlignment w:val="auto"/>
                    <w:rPr>
                      <w:rFonts w:ascii="Times New Roman" w:hAnsi="Times New Roman" w:eastAsia="宋体" w:cs="Times New Roman"/>
                      <w:color w:val="auto"/>
                      <w:lang w:eastAsia="zh-CN"/>
                    </w:rPr>
                  </w:pPr>
                </w:p>
              </w:tc>
              <w:tc>
                <w:tcPr>
                  <w:tcW w:w="721" w:type="dxa"/>
                  <w:vMerge w:val="continue"/>
                  <w:vAlign w:val="center"/>
                </w:tcPr>
                <w:p w14:paraId="2491CA5F">
                  <w:pPr>
                    <w:widowControl w:val="0"/>
                    <w:kinsoku/>
                    <w:autoSpaceDE/>
                    <w:autoSpaceDN/>
                    <w:adjustRightInd/>
                    <w:snapToGrid/>
                    <w:jc w:val="center"/>
                    <w:textAlignment w:val="auto"/>
                    <w:rPr>
                      <w:rFonts w:ascii="Times New Roman" w:hAnsi="Times New Roman" w:cs="Times New Roman"/>
                      <w:color w:val="auto"/>
                      <w:lang w:eastAsia="zh-CN"/>
                    </w:rPr>
                  </w:pPr>
                </w:p>
              </w:tc>
              <w:tc>
                <w:tcPr>
                  <w:tcW w:w="649" w:type="dxa"/>
                  <w:vAlign w:val="center"/>
                </w:tcPr>
                <w:p w14:paraId="080D54EA">
                  <w:pPr>
                    <w:pStyle w:val="42"/>
                    <w:adjustRightInd/>
                    <w:snapToGrid/>
                    <w:ind w:left="0" w:leftChars="0" w:firstLine="0" w:firstLineChars="0"/>
                    <w:rPr>
                      <w:rFonts w:ascii="Times New Roman" w:hAnsi="Times New Roman" w:cs="Times New Roman"/>
                      <w:color w:val="auto"/>
                      <w:lang w:eastAsia="zh-CN"/>
                    </w:rPr>
                  </w:pPr>
                  <w:r>
                    <w:rPr>
                      <w:rFonts w:ascii="Times New Roman" w:hAnsi="Times New Roman" w:cs="Times New Roman"/>
                      <w:color w:val="auto"/>
                      <w:lang w:eastAsia="zh-CN"/>
                    </w:rPr>
                    <w:t>桶装</w:t>
                  </w:r>
                </w:p>
              </w:tc>
              <w:tc>
                <w:tcPr>
                  <w:tcW w:w="655" w:type="dxa"/>
                  <w:vMerge w:val="continue"/>
                  <w:vAlign w:val="center"/>
                </w:tcPr>
                <w:p w14:paraId="027F438B">
                  <w:pPr>
                    <w:adjustRightInd/>
                    <w:snapToGrid/>
                    <w:jc w:val="center"/>
                    <w:rPr>
                      <w:rFonts w:ascii="Times New Roman" w:hAnsi="Times New Roman" w:eastAsia="宋体" w:cs="Times New Roman"/>
                      <w:color w:val="auto"/>
                      <w:lang w:eastAsia="zh-CN"/>
                    </w:rPr>
                  </w:pPr>
                </w:p>
              </w:tc>
              <w:tc>
                <w:tcPr>
                  <w:tcW w:w="623" w:type="dxa"/>
                  <w:vAlign w:val="center"/>
                </w:tcPr>
                <w:p w14:paraId="674ED741">
                  <w:pPr>
                    <w:widowControl w:val="0"/>
                    <w:kinsoku/>
                    <w:autoSpaceDE/>
                    <w:autoSpaceDN/>
                    <w:adjustRightInd/>
                    <w:snapToGrid/>
                    <w:jc w:val="center"/>
                    <w:textAlignment w:val="auto"/>
                    <w:rPr>
                      <w:rFonts w:ascii="Times New Roman" w:hAnsi="Times New Roman" w:cs="Times New Roman"/>
                      <w:color w:val="auto"/>
                    </w:rPr>
                  </w:pPr>
                  <w:r>
                    <w:rPr>
                      <w:rFonts w:ascii="Times New Roman" w:hAnsi="Times New Roman" w:cs="Times New Roman"/>
                      <w:color w:val="auto"/>
                    </w:rPr>
                    <w:t>半年</w:t>
                  </w:r>
                </w:p>
              </w:tc>
            </w:tr>
          </w:tbl>
          <w:p w14:paraId="07D1EFA5">
            <w:pPr>
              <w:pStyle w:val="55"/>
              <w:adjustRightInd/>
              <w:snapToGrid/>
              <w:spacing w:before="0" w:line="360" w:lineRule="auto"/>
              <w:ind w:firstLineChars="200"/>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lang w:eastAsia="zh-CN"/>
              </w:rPr>
              <w:t>2、</w:t>
            </w:r>
            <w:r>
              <w:rPr>
                <w:rFonts w:ascii="Times New Roman" w:hAnsi="Times New Roman" w:eastAsia="宋体" w:cs="Times New Roman"/>
                <w:b/>
                <w:bCs/>
                <w:color w:val="auto"/>
                <w:kern w:val="2"/>
                <w:sz w:val="24"/>
              </w:rPr>
              <w:t>环境管理要求：</w:t>
            </w:r>
          </w:p>
          <w:p w14:paraId="1BE351E1">
            <w:pPr>
              <w:pStyle w:val="55"/>
              <w:wordWrap w:val="0"/>
              <w:adjustRightInd/>
              <w:snapToGrid/>
              <w:spacing w:before="0" w:line="360" w:lineRule="auto"/>
              <w:ind w:firstLine="480" w:firstLineChars="200"/>
              <w:rPr>
                <w:rFonts w:ascii="Times New Roman" w:hAnsi="Times New Roman" w:eastAsia="宋体" w:cs="Times New Roman"/>
                <w:color w:val="auto"/>
                <w:kern w:val="2"/>
                <w:sz w:val="24"/>
                <w:lang w:bidi="ar"/>
              </w:rPr>
            </w:pPr>
            <w:r>
              <w:rPr>
                <w:rFonts w:ascii="Times New Roman" w:hAnsi="Times New Roman" w:eastAsia="宋体" w:cs="Times New Roman"/>
                <w:color w:val="auto"/>
                <w:kern w:val="2"/>
                <w:sz w:val="24"/>
                <w:lang w:bidi="ar"/>
              </w:rPr>
              <w:t>项目一般固体废物存放一般固废暂存间，暂存场地的设置应符合《一般工业固体废物贮存和填埋污染控制标准》（GB18599-2020）中的规定。</w:t>
            </w:r>
          </w:p>
          <w:p w14:paraId="7AC8DC68">
            <w:pPr>
              <w:pStyle w:val="55"/>
              <w:wordWrap w:val="0"/>
              <w:adjustRightInd/>
              <w:snapToGrid/>
              <w:spacing w:before="0" w:line="360" w:lineRule="auto"/>
              <w:ind w:firstLine="480" w:firstLineChars="200"/>
              <w:rPr>
                <w:rFonts w:ascii="Times New Roman" w:hAnsi="Times New Roman" w:eastAsia="宋体" w:cs="Times New Roman"/>
                <w:color w:val="auto"/>
                <w:kern w:val="2"/>
                <w:sz w:val="24"/>
                <w:lang w:eastAsia="zh-CN" w:bidi="ar"/>
              </w:rPr>
            </w:pPr>
            <w:r>
              <w:rPr>
                <w:rFonts w:ascii="Times New Roman" w:hAnsi="Times New Roman" w:eastAsia="宋体" w:cs="Times New Roman"/>
                <w:color w:val="auto"/>
                <w:kern w:val="2"/>
                <w:sz w:val="24"/>
                <w:lang w:eastAsia="zh-CN" w:bidi="ar"/>
              </w:rPr>
              <w:t>本项目一般固废暂存间位于成品暂存区域内，建筑面积约20m³，产生的塑粉直接回用生产，不考虑在一般固废暂存间暂存，故项目一般固废产生量为</w:t>
            </w:r>
            <w:r>
              <w:rPr>
                <w:rFonts w:hint="eastAsia" w:ascii="Times New Roman" w:hAnsi="Times New Roman" w:eastAsia="宋体" w:cs="Times New Roman"/>
                <w:color w:val="auto"/>
                <w:kern w:val="2"/>
                <w:sz w:val="24"/>
                <w:lang w:eastAsia="zh-CN" w:bidi="ar"/>
              </w:rPr>
              <w:t>10.91t</w:t>
            </w:r>
            <w:r>
              <w:rPr>
                <w:rFonts w:ascii="Times New Roman" w:hAnsi="Times New Roman" w:eastAsia="宋体" w:cs="Times New Roman"/>
                <w:color w:val="auto"/>
                <w:kern w:val="2"/>
                <w:sz w:val="24"/>
                <w:lang w:eastAsia="zh-CN" w:bidi="ar"/>
              </w:rPr>
              <w:t>/a，</w:t>
            </w:r>
            <w:r>
              <w:rPr>
                <w:rFonts w:ascii="Times New Roman" w:hAnsi="Times New Roman" w:eastAsia="宋体" w:cs="Times New Roman"/>
                <w:snapToGrid/>
                <w:color w:val="auto"/>
                <w:sz w:val="24"/>
                <w:szCs w:val="24"/>
                <w:lang w:eastAsia="zh-CN"/>
              </w:rPr>
              <w:t>最大临时贮存量约</w:t>
            </w:r>
            <w:r>
              <w:rPr>
                <w:rFonts w:hint="eastAsia" w:ascii="Times New Roman" w:hAnsi="Times New Roman" w:eastAsia="宋体" w:cs="Times New Roman"/>
                <w:snapToGrid/>
                <w:color w:val="auto"/>
                <w:sz w:val="24"/>
                <w:szCs w:val="24"/>
                <w:lang w:eastAsia="zh-CN"/>
              </w:rPr>
              <w:t>5</w:t>
            </w:r>
            <w:r>
              <w:rPr>
                <w:rFonts w:ascii="Times New Roman" w:hAnsi="Times New Roman" w:eastAsia="宋体" w:cs="Times New Roman"/>
                <w:snapToGrid/>
                <w:color w:val="auto"/>
                <w:sz w:val="24"/>
                <w:szCs w:val="24"/>
                <w:lang w:eastAsia="zh-CN"/>
              </w:rPr>
              <w:t>t。</w:t>
            </w:r>
            <w:r>
              <w:rPr>
                <w:rFonts w:ascii="Times New Roman" w:hAnsi="Times New Roman" w:eastAsia="宋体" w:cs="Times New Roman"/>
                <w:color w:val="auto"/>
                <w:kern w:val="2"/>
                <w:sz w:val="24"/>
                <w:lang w:eastAsia="zh-CN" w:bidi="ar"/>
              </w:rPr>
              <w:t>根据建设单位提供的资料，最大储量为7.5t。满足贮存要求。</w:t>
            </w:r>
          </w:p>
          <w:p w14:paraId="06BC806A">
            <w:pPr>
              <w:pStyle w:val="55"/>
              <w:keepNext w:val="0"/>
              <w:keepLines w:val="0"/>
              <w:pageBreakBefore w:val="0"/>
              <w:widowControl/>
              <w:kinsoku w:val="0"/>
              <w:wordWrap w:val="0"/>
              <w:overflowPunct/>
              <w:topLinePunct w:val="0"/>
              <w:autoSpaceDE w:val="0"/>
              <w:autoSpaceDN w:val="0"/>
              <w:bidi w:val="0"/>
              <w:adjustRightInd/>
              <w:snapToGrid/>
              <w:spacing w:before="0" w:line="360" w:lineRule="auto"/>
              <w:ind w:firstLineChars="200"/>
              <w:textAlignment w:val="baseline"/>
              <w:rPr>
                <w:rFonts w:ascii="Times New Roman" w:hAnsi="Times New Roman" w:eastAsia="宋体" w:cs="Times New Roman"/>
                <w:b/>
                <w:bCs/>
                <w:color w:val="auto"/>
                <w:kern w:val="2"/>
                <w:sz w:val="24"/>
                <w:lang w:bidi="ar"/>
              </w:rPr>
            </w:pPr>
            <w:r>
              <w:rPr>
                <w:rFonts w:ascii="Times New Roman" w:hAnsi="Times New Roman" w:eastAsia="宋体" w:cs="Times New Roman"/>
                <w:b/>
                <w:bCs/>
                <w:color w:val="auto"/>
                <w:kern w:val="2"/>
                <w:sz w:val="24"/>
                <w:lang w:bidi="ar"/>
              </w:rPr>
              <w:t>一般固废暂存间设置要求做到以下几点：</w:t>
            </w:r>
          </w:p>
          <w:p w14:paraId="08971517">
            <w:pPr>
              <w:pStyle w:val="55"/>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jc w:val="both"/>
              <w:textAlignment w:val="baseline"/>
              <w:rPr>
                <w:rFonts w:ascii="Times New Roman" w:hAnsi="Times New Roman" w:eastAsia="宋体" w:cs="Times New Roman"/>
                <w:color w:val="auto"/>
                <w:kern w:val="2"/>
                <w:sz w:val="24"/>
                <w:lang w:bidi="ar"/>
              </w:rPr>
            </w:pPr>
            <w:r>
              <w:rPr>
                <w:rFonts w:ascii="Times New Roman" w:hAnsi="Times New Roman" w:eastAsia="宋体" w:cs="Times New Roman"/>
                <w:color w:val="auto"/>
                <w:kern w:val="2"/>
                <w:sz w:val="24"/>
                <w:lang w:bidi="ar"/>
              </w:rPr>
              <w:t>（1）贮存场、填埋场的环境保护图形标志应符合GB15562.2的规定，并应定期检查和维护。</w:t>
            </w:r>
          </w:p>
          <w:p w14:paraId="2710B7C6">
            <w:pPr>
              <w:pStyle w:val="55"/>
              <w:keepNext w:val="0"/>
              <w:keepLines w:val="0"/>
              <w:pageBreakBefore w:val="0"/>
              <w:widowControl/>
              <w:kinsoku w:val="0"/>
              <w:wordWrap/>
              <w:overflowPunct/>
              <w:topLinePunct w:val="0"/>
              <w:autoSpaceDE w:val="0"/>
              <w:autoSpaceDN w:val="0"/>
              <w:bidi w:val="0"/>
              <w:adjustRightInd/>
              <w:snapToGrid/>
              <w:spacing w:before="0" w:line="360" w:lineRule="auto"/>
              <w:ind w:left="0" w:leftChars="0" w:firstLine="480" w:firstLineChars="200"/>
              <w:jc w:val="both"/>
              <w:textAlignment w:val="baseline"/>
              <w:rPr>
                <w:rFonts w:ascii="Times New Roman" w:hAnsi="Times New Roman" w:eastAsia="宋体" w:cs="Times New Roman"/>
                <w:color w:val="auto"/>
                <w:kern w:val="2"/>
                <w:sz w:val="24"/>
                <w:lang w:bidi="ar"/>
              </w:rPr>
            </w:pPr>
            <w:r>
              <w:rPr>
                <w:rFonts w:ascii="Times New Roman" w:hAnsi="Times New Roman" w:eastAsia="宋体" w:cs="Times New Roman"/>
                <w:color w:val="auto"/>
                <w:kern w:val="2"/>
                <w:sz w:val="24"/>
                <w:lang w:bidi="ar"/>
              </w:rPr>
              <w:t>（2）不相容的一般工业固体废物应设置不同的分区进行贮存和填埋作业。</w:t>
            </w:r>
          </w:p>
          <w:p w14:paraId="516DC717">
            <w:pPr>
              <w:pStyle w:val="55"/>
              <w:keepNext w:val="0"/>
              <w:keepLines w:val="0"/>
              <w:pageBreakBefore w:val="0"/>
              <w:widowControl/>
              <w:kinsoku w:val="0"/>
              <w:wordWrap/>
              <w:overflowPunct/>
              <w:topLinePunct w:val="0"/>
              <w:autoSpaceDE w:val="0"/>
              <w:autoSpaceDN w:val="0"/>
              <w:bidi w:val="0"/>
              <w:adjustRightInd/>
              <w:snapToGrid/>
              <w:spacing w:before="0" w:line="360" w:lineRule="auto"/>
              <w:ind w:firstLine="480" w:firstLineChars="200"/>
              <w:textAlignment w:val="baseline"/>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w:t>
            </w:r>
            <w:r>
              <w:rPr>
                <w:rFonts w:hint="eastAsia" w:ascii="Times New Roman" w:hAnsi="Times New Roman" w:eastAsia="宋体" w:cs="Times New Roman"/>
                <w:color w:val="auto"/>
                <w:kern w:val="2"/>
                <w:sz w:val="24"/>
                <w:lang w:val="en-US" w:eastAsia="zh-CN"/>
              </w:rPr>
              <w:t>3</w:t>
            </w:r>
            <w:r>
              <w:rPr>
                <w:rFonts w:ascii="Times New Roman" w:hAnsi="Times New Roman" w:eastAsia="宋体" w:cs="Times New Roman"/>
                <w:color w:val="auto"/>
                <w:kern w:val="2"/>
                <w:sz w:val="24"/>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B7B8D00">
            <w:pPr>
              <w:pStyle w:val="55"/>
              <w:adjustRightInd/>
              <w:snapToGrid/>
              <w:spacing w:before="0" w:line="360" w:lineRule="auto"/>
              <w:ind w:firstLine="480" w:firstLineChars="200"/>
              <w:rPr>
                <w:rFonts w:ascii="Times New Roman" w:hAnsi="Times New Roman" w:eastAsia="宋体" w:cs="Times New Roman"/>
                <w:color w:val="auto"/>
                <w:kern w:val="2"/>
                <w:sz w:val="24"/>
              </w:rPr>
            </w:pPr>
            <w:r>
              <w:rPr>
                <w:rFonts w:ascii="Times New Roman" w:hAnsi="Times New Roman" w:eastAsia="宋体" w:cs="Times New Roman"/>
                <w:color w:val="auto"/>
                <w:kern w:val="2"/>
                <w:sz w:val="24"/>
              </w:rPr>
              <w:t>（</w:t>
            </w:r>
            <w:r>
              <w:rPr>
                <w:rFonts w:hint="eastAsia" w:ascii="Times New Roman" w:hAnsi="Times New Roman" w:eastAsia="宋体" w:cs="Times New Roman"/>
                <w:color w:val="auto"/>
                <w:kern w:val="2"/>
                <w:sz w:val="24"/>
                <w:lang w:val="en-US" w:eastAsia="zh-CN"/>
              </w:rPr>
              <w:t>4</w:t>
            </w:r>
            <w:r>
              <w:rPr>
                <w:rFonts w:ascii="Times New Roman" w:hAnsi="Times New Roman" w:eastAsia="宋体" w:cs="Times New Roman"/>
                <w:color w:val="auto"/>
                <w:kern w:val="2"/>
                <w:sz w:val="24"/>
              </w:rPr>
              <w:t>）产生工业固体废物的单位委托他人运输、利用、处置工业固体废物的，应当对受托方的主体资格和技术能力进行核实，依法签订书面合同，在合同中约定污染防治要求。</w:t>
            </w:r>
            <w:r>
              <w:rPr>
                <w:rFonts w:ascii="Times New Roman" w:hAnsi="Times New Roman" w:eastAsia="宋体" w:cs="Times New Roman"/>
                <w:snapToGrid/>
                <w:color w:val="auto"/>
                <w:kern w:val="2"/>
                <w:sz w:val="24"/>
              </w:rPr>
              <w:t>受托方运输、利用、处置工业固体废物，应当依照有关法律法规的规定和合同约定履行污染防治要求，并将运输、利用、处置情况告知产生工业固体废物的单位。</w:t>
            </w:r>
          </w:p>
          <w:p w14:paraId="4DDD3C6C">
            <w:pPr>
              <w:pStyle w:val="55"/>
              <w:wordWrap w:val="0"/>
              <w:adjustRightInd/>
              <w:snapToGrid/>
              <w:spacing w:before="0" w:line="360" w:lineRule="auto"/>
              <w:ind w:firstLine="480" w:firstLineChars="200"/>
              <w:rPr>
                <w:rFonts w:ascii="Times New Roman" w:hAnsi="Times New Roman" w:eastAsia="宋体" w:cs="Times New Roman"/>
                <w:color w:val="auto"/>
                <w:kern w:val="2"/>
                <w:sz w:val="24"/>
                <w:lang w:bidi="ar"/>
              </w:rPr>
            </w:pPr>
            <w:r>
              <w:rPr>
                <w:rFonts w:ascii="Times New Roman" w:hAnsi="Times New Roman" w:eastAsia="宋体" w:cs="Times New Roman"/>
                <w:color w:val="auto"/>
                <w:kern w:val="2"/>
                <w:sz w:val="24"/>
                <w:lang w:bidi="ar"/>
              </w:rPr>
              <w:t>（</w:t>
            </w:r>
            <w:r>
              <w:rPr>
                <w:rFonts w:hint="eastAsia" w:ascii="Times New Roman" w:hAnsi="Times New Roman" w:eastAsia="宋体" w:cs="Times New Roman"/>
                <w:color w:val="auto"/>
                <w:kern w:val="2"/>
                <w:sz w:val="24"/>
                <w:lang w:val="en-US" w:eastAsia="zh-CN" w:bidi="ar"/>
              </w:rPr>
              <w:t>5</w:t>
            </w:r>
            <w:r>
              <w:rPr>
                <w:rFonts w:ascii="Times New Roman" w:hAnsi="Times New Roman" w:eastAsia="宋体" w:cs="Times New Roman"/>
                <w:color w:val="auto"/>
                <w:kern w:val="2"/>
                <w:sz w:val="24"/>
                <w:lang w:bidi="ar"/>
              </w:rPr>
              <w:t>）产生工业固体废物的单位应当取得排污许可证。排污许可的具体办法和实施步骤由国务院规定。</w:t>
            </w:r>
          </w:p>
          <w:p w14:paraId="3B63EC27">
            <w:pPr>
              <w:pStyle w:val="55"/>
              <w:wordWrap w:val="0"/>
              <w:adjustRightInd/>
              <w:snapToGrid/>
              <w:spacing w:before="0" w:line="360" w:lineRule="auto"/>
              <w:ind w:firstLine="480" w:firstLineChars="200"/>
              <w:rPr>
                <w:rFonts w:ascii="Times New Roman" w:hAnsi="Times New Roman" w:eastAsia="宋体" w:cs="Times New Roman"/>
                <w:color w:val="auto"/>
                <w:kern w:val="2"/>
                <w:sz w:val="24"/>
                <w:lang w:bidi="ar"/>
              </w:rPr>
            </w:pPr>
            <w:r>
              <w:rPr>
                <w:rFonts w:ascii="Times New Roman" w:hAnsi="Times New Roman" w:eastAsia="宋体" w:cs="Times New Roman"/>
                <w:color w:val="auto"/>
                <w:kern w:val="2"/>
                <w:sz w:val="24"/>
                <w:lang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036763BF">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w:t>
            </w:r>
            <w:r>
              <w:rPr>
                <w:rFonts w:hint="eastAsia" w:ascii="Times New Roman" w:hAnsi="Times New Roman" w:eastAsia="宋体" w:cs="Times New Roman"/>
                <w:color w:val="auto"/>
                <w:sz w:val="24"/>
                <w:lang w:val="en-US" w:eastAsia="zh-CN" w:bidi="ar"/>
              </w:rPr>
              <w:t>6</w:t>
            </w:r>
            <w:r>
              <w:rPr>
                <w:rFonts w:ascii="Times New Roman" w:hAnsi="Times New Roman" w:eastAsia="宋体" w:cs="Times New Roman"/>
                <w:color w:val="auto"/>
                <w:sz w:val="24"/>
                <w:lang w:bidi="ar"/>
              </w:rPr>
              <w:t>）产生工业固体废物的单位应当根据经济、技术条件对工业固体废物加以利用；对暂时不利用或者不能利用的，应当按照国务院生态环境主管部门的规定建设贮存设施、场所，安全分类存放，或者采取无害化处置措施。贮存工业固体废物应当采取符合国家环境保护标准的防护措施。</w:t>
            </w:r>
          </w:p>
          <w:p w14:paraId="306A461E">
            <w:pPr>
              <w:pStyle w:val="55"/>
              <w:wordWrap w:val="0"/>
              <w:adjustRightInd/>
              <w:snapToGrid/>
              <w:spacing w:before="0" w:line="360" w:lineRule="auto"/>
              <w:ind w:firstLineChars="200"/>
              <w:rPr>
                <w:rFonts w:ascii="Times New Roman" w:hAnsi="Times New Roman" w:eastAsia="宋体" w:cs="Times New Roman"/>
                <w:b/>
                <w:bCs/>
                <w:color w:val="auto"/>
                <w:kern w:val="2"/>
                <w:sz w:val="24"/>
                <w:lang w:bidi="ar"/>
              </w:rPr>
            </w:pPr>
            <w:r>
              <w:rPr>
                <w:rFonts w:ascii="Times New Roman" w:hAnsi="Times New Roman" w:eastAsia="宋体" w:cs="Times New Roman"/>
                <w:b/>
                <w:bCs/>
                <w:color w:val="auto"/>
                <w:kern w:val="2"/>
                <w:sz w:val="24"/>
                <w:lang w:bidi="ar"/>
              </w:rPr>
              <w:t>危险废物暂存间设置要求做到以下几点：</w:t>
            </w:r>
          </w:p>
          <w:p w14:paraId="7810BB6C">
            <w:pPr>
              <w:widowControl w:val="0"/>
              <w:kinsoku/>
              <w:autoSpaceDE/>
              <w:autoSpaceDN/>
              <w:adjustRightInd/>
              <w:snapToGrid/>
              <w:spacing w:line="360" w:lineRule="auto"/>
              <w:ind w:firstLine="480" w:firstLineChars="200"/>
              <w:textAlignment w:val="auto"/>
              <w:rPr>
                <w:rFonts w:ascii="Times New Roman" w:hAnsi="Times New Roman" w:cs="Times New Roman"/>
                <w:snapToGrid/>
                <w:color w:val="auto"/>
                <w:sz w:val="24"/>
                <w:szCs w:val="24"/>
              </w:rPr>
            </w:pPr>
            <w:r>
              <w:rPr>
                <w:rFonts w:ascii="Times New Roman" w:hAnsi="Times New Roman" w:eastAsia="宋体" w:cs="Times New Roman"/>
                <w:color w:val="auto"/>
                <w:sz w:val="24"/>
                <w:lang w:eastAsia="zh-CN" w:bidi="ar"/>
              </w:rPr>
              <w:t>项目位于</w:t>
            </w:r>
            <w:r>
              <w:rPr>
                <w:rFonts w:ascii="Times New Roman" w:hAnsi="Times New Roman" w:cs="Times New Roman"/>
                <w:color w:val="auto"/>
                <w:sz w:val="24"/>
                <w:lang w:eastAsia="zh-CN" w:bidi="ar"/>
              </w:rPr>
              <w:t>成品暂存区域</w:t>
            </w:r>
            <w:r>
              <w:rPr>
                <w:rFonts w:ascii="Times New Roman" w:hAnsi="Times New Roman" w:eastAsia="宋体" w:cs="Times New Roman"/>
                <w:color w:val="auto"/>
                <w:sz w:val="24"/>
                <w:lang w:eastAsia="zh-CN" w:bidi="ar"/>
              </w:rPr>
              <w:t>设置</w:t>
            </w:r>
            <w:r>
              <w:rPr>
                <w:rFonts w:hint="eastAsia" w:ascii="Times New Roman" w:hAnsi="Times New Roman" w:eastAsia="宋体" w:cs="Times New Roman"/>
                <w:color w:val="auto"/>
                <w:sz w:val="24"/>
                <w:lang w:eastAsia="zh-CN" w:bidi="ar"/>
              </w:rPr>
              <w:t>10</w:t>
            </w:r>
            <w:r>
              <w:rPr>
                <w:rFonts w:ascii="Times New Roman" w:hAnsi="Times New Roman" w:eastAsia="宋体" w:cs="Times New Roman"/>
                <w:color w:val="auto"/>
                <w:sz w:val="24"/>
                <w:lang w:eastAsia="zh-CN" w:bidi="ar"/>
              </w:rPr>
              <w:t>m²的危险废物暂存间，用于收集生产过程中产生的废活性炭</w:t>
            </w:r>
            <w:r>
              <w:rPr>
                <w:rFonts w:hint="eastAsia" w:ascii="Times New Roman" w:hAnsi="Times New Roman" w:eastAsia="宋体" w:cs="Times New Roman"/>
                <w:color w:val="auto"/>
                <w:sz w:val="24"/>
                <w:lang w:eastAsia="zh-CN" w:bidi="ar"/>
              </w:rPr>
              <w:t>、废机油</w:t>
            </w:r>
            <w:r>
              <w:rPr>
                <w:rFonts w:ascii="Times New Roman" w:hAnsi="Times New Roman" w:eastAsia="宋体" w:cs="Times New Roman"/>
                <w:color w:val="auto"/>
                <w:sz w:val="24"/>
                <w:lang w:eastAsia="zh-CN" w:bidi="ar"/>
              </w:rPr>
              <w:t>等危险废物，并定期委托有资质单位进行处置，</w:t>
            </w:r>
            <w:r>
              <w:rPr>
                <w:rFonts w:ascii="Times New Roman" w:hAnsi="Times New Roman" w:eastAsia="宋体" w:cs="Times New Roman"/>
                <w:snapToGrid/>
                <w:color w:val="auto"/>
                <w:sz w:val="24"/>
                <w:szCs w:val="24"/>
              </w:rPr>
              <w:t>根据《危险废物贮存污染控制标准》（GB18597-20</w:t>
            </w:r>
            <w:r>
              <w:rPr>
                <w:rFonts w:ascii="Times New Roman" w:hAnsi="Times New Roman" w:cs="Times New Roman"/>
                <w:snapToGrid/>
                <w:color w:val="auto"/>
                <w:sz w:val="24"/>
                <w:szCs w:val="24"/>
                <w:lang w:eastAsia="zh-CN"/>
              </w:rPr>
              <w:t>23</w:t>
            </w:r>
            <w:r>
              <w:rPr>
                <w:rFonts w:ascii="Times New Roman" w:hAnsi="Times New Roman" w:eastAsia="宋体" w:cs="Times New Roman"/>
                <w:snapToGrid/>
                <w:color w:val="auto"/>
                <w:sz w:val="24"/>
                <w:szCs w:val="24"/>
              </w:rPr>
              <w:t>）有关规定，危险废物临时贮存的一般要求、危险废物临时贮存容器的选取、危废临时贮存设施的选址与设计原则、危废临时贮存设施的运行与管理、危废临时贮存设施的安全防护与监测、危废临时贮存设施的关闭等均需严格按照规定执行。一般固废不得与危险废物混合，需分开存放并及时处置，危险固废定期委托有资质单位处置。</w:t>
            </w:r>
          </w:p>
          <w:p w14:paraId="34F305DC">
            <w:pPr>
              <w:widowControl w:val="0"/>
              <w:kinsoku/>
              <w:autoSpaceDE/>
              <w:autoSpaceDN/>
              <w:adjustRightInd/>
              <w:snapToGrid/>
              <w:spacing w:line="360" w:lineRule="auto"/>
              <w:ind w:firstLine="480" w:firstLineChars="200"/>
              <w:textAlignment w:val="auto"/>
              <w:rPr>
                <w:rFonts w:ascii="Times New Roman" w:hAnsi="Times New Roman" w:cs="Times New Roman"/>
                <w:snapToGrid/>
                <w:color w:val="auto"/>
                <w:sz w:val="24"/>
                <w:szCs w:val="24"/>
                <w:lang w:eastAsia="zh-CN"/>
              </w:rPr>
            </w:pPr>
            <w:r>
              <w:rPr>
                <w:rFonts w:ascii="Times New Roman" w:hAnsi="Times New Roman" w:cs="Times New Roman"/>
                <w:snapToGrid/>
                <w:color w:val="auto"/>
                <w:sz w:val="24"/>
                <w:szCs w:val="24"/>
                <w:lang w:eastAsia="zh-CN"/>
              </w:rPr>
              <w:t>①贮存可行性分析</w:t>
            </w:r>
          </w:p>
          <w:p w14:paraId="6A34AADA">
            <w:pPr>
              <w:pStyle w:val="12"/>
              <w:widowControl w:val="0"/>
              <w:kinsoku/>
              <w:autoSpaceDE/>
              <w:autoSpaceDN/>
              <w:adjustRightInd/>
              <w:snapToGrid/>
              <w:spacing w:after="0" w:line="360" w:lineRule="auto"/>
              <w:ind w:left="0" w:leftChars="0" w:firstLine="480"/>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rPr>
              <w:t>项目厂区危废暂存场所占地面积</w:t>
            </w:r>
            <w:r>
              <w:rPr>
                <w:rFonts w:hint="eastAsia" w:ascii="Times New Roman" w:hAnsi="Times New Roman" w:eastAsia="宋体" w:cs="Times New Roman"/>
                <w:snapToGrid/>
                <w:color w:val="auto"/>
                <w:lang w:eastAsia="zh-CN"/>
              </w:rPr>
              <w:t>10</w:t>
            </w:r>
            <w:r>
              <w:rPr>
                <w:rFonts w:ascii="Times New Roman" w:hAnsi="Times New Roman" w:eastAsia="宋体" w:cs="Times New Roman"/>
                <w:snapToGrid/>
                <w:color w:val="auto"/>
                <w:lang w:eastAsia="zh-CN"/>
              </w:rPr>
              <w:t>m</w:t>
            </w:r>
            <w:r>
              <w:rPr>
                <w:rFonts w:ascii="Times New Roman" w:hAnsi="Times New Roman" w:eastAsia="宋体" w:cs="Times New Roman"/>
                <w:snapToGrid/>
                <w:color w:val="auto"/>
                <w:vertAlign w:val="superscript"/>
                <w:lang w:eastAsia="zh-CN"/>
              </w:rPr>
              <w:t>2</w:t>
            </w:r>
            <w:r>
              <w:rPr>
                <w:rFonts w:ascii="Times New Roman" w:hAnsi="Times New Roman" w:eastAsia="宋体" w:cs="Times New Roman"/>
                <w:snapToGrid/>
                <w:color w:val="auto"/>
                <w:lang w:eastAsia="zh-CN"/>
              </w:rPr>
              <w:t>，危废产生量为</w:t>
            </w:r>
            <w:r>
              <w:rPr>
                <w:rFonts w:hint="eastAsia" w:ascii="Times New Roman" w:hAnsi="Times New Roman" w:cs="Times New Roman"/>
                <w:snapToGrid/>
                <w:color w:val="auto"/>
                <w:lang w:eastAsia="zh-CN"/>
              </w:rPr>
              <w:t>1.487</w:t>
            </w:r>
            <w:r>
              <w:rPr>
                <w:rFonts w:ascii="Times New Roman" w:hAnsi="Times New Roman" w:eastAsia="宋体" w:cs="Times New Roman"/>
                <w:snapToGrid/>
                <w:color w:val="auto"/>
                <w:lang w:eastAsia="zh-CN"/>
              </w:rPr>
              <w:t>t/a，最大临时贮存量约</w:t>
            </w:r>
            <w:r>
              <w:rPr>
                <w:rFonts w:hint="eastAsia" w:ascii="Times New Roman" w:hAnsi="Times New Roman" w:eastAsia="宋体" w:cs="Times New Roman"/>
                <w:snapToGrid/>
                <w:color w:val="auto"/>
                <w:lang w:eastAsia="zh-CN"/>
              </w:rPr>
              <w:t>1</w:t>
            </w:r>
            <w:r>
              <w:rPr>
                <w:rFonts w:ascii="Times New Roman" w:hAnsi="Times New Roman" w:eastAsia="宋体" w:cs="Times New Roman"/>
                <w:snapToGrid/>
                <w:color w:val="auto"/>
                <w:lang w:eastAsia="zh-CN"/>
              </w:rPr>
              <w:t>t。根据企业提供资料，危险废物最大暂存量为</w:t>
            </w:r>
            <w:r>
              <w:rPr>
                <w:rFonts w:hint="eastAsia" w:ascii="Times New Roman" w:hAnsi="Times New Roman" w:eastAsia="宋体" w:cs="Times New Roman"/>
                <w:snapToGrid/>
                <w:color w:val="auto"/>
                <w:lang w:eastAsia="zh-CN"/>
              </w:rPr>
              <w:t>3.5</w:t>
            </w:r>
            <w:r>
              <w:rPr>
                <w:rFonts w:ascii="Times New Roman" w:hAnsi="Times New Roman" w:eastAsia="宋体" w:cs="Times New Roman"/>
                <w:snapToGrid/>
                <w:color w:val="auto"/>
                <w:lang w:eastAsia="zh-CN"/>
              </w:rPr>
              <w:t>t，</w:t>
            </w:r>
            <w:r>
              <w:rPr>
                <w:rFonts w:hint="eastAsia" w:ascii="Times New Roman" w:hAnsi="Times New Roman" w:eastAsia="宋体" w:cs="Times New Roman"/>
                <w:snapToGrid/>
                <w:color w:val="auto"/>
                <w:lang w:eastAsia="zh-CN"/>
              </w:rPr>
              <w:t>10</w:t>
            </w:r>
            <w:r>
              <w:rPr>
                <w:rFonts w:ascii="Times New Roman" w:hAnsi="Times New Roman" w:eastAsia="宋体" w:cs="Times New Roman"/>
                <w:snapToGrid/>
                <w:color w:val="auto"/>
                <w:lang w:eastAsia="zh-CN"/>
              </w:rPr>
              <w:t>m</w:t>
            </w:r>
            <w:r>
              <w:rPr>
                <w:rFonts w:ascii="Times New Roman" w:hAnsi="Times New Roman" w:eastAsia="宋体" w:cs="Times New Roman"/>
                <w:snapToGrid/>
                <w:color w:val="auto"/>
                <w:vertAlign w:val="superscript"/>
                <w:lang w:eastAsia="zh-CN"/>
              </w:rPr>
              <w:t>2</w:t>
            </w:r>
            <w:r>
              <w:rPr>
                <w:rFonts w:ascii="Times New Roman" w:hAnsi="Times New Roman" w:eastAsia="宋体" w:cs="Times New Roman"/>
                <w:snapToGrid/>
                <w:color w:val="auto"/>
                <w:lang w:eastAsia="zh-CN"/>
              </w:rPr>
              <w:t>危废间可以满足本项目危废临时贮存的需要。</w:t>
            </w:r>
          </w:p>
          <w:p w14:paraId="018B568C">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bidi="ar"/>
              </w:rPr>
            </w:pPr>
            <w:r>
              <w:rPr>
                <w:rFonts w:ascii="Times New Roman" w:hAnsi="Times New Roman" w:eastAsia="宋体" w:cs="Times New Roman"/>
                <w:snapToGrid/>
                <w:color w:val="auto"/>
                <w:sz w:val="24"/>
                <w:szCs w:val="24"/>
                <w:lang w:eastAsia="zh-CN"/>
              </w:rPr>
              <w:t>②危废暂存间设计时遵循以</w:t>
            </w:r>
            <w:r>
              <w:rPr>
                <w:rFonts w:ascii="Times New Roman" w:hAnsi="Times New Roman" w:eastAsia="宋体" w:cs="Times New Roman"/>
                <w:snapToGrid/>
                <w:color w:val="auto"/>
                <w:sz w:val="24"/>
                <w:szCs w:val="24"/>
              </w:rPr>
              <w:t>下原则：</w:t>
            </w:r>
          </w:p>
          <w:p w14:paraId="5983FB2B">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危险废物暂存场地的设置应符合《危险废物贮存污染控制标准》（GB18597-2023）中的规定。</w:t>
            </w:r>
          </w:p>
          <w:p w14:paraId="3747974F">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（1）危险废物贮存设施必须按《危险废物识别标志设置技术规范》（HJ1276-2022）中规定设置警示标志；</w:t>
            </w:r>
          </w:p>
          <w:p w14:paraId="50848C36">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（2）企业须健全危险废物相关管理制度，并严格落实。</w:t>
            </w:r>
          </w:p>
          <w:p w14:paraId="0803DDA5">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①企业须对危险废物储运场所张贴警示标识，危险废物包装物张贴警示标签；</w:t>
            </w:r>
          </w:p>
          <w:p w14:paraId="175AB73F">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②规范危险废物台账记录、建立危险废物收集及储运有关档案，认真填写《危险废物项目区内转运记录表》，</w:t>
            </w:r>
            <w:r>
              <w:rPr>
                <w:rFonts w:ascii="Times New Roman" w:hAnsi="Times New Roman" w:eastAsia="宋体" w:cs="Times New Roman"/>
                <w:color w:val="auto"/>
                <w:sz w:val="24"/>
                <w:lang w:eastAsia="zh-CN" w:bidi="ar"/>
              </w:rPr>
              <w:t>做好</w:t>
            </w:r>
            <w:r>
              <w:rPr>
                <w:rFonts w:ascii="Times New Roman" w:hAnsi="Times New Roman" w:eastAsia="宋体" w:cs="Times New Roman"/>
                <w:color w:val="auto"/>
                <w:sz w:val="24"/>
                <w:lang w:bidi="ar"/>
              </w:rPr>
              <w:t>危险废物台账的记录，记录上须注明危险废物的名称、来源、数量、特性和包装容器的类别、入库日期、存放库位、废物出库日期及接收单位名称等，并即时存档以备查阅。</w:t>
            </w:r>
          </w:p>
          <w:p w14:paraId="0E349720">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（3）危险废物存储和管理的相关要求。</w:t>
            </w:r>
          </w:p>
          <w:p w14:paraId="129652B0">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①必须将危险废物装入容器内密封装运，盛装危险废物的容器应当符合标准，材质要满足相应的强度要求且必须完好无损，容器材质和衬里要与危险废物相容（不相互反应）；</w:t>
            </w:r>
          </w:p>
          <w:p w14:paraId="2BEED5EC">
            <w:pPr>
              <w:wordWrap w:val="0"/>
              <w:adjustRightInd/>
              <w:snapToGrid/>
              <w:spacing w:line="360" w:lineRule="auto"/>
              <w:ind w:firstLine="480" w:firstLineChars="200"/>
              <w:rPr>
                <w:rFonts w:ascii="Times New Roman" w:hAnsi="Times New Roman" w:eastAsia="宋体" w:cs="Times New Roman"/>
                <w:color w:val="auto"/>
                <w:sz w:val="24"/>
                <w:lang w:bidi="ar"/>
              </w:rPr>
            </w:pPr>
            <w:r>
              <w:rPr>
                <w:rFonts w:ascii="Times New Roman" w:hAnsi="Times New Roman" w:eastAsia="宋体" w:cs="Times New Roman"/>
                <w:color w:val="auto"/>
                <w:sz w:val="24"/>
                <w:lang w:bidi="ar"/>
              </w:rPr>
              <w:t>②危险废物转移过程严格落实《危险废物转移管理办法》的相关规定，规范危险废物转移，做好每次外运处置废物的运输登记。</w:t>
            </w:r>
          </w:p>
          <w:p w14:paraId="04918A1E">
            <w:pPr>
              <w:wordWrap w:val="0"/>
              <w:adjustRightInd/>
              <w:snapToGrid/>
              <w:spacing w:line="360" w:lineRule="auto"/>
              <w:ind w:firstLine="480" w:firstLineChars="200"/>
              <w:rPr>
                <w:rFonts w:ascii="Times New Roman" w:hAnsi="Times New Roman" w:eastAsia="宋体" w:cs="Times New Roman"/>
                <w:b/>
                <w:bCs/>
                <w:color w:val="auto"/>
                <w:kern w:val="2"/>
                <w:sz w:val="24"/>
              </w:rPr>
            </w:pPr>
            <w:r>
              <w:rPr>
                <w:rFonts w:ascii="Times New Roman" w:hAnsi="Times New Roman" w:eastAsia="宋体" w:cs="Times New Roman"/>
                <w:color w:val="auto"/>
                <w:sz w:val="24"/>
                <w:lang w:bidi="ar"/>
              </w:rPr>
              <w:t>项目固体废物处置符合《一般工业固体废物贮存和填埋污染控制标准》（GB18599--2020）、《危险废物贮存污染控制标准》（GB18597-2023）中相关要求，各固体废物均能得到妥善解决，对周围环境影响较小。</w:t>
            </w:r>
          </w:p>
          <w:p w14:paraId="5E6C4A08">
            <w:pPr>
              <w:pStyle w:val="55"/>
              <w:adjustRightInd/>
              <w:snapToGrid/>
              <w:spacing w:before="0" w:line="360" w:lineRule="auto"/>
              <w:ind w:firstLineChars="200"/>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5、地下水、土壤</w:t>
            </w:r>
          </w:p>
          <w:p w14:paraId="7B610A64">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厂区危废暂存间、</w:t>
            </w:r>
            <w:r>
              <w:rPr>
                <w:rFonts w:hint="eastAsia" w:ascii="Times New Roman" w:hAnsi="Times New Roman" w:eastAsia="宋体" w:cs="Times New Roman"/>
                <w:color w:val="auto"/>
                <w:sz w:val="24"/>
                <w:lang w:val="en-US" w:eastAsia="zh-CN"/>
              </w:rPr>
              <w:t>喷塑房、固化房</w:t>
            </w:r>
            <w:r>
              <w:rPr>
                <w:rFonts w:ascii="Times New Roman" w:hAnsi="Times New Roman" w:eastAsia="宋体" w:cs="Times New Roman"/>
                <w:color w:val="auto"/>
                <w:sz w:val="24"/>
                <w:lang w:eastAsia="zh-CN"/>
              </w:rPr>
              <w:t>等处若防渗措施不到位，产生的污染物会对地下水和土壤造成污染。</w:t>
            </w:r>
          </w:p>
          <w:p w14:paraId="54D89756">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（1）分区防渗要求</w:t>
            </w:r>
          </w:p>
          <w:p w14:paraId="1432A592">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重点防渗区如防渗措施不到位，将有可能污染地下水、土壤。</w:t>
            </w:r>
          </w:p>
          <w:p w14:paraId="76069805">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项目在建设过程中，</w:t>
            </w:r>
            <w:r>
              <w:rPr>
                <w:rFonts w:ascii="Times New Roman" w:hAnsi="Times New Roman" w:cs="Times New Roman"/>
                <w:color w:val="auto"/>
                <w:sz w:val="24"/>
                <w:lang w:eastAsia="zh-CN"/>
              </w:rPr>
              <w:t>租赁</w:t>
            </w:r>
            <w:r>
              <w:rPr>
                <w:rFonts w:ascii="Times New Roman" w:hAnsi="Times New Roman" w:eastAsia="宋体" w:cs="Times New Roman"/>
                <w:color w:val="auto"/>
                <w:sz w:val="24"/>
                <w:lang w:eastAsia="zh-CN"/>
              </w:rPr>
              <w:t>已建</w:t>
            </w:r>
            <w:r>
              <w:rPr>
                <w:rFonts w:ascii="Times New Roman" w:hAnsi="Times New Roman" w:cs="Times New Roman"/>
                <w:color w:val="auto"/>
                <w:sz w:val="24"/>
                <w:lang w:eastAsia="zh-CN"/>
              </w:rPr>
              <w:t>厂房，依托已有</w:t>
            </w:r>
            <w:r>
              <w:rPr>
                <w:rFonts w:ascii="Times New Roman" w:hAnsi="Times New Roman" w:eastAsia="宋体" w:cs="Times New Roman"/>
                <w:color w:val="auto"/>
                <w:sz w:val="24"/>
                <w:lang w:eastAsia="zh-CN"/>
              </w:rPr>
              <w:t>C30防渗混凝土</w:t>
            </w:r>
            <w:r>
              <w:rPr>
                <w:rFonts w:ascii="Times New Roman" w:hAnsi="Times New Roman" w:cs="Times New Roman"/>
                <w:color w:val="auto"/>
                <w:sz w:val="24"/>
                <w:lang w:eastAsia="zh-CN"/>
              </w:rPr>
              <w:t>（20cm厚）</w:t>
            </w:r>
            <w:r>
              <w:rPr>
                <w:rFonts w:ascii="Times New Roman" w:hAnsi="Times New Roman" w:eastAsia="宋体" w:cs="Times New Roman"/>
                <w:color w:val="auto"/>
                <w:sz w:val="24"/>
                <w:lang w:eastAsia="zh-CN"/>
              </w:rPr>
              <w:t>地面</w:t>
            </w:r>
            <w:r>
              <w:rPr>
                <w:rFonts w:ascii="Times New Roman" w:hAnsi="Times New Roman" w:cs="Times New Roman"/>
                <w:color w:val="auto"/>
                <w:sz w:val="24"/>
                <w:lang w:eastAsia="zh-CN"/>
              </w:rPr>
              <w:t>，本项目在危废暂存间、</w:t>
            </w:r>
            <w:r>
              <w:rPr>
                <w:rFonts w:hint="eastAsia" w:ascii="Times New Roman" w:hAnsi="Times New Roman" w:cs="Times New Roman"/>
                <w:color w:val="auto"/>
                <w:sz w:val="24"/>
                <w:lang w:eastAsia="zh-CN"/>
              </w:rPr>
              <w:t>喷塑房、固化房</w:t>
            </w:r>
            <w:r>
              <w:rPr>
                <w:rFonts w:hint="eastAsia" w:ascii="Times New Roman" w:hAnsi="Times New Roman" w:cs="Times New Roman"/>
                <w:color w:val="auto"/>
                <w:sz w:val="24"/>
                <w:lang w:val="en-US" w:eastAsia="zh-CN"/>
              </w:rPr>
              <w:t>的区域</w:t>
            </w:r>
            <w:r>
              <w:rPr>
                <w:rFonts w:ascii="Times New Roman" w:hAnsi="Times New Roman" w:cs="Times New Roman"/>
                <w:color w:val="auto"/>
                <w:sz w:val="24"/>
                <w:lang w:eastAsia="zh-CN"/>
              </w:rPr>
              <w:t>增加2</w:t>
            </w:r>
            <w:r>
              <w:rPr>
                <w:rFonts w:ascii="Times New Roman" w:hAnsi="Times New Roman" w:eastAsia="宋体" w:cs="Times New Roman"/>
                <w:color w:val="auto"/>
                <w:sz w:val="24"/>
                <w:lang w:eastAsia="zh-CN"/>
              </w:rPr>
              <w:t>mm</w:t>
            </w:r>
            <w:r>
              <w:rPr>
                <w:rFonts w:ascii="Times New Roman" w:hAnsi="Times New Roman" w:cs="Times New Roman"/>
                <w:color w:val="auto"/>
                <w:sz w:val="24"/>
                <w:lang w:eastAsia="zh-CN"/>
              </w:rPr>
              <w:t>厚</w:t>
            </w:r>
            <w:r>
              <w:rPr>
                <w:rFonts w:ascii="Times New Roman" w:hAnsi="Times New Roman" w:eastAsia="宋体" w:cs="Times New Roman"/>
                <w:color w:val="auto"/>
                <w:sz w:val="24"/>
                <w:lang w:eastAsia="zh-CN"/>
              </w:rPr>
              <w:t>环氧树脂漆</w:t>
            </w:r>
            <w:r>
              <w:rPr>
                <w:rFonts w:ascii="Times New Roman" w:hAnsi="Times New Roman" w:cs="Times New Roman"/>
                <w:color w:val="auto"/>
                <w:sz w:val="24"/>
                <w:lang w:eastAsia="zh-CN"/>
              </w:rPr>
              <w:t>地面</w:t>
            </w:r>
            <w:r>
              <w:rPr>
                <w:rFonts w:ascii="Times New Roman" w:hAnsi="Times New Roman" w:eastAsia="宋体" w:cs="Times New Roman"/>
                <w:color w:val="auto"/>
                <w:sz w:val="24"/>
                <w:lang w:eastAsia="zh-CN"/>
              </w:rPr>
              <w:t>，防渗层渗透系数达到≤1.0×10</w:t>
            </w:r>
            <w:r>
              <w:rPr>
                <w:rFonts w:ascii="Times New Roman" w:hAnsi="Times New Roman" w:eastAsia="宋体" w:cs="Times New Roman"/>
                <w:color w:val="auto"/>
                <w:sz w:val="24"/>
                <w:vertAlign w:val="superscript"/>
                <w:lang w:eastAsia="zh-CN"/>
              </w:rPr>
              <w:t>-10</w:t>
            </w:r>
            <w:r>
              <w:rPr>
                <w:rFonts w:ascii="Times New Roman" w:hAnsi="Times New Roman" w:eastAsia="宋体" w:cs="Times New Roman"/>
                <w:color w:val="auto"/>
                <w:sz w:val="24"/>
                <w:lang w:eastAsia="zh-CN"/>
              </w:rPr>
              <w:t>cm/s</w:t>
            </w:r>
            <w:r>
              <w:rPr>
                <w:rFonts w:ascii="Times New Roman" w:hAnsi="Times New Roman" w:cs="Times New Roman"/>
                <w:color w:val="auto"/>
                <w:sz w:val="24"/>
                <w:lang w:eastAsia="zh-CN"/>
              </w:rPr>
              <w:t>。</w:t>
            </w:r>
          </w:p>
          <w:p w14:paraId="7602EAAE">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生产车间划分为一般防渗区</w:t>
            </w:r>
            <w:r>
              <w:rPr>
                <w:rFonts w:ascii="Times New Roman" w:hAnsi="Times New Roman" w:cs="Times New Roman"/>
                <w:color w:val="auto"/>
                <w:sz w:val="24"/>
                <w:lang w:eastAsia="zh-CN"/>
              </w:rPr>
              <w:t>，一般防渗区依托已建厂房现有</w:t>
            </w:r>
            <w:r>
              <w:rPr>
                <w:rFonts w:ascii="Times New Roman" w:hAnsi="Times New Roman" w:eastAsia="宋体" w:cs="Times New Roman"/>
                <w:color w:val="auto"/>
                <w:sz w:val="24"/>
                <w:lang w:eastAsia="zh-CN"/>
              </w:rPr>
              <w:t>C30混凝土建设</w:t>
            </w:r>
            <w:r>
              <w:rPr>
                <w:rFonts w:ascii="Times New Roman" w:hAnsi="Times New Roman" w:cs="Times New Roman"/>
                <w:color w:val="auto"/>
                <w:sz w:val="24"/>
                <w:lang w:eastAsia="zh-CN"/>
              </w:rPr>
              <w:t>的</w:t>
            </w:r>
            <w:r>
              <w:rPr>
                <w:rFonts w:ascii="Times New Roman" w:hAnsi="Times New Roman" w:eastAsia="宋体" w:cs="Times New Roman"/>
                <w:color w:val="auto"/>
                <w:sz w:val="24"/>
                <w:lang w:eastAsia="zh-CN"/>
              </w:rPr>
              <w:t>20</w:t>
            </w:r>
            <w:r>
              <w:rPr>
                <w:rFonts w:ascii="Times New Roman" w:hAnsi="Times New Roman" w:cs="Times New Roman"/>
                <w:color w:val="auto"/>
                <w:sz w:val="24"/>
                <w:lang w:eastAsia="zh-CN"/>
              </w:rPr>
              <w:t>c</w:t>
            </w:r>
            <w:r>
              <w:rPr>
                <w:rFonts w:ascii="Times New Roman" w:hAnsi="Times New Roman" w:eastAsia="宋体" w:cs="Times New Roman"/>
                <w:color w:val="auto"/>
                <w:sz w:val="24"/>
                <w:lang w:eastAsia="zh-CN"/>
              </w:rPr>
              <w:t>m硬化地面，可满足一般防渗要求。</w:t>
            </w:r>
          </w:p>
          <w:p w14:paraId="68F20095">
            <w:pPr>
              <w:tabs>
                <w:tab w:val="left" w:pos="3285"/>
              </w:tabs>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根据以上分区情况，对本项目场区防渗分区见下表。</w:t>
            </w:r>
          </w:p>
          <w:p w14:paraId="270D3936">
            <w:pPr>
              <w:adjustRightInd/>
              <w:snapToGrid/>
              <w:jc w:val="center"/>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表4-</w:t>
            </w:r>
            <w:r>
              <w:rPr>
                <w:rFonts w:ascii="Times New Roman" w:hAnsi="Times New Roman" w:eastAsia="宋体" w:cs="Times New Roman"/>
                <w:b/>
                <w:bCs/>
                <w:color w:val="auto"/>
                <w:sz w:val="24"/>
                <w:szCs w:val="32"/>
                <w:lang w:eastAsia="zh-CN"/>
              </w:rPr>
              <w:t xml:space="preserve">16 </w:t>
            </w:r>
            <w:r>
              <w:rPr>
                <w:rFonts w:ascii="Times New Roman" w:hAnsi="Times New Roman" w:cs="Times New Roman"/>
                <w:b/>
                <w:bCs/>
                <w:color w:val="auto"/>
                <w:sz w:val="24"/>
                <w:szCs w:val="32"/>
                <w:lang w:eastAsia="zh-CN"/>
              </w:rPr>
              <w:t xml:space="preserve"> </w:t>
            </w:r>
            <w:r>
              <w:rPr>
                <w:rFonts w:ascii="Times New Roman" w:hAnsi="Times New Roman" w:eastAsia="宋体" w:cs="Times New Roman"/>
                <w:b/>
                <w:bCs/>
                <w:color w:val="auto"/>
                <w:sz w:val="24"/>
                <w:szCs w:val="32"/>
              </w:rPr>
              <w:t>地下水污染防渗分区参照表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095"/>
              <w:gridCol w:w="1140"/>
              <w:gridCol w:w="1340"/>
              <w:gridCol w:w="2815"/>
            </w:tblGrid>
            <w:tr w14:paraId="7306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4158815E">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场区内</w:t>
                  </w:r>
                </w:p>
                <w:p w14:paraId="7B67C830">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建构筑物</w:t>
                  </w:r>
                </w:p>
              </w:tc>
              <w:tc>
                <w:tcPr>
                  <w:tcW w:w="695" w:type="pct"/>
                  <w:tcBorders>
                    <w:top w:val="single" w:color="auto" w:sz="4" w:space="0"/>
                    <w:left w:val="single" w:color="auto" w:sz="4" w:space="0"/>
                    <w:bottom w:val="single" w:color="auto" w:sz="4" w:space="0"/>
                    <w:right w:val="single" w:color="auto" w:sz="4" w:space="0"/>
                  </w:tcBorders>
                  <w:vAlign w:val="center"/>
                </w:tcPr>
                <w:p w14:paraId="5777DFDC">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污染控制难易程度</w:t>
                  </w:r>
                </w:p>
              </w:tc>
              <w:tc>
                <w:tcPr>
                  <w:tcW w:w="723" w:type="pct"/>
                  <w:tcBorders>
                    <w:top w:val="single" w:color="auto" w:sz="4" w:space="0"/>
                    <w:left w:val="single" w:color="auto" w:sz="4" w:space="0"/>
                    <w:bottom w:val="single" w:color="auto" w:sz="4" w:space="0"/>
                    <w:right w:val="single" w:color="auto" w:sz="4" w:space="0"/>
                  </w:tcBorders>
                  <w:vAlign w:val="center"/>
                </w:tcPr>
                <w:p w14:paraId="2CD3CFAB">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污染物</w:t>
                  </w:r>
                </w:p>
                <w:p w14:paraId="54D2974E">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类型</w:t>
                  </w:r>
                </w:p>
              </w:tc>
              <w:tc>
                <w:tcPr>
                  <w:tcW w:w="850" w:type="pct"/>
                  <w:tcBorders>
                    <w:top w:val="single" w:color="auto" w:sz="4" w:space="0"/>
                    <w:left w:val="single" w:color="auto" w:sz="4" w:space="0"/>
                    <w:bottom w:val="single" w:color="auto" w:sz="4" w:space="0"/>
                    <w:right w:val="single" w:color="auto" w:sz="4" w:space="0"/>
                  </w:tcBorders>
                  <w:vAlign w:val="center"/>
                </w:tcPr>
                <w:p w14:paraId="2E03706A">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防渗分区</w:t>
                  </w:r>
                </w:p>
              </w:tc>
              <w:tc>
                <w:tcPr>
                  <w:tcW w:w="1786" w:type="pct"/>
                  <w:tcBorders>
                    <w:top w:val="single" w:color="auto" w:sz="4" w:space="0"/>
                    <w:left w:val="single" w:color="auto" w:sz="4" w:space="0"/>
                    <w:bottom w:val="single" w:color="auto" w:sz="4" w:space="0"/>
                    <w:right w:val="single" w:color="auto" w:sz="4" w:space="0"/>
                  </w:tcBorders>
                  <w:vAlign w:val="center"/>
                </w:tcPr>
                <w:p w14:paraId="54FC6D9F">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防渗技术要求</w:t>
                  </w:r>
                </w:p>
              </w:tc>
            </w:tr>
            <w:tr w14:paraId="2EE0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52175BE5">
                  <w:pPr>
                    <w:pStyle w:val="61"/>
                    <w:adjustRightInd/>
                    <w:snapToGrid/>
                    <w:spacing w:line="240" w:lineRule="auto"/>
                    <w:ind w:firstLine="0" w:firstLineChars="0"/>
                    <w:jc w:val="center"/>
                    <w:rPr>
                      <w:rFonts w:ascii="Times New Roman" w:hAnsi="Times New Roman" w:eastAsia="宋体" w:cs="Times New Roman"/>
                      <w:color w:val="auto"/>
                      <w:lang w:eastAsia="zh-CN"/>
                    </w:rPr>
                  </w:pPr>
                  <w:r>
                    <w:rPr>
                      <w:rFonts w:ascii="Times New Roman" w:hAnsi="Times New Roman" w:eastAsia="宋体" w:cs="Times New Roman"/>
                      <w:color w:val="auto"/>
                    </w:rPr>
                    <w:t>危废暂存间</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固化房、喷塑房</w:t>
                  </w:r>
                </w:p>
              </w:tc>
              <w:tc>
                <w:tcPr>
                  <w:tcW w:w="695" w:type="pct"/>
                  <w:tcBorders>
                    <w:top w:val="single" w:color="auto" w:sz="4" w:space="0"/>
                    <w:left w:val="single" w:color="auto" w:sz="4" w:space="0"/>
                    <w:bottom w:val="single" w:color="auto" w:sz="4" w:space="0"/>
                    <w:right w:val="single" w:color="auto" w:sz="4" w:space="0"/>
                  </w:tcBorders>
                  <w:vAlign w:val="center"/>
                </w:tcPr>
                <w:p w14:paraId="652D34EF">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难</w:t>
                  </w:r>
                </w:p>
              </w:tc>
              <w:tc>
                <w:tcPr>
                  <w:tcW w:w="723" w:type="pct"/>
                  <w:tcBorders>
                    <w:top w:val="single" w:color="auto" w:sz="4" w:space="0"/>
                    <w:left w:val="single" w:color="auto" w:sz="4" w:space="0"/>
                    <w:bottom w:val="single" w:color="auto" w:sz="4" w:space="0"/>
                    <w:right w:val="single" w:color="auto" w:sz="4" w:space="0"/>
                  </w:tcBorders>
                  <w:vAlign w:val="center"/>
                </w:tcPr>
                <w:p w14:paraId="12549F60">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5372E497">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重点防渗区</w:t>
                  </w:r>
                </w:p>
              </w:tc>
              <w:tc>
                <w:tcPr>
                  <w:tcW w:w="1786" w:type="pct"/>
                  <w:tcBorders>
                    <w:top w:val="single" w:color="auto" w:sz="4" w:space="0"/>
                    <w:left w:val="single" w:color="auto" w:sz="4" w:space="0"/>
                    <w:bottom w:val="single" w:color="auto" w:sz="4" w:space="0"/>
                    <w:right w:val="single" w:color="auto" w:sz="4" w:space="0"/>
                  </w:tcBorders>
                  <w:vAlign w:val="center"/>
                </w:tcPr>
                <w:p w14:paraId="79B84FF7">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rPr>
                  </w:pPr>
                  <w:r>
                    <w:rPr>
                      <w:rFonts w:ascii="Times New Roman" w:hAnsi="Times New Roman" w:cs="Times New Roman"/>
                      <w:color w:val="auto"/>
                      <w:lang w:eastAsia="zh-CN"/>
                    </w:rPr>
                    <w:t>依托原有已建C30防渗混凝土地面</w:t>
                  </w:r>
                  <w:r>
                    <w:rPr>
                      <w:rFonts w:ascii="Times New Roman" w:hAnsi="Times New Roman" w:eastAsia="宋体" w:cs="Times New Roman"/>
                      <w:color w:val="auto"/>
                      <w:lang w:eastAsia="zh-CN"/>
                    </w:rPr>
                    <w:t>+</w:t>
                  </w:r>
                  <w:r>
                    <w:rPr>
                      <w:rFonts w:ascii="Times New Roman" w:hAnsi="Times New Roman" w:cs="Times New Roman"/>
                      <w:color w:val="auto"/>
                      <w:lang w:eastAsia="zh-CN"/>
                    </w:rPr>
                    <w:t>2</w:t>
                  </w:r>
                  <w:r>
                    <w:rPr>
                      <w:rFonts w:ascii="Times New Roman" w:hAnsi="Times New Roman" w:eastAsia="宋体" w:cs="Times New Roman"/>
                      <w:color w:val="auto"/>
                      <w:lang w:eastAsia="zh-CN"/>
                    </w:rPr>
                    <w:t>mm环氧树脂</w:t>
                  </w:r>
                  <w:r>
                    <w:rPr>
                      <w:rFonts w:ascii="Times New Roman" w:hAnsi="Times New Roman" w:cs="Times New Roman"/>
                      <w:color w:val="auto"/>
                      <w:lang w:eastAsia="zh-CN"/>
                    </w:rPr>
                    <w:t>地坪</w:t>
                  </w:r>
                  <w:r>
                    <w:rPr>
                      <w:rFonts w:ascii="Times New Roman" w:hAnsi="Times New Roman" w:eastAsia="宋体" w:cs="Times New Roman"/>
                      <w:color w:val="auto"/>
                      <w:lang w:eastAsia="zh-CN"/>
                    </w:rPr>
                    <w:t>漆，</w:t>
                  </w:r>
                  <w:r>
                    <w:rPr>
                      <w:rFonts w:ascii="Times New Roman" w:hAnsi="Times New Roman" w:eastAsia="宋体" w:cs="Times New Roman"/>
                      <w:snapToGrid/>
                      <w:color w:val="auto"/>
                      <w:lang w:eastAsia="zh-CN"/>
                    </w:rPr>
                    <w:t>防渗层渗透系数达到</w:t>
                  </w:r>
                  <w:r>
                    <w:rPr>
                      <w:rFonts w:ascii="Times New Roman" w:hAnsi="Times New Roman" w:eastAsia="宋体" w:cs="Times New Roman"/>
                      <w:color w:val="auto"/>
                    </w:rPr>
                    <w:t>≤</w:t>
                  </w:r>
                  <w:r>
                    <w:rPr>
                      <w:rFonts w:ascii="Times New Roman" w:hAnsi="Times New Roman" w:eastAsia="宋体" w:cs="Times New Roman"/>
                      <w:snapToGrid/>
                      <w:color w:val="auto"/>
                      <w:lang w:eastAsia="zh-CN"/>
                    </w:rPr>
                    <w:t>1.0×10</w:t>
                  </w:r>
                  <w:r>
                    <w:rPr>
                      <w:rFonts w:ascii="Times New Roman" w:hAnsi="Times New Roman" w:eastAsia="宋体" w:cs="Times New Roman"/>
                      <w:snapToGrid/>
                      <w:color w:val="auto"/>
                      <w:vertAlign w:val="superscript"/>
                      <w:lang w:eastAsia="zh-CN"/>
                    </w:rPr>
                    <w:t>-</w:t>
                  </w:r>
                  <w:r>
                    <w:rPr>
                      <w:rFonts w:ascii="Times New Roman" w:hAnsi="Times New Roman" w:cs="Times New Roman"/>
                      <w:snapToGrid/>
                      <w:color w:val="auto"/>
                      <w:vertAlign w:val="superscript"/>
                      <w:lang w:eastAsia="zh-CN"/>
                    </w:rPr>
                    <w:t>10</w:t>
                  </w:r>
                  <w:r>
                    <w:rPr>
                      <w:rFonts w:ascii="Times New Roman" w:hAnsi="Times New Roman" w:eastAsia="宋体" w:cs="Times New Roman"/>
                      <w:snapToGrid/>
                      <w:color w:val="auto"/>
                      <w:lang w:eastAsia="zh-CN"/>
                    </w:rPr>
                    <w:t>cm/s</w:t>
                  </w:r>
                  <w:r>
                    <w:rPr>
                      <w:rFonts w:hint="eastAsia" w:ascii="Times New Roman" w:hAnsi="Times New Roman" w:eastAsia="宋体" w:cs="Times New Roman"/>
                      <w:snapToGrid/>
                      <w:color w:val="auto"/>
                      <w:lang w:eastAsia="zh-CN"/>
                    </w:rPr>
                    <w:t>。</w:t>
                  </w:r>
                </w:p>
              </w:tc>
            </w:tr>
            <w:tr w14:paraId="5C60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pct"/>
                  <w:tcBorders>
                    <w:top w:val="single" w:color="auto" w:sz="4" w:space="0"/>
                    <w:left w:val="single" w:color="auto" w:sz="4" w:space="0"/>
                    <w:bottom w:val="single" w:color="auto" w:sz="4" w:space="0"/>
                    <w:right w:val="single" w:color="auto" w:sz="4" w:space="0"/>
                  </w:tcBorders>
                  <w:vAlign w:val="center"/>
                </w:tcPr>
                <w:p w14:paraId="7D1EC8D8">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生产车间</w:t>
                  </w:r>
                </w:p>
              </w:tc>
              <w:tc>
                <w:tcPr>
                  <w:tcW w:w="695" w:type="pct"/>
                  <w:tcBorders>
                    <w:top w:val="single" w:color="auto" w:sz="4" w:space="0"/>
                    <w:left w:val="single" w:color="auto" w:sz="4" w:space="0"/>
                    <w:bottom w:val="single" w:color="auto" w:sz="4" w:space="0"/>
                    <w:right w:val="single" w:color="auto" w:sz="4" w:space="0"/>
                  </w:tcBorders>
                  <w:vAlign w:val="center"/>
                </w:tcPr>
                <w:p w14:paraId="210C0866">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难</w:t>
                  </w:r>
                </w:p>
              </w:tc>
              <w:tc>
                <w:tcPr>
                  <w:tcW w:w="723" w:type="pct"/>
                  <w:tcBorders>
                    <w:top w:val="single" w:color="auto" w:sz="4" w:space="0"/>
                    <w:left w:val="single" w:color="auto" w:sz="4" w:space="0"/>
                    <w:bottom w:val="single" w:color="auto" w:sz="4" w:space="0"/>
                    <w:right w:val="single" w:color="auto" w:sz="4" w:space="0"/>
                  </w:tcBorders>
                  <w:vAlign w:val="center"/>
                </w:tcPr>
                <w:p w14:paraId="65AAE354">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其他类型</w:t>
                  </w:r>
                </w:p>
              </w:tc>
              <w:tc>
                <w:tcPr>
                  <w:tcW w:w="850" w:type="pct"/>
                  <w:tcBorders>
                    <w:top w:val="single" w:color="auto" w:sz="4" w:space="0"/>
                    <w:left w:val="single" w:color="auto" w:sz="4" w:space="0"/>
                    <w:bottom w:val="single" w:color="auto" w:sz="4" w:space="0"/>
                    <w:right w:val="single" w:color="auto" w:sz="4" w:space="0"/>
                  </w:tcBorders>
                  <w:vAlign w:val="center"/>
                </w:tcPr>
                <w:p w14:paraId="67E00925">
                  <w:pPr>
                    <w:pStyle w:val="61"/>
                    <w:adjustRightInd/>
                    <w:snapToGrid/>
                    <w:spacing w:line="240" w:lineRule="auto"/>
                    <w:ind w:firstLine="0" w:firstLineChars="0"/>
                    <w:jc w:val="center"/>
                    <w:rPr>
                      <w:rFonts w:ascii="Times New Roman" w:hAnsi="Times New Roman" w:eastAsia="宋体" w:cs="Times New Roman"/>
                      <w:color w:val="auto"/>
                    </w:rPr>
                  </w:pPr>
                  <w:r>
                    <w:rPr>
                      <w:rFonts w:ascii="Times New Roman" w:hAnsi="Times New Roman" w:eastAsia="宋体" w:cs="Times New Roman"/>
                      <w:color w:val="auto"/>
                    </w:rPr>
                    <w:t>一般防渗区</w:t>
                  </w:r>
                </w:p>
              </w:tc>
              <w:tc>
                <w:tcPr>
                  <w:tcW w:w="1786" w:type="pct"/>
                  <w:tcBorders>
                    <w:top w:val="single" w:color="auto" w:sz="4" w:space="0"/>
                    <w:left w:val="single" w:color="auto" w:sz="4" w:space="0"/>
                    <w:bottom w:val="single" w:color="auto" w:sz="4" w:space="0"/>
                    <w:right w:val="single" w:color="auto" w:sz="4" w:space="0"/>
                  </w:tcBorders>
                  <w:vAlign w:val="center"/>
                </w:tcPr>
                <w:p w14:paraId="18CBC568">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rPr>
                  </w:pPr>
                  <w:r>
                    <w:rPr>
                      <w:rFonts w:ascii="Times New Roman" w:hAnsi="Times New Roman" w:eastAsia="宋体" w:cs="Times New Roman"/>
                      <w:color w:val="auto"/>
                    </w:rPr>
                    <w:t>依托原有，现厂区车间使用C30混凝土建设20cm硬化地面，可满足一般防渗要求。</w:t>
                  </w:r>
                </w:p>
              </w:tc>
            </w:tr>
          </w:tbl>
          <w:p w14:paraId="0DBE23D4">
            <w:pPr>
              <w:pStyle w:val="55"/>
              <w:adjustRightInd/>
              <w:snapToGrid/>
              <w:spacing w:before="0" w:line="360" w:lineRule="auto"/>
              <w:ind w:firstLine="480" w:firstLineChars="200"/>
              <w:rPr>
                <w:rFonts w:ascii="Times New Roman" w:hAnsi="Times New Roman" w:eastAsia="宋体" w:cs="Times New Roman"/>
                <w:b/>
                <w:bCs/>
                <w:color w:val="auto"/>
                <w:kern w:val="2"/>
                <w:sz w:val="24"/>
                <w:lang w:eastAsia="zh-CN"/>
              </w:rPr>
            </w:pPr>
            <w:r>
              <w:rPr>
                <w:rFonts w:ascii="Times New Roman" w:hAnsi="Times New Roman" w:eastAsia="宋体" w:cs="Times New Roman"/>
                <w:color w:val="auto"/>
                <w:sz w:val="24"/>
                <w:szCs w:val="24"/>
                <w:lang w:eastAsia="zh-CN"/>
              </w:rPr>
              <w:t>（2）</w:t>
            </w:r>
            <w:r>
              <w:rPr>
                <w:rFonts w:ascii="Times New Roman" w:hAnsi="Times New Roman" w:eastAsia="宋体" w:cs="Times New Roman"/>
                <w:color w:val="auto"/>
                <w:sz w:val="24"/>
                <w:lang w:eastAsia="zh-CN"/>
              </w:rPr>
              <w:t>地下水和土壤污染防治措施可行性分析</w:t>
            </w:r>
          </w:p>
          <w:p w14:paraId="52713868">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本项目</w:t>
            </w:r>
            <w:r>
              <w:rPr>
                <w:rFonts w:ascii="Times New Roman" w:hAnsi="Times New Roman" w:cs="Times New Roman"/>
                <w:color w:val="auto"/>
                <w:kern w:val="2"/>
                <w:sz w:val="24"/>
                <w:lang w:eastAsia="zh-CN"/>
              </w:rPr>
              <w:t>租赁</w:t>
            </w:r>
            <w:r>
              <w:rPr>
                <w:rFonts w:hint="eastAsia" w:ascii="Times New Roman" w:hAnsi="Times New Roman" w:cs="Times New Roman"/>
                <w:color w:val="auto"/>
                <w:kern w:val="2"/>
                <w:sz w:val="24"/>
                <w:lang w:eastAsia="zh-CN"/>
              </w:rPr>
              <w:t>安徽蓝达建材有限公司已建厂房</w:t>
            </w:r>
            <w:r>
              <w:rPr>
                <w:rFonts w:ascii="Times New Roman" w:hAnsi="Times New Roman" w:eastAsia="宋体" w:cs="Times New Roman"/>
                <w:color w:val="auto"/>
                <w:kern w:val="2"/>
                <w:sz w:val="24"/>
                <w:lang w:eastAsia="zh-CN"/>
              </w:rPr>
              <w:t>，经现场勘探，现厂区车间使用C30混凝土建设20cm硬化地面，满足车间内一般防渗要求。</w:t>
            </w:r>
          </w:p>
          <w:p w14:paraId="5C8DD70E">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根据本项目生产工艺，原辅材料使用等情况分析，拟建项目在危险废物暂存间、</w:t>
            </w:r>
            <w:r>
              <w:rPr>
                <w:rFonts w:hint="eastAsia" w:ascii="Times New Roman" w:hAnsi="Times New Roman" w:eastAsia="宋体" w:cs="Times New Roman"/>
                <w:color w:val="auto"/>
                <w:kern w:val="2"/>
                <w:sz w:val="24"/>
                <w:lang w:eastAsia="zh-CN"/>
              </w:rPr>
              <w:t>喷砂房、固化房</w:t>
            </w:r>
            <w:r>
              <w:rPr>
                <w:rFonts w:ascii="Times New Roman" w:hAnsi="Times New Roman" w:eastAsia="宋体" w:cs="Times New Roman"/>
                <w:color w:val="auto"/>
                <w:kern w:val="2"/>
                <w:sz w:val="24"/>
                <w:lang w:eastAsia="zh-CN"/>
              </w:rPr>
              <w:t>设置重点防渗，防渗层设置</w:t>
            </w:r>
            <w:r>
              <w:rPr>
                <w:rFonts w:ascii="Times New Roman" w:hAnsi="Times New Roman" w:cs="Times New Roman"/>
                <w:color w:val="auto"/>
                <w:kern w:val="2"/>
                <w:sz w:val="24"/>
                <w:lang w:eastAsia="zh-CN"/>
              </w:rPr>
              <w:t>2</w:t>
            </w:r>
            <w:r>
              <w:rPr>
                <w:rFonts w:ascii="Times New Roman" w:hAnsi="Times New Roman" w:eastAsia="宋体" w:cs="Times New Roman"/>
                <w:color w:val="auto"/>
                <w:kern w:val="2"/>
                <w:sz w:val="24"/>
                <w:lang w:eastAsia="zh-CN"/>
              </w:rPr>
              <w:t>mm厚环氧树脂地坪漆，满足重点防渗要求。</w:t>
            </w:r>
          </w:p>
          <w:p w14:paraId="488015CB">
            <w:pPr>
              <w:pStyle w:val="55"/>
              <w:numPr>
                <w:ilvl w:val="0"/>
                <w:numId w:val="6"/>
              </w:numPr>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防治措施</w:t>
            </w:r>
          </w:p>
          <w:p w14:paraId="74D0E130">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为有效保护项目所在地地下水及土壤环境，杜绝因项目建设造成地下水及土壤污染，本项目考虑从源头控制角度，按照分区防控要求制定相应的防控措施。具体源头控制措施如下：</w:t>
            </w:r>
          </w:p>
          <w:p w14:paraId="0C5BE37B">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①从原料的储存、装卸、运输、生产过程、污染处理装置等全过程控制各种有毒有害原辅材料（含跑、冒、滴、漏），同时对有害物质可能泄漏的地面的区域采取防渗措施，防止进入土壤中。</w:t>
            </w:r>
          </w:p>
          <w:p w14:paraId="3C328EAC">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②堆放各种原辅材料、固体废物的堆放场地应按照国家相关规范要求，采取防泄漏措施。</w:t>
            </w:r>
          </w:p>
          <w:p w14:paraId="7A981DAB">
            <w:pPr>
              <w:pStyle w:val="55"/>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③严格固体废物管理，不接触外界降水，使其不产生淋滤液，严防污染物泄漏到地下水中。</w:t>
            </w:r>
          </w:p>
          <w:p w14:paraId="38B72A60">
            <w:pPr>
              <w:pStyle w:val="55"/>
              <w:adjustRightInd/>
              <w:snapToGrid/>
              <w:spacing w:before="0" w:line="360" w:lineRule="auto"/>
              <w:ind w:firstLineChars="200"/>
              <w:rPr>
                <w:rFonts w:ascii="Times New Roman" w:hAnsi="Times New Roman" w:eastAsia="宋体" w:cs="Times New Roman"/>
                <w:b/>
                <w:bCs/>
                <w:color w:val="auto"/>
                <w:kern w:val="2"/>
                <w:sz w:val="24"/>
              </w:rPr>
            </w:pPr>
            <w:r>
              <w:rPr>
                <w:rFonts w:ascii="Times New Roman" w:hAnsi="Times New Roman" w:eastAsia="宋体" w:cs="Times New Roman"/>
                <w:b/>
                <w:bCs/>
                <w:color w:val="auto"/>
                <w:kern w:val="2"/>
                <w:sz w:val="24"/>
              </w:rPr>
              <w:t>6、环境风险评价</w:t>
            </w:r>
          </w:p>
          <w:p w14:paraId="65E16516">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（1）风险调查</w:t>
            </w:r>
          </w:p>
          <w:p w14:paraId="12EFF063">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①风险物质识别</w:t>
            </w:r>
          </w:p>
          <w:p w14:paraId="19E5AEF4">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根据《建设项目环境风险评价技术导则》（HJ169-2018）分析建设项目生产、使用、储存过程中涉及的有毒有害、易燃易爆物质，参见附录B确定危险物质的临界量。根据附录B项目涉及</w:t>
            </w:r>
            <w:r>
              <w:rPr>
                <w:rFonts w:ascii="Times New Roman" w:hAnsi="Times New Roman" w:eastAsia="宋体" w:cs="Times New Roman"/>
                <w:color w:val="auto"/>
                <w:sz w:val="24"/>
                <w:szCs w:val="24"/>
                <w:lang w:eastAsia="zh-CN"/>
              </w:rPr>
              <w:t>危险</w:t>
            </w:r>
            <w:r>
              <w:rPr>
                <w:rFonts w:ascii="Times New Roman" w:hAnsi="Times New Roman" w:eastAsia="宋体" w:cs="Times New Roman"/>
                <w:color w:val="auto"/>
                <w:sz w:val="24"/>
                <w:szCs w:val="24"/>
              </w:rPr>
              <w:t>物质为</w:t>
            </w:r>
            <w:r>
              <w:rPr>
                <w:rFonts w:ascii="Times New Roman" w:hAnsi="Times New Roman" w:cs="Times New Roman"/>
                <w:color w:val="auto"/>
                <w:sz w:val="24"/>
                <w:szCs w:val="24"/>
                <w:lang w:eastAsia="zh-CN"/>
              </w:rPr>
              <w:t>机油、废机油、水性漆等</w:t>
            </w:r>
            <w:r>
              <w:rPr>
                <w:rFonts w:ascii="Times New Roman" w:hAnsi="Times New Roman" w:eastAsia="宋体" w:cs="Times New Roman"/>
                <w:color w:val="auto"/>
                <w:sz w:val="24"/>
                <w:szCs w:val="24"/>
              </w:rPr>
              <w:t>，危险物质数量与临界量比值（Q）见下表。</w:t>
            </w:r>
          </w:p>
          <w:p w14:paraId="1B7587D5">
            <w:pPr>
              <w:pStyle w:val="40"/>
              <w:adjustRightInd/>
              <w:snapToGrid/>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表4</w:t>
            </w:r>
            <w:r>
              <w:rPr>
                <w:rFonts w:hint="default" w:ascii="Times New Roman" w:hAnsi="Times New Roman" w:eastAsia="宋体" w:cs="Times New Roman"/>
                <w:color w:val="auto"/>
                <w:sz w:val="24"/>
                <w:szCs w:val="24"/>
                <w:lang w:eastAsia="zh-CN"/>
              </w:rPr>
              <w:t xml:space="preserve">-17 </w:t>
            </w:r>
            <w:r>
              <w:rPr>
                <w:rFonts w:hint="default" w:ascii="Times New Roman" w:hAnsi="Times New Roman" w:cs="Times New Roman"/>
                <w:color w:val="auto"/>
                <w:sz w:val="24"/>
                <w:szCs w:val="24"/>
                <w:lang w:eastAsia="zh-CN"/>
              </w:rPr>
              <w:t xml:space="preserve"> </w:t>
            </w:r>
            <w:r>
              <w:rPr>
                <w:rFonts w:hint="default" w:ascii="Times New Roman" w:hAnsi="Times New Roman" w:eastAsia="宋体" w:cs="Times New Roman"/>
                <w:color w:val="auto"/>
                <w:sz w:val="24"/>
                <w:szCs w:val="24"/>
              </w:rPr>
              <w:t>危险物质数量与临界量比值</w:t>
            </w:r>
          </w:p>
          <w:tbl>
            <w:tblPr>
              <w:tblStyle w:val="22"/>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4"/>
              <w:gridCol w:w="1524"/>
              <w:gridCol w:w="1273"/>
              <w:gridCol w:w="1626"/>
              <w:gridCol w:w="1061"/>
              <w:gridCol w:w="1757"/>
            </w:tblGrid>
            <w:tr w14:paraId="6077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06E8AAE8">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序号</w:t>
                  </w:r>
                </w:p>
              </w:tc>
              <w:tc>
                <w:tcPr>
                  <w:tcW w:w="967" w:type="pct"/>
                  <w:vAlign w:val="center"/>
                </w:tcPr>
                <w:p w14:paraId="26F1466C">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危险物质名称</w:t>
                  </w:r>
                </w:p>
              </w:tc>
              <w:tc>
                <w:tcPr>
                  <w:tcW w:w="808" w:type="pct"/>
                  <w:vAlign w:val="center"/>
                </w:tcPr>
                <w:p w14:paraId="1127634C">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CAS号</w:t>
                  </w:r>
                </w:p>
              </w:tc>
              <w:tc>
                <w:tcPr>
                  <w:tcW w:w="1032" w:type="pct"/>
                  <w:vAlign w:val="center"/>
                </w:tcPr>
                <w:p w14:paraId="2F1907B8">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最大存在总量/t</w:t>
                  </w:r>
                </w:p>
              </w:tc>
              <w:tc>
                <w:tcPr>
                  <w:tcW w:w="673" w:type="pct"/>
                  <w:vAlign w:val="center"/>
                </w:tcPr>
                <w:p w14:paraId="6E49DEA7">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临界量/t</w:t>
                  </w:r>
                </w:p>
              </w:tc>
              <w:tc>
                <w:tcPr>
                  <w:tcW w:w="1115" w:type="pct"/>
                  <w:vAlign w:val="center"/>
                </w:tcPr>
                <w:p w14:paraId="22EFB171">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危险物质Q值</w:t>
                  </w:r>
                </w:p>
              </w:tc>
            </w:tr>
            <w:tr w14:paraId="094C66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52CC264B">
                  <w:pPr>
                    <w:pStyle w:val="42"/>
                    <w:adjustRightInd/>
                    <w:snapToGrid/>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rPr>
                    <w:t>1</w:t>
                  </w:r>
                </w:p>
              </w:tc>
              <w:tc>
                <w:tcPr>
                  <w:tcW w:w="967" w:type="pct"/>
                  <w:vAlign w:val="center"/>
                </w:tcPr>
                <w:p w14:paraId="7CE5F052">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机油</w:t>
                  </w:r>
                </w:p>
              </w:tc>
              <w:tc>
                <w:tcPr>
                  <w:tcW w:w="808" w:type="pct"/>
                  <w:vAlign w:val="center"/>
                </w:tcPr>
                <w:p w14:paraId="1C417B45">
                  <w:pPr>
                    <w:pStyle w:val="42"/>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kern w:val="2"/>
                      <w:lang w:eastAsia="zh-CN"/>
                    </w:rPr>
                    <w:t>1330-20-7</w:t>
                  </w:r>
                </w:p>
              </w:tc>
              <w:tc>
                <w:tcPr>
                  <w:tcW w:w="1032" w:type="pct"/>
                  <w:vAlign w:val="center"/>
                </w:tcPr>
                <w:p w14:paraId="1722B4C0">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0.1</w:t>
                  </w:r>
                </w:p>
              </w:tc>
              <w:tc>
                <w:tcPr>
                  <w:tcW w:w="673" w:type="pct"/>
                  <w:vAlign w:val="center"/>
                </w:tcPr>
                <w:p w14:paraId="297CE372">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2500</w:t>
                  </w:r>
                </w:p>
              </w:tc>
              <w:tc>
                <w:tcPr>
                  <w:tcW w:w="1115" w:type="pct"/>
                  <w:vAlign w:val="center"/>
                </w:tcPr>
                <w:p w14:paraId="372E6102">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0.00004</w:t>
                  </w:r>
                </w:p>
              </w:tc>
            </w:tr>
            <w:tr w14:paraId="0AB21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52FEDE90">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2</w:t>
                  </w:r>
                </w:p>
              </w:tc>
              <w:tc>
                <w:tcPr>
                  <w:tcW w:w="967" w:type="pct"/>
                  <w:vAlign w:val="center"/>
                </w:tcPr>
                <w:p w14:paraId="16AD14AE">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废机油</w:t>
                  </w:r>
                </w:p>
              </w:tc>
              <w:tc>
                <w:tcPr>
                  <w:tcW w:w="808" w:type="pct"/>
                  <w:vAlign w:val="center"/>
                </w:tcPr>
                <w:p w14:paraId="08FF0CF0">
                  <w:pPr>
                    <w:pStyle w:val="42"/>
                    <w:ind w:left="0" w:leftChars="0" w:firstLine="0" w:firstLineChars="0"/>
                    <w:rPr>
                      <w:rFonts w:ascii="Times New Roman" w:hAnsi="Times New Roman" w:eastAsia="宋体" w:cs="Times New Roman"/>
                      <w:color w:val="auto"/>
                    </w:rPr>
                  </w:pPr>
                  <w:r>
                    <w:rPr>
                      <w:rFonts w:ascii="Times New Roman" w:hAnsi="Times New Roman" w:eastAsia="宋体" w:cs="Times New Roman"/>
                      <w:color w:val="auto"/>
                      <w:kern w:val="2"/>
                      <w:lang w:eastAsia="zh-CN"/>
                    </w:rPr>
                    <w:t>1330-20-7</w:t>
                  </w:r>
                </w:p>
              </w:tc>
              <w:tc>
                <w:tcPr>
                  <w:tcW w:w="1032" w:type="pct"/>
                  <w:vAlign w:val="center"/>
                </w:tcPr>
                <w:p w14:paraId="3BA00FBB">
                  <w:pPr>
                    <w:pStyle w:val="42"/>
                    <w:adjustRightInd/>
                    <w:snapToGrid/>
                    <w:ind w:left="0" w:leftChars="0" w:firstLine="0" w:firstLineChars="0"/>
                    <w:rPr>
                      <w:rFonts w:ascii="Times New Roman" w:hAnsi="Times New Roman" w:eastAsia="宋体" w:cs="Times New Roman"/>
                      <w:color w:val="auto"/>
                      <w:lang w:eastAsia="zh-CN"/>
                    </w:rPr>
                  </w:pPr>
                  <w:r>
                    <w:rPr>
                      <w:rFonts w:ascii="Times New Roman" w:hAnsi="Times New Roman" w:cs="Times New Roman"/>
                      <w:color w:val="auto"/>
                      <w:lang w:eastAsia="zh-CN"/>
                    </w:rPr>
                    <w:t>0.1</w:t>
                  </w:r>
                </w:p>
              </w:tc>
              <w:tc>
                <w:tcPr>
                  <w:tcW w:w="673" w:type="pct"/>
                  <w:vAlign w:val="center"/>
                </w:tcPr>
                <w:p w14:paraId="068849C9">
                  <w:pPr>
                    <w:pStyle w:val="42"/>
                    <w:adjustRightInd/>
                    <w:snapToGrid/>
                    <w:ind w:left="0" w:leftChars="0" w:firstLine="0" w:firstLineChars="0"/>
                    <w:rPr>
                      <w:rFonts w:ascii="Times New Roman" w:hAnsi="Times New Roman" w:eastAsia="宋体" w:cs="Times New Roman"/>
                      <w:color w:val="auto"/>
                      <w:lang w:eastAsia="zh-CN"/>
                    </w:rPr>
                  </w:pPr>
                  <w:r>
                    <w:rPr>
                      <w:rFonts w:hint="eastAsia" w:ascii="Times New Roman" w:hAnsi="Times New Roman" w:cs="Times New Roman"/>
                      <w:color w:val="auto"/>
                      <w:lang w:eastAsia="zh-CN"/>
                    </w:rPr>
                    <w:t>50</w:t>
                  </w:r>
                </w:p>
              </w:tc>
              <w:tc>
                <w:tcPr>
                  <w:tcW w:w="1115" w:type="pct"/>
                  <w:vAlign w:val="center"/>
                </w:tcPr>
                <w:p w14:paraId="3583571F">
                  <w:pPr>
                    <w:pStyle w:val="42"/>
                    <w:adjustRightInd/>
                    <w:snapToGrid/>
                    <w:ind w:left="0" w:leftChars="0" w:firstLine="0" w:firstLineChars="0"/>
                    <w:rPr>
                      <w:rFonts w:hint="default" w:ascii="Times New Roman" w:hAnsi="Times New Roman" w:eastAsia="宋体" w:cs="Times New Roman"/>
                      <w:color w:val="auto"/>
                      <w:lang w:val="en-US"/>
                    </w:rPr>
                  </w:pPr>
                  <w:r>
                    <w:rPr>
                      <w:rFonts w:ascii="Times New Roman" w:hAnsi="Times New Roman" w:cs="Times New Roman"/>
                      <w:color w:val="auto"/>
                      <w:lang w:eastAsia="zh-CN"/>
                    </w:rPr>
                    <w:t>0.00</w:t>
                  </w:r>
                  <w:r>
                    <w:rPr>
                      <w:rFonts w:hint="eastAsia" w:ascii="Times New Roman" w:hAnsi="Times New Roman" w:cs="Times New Roman"/>
                      <w:color w:val="auto"/>
                      <w:lang w:val="en-US" w:eastAsia="zh-CN"/>
                    </w:rPr>
                    <w:t>2</w:t>
                  </w:r>
                </w:p>
              </w:tc>
            </w:tr>
            <w:tr w14:paraId="22ED25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53DE41A9">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967" w:type="pct"/>
                  <w:vAlign w:val="center"/>
                </w:tcPr>
                <w:p w14:paraId="2113EE22">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危险废物</w:t>
                  </w:r>
                </w:p>
              </w:tc>
              <w:tc>
                <w:tcPr>
                  <w:tcW w:w="808" w:type="pct"/>
                  <w:vAlign w:val="center"/>
                </w:tcPr>
                <w:p w14:paraId="4A59D486">
                  <w:pPr>
                    <w:pStyle w:val="42"/>
                    <w:ind w:left="0" w:leftChars="0" w:firstLine="0" w:firstLineChars="0"/>
                    <w:rPr>
                      <w:rFonts w:hint="default" w:ascii="Times New Roman" w:hAnsi="Times New Roman" w:eastAsia="宋体" w:cs="Times New Roman"/>
                      <w:color w:val="auto"/>
                      <w:kern w:val="2"/>
                      <w:lang w:val="en-US" w:eastAsia="zh-CN"/>
                    </w:rPr>
                  </w:pPr>
                  <w:r>
                    <w:rPr>
                      <w:rFonts w:hint="eastAsia" w:ascii="Times New Roman" w:hAnsi="Times New Roman" w:eastAsia="宋体" w:cs="Times New Roman"/>
                      <w:color w:val="auto"/>
                      <w:kern w:val="2"/>
                      <w:lang w:val="en-US" w:eastAsia="zh-CN"/>
                    </w:rPr>
                    <w:t>/</w:t>
                  </w:r>
                </w:p>
              </w:tc>
              <w:tc>
                <w:tcPr>
                  <w:tcW w:w="1032" w:type="pct"/>
                  <w:vAlign w:val="center"/>
                </w:tcPr>
                <w:p w14:paraId="56BB794A">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1.487</w:t>
                  </w:r>
                </w:p>
              </w:tc>
              <w:tc>
                <w:tcPr>
                  <w:tcW w:w="673" w:type="pct"/>
                  <w:vAlign w:val="center"/>
                </w:tcPr>
                <w:p w14:paraId="272FDCD5">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115" w:type="pct"/>
                  <w:vAlign w:val="center"/>
                </w:tcPr>
                <w:p w14:paraId="5ACA07D2">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0.02974</w:t>
                  </w:r>
                </w:p>
              </w:tc>
            </w:tr>
            <w:tr w14:paraId="43BB9D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02" w:type="pct"/>
                  <w:vAlign w:val="center"/>
                </w:tcPr>
                <w:p w14:paraId="6CEDF122">
                  <w:pPr>
                    <w:pStyle w:val="42"/>
                    <w:adjustRightInd/>
                    <w:snapToGrid/>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967" w:type="pct"/>
                  <w:vAlign w:val="center"/>
                </w:tcPr>
                <w:p w14:paraId="7F489810">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天然气（管道残存）</w:t>
                  </w:r>
                </w:p>
              </w:tc>
              <w:tc>
                <w:tcPr>
                  <w:tcW w:w="808" w:type="pct"/>
                  <w:vAlign w:val="center"/>
                </w:tcPr>
                <w:p w14:paraId="1EFEA19D">
                  <w:pPr>
                    <w:pStyle w:val="42"/>
                    <w:ind w:left="0" w:leftChars="0" w:firstLine="0" w:firstLineChars="0"/>
                    <w:rPr>
                      <w:rFonts w:ascii="Times New Roman" w:hAnsi="Times New Roman" w:eastAsia="宋体" w:cs="Times New Roman"/>
                      <w:color w:val="auto"/>
                      <w:kern w:val="2"/>
                      <w:lang w:eastAsia="zh-CN"/>
                    </w:rPr>
                  </w:pPr>
                  <w:r>
                    <w:rPr>
                      <w:rFonts w:hint="eastAsia" w:ascii="Times New Roman" w:hAnsi="Times New Roman" w:cs="Times New Roman"/>
                      <w:color w:val="auto"/>
                      <w:kern w:val="2"/>
                      <w:lang w:eastAsia="zh-CN"/>
                    </w:rPr>
                    <w:t>74-82-8</w:t>
                  </w:r>
                </w:p>
              </w:tc>
              <w:tc>
                <w:tcPr>
                  <w:tcW w:w="1032" w:type="pct"/>
                  <w:vAlign w:val="center"/>
                </w:tcPr>
                <w:p w14:paraId="298ACAFE">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0.01</w:t>
                  </w:r>
                </w:p>
              </w:tc>
              <w:tc>
                <w:tcPr>
                  <w:tcW w:w="673" w:type="pct"/>
                  <w:vAlign w:val="center"/>
                </w:tcPr>
                <w:p w14:paraId="4C9A4CA3">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10</w:t>
                  </w:r>
                </w:p>
              </w:tc>
              <w:tc>
                <w:tcPr>
                  <w:tcW w:w="1115" w:type="pct"/>
                  <w:vAlign w:val="center"/>
                </w:tcPr>
                <w:p w14:paraId="567AE54D">
                  <w:pPr>
                    <w:pStyle w:val="42"/>
                    <w:adjustRightInd/>
                    <w:snapToGrid/>
                    <w:ind w:left="0" w:leftChars="0" w:firstLine="0" w:firstLineChars="0"/>
                    <w:rPr>
                      <w:rFonts w:ascii="Times New Roman" w:hAnsi="Times New Roman" w:cs="Times New Roman"/>
                      <w:color w:val="auto"/>
                      <w:lang w:eastAsia="zh-CN"/>
                    </w:rPr>
                  </w:pPr>
                  <w:r>
                    <w:rPr>
                      <w:rFonts w:hint="eastAsia" w:ascii="Times New Roman" w:hAnsi="Times New Roman" w:cs="Times New Roman"/>
                      <w:color w:val="auto"/>
                      <w:lang w:eastAsia="zh-CN"/>
                    </w:rPr>
                    <w:t>0.001</w:t>
                  </w:r>
                </w:p>
              </w:tc>
            </w:tr>
          </w:tbl>
          <w:p w14:paraId="0FA49197">
            <w:pPr>
              <w:adjustRightInd/>
              <w:snapToGrid/>
              <w:ind w:firstLine="48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val="zh-CN"/>
              </w:rPr>
              <w:t>由上表可知，Q＜1</w:t>
            </w:r>
            <w:r>
              <w:rPr>
                <w:rStyle w:val="26"/>
                <w:rFonts w:ascii="Times New Roman" w:hAnsi="Times New Roman" w:eastAsia="宋体" w:cs="Times New Roman"/>
                <w:color w:val="auto"/>
                <w:sz w:val="24"/>
                <w:szCs w:val="24"/>
                <w:lang w:eastAsia="zh-CN"/>
              </w:rPr>
              <w:t>。</w:t>
            </w:r>
          </w:p>
          <w:p w14:paraId="377200F5">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②生产工艺危险性调查</w:t>
            </w:r>
          </w:p>
          <w:p w14:paraId="2B9B8C33">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ascii="Times New Roman" w:hAnsi="Times New Roman" w:cs="Times New Roman"/>
                <w:color w:val="auto"/>
                <w:sz w:val="24"/>
                <w:szCs w:val="24"/>
                <w:lang w:eastAsia="zh-CN"/>
              </w:rPr>
              <w:t>固化温度约</w:t>
            </w:r>
            <w:r>
              <w:rPr>
                <w:rFonts w:hint="eastAsia" w:ascii="Times New Roman" w:hAnsi="Times New Roman" w:cs="Times New Roman"/>
                <w:color w:val="auto"/>
                <w:sz w:val="24"/>
                <w:szCs w:val="24"/>
                <w:lang w:eastAsia="zh-CN"/>
              </w:rPr>
              <w:t>180</w:t>
            </w:r>
            <w:r>
              <w:rPr>
                <w:rFonts w:ascii="Times New Roman" w:hAnsi="Times New Roman" w:cs="Times New Roman"/>
                <w:color w:val="auto"/>
                <w:sz w:val="24"/>
                <w:szCs w:val="24"/>
                <w:lang w:eastAsia="zh-CN"/>
              </w:rPr>
              <w:t>℃左右，</w:t>
            </w:r>
            <w:r>
              <w:rPr>
                <w:rFonts w:ascii="Times New Roman" w:hAnsi="Times New Roman" w:eastAsia="宋体" w:cs="Times New Roman"/>
                <w:color w:val="auto"/>
                <w:sz w:val="24"/>
                <w:szCs w:val="24"/>
              </w:rPr>
              <w:t>不涉及高温工艺过程</w:t>
            </w:r>
            <w:r>
              <w:rPr>
                <w:rFonts w:ascii="Times New Roman" w:hAnsi="Times New Roman" w:cs="Times New Roman"/>
                <w:color w:val="auto"/>
                <w:sz w:val="24"/>
                <w:szCs w:val="24"/>
                <w:lang w:eastAsia="zh-CN"/>
              </w:rPr>
              <w:t>（300℃）</w:t>
            </w:r>
            <w:r>
              <w:rPr>
                <w:rFonts w:ascii="Times New Roman" w:hAnsi="Times New Roman" w:eastAsia="宋体" w:cs="Times New Roman"/>
                <w:color w:val="auto"/>
                <w:sz w:val="24"/>
                <w:szCs w:val="24"/>
              </w:rPr>
              <w:t>，无《建设项目环境风险评价技术导则》（HJ169-2018）附录C，表C.1中列明的工艺过程。</w:t>
            </w:r>
          </w:p>
          <w:p w14:paraId="095E482A">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故本项目生产工艺不存在重大危险性。</w:t>
            </w:r>
          </w:p>
          <w:p w14:paraId="01031940">
            <w:pPr>
              <w:adjustRightInd/>
              <w:snapToGrid/>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（2）环境风险识别</w:t>
            </w:r>
          </w:p>
          <w:p w14:paraId="6EEC633F">
            <w:pPr>
              <w:adjustRightInd/>
              <w:snapToGrid/>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根据《建设项目环境风险评价导则》（HJ169-2018），风险识别内容主要如下：</w:t>
            </w:r>
          </w:p>
          <w:p w14:paraId="7DA84E29">
            <w:pPr>
              <w:adjustRightInd/>
              <w:snapToGrid/>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 xml:space="preserve"> </w:t>
            </w:r>
            <w:r>
              <w:rPr>
                <w:rFonts w:ascii="Times New Roman" w:hAnsi="Times New Roman" w:cs="Times New Roman"/>
                <w:color w:val="auto"/>
                <w:sz w:val="24"/>
                <w:lang w:eastAsia="zh-CN"/>
              </w:rPr>
              <w:t>本项目涉及的环境风险物质主要为</w:t>
            </w:r>
            <w:r>
              <w:rPr>
                <w:rFonts w:hint="eastAsia" w:ascii="Times New Roman" w:hAnsi="Times New Roman" w:cs="Times New Roman"/>
                <w:color w:val="auto"/>
                <w:sz w:val="24"/>
                <w:lang w:eastAsia="zh-CN"/>
              </w:rPr>
              <w:t>废机油、废活性炭</w:t>
            </w:r>
            <w:r>
              <w:rPr>
                <w:rFonts w:ascii="Times New Roman" w:hAnsi="Times New Roman" w:cs="Times New Roman"/>
                <w:color w:val="auto"/>
                <w:sz w:val="24"/>
                <w:lang w:eastAsia="zh-CN"/>
              </w:rPr>
              <w:t>，一旦发生泄漏，可能会污染土壤及地下水。本项目建成后，厂区最大可能性事故及类型为项目废气治理设施运行不正常或管理维护不到位导致废气异常排放，仓库中原料泄漏及发生火灾，危废暂存间中危废流失，导致环境污染事故，项目废气治理设施运行不正常或管理维护不到位，危废贮存管理不到位导致危废泄漏对周边环境产生不利影响。</w:t>
            </w:r>
          </w:p>
          <w:p w14:paraId="3CCB8463">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（3）环境风险防范措施</w:t>
            </w:r>
          </w:p>
          <w:p w14:paraId="66A2AFCA">
            <w:pPr>
              <w:pStyle w:val="55"/>
              <w:kinsoku/>
              <w:adjustRightInd/>
              <w:snapToGrid/>
              <w:spacing w:before="0"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物料储存的风险防范措施：化学品应设专人管理；根据化学品的种类、性能，设置相应的通风、防火、防静电、隔离操作等安全措施；液态化学品存放设置托盘，地面进行重点防渗；项目区配备防火器材，厂房内加强通风换气，预留足够的安全距离，同时有利于火灾补救和人员疏散；严禁吸烟、携带火种，需要提醒人员主要的地点均应按标准设置各种安全标志，车间与库房存放灭火器，一旦发生事故，随时取用灭火；宜用防爆型电气设备，不可接用临时电源；实行安全检查制度，进行各种日常、定期的、专用的防火安全检查，便于及时发现问题并落实整改；厂区配备充足的应急物资；对员工普及烧伤急救知识及防范急救知识，定期进行安全教育和安全生产培训，不断提高员工灭火操作技能和安全生产规程。</w:t>
            </w:r>
          </w:p>
          <w:p w14:paraId="0A3ED2D2">
            <w:pPr>
              <w:pStyle w:val="55"/>
              <w:kinsoku/>
              <w:adjustRightInd/>
              <w:snapToGrid/>
              <w:spacing w:before="0"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cs="Times New Roman"/>
                <w:color w:val="auto"/>
                <w:sz w:val="24"/>
                <w:lang w:eastAsia="zh-CN"/>
              </w:rPr>
              <w:t>②</w:t>
            </w:r>
            <w:r>
              <w:rPr>
                <w:rFonts w:ascii="Times New Roman" w:hAnsi="Times New Roman" w:cs="Times New Roman"/>
                <w:color w:val="auto"/>
                <w:sz w:val="24"/>
              </w:rPr>
              <w:t>固体废物事故风险防范措施：收集过程中要根据固体废物的性质进行收集和临时贮存；</w:t>
            </w:r>
            <w:r>
              <w:rPr>
                <w:rFonts w:ascii="Times New Roman" w:hAnsi="Times New Roman" w:cs="Times New Roman"/>
                <w:color w:val="auto"/>
                <w:sz w:val="24"/>
                <w:lang w:eastAsia="zh-CN"/>
              </w:rPr>
              <w:t>暂存于一般固废间的一般固废应及时进行清运，并放置灭火器、灭火毯等消防物资。</w:t>
            </w:r>
            <w:r>
              <w:rPr>
                <w:rFonts w:ascii="Times New Roman" w:hAnsi="Times New Roman" w:cs="Times New Roman"/>
                <w:color w:val="auto"/>
                <w:sz w:val="24"/>
              </w:rPr>
              <w:t>危险废物要有单独的危废库，并贴上标签，委托有资质单位处置。</w:t>
            </w:r>
          </w:p>
          <w:p w14:paraId="272A6E20">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szCs w:val="20"/>
              </w:rPr>
            </w:pPr>
            <w:r>
              <w:rPr>
                <w:rFonts w:ascii="Times New Roman" w:hAnsi="Times New Roman" w:cs="Times New Roman"/>
                <w:color w:val="auto"/>
                <w:sz w:val="24"/>
                <w:lang w:eastAsia="zh-CN"/>
              </w:rPr>
              <w:t>③</w:t>
            </w:r>
            <w:r>
              <w:rPr>
                <w:rFonts w:ascii="Times New Roman" w:hAnsi="Times New Roman" w:cs="Times New Roman"/>
                <w:color w:val="auto"/>
                <w:sz w:val="24"/>
                <w:szCs w:val="20"/>
              </w:rPr>
              <w:t>火灾、爆炸事故的预防措施</w:t>
            </w:r>
          </w:p>
          <w:p w14:paraId="21CF7F12">
            <w:pPr>
              <w:pStyle w:val="55"/>
              <w:kinsoku/>
              <w:adjustRightInd/>
              <w:snapToGrid/>
              <w:spacing w:before="0" w:line="360" w:lineRule="auto"/>
              <w:ind w:firstLine="480" w:firstLineChars="200"/>
              <w:rPr>
                <w:rFonts w:ascii="Times New Roman" w:hAnsi="Times New Roman" w:eastAsia="宋体" w:cs="Times New Roman"/>
                <w:color w:val="auto"/>
                <w:sz w:val="24"/>
                <w:lang w:eastAsia="zh-CN"/>
              </w:rPr>
            </w:pPr>
            <w:r>
              <w:rPr>
                <w:rFonts w:ascii="Times New Roman" w:hAnsi="Times New Roman" w:cs="Times New Roman"/>
                <w:color w:val="auto"/>
                <w:sz w:val="24"/>
                <w:szCs w:val="20"/>
              </w:rPr>
              <w:t>建立健全防火安全规章制度并严格执行。根据一些地区的经验，防火安全制度主要有以下几种：安全员责任制度：主要把每个工作人员在业务上、工作上与消防安全管理上的职责、责任明确；防火防爆制度：是对各类火种、火源和有散发火花危险的机械设备、作业活动，以及可燃、易燃物品等的控制和管理；用火审批制度：在非固定点进行明火作业时，必须根据用火场所危险程度大小以及各级防火责任人，规定批准权限；安全检查制度：各类储存容器、输送设备、安全设施、消防器材，进行各种日常的、定期的、专业的防火安全检查，并将发现的问题定人、限期落实整改；其他安全制度：如外来人员和车辆入库制度，临时电线装接制度，夜间值班巡逻制度，火险、火警报告制度，安全奖惩制度等。</w:t>
            </w:r>
          </w:p>
          <w:p w14:paraId="304A86EB">
            <w:pPr>
              <w:widowControl w:val="0"/>
              <w:kinsoku/>
              <w:autoSpaceDE/>
              <w:autoSpaceDN/>
              <w:adjustRightInd/>
              <w:snapToGrid/>
              <w:spacing w:line="360"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（4）污染治理系统风险防范措施</w:t>
            </w:r>
          </w:p>
          <w:p w14:paraId="3626B3BF">
            <w:pPr>
              <w:adjustRightInd/>
              <w:snapToGrid/>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①废气（排风扇的设置）治理设施在设计、施工时，严格按照工程设计规范要求进行，选用标准管材，并做必要的防腐处理。</w:t>
            </w:r>
          </w:p>
          <w:p w14:paraId="05CA8014">
            <w:pPr>
              <w:adjustRightInd/>
              <w:snapToGrid/>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②车间及原料库房等设置相应的灭火器。</w:t>
            </w:r>
          </w:p>
          <w:p w14:paraId="44A04300">
            <w:pPr>
              <w:adjustRightInd/>
              <w:snapToGrid/>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③项目金属设备、设施均须采用保护接地措施。</w:t>
            </w:r>
          </w:p>
          <w:p w14:paraId="533738A1">
            <w:pPr>
              <w:adjustRightInd/>
              <w:snapToGrid/>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④</w:t>
            </w:r>
            <w:r>
              <w:rPr>
                <w:rFonts w:ascii="Times New Roman" w:hAnsi="Times New Roman" w:eastAsia="宋体" w:cs="Times New Roman"/>
                <w:color w:val="auto"/>
                <w:sz w:val="24"/>
              </w:rPr>
              <w:t>有机械伤害的危险区设置合格的防护罩、挡板或安全围栏。</w:t>
            </w:r>
          </w:p>
          <w:p w14:paraId="08846C55">
            <w:pPr>
              <w:widowControl w:val="0"/>
              <w:kinsoku/>
              <w:autoSpaceDE/>
              <w:autoSpaceDN/>
              <w:adjustRightInd/>
              <w:snapToGrid/>
              <w:spacing w:line="360" w:lineRule="auto"/>
              <w:ind w:firstLine="480" w:firstLineChars="200"/>
              <w:textAlignment w:val="auto"/>
              <w:rPr>
                <w:rFonts w:ascii="Times New Roman" w:hAnsi="Times New Roman" w:cs="Times New Roman"/>
                <w:color w:val="auto"/>
                <w:sz w:val="24"/>
              </w:rPr>
            </w:pPr>
            <w:r>
              <w:rPr>
                <w:rFonts w:ascii="Times New Roman" w:hAnsi="Times New Roman" w:cs="Times New Roman"/>
                <w:color w:val="auto"/>
                <w:sz w:val="24"/>
                <w:lang w:eastAsia="zh-CN"/>
              </w:rPr>
              <w:t>（6）</w:t>
            </w:r>
            <w:r>
              <w:rPr>
                <w:rFonts w:ascii="Times New Roman" w:hAnsi="Times New Roman" w:cs="Times New Roman"/>
                <w:color w:val="auto"/>
                <w:sz w:val="24"/>
              </w:rPr>
              <w:t>制定事故应急预案：为了有效地处理风险事故，应有切实可行的处置措施。项目风险事故应急措施包括设备器材、事故现场指挥、救护、通讯等系统的建立、现场应急措施 方案</w:t>
            </w:r>
            <w:r>
              <w:rPr>
                <w:rFonts w:ascii="Times New Roman" w:hAnsi="Times New Roman" w:eastAsia="宋体" w:cs="Times New Roman"/>
                <w:color w:val="auto"/>
                <w:sz w:val="24"/>
                <w:lang w:eastAsia="zh-CN"/>
              </w:rPr>
              <w:t>、</w:t>
            </w:r>
            <w:r>
              <w:rPr>
                <w:rFonts w:ascii="Times New Roman" w:hAnsi="Times New Roman" w:cs="Times New Roman"/>
                <w:color w:val="auto"/>
                <w:sz w:val="24"/>
              </w:rPr>
              <w:t>现场撤离和善后措施方案等。项目建成后，公司应立即建立完善的管理制度，内容涵盖生产、供应、销售、安全、环保各方面，通过完善的制度保障应急救援行动的有效启动和实施设立应急报警、通讯系统以及事故处置管理体系。明确职责，并落实到具体部门及负责人员。对事故现场管理以及事故处置全过程的监督，应由富有事故处置经验的人员或有关部门工作人员承担。</w:t>
            </w:r>
          </w:p>
          <w:p w14:paraId="5B3CA54F">
            <w:pPr>
              <w:kinsoku/>
              <w:adjustRightInd/>
              <w:snapToGrid/>
              <w:spacing w:line="360" w:lineRule="auto"/>
              <w:ind w:firstLine="480" w:firstLineChars="200"/>
              <w:rPr>
                <w:rFonts w:ascii="Times New Roman" w:hAnsi="Times New Roman" w:eastAsia="宋体" w:cs="Times New Roman"/>
                <w:color w:val="auto"/>
                <w:sz w:val="24"/>
                <w:lang w:val="zh-CN"/>
              </w:rPr>
            </w:pPr>
            <w:r>
              <w:rPr>
                <w:rFonts w:ascii="Times New Roman" w:hAnsi="Times New Roman" w:eastAsia="宋体" w:cs="Times New Roman"/>
                <w:color w:val="auto"/>
                <w:sz w:val="24"/>
                <w:lang w:val="zh-CN"/>
              </w:rPr>
              <w:t>（</w:t>
            </w:r>
            <w:r>
              <w:rPr>
                <w:rFonts w:ascii="Times New Roman" w:hAnsi="Times New Roman" w:cs="Times New Roman"/>
                <w:color w:val="auto"/>
                <w:sz w:val="24"/>
                <w:lang w:eastAsia="zh-CN"/>
              </w:rPr>
              <w:t>7</w:t>
            </w:r>
            <w:r>
              <w:rPr>
                <w:rFonts w:ascii="Times New Roman" w:hAnsi="Times New Roman" w:eastAsia="宋体" w:cs="Times New Roman"/>
                <w:color w:val="auto"/>
                <w:sz w:val="24"/>
                <w:lang w:val="zh-CN"/>
              </w:rPr>
              <w:t>）风险评价结论</w:t>
            </w:r>
          </w:p>
          <w:p w14:paraId="409EBCE3">
            <w:pPr>
              <w:pStyle w:val="12"/>
              <w:kinsoku/>
              <w:adjustRightInd/>
              <w:snapToGrid/>
              <w:spacing w:after="0" w:line="360" w:lineRule="auto"/>
              <w:ind w:left="0" w:leftChars="0" w:firstLine="480"/>
              <w:rPr>
                <w:rFonts w:ascii="Times New Roman" w:hAnsi="Times New Roman" w:eastAsia="宋体" w:cs="Times New Roman"/>
                <w:color w:val="auto"/>
                <w:lang w:val="zh-CN"/>
              </w:rPr>
            </w:pPr>
            <w:r>
              <w:rPr>
                <w:rFonts w:ascii="Times New Roman" w:hAnsi="Times New Roman" w:eastAsia="宋体" w:cs="Times New Roman"/>
                <w:color w:val="auto"/>
                <w:lang w:val="zh-CN"/>
              </w:rPr>
              <w:t>经以上分析可知，本项目运营期的环境风险在采取相应防范措施的基础上可将风险事故造成的危害降至最低，从环境风险角度分析，本项目实施可行。</w:t>
            </w:r>
          </w:p>
          <w:p w14:paraId="24C12D9A">
            <w:pPr>
              <w:pStyle w:val="55"/>
              <w:kinsoku/>
              <w:adjustRightInd/>
              <w:snapToGrid/>
              <w:spacing w:before="0" w:line="360" w:lineRule="auto"/>
              <w:ind w:firstLineChars="200"/>
              <w:rPr>
                <w:rFonts w:ascii="Times New Roman" w:hAnsi="Times New Roman" w:eastAsia="宋体" w:cs="Times New Roman"/>
                <w:b/>
                <w:bCs/>
                <w:color w:val="auto"/>
                <w:kern w:val="2"/>
                <w:sz w:val="24"/>
                <w:lang w:eastAsia="zh-CN"/>
              </w:rPr>
            </w:pPr>
            <w:r>
              <w:rPr>
                <w:rFonts w:ascii="Times New Roman" w:hAnsi="Times New Roman" w:eastAsia="宋体" w:cs="Times New Roman"/>
                <w:b/>
                <w:bCs/>
                <w:color w:val="auto"/>
                <w:kern w:val="2"/>
                <w:sz w:val="24"/>
                <w:szCs w:val="24"/>
                <w:lang w:eastAsia="zh-CN"/>
              </w:rPr>
              <w:t>7、</w:t>
            </w:r>
            <w:r>
              <w:rPr>
                <w:rFonts w:ascii="Times New Roman" w:hAnsi="Times New Roman" w:cs="Times New Roman"/>
                <w:b/>
                <w:bCs/>
                <w:color w:val="auto"/>
                <w:kern w:val="2"/>
                <w:sz w:val="24"/>
                <w:lang w:eastAsia="zh-CN"/>
              </w:rPr>
              <w:t>生态</w:t>
            </w:r>
          </w:p>
          <w:p w14:paraId="21FF3E52">
            <w:pPr>
              <w:pStyle w:val="55"/>
              <w:kinsoku/>
              <w:adjustRightInd/>
              <w:snapToGrid/>
              <w:spacing w:before="0" w:line="360" w:lineRule="auto"/>
              <w:ind w:firstLine="440" w:firstLineChars="200"/>
              <w:rPr>
                <w:rFonts w:ascii="Times New Roman" w:hAnsi="Times New Roman" w:eastAsia="宋体" w:cs="Times New Roman"/>
                <w:bCs/>
                <w:color w:val="auto"/>
                <w:spacing w:val="-10"/>
                <w:sz w:val="24"/>
                <w:szCs w:val="24"/>
                <w:lang w:eastAsia="zh-CN"/>
              </w:rPr>
            </w:pPr>
            <w:r>
              <w:rPr>
                <w:rFonts w:ascii="Times New Roman" w:hAnsi="Times New Roman" w:eastAsia="宋体" w:cs="Times New Roman"/>
                <w:bCs/>
                <w:color w:val="auto"/>
                <w:spacing w:val="-10"/>
                <w:sz w:val="24"/>
                <w:szCs w:val="24"/>
                <w:lang w:eastAsia="zh-CN"/>
              </w:rPr>
              <w:t>本项目在安徽濉溪经济开发区内进行项目建设，不涉及产业园区外建设项目新增用地与本项目用地范围内无环境保护目标，不会对周边生态环境造成明显影响。</w:t>
            </w:r>
          </w:p>
          <w:p w14:paraId="58068D4E">
            <w:pPr>
              <w:pStyle w:val="55"/>
              <w:kinsoku/>
              <w:adjustRightInd/>
              <w:snapToGrid/>
              <w:spacing w:before="0" w:line="360" w:lineRule="auto"/>
              <w:ind w:firstLineChars="200"/>
              <w:rPr>
                <w:rFonts w:ascii="Times New Roman" w:hAnsi="Times New Roman" w:eastAsia="宋体" w:cs="Times New Roman"/>
                <w:b/>
                <w:bCs/>
                <w:color w:val="auto"/>
                <w:kern w:val="2"/>
                <w:sz w:val="24"/>
                <w:lang w:eastAsia="zh-CN"/>
              </w:rPr>
            </w:pPr>
            <w:r>
              <w:rPr>
                <w:rFonts w:ascii="Times New Roman" w:hAnsi="Times New Roman" w:cs="Times New Roman"/>
                <w:b/>
                <w:bCs/>
                <w:color w:val="auto"/>
                <w:kern w:val="2"/>
                <w:sz w:val="24"/>
                <w:lang w:eastAsia="zh-CN"/>
              </w:rPr>
              <w:t>8</w:t>
            </w:r>
            <w:r>
              <w:rPr>
                <w:rFonts w:ascii="Times New Roman" w:hAnsi="Times New Roman" w:eastAsia="宋体" w:cs="Times New Roman"/>
                <w:b/>
                <w:bCs/>
                <w:color w:val="auto"/>
                <w:kern w:val="2"/>
                <w:sz w:val="24"/>
                <w:lang w:eastAsia="zh-CN"/>
              </w:rPr>
              <w:t>、电磁辐射</w:t>
            </w:r>
          </w:p>
          <w:p w14:paraId="0E67C80C">
            <w:pPr>
              <w:pStyle w:val="55"/>
              <w:kinsoku/>
              <w:adjustRightInd/>
              <w:snapToGrid/>
              <w:spacing w:before="0" w:line="360" w:lineRule="auto"/>
              <w:ind w:firstLine="440" w:firstLineChars="200"/>
              <w:rPr>
                <w:rFonts w:ascii="Times New Roman" w:hAnsi="Times New Roman" w:cs="Times New Roman"/>
                <w:color w:val="auto"/>
              </w:rPr>
            </w:pPr>
            <w:r>
              <w:rPr>
                <w:rFonts w:ascii="Times New Roman" w:hAnsi="Times New Roman" w:eastAsia="宋体" w:cs="Times New Roman"/>
                <w:bCs/>
                <w:color w:val="auto"/>
                <w:spacing w:val="-10"/>
                <w:sz w:val="24"/>
                <w:szCs w:val="24"/>
                <w:lang w:eastAsia="zh-CN"/>
              </w:rPr>
              <w:t>本项目不涉及电磁辐射，故不对该部分内容进行分析。</w:t>
            </w:r>
          </w:p>
        </w:tc>
      </w:tr>
    </w:tbl>
    <w:p w14:paraId="3FD8E719">
      <w:pPr>
        <w:rPr>
          <w:rFonts w:ascii="Times New Roman" w:hAnsi="Times New Roman" w:cs="Times New Roman"/>
        </w:rPr>
        <w:sectPr>
          <w:pgSz w:w="11906" w:h="16838"/>
          <w:pgMar w:top="1440" w:right="1689" w:bottom="1440" w:left="1689" w:header="851" w:footer="992" w:gutter="0"/>
          <w:cols w:space="425" w:num="1"/>
          <w:docGrid w:type="lines" w:linePitch="312" w:charSpace="0"/>
        </w:sectPr>
      </w:pPr>
    </w:p>
    <w:p w14:paraId="7F2690A8">
      <w:pPr>
        <w:pStyle w:val="19"/>
        <w:adjustRightInd/>
        <w:snapToGrid/>
        <w:spacing w:before="0" w:beforeAutospacing="0" w:after="0" w:afterAutospacing="0" w:line="360" w:lineRule="auto"/>
        <w:jc w:val="center"/>
        <w:outlineLvl w:val="0"/>
        <w:rPr>
          <w:rFonts w:hint="eastAsia" w:eastAsia="宋体" w:cs="宋体"/>
          <w:b/>
          <w:bCs/>
          <w:color w:val="auto"/>
          <w:sz w:val="30"/>
          <w:szCs w:val="30"/>
          <w:lang w:eastAsia="zh-CN"/>
        </w:rPr>
      </w:pPr>
      <w:r>
        <w:rPr>
          <w:rFonts w:hint="eastAsia" w:eastAsia="宋体" w:cs="宋体"/>
          <w:b/>
          <w:bCs/>
          <w:color w:val="auto"/>
          <w:sz w:val="30"/>
          <w:szCs w:val="30"/>
          <w:lang w:eastAsia="zh-CN"/>
        </w:rPr>
        <w:t>五、</w:t>
      </w:r>
      <w:bookmarkStart w:id="16" w:name="_Hlk54167917"/>
      <w:r>
        <w:rPr>
          <w:rFonts w:hint="eastAsia" w:eastAsia="宋体" w:cs="宋体"/>
          <w:b/>
          <w:bCs/>
          <w:color w:val="auto"/>
          <w:sz w:val="30"/>
          <w:szCs w:val="30"/>
          <w:lang w:eastAsia="zh-CN"/>
        </w:rPr>
        <w:t>环境保护措施监督检查清单</w:t>
      </w:r>
      <w:bookmarkEnd w:id="16"/>
    </w:p>
    <w:tbl>
      <w:tblPr>
        <w:tblStyle w:val="22"/>
        <w:tblW w:w="55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609"/>
        <w:gridCol w:w="1220"/>
        <w:gridCol w:w="2219"/>
        <w:gridCol w:w="3592"/>
      </w:tblGrid>
      <w:tr w14:paraId="3729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518" w:type="pct"/>
            <w:vAlign w:val="center"/>
          </w:tcPr>
          <w:p w14:paraId="0588706D">
            <w:pPr>
              <w:pStyle w:val="2"/>
              <w:adjustRightInd/>
              <w:snapToGrid/>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内容要素</w:t>
            </w:r>
          </w:p>
        </w:tc>
        <w:tc>
          <w:tcPr>
            <w:tcW w:w="834" w:type="pct"/>
            <w:vAlign w:val="center"/>
          </w:tcPr>
          <w:p w14:paraId="5E4DAE95">
            <w:pPr>
              <w:pStyle w:val="2"/>
              <w:adjustRightInd/>
              <w:snapToGrid/>
              <w:jc w:val="center"/>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排放口（编号、名称）/污染源</w:t>
            </w:r>
          </w:p>
        </w:tc>
        <w:tc>
          <w:tcPr>
            <w:tcW w:w="633" w:type="pct"/>
            <w:vAlign w:val="center"/>
          </w:tcPr>
          <w:p w14:paraId="652F71AE">
            <w:pPr>
              <w:pStyle w:val="2"/>
              <w:adjustRightInd/>
              <w:snapToGrid/>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污染物项目</w:t>
            </w:r>
          </w:p>
        </w:tc>
        <w:tc>
          <w:tcPr>
            <w:tcW w:w="1151" w:type="pct"/>
            <w:vAlign w:val="center"/>
          </w:tcPr>
          <w:p w14:paraId="6828FB19">
            <w:pPr>
              <w:pStyle w:val="2"/>
              <w:adjustRightInd/>
              <w:snapToGrid/>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环境保护措施</w:t>
            </w:r>
          </w:p>
        </w:tc>
        <w:tc>
          <w:tcPr>
            <w:tcW w:w="1862" w:type="pct"/>
            <w:vAlign w:val="center"/>
          </w:tcPr>
          <w:p w14:paraId="0735D496">
            <w:pPr>
              <w:pStyle w:val="2"/>
              <w:adjustRightInd/>
              <w:snapToGrid/>
              <w:jc w:val="center"/>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执行标准</w:t>
            </w:r>
          </w:p>
        </w:tc>
      </w:tr>
      <w:tr w14:paraId="5CD7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8" w:type="pct"/>
            <w:vMerge w:val="restart"/>
            <w:vAlign w:val="center"/>
          </w:tcPr>
          <w:p w14:paraId="4537A8B1">
            <w:pPr>
              <w:adjustRightInd/>
              <w:snapToGrid/>
              <w:jc w:val="center"/>
              <w:rPr>
                <w:rFonts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大气环境</w:t>
            </w:r>
          </w:p>
        </w:tc>
        <w:tc>
          <w:tcPr>
            <w:tcW w:w="834" w:type="pct"/>
            <w:tcBorders>
              <w:bottom w:val="single" w:color="000000" w:sz="2" w:space="0"/>
            </w:tcBorders>
            <w:vAlign w:val="center"/>
          </w:tcPr>
          <w:p w14:paraId="034F757B">
            <w:pPr>
              <w:pStyle w:val="33"/>
              <w:adjustRightInd/>
              <w:snapToGrid/>
              <w:rPr>
                <w:rFonts w:ascii="Times New Roman" w:hAnsi="Times New Roman" w:eastAsia="宋体" w:cs="Times New Roman"/>
                <w:bCs/>
                <w:color w:val="auto"/>
                <w:kern w:val="24"/>
                <w:sz w:val="24"/>
                <w:szCs w:val="24"/>
                <w:lang w:eastAsia="zh-CN"/>
              </w:rPr>
            </w:pPr>
            <w:r>
              <w:rPr>
                <w:rFonts w:ascii="Times New Roman" w:hAnsi="Times New Roman" w:eastAsia="宋体" w:cs="Times New Roman"/>
                <w:bCs/>
                <w:color w:val="auto"/>
                <w:kern w:val="24"/>
                <w:sz w:val="24"/>
                <w:szCs w:val="24"/>
                <w:lang w:eastAsia="zh-CN"/>
              </w:rPr>
              <w:t>DA001/下料、焊接</w:t>
            </w:r>
            <w:r>
              <w:rPr>
                <w:rFonts w:ascii="Times New Roman" w:hAnsi="Times New Roman" w:cs="Times New Roman"/>
                <w:bCs/>
                <w:color w:val="auto"/>
                <w:kern w:val="24"/>
                <w:sz w:val="24"/>
                <w:szCs w:val="24"/>
                <w:lang w:eastAsia="zh-CN"/>
              </w:rPr>
              <w:t>/抛光</w:t>
            </w:r>
            <w:r>
              <w:rPr>
                <w:rFonts w:ascii="Times New Roman" w:hAnsi="Times New Roman" w:eastAsia="宋体" w:cs="Times New Roman"/>
                <w:bCs/>
                <w:color w:val="auto"/>
                <w:kern w:val="24"/>
                <w:sz w:val="24"/>
                <w:szCs w:val="24"/>
                <w:lang w:eastAsia="zh-CN"/>
              </w:rPr>
              <w:t>粉尘</w:t>
            </w:r>
          </w:p>
        </w:tc>
        <w:tc>
          <w:tcPr>
            <w:tcW w:w="633" w:type="pct"/>
            <w:tcBorders>
              <w:bottom w:val="single" w:color="000000" w:sz="2" w:space="0"/>
            </w:tcBorders>
            <w:vAlign w:val="center"/>
          </w:tcPr>
          <w:p w14:paraId="1A5AA7BC">
            <w:pPr>
              <w:adjustRightInd/>
              <w:snapToGrid/>
              <w:jc w:val="center"/>
              <w:rPr>
                <w:rFonts w:ascii="Times New Roman" w:hAnsi="Times New Roman" w:eastAsia="宋体" w:cs="Times New Roman"/>
                <w:bCs/>
                <w:color w:val="auto"/>
                <w:kern w:val="24"/>
                <w:sz w:val="24"/>
                <w:szCs w:val="24"/>
                <w:lang w:eastAsia="zh-CN"/>
              </w:rPr>
            </w:pPr>
            <w:r>
              <w:rPr>
                <w:rFonts w:ascii="Times New Roman" w:hAnsi="Times New Roman" w:eastAsia="宋体" w:cs="Times New Roman"/>
                <w:bCs/>
                <w:color w:val="auto"/>
                <w:kern w:val="24"/>
                <w:sz w:val="24"/>
                <w:szCs w:val="24"/>
                <w:lang w:eastAsia="zh-CN"/>
              </w:rPr>
              <w:t>颗粒物</w:t>
            </w:r>
          </w:p>
        </w:tc>
        <w:tc>
          <w:tcPr>
            <w:tcW w:w="1151" w:type="pct"/>
            <w:tcBorders>
              <w:bottom w:val="single" w:color="000000" w:sz="2" w:space="0"/>
            </w:tcBorders>
            <w:vAlign w:val="center"/>
          </w:tcPr>
          <w:p w14:paraId="22E185AF">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集气罩+</w:t>
            </w:r>
            <w:r>
              <w:rPr>
                <w:rFonts w:ascii="Times New Roman" w:hAnsi="Times New Roman" w:cs="Times New Roman"/>
                <w:bCs/>
                <w:color w:val="auto"/>
                <w:sz w:val="24"/>
                <w:szCs w:val="24"/>
                <w:lang w:eastAsia="zh-CN"/>
              </w:rPr>
              <w:t>布袋除尘器+15m高排气筒</w:t>
            </w:r>
          </w:p>
        </w:tc>
        <w:tc>
          <w:tcPr>
            <w:tcW w:w="1862" w:type="pct"/>
            <w:vMerge w:val="restart"/>
            <w:vAlign w:val="center"/>
          </w:tcPr>
          <w:p w14:paraId="40D23F66">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cs="Times New Roman"/>
                <w:color w:val="auto"/>
              </w:rPr>
              <w:t>《</w:t>
            </w:r>
            <w:r>
              <w:rPr>
                <w:rFonts w:ascii="Times New Roman" w:hAnsi="Times New Roman" w:eastAsia="宋体" w:cs="Times New Roman"/>
                <w:bCs/>
                <w:color w:val="auto"/>
                <w:sz w:val="24"/>
                <w:szCs w:val="24"/>
                <w:lang w:eastAsia="zh-CN"/>
              </w:rPr>
              <w:t>大气污染物综合排放标准》（GB16297</w:t>
            </w:r>
            <w:r>
              <w:rPr>
                <w:rFonts w:hint="eastAsia" w:ascii="Times New Roman" w:hAnsi="Times New Roman" w:eastAsia="宋体" w:cs="Times New Roman"/>
                <w:bCs/>
                <w:color w:val="auto"/>
                <w:sz w:val="24"/>
                <w:szCs w:val="24"/>
                <w:lang w:val="en-US" w:eastAsia="zh-CN"/>
              </w:rPr>
              <w:t>-</w:t>
            </w:r>
            <w:r>
              <w:rPr>
                <w:rFonts w:ascii="Times New Roman" w:hAnsi="Times New Roman" w:eastAsia="宋体" w:cs="Times New Roman"/>
                <w:bCs/>
                <w:color w:val="auto"/>
                <w:sz w:val="24"/>
                <w:szCs w:val="24"/>
                <w:lang w:eastAsia="zh-CN"/>
              </w:rPr>
              <w:t>1996）中二级标准限值要求</w:t>
            </w:r>
          </w:p>
        </w:tc>
      </w:tr>
      <w:tr w14:paraId="6EEF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18" w:type="pct"/>
            <w:vMerge w:val="continue"/>
            <w:vAlign w:val="center"/>
          </w:tcPr>
          <w:p w14:paraId="405D501D">
            <w:pPr>
              <w:adjustRightInd/>
              <w:snapToGrid/>
              <w:jc w:val="center"/>
              <w:rPr>
                <w:rFonts w:ascii="Times New Roman" w:hAnsi="Times New Roman" w:eastAsia="宋体" w:cs="Times New Roman"/>
                <w:bCs/>
                <w:color w:val="auto"/>
                <w:sz w:val="24"/>
                <w:szCs w:val="24"/>
                <w:lang w:eastAsia="zh-CN"/>
              </w:rPr>
            </w:pPr>
          </w:p>
        </w:tc>
        <w:tc>
          <w:tcPr>
            <w:tcW w:w="834" w:type="pct"/>
            <w:tcBorders>
              <w:bottom w:val="single" w:color="000000" w:sz="2" w:space="0"/>
            </w:tcBorders>
            <w:vAlign w:val="center"/>
          </w:tcPr>
          <w:p w14:paraId="56D73D81">
            <w:pPr>
              <w:pStyle w:val="33"/>
              <w:adjustRightInd/>
              <w:snapToGrid/>
              <w:rPr>
                <w:rFonts w:ascii="Times New Roman" w:hAnsi="Times New Roman" w:eastAsia="宋体" w:cs="Times New Roman"/>
                <w:bCs/>
                <w:color w:val="auto"/>
                <w:kern w:val="24"/>
                <w:sz w:val="24"/>
                <w:szCs w:val="24"/>
                <w:lang w:eastAsia="zh-CN"/>
              </w:rPr>
            </w:pPr>
            <w:r>
              <w:rPr>
                <w:rFonts w:ascii="Times New Roman" w:hAnsi="Times New Roman" w:cs="Times New Roman"/>
                <w:bCs/>
                <w:color w:val="auto"/>
                <w:kern w:val="24"/>
                <w:sz w:val="24"/>
                <w:szCs w:val="24"/>
                <w:lang w:eastAsia="zh-CN"/>
              </w:rPr>
              <w:t>DA002</w:t>
            </w:r>
            <w:r>
              <w:rPr>
                <w:rFonts w:ascii="Times New Roman" w:hAnsi="Times New Roman" w:eastAsia="宋体" w:cs="Times New Roman"/>
                <w:bCs/>
                <w:color w:val="auto"/>
                <w:kern w:val="24"/>
                <w:sz w:val="24"/>
                <w:szCs w:val="24"/>
                <w:lang w:eastAsia="zh-CN"/>
              </w:rPr>
              <w:t>喷塑粉尘</w:t>
            </w:r>
          </w:p>
        </w:tc>
        <w:tc>
          <w:tcPr>
            <w:tcW w:w="633" w:type="pct"/>
            <w:tcBorders>
              <w:bottom w:val="single" w:color="000000" w:sz="2" w:space="0"/>
            </w:tcBorders>
            <w:vAlign w:val="center"/>
          </w:tcPr>
          <w:p w14:paraId="1A5F56F5">
            <w:pPr>
              <w:adjustRightInd/>
              <w:snapToGrid/>
              <w:jc w:val="center"/>
              <w:rPr>
                <w:rFonts w:ascii="Times New Roman" w:hAnsi="Times New Roman" w:eastAsia="宋体" w:cs="Times New Roman"/>
                <w:bCs/>
                <w:color w:val="auto"/>
                <w:kern w:val="24"/>
                <w:sz w:val="24"/>
                <w:szCs w:val="24"/>
              </w:rPr>
            </w:pPr>
            <w:r>
              <w:rPr>
                <w:rFonts w:ascii="Times New Roman" w:hAnsi="Times New Roman" w:eastAsia="宋体" w:cs="Times New Roman"/>
                <w:bCs/>
                <w:color w:val="auto"/>
                <w:kern w:val="24"/>
                <w:sz w:val="24"/>
                <w:szCs w:val="24"/>
              </w:rPr>
              <w:t>颗粒物</w:t>
            </w:r>
          </w:p>
        </w:tc>
        <w:tc>
          <w:tcPr>
            <w:tcW w:w="1151" w:type="pct"/>
            <w:tcBorders>
              <w:bottom w:val="single" w:color="000000" w:sz="2" w:space="0"/>
            </w:tcBorders>
            <w:vAlign w:val="center"/>
          </w:tcPr>
          <w:p w14:paraId="5697A75B">
            <w:pPr>
              <w:adjustRightInd/>
              <w:snapToGrid/>
              <w:jc w:val="center"/>
              <w:outlineLvl w:val="0"/>
              <w:rPr>
                <w:rFonts w:ascii="Times New Roman" w:hAnsi="Times New Roman" w:eastAsia="宋体" w:cs="Times New Roman"/>
                <w:bCs/>
                <w:color w:val="auto"/>
                <w:sz w:val="24"/>
                <w:szCs w:val="24"/>
                <w:lang w:eastAsia="zh-CN"/>
              </w:rPr>
            </w:pPr>
            <w:r>
              <w:rPr>
                <w:rFonts w:hint="eastAsia" w:ascii="Times New Roman" w:hAnsi="Times New Roman" w:cs="Times New Roman"/>
                <w:bCs/>
                <w:color w:val="auto"/>
                <w:sz w:val="24"/>
                <w:szCs w:val="24"/>
                <w:lang w:eastAsia="zh-CN"/>
              </w:rPr>
              <w:t>密闭</w:t>
            </w:r>
            <w:r>
              <w:rPr>
                <w:rFonts w:ascii="Times New Roman" w:hAnsi="Times New Roman" w:cs="Times New Roman"/>
                <w:bCs/>
                <w:color w:val="auto"/>
                <w:sz w:val="24"/>
                <w:szCs w:val="24"/>
                <w:lang w:eastAsia="zh-CN"/>
              </w:rPr>
              <w:t>负压收集</w:t>
            </w:r>
            <w:r>
              <w:rPr>
                <w:rFonts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eastAsia="zh-CN"/>
              </w:rPr>
              <w:t>滤芯除尘+</w:t>
            </w:r>
            <w:r>
              <w:rPr>
                <w:rFonts w:ascii="Times New Roman" w:hAnsi="Times New Roman" w:eastAsia="宋体" w:cs="Times New Roman"/>
                <w:bCs/>
                <w:color w:val="auto"/>
                <w:sz w:val="24"/>
                <w:szCs w:val="24"/>
                <w:lang w:eastAsia="zh-CN"/>
              </w:rPr>
              <w:t>布袋除尘器+</w:t>
            </w:r>
            <w:r>
              <w:rPr>
                <w:rFonts w:ascii="Times New Roman" w:hAnsi="Times New Roman" w:cs="Times New Roman"/>
                <w:bCs/>
                <w:color w:val="auto"/>
                <w:sz w:val="24"/>
                <w:szCs w:val="24"/>
                <w:lang w:eastAsia="zh-CN"/>
              </w:rPr>
              <w:t>15</w:t>
            </w:r>
            <w:r>
              <w:rPr>
                <w:rFonts w:ascii="Times New Roman" w:hAnsi="Times New Roman" w:eastAsia="宋体" w:cs="Times New Roman"/>
                <w:bCs/>
                <w:color w:val="auto"/>
                <w:sz w:val="24"/>
                <w:szCs w:val="24"/>
                <w:lang w:eastAsia="zh-CN"/>
              </w:rPr>
              <w:t>m高排气筒</w:t>
            </w:r>
          </w:p>
        </w:tc>
        <w:tc>
          <w:tcPr>
            <w:tcW w:w="1862" w:type="pct"/>
            <w:vMerge w:val="continue"/>
            <w:vAlign w:val="center"/>
          </w:tcPr>
          <w:p w14:paraId="12FC2A4C">
            <w:pPr>
              <w:adjustRightInd/>
              <w:snapToGrid/>
              <w:jc w:val="center"/>
              <w:outlineLvl w:val="0"/>
              <w:rPr>
                <w:rFonts w:ascii="Times New Roman" w:hAnsi="Times New Roman" w:eastAsia="宋体" w:cs="Times New Roman"/>
                <w:bCs/>
                <w:color w:val="auto"/>
                <w:sz w:val="24"/>
                <w:szCs w:val="24"/>
                <w:lang w:eastAsia="zh-CN"/>
              </w:rPr>
            </w:pPr>
          </w:p>
        </w:tc>
      </w:tr>
      <w:tr w14:paraId="6DD2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18" w:type="pct"/>
            <w:vMerge w:val="continue"/>
            <w:vAlign w:val="center"/>
          </w:tcPr>
          <w:p w14:paraId="72ABEAF5">
            <w:pPr>
              <w:adjustRightInd/>
              <w:snapToGrid/>
              <w:jc w:val="center"/>
              <w:rPr>
                <w:rFonts w:ascii="Times New Roman" w:hAnsi="Times New Roman" w:eastAsia="宋体" w:cs="Times New Roman"/>
                <w:bCs/>
                <w:color w:val="auto"/>
                <w:sz w:val="24"/>
                <w:szCs w:val="24"/>
              </w:rPr>
            </w:pPr>
          </w:p>
        </w:tc>
        <w:tc>
          <w:tcPr>
            <w:tcW w:w="834" w:type="pct"/>
            <w:vMerge w:val="restart"/>
            <w:vAlign w:val="center"/>
          </w:tcPr>
          <w:p w14:paraId="4861B9A8">
            <w:pPr>
              <w:pStyle w:val="33"/>
              <w:adjustRightInd/>
              <w:snapToGrid/>
              <w:rPr>
                <w:rFonts w:ascii="Times New Roman" w:hAnsi="Times New Roman" w:eastAsia="宋体" w:cs="Times New Roman"/>
                <w:bCs/>
                <w:color w:val="auto"/>
                <w:kern w:val="24"/>
                <w:sz w:val="24"/>
                <w:szCs w:val="24"/>
                <w:lang w:eastAsia="zh-CN"/>
              </w:rPr>
            </w:pPr>
            <w:r>
              <w:rPr>
                <w:rFonts w:ascii="Times New Roman" w:hAnsi="Times New Roman" w:eastAsia="宋体" w:cs="Times New Roman"/>
                <w:bCs/>
                <w:color w:val="auto"/>
                <w:kern w:val="24"/>
                <w:sz w:val="24"/>
                <w:szCs w:val="24"/>
                <w:lang w:eastAsia="zh-CN"/>
              </w:rPr>
              <w:t>DA003/固化废</w:t>
            </w:r>
            <w:r>
              <w:rPr>
                <w:rFonts w:hint="eastAsia" w:ascii="Times New Roman" w:hAnsi="Times New Roman" w:eastAsia="宋体" w:cs="Times New Roman"/>
                <w:bCs/>
                <w:color w:val="auto"/>
                <w:kern w:val="24"/>
                <w:sz w:val="24"/>
                <w:szCs w:val="24"/>
                <w:lang w:eastAsia="zh-CN"/>
              </w:rPr>
              <w:t>气</w:t>
            </w:r>
            <w:r>
              <w:rPr>
                <w:rFonts w:ascii="Times New Roman" w:hAnsi="Times New Roman" w:eastAsia="宋体" w:cs="Times New Roman"/>
                <w:bCs/>
                <w:color w:val="auto"/>
                <w:kern w:val="24"/>
                <w:sz w:val="24"/>
                <w:szCs w:val="24"/>
                <w:lang w:eastAsia="zh-CN"/>
              </w:rPr>
              <w:t>（天然气燃烧废气）</w:t>
            </w:r>
          </w:p>
        </w:tc>
        <w:tc>
          <w:tcPr>
            <w:tcW w:w="633" w:type="pct"/>
            <w:tcBorders>
              <w:bottom w:val="single" w:color="000000" w:sz="2" w:space="0"/>
            </w:tcBorders>
            <w:vAlign w:val="center"/>
          </w:tcPr>
          <w:p w14:paraId="681C3739">
            <w:pPr>
              <w:adjustRightInd/>
              <w:snapToGrid/>
              <w:jc w:val="center"/>
              <w:rPr>
                <w:rFonts w:ascii="Times New Roman" w:hAnsi="Times New Roman" w:eastAsia="宋体" w:cs="Times New Roman"/>
                <w:bCs/>
                <w:color w:val="auto"/>
                <w:kern w:val="24"/>
                <w:sz w:val="24"/>
                <w:szCs w:val="24"/>
              </w:rPr>
            </w:pPr>
            <w:r>
              <w:rPr>
                <w:rFonts w:ascii="Times New Roman" w:hAnsi="Times New Roman" w:eastAsia="宋体" w:cs="Times New Roman"/>
                <w:bCs/>
                <w:color w:val="auto"/>
                <w:kern w:val="24"/>
                <w:sz w:val="24"/>
                <w:szCs w:val="24"/>
                <w:lang w:eastAsia="zh-CN"/>
              </w:rPr>
              <w:t>非甲烷总烃</w:t>
            </w:r>
          </w:p>
        </w:tc>
        <w:tc>
          <w:tcPr>
            <w:tcW w:w="1151" w:type="pct"/>
            <w:vMerge w:val="restart"/>
            <w:vAlign w:val="center"/>
          </w:tcPr>
          <w:p w14:paraId="1D7F73B4">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cs="Times New Roman"/>
                <w:bCs/>
                <w:color w:val="auto"/>
                <w:sz w:val="24"/>
                <w:szCs w:val="24"/>
                <w:lang w:eastAsia="zh-CN"/>
              </w:rPr>
              <w:t>天然气低氮燃烧，废气</w:t>
            </w:r>
            <w:r>
              <w:rPr>
                <w:rFonts w:ascii="Times New Roman" w:hAnsi="Times New Roman" w:eastAsia="宋体" w:cs="Times New Roman"/>
                <w:bCs/>
                <w:color w:val="auto"/>
                <w:sz w:val="24"/>
                <w:szCs w:val="24"/>
                <w:lang w:eastAsia="zh-CN"/>
              </w:rPr>
              <w:t>密闭负压收集+</w:t>
            </w:r>
            <w:r>
              <w:rPr>
                <w:rFonts w:ascii="Times New Roman" w:hAnsi="Times New Roman" w:cs="Times New Roman"/>
                <w:bCs/>
                <w:color w:val="auto"/>
                <w:sz w:val="24"/>
                <w:szCs w:val="24"/>
                <w:lang w:eastAsia="zh-CN"/>
              </w:rPr>
              <w:t>风冷+</w:t>
            </w:r>
            <w:r>
              <w:rPr>
                <w:rFonts w:ascii="Times New Roman" w:hAnsi="Times New Roman" w:eastAsia="宋体" w:cs="Times New Roman"/>
                <w:bCs/>
                <w:color w:val="auto"/>
                <w:sz w:val="24"/>
                <w:szCs w:val="24"/>
                <w:lang w:eastAsia="zh-CN"/>
              </w:rPr>
              <w:t>二级活性炭+15m高排气筒</w:t>
            </w:r>
          </w:p>
        </w:tc>
        <w:tc>
          <w:tcPr>
            <w:tcW w:w="1862" w:type="pct"/>
            <w:vAlign w:val="center"/>
          </w:tcPr>
          <w:p w14:paraId="3D868CBE">
            <w:pPr>
              <w:adjustRightInd/>
              <w:snapToGrid/>
              <w:jc w:val="center"/>
              <w:outlineLvl w:val="0"/>
              <w:rPr>
                <w:rFonts w:ascii="Times New Roman" w:hAnsi="Times New Roman" w:eastAsia="宋体" w:cs="Times New Roman"/>
                <w:bCs/>
                <w:color w:val="auto"/>
                <w:sz w:val="24"/>
                <w:szCs w:val="24"/>
                <w:lang w:val="zh-CN" w:eastAsia="zh-CN"/>
              </w:rPr>
            </w:pPr>
            <w:r>
              <w:rPr>
                <w:rFonts w:ascii="Times New Roman" w:hAnsi="Times New Roman" w:eastAsia="宋体" w:cs="Times New Roman"/>
                <w:bCs/>
                <w:color w:val="auto"/>
                <w:sz w:val="24"/>
                <w:szCs w:val="24"/>
                <w:lang w:eastAsia="zh-CN"/>
              </w:rPr>
              <w:t>安徽省《固定源挥发性有机物第六部分：其他行业》（DB34/4812.6-2024）中表1标准限值要求</w:t>
            </w:r>
          </w:p>
        </w:tc>
      </w:tr>
      <w:tr w14:paraId="3FAE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18" w:type="pct"/>
            <w:vMerge w:val="continue"/>
            <w:vAlign w:val="center"/>
          </w:tcPr>
          <w:p w14:paraId="33E3BFE1">
            <w:pPr>
              <w:adjustRightInd/>
              <w:snapToGrid/>
              <w:jc w:val="center"/>
              <w:rPr>
                <w:rFonts w:ascii="Times New Roman" w:hAnsi="Times New Roman" w:eastAsia="宋体" w:cs="Times New Roman"/>
                <w:bCs/>
                <w:color w:val="auto"/>
                <w:sz w:val="24"/>
                <w:szCs w:val="24"/>
                <w:lang w:eastAsia="zh-CN"/>
              </w:rPr>
            </w:pPr>
          </w:p>
        </w:tc>
        <w:tc>
          <w:tcPr>
            <w:tcW w:w="834" w:type="pct"/>
            <w:vMerge w:val="continue"/>
            <w:vAlign w:val="center"/>
          </w:tcPr>
          <w:p w14:paraId="4344F254">
            <w:pPr>
              <w:pStyle w:val="33"/>
              <w:adjustRightInd/>
              <w:snapToGrid/>
              <w:rPr>
                <w:rFonts w:ascii="Times New Roman" w:hAnsi="Times New Roman" w:eastAsia="宋体" w:cs="Times New Roman"/>
                <w:bCs/>
                <w:color w:val="auto"/>
                <w:kern w:val="24"/>
                <w:sz w:val="24"/>
                <w:szCs w:val="24"/>
                <w:lang w:eastAsia="zh-CN"/>
              </w:rPr>
            </w:pPr>
          </w:p>
        </w:tc>
        <w:tc>
          <w:tcPr>
            <w:tcW w:w="633" w:type="pct"/>
            <w:tcBorders>
              <w:top w:val="single" w:color="000000" w:sz="2" w:space="0"/>
              <w:bottom w:val="single" w:color="000000" w:sz="2" w:space="0"/>
            </w:tcBorders>
            <w:vAlign w:val="center"/>
          </w:tcPr>
          <w:p w14:paraId="47116751">
            <w:pPr>
              <w:adjustRightInd/>
              <w:snapToGrid/>
              <w:jc w:val="center"/>
              <w:rPr>
                <w:rFonts w:ascii="Times New Roman" w:hAnsi="Times New Roman" w:eastAsia="宋体" w:cs="Times New Roman"/>
                <w:bCs/>
                <w:color w:val="auto"/>
                <w:kern w:val="24"/>
                <w:sz w:val="24"/>
                <w:szCs w:val="24"/>
                <w:lang w:eastAsia="zh-CN"/>
              </w:rPr>
            </w:pPr>
            <w:r>
              <w:rPr>
                <w:rFonts w:ascii="Times New Roman" w:hAnsi="Times New Roman" w:cs="Times New Roman"/>
                <w:bCs/>
                <w:color w:val="auto"/>
                <w:kern w:val="24"/>
                <w:sz w:val="24"/>
                <w:szCs w:val="24"/>
                <w:lang w:eastAsia="zh-CN"/>
              </w:rPr>
              <w:t>颗粒物、氮氧化物、二氧化硫</w:t>
            </w:r>
          </w:p>
        </w:tc>
        <w:tc>
          <w:tcPr>
            <w:tcW w:w="1151" w:type="pct"/>
            <w:vMerge w:val="continue"/>
            <w:tcBorders>
              <w:bottom w:val="single" w:color="000000" w:sz="2" w:space="0"/>
            </w:tcBorders>
            <w:vAlign w:val="center"/>
          </w:tcPr>
          <w:p w14:paraId="01B5705C">
            <w:pPr>
              <w:adjustRightInd/>
              <w:snapToGrid/>
              <w:jc w:val="center"/>
              <w:outlineLvl w:val="0"/>
              <w:rPr>
                <w:rFonts w:ascii="Times New Roman" w:hAnsi="Times New Roman" w:eastAsia="宋体" w:cs="Times New Roman"/>
                <w:bCs/>
                <w:color w:val="auto"/>
                <w:sz w:val="24"/>
                <w:szCs w:val="24"/>
                <w:lang w:eastAsia="zh-CN"/>
              </w:rPr>
            </w:pPr>
          </w:p>
        </w:tc>
        <w:tc>
          <w:tcPr>
            <w:tcW w:w="1862" w:type="pct"/>
            <w:vAlign w:val="center"/>
          </w:tcPr>
          <w:p w14:paraId="28A43C69">
            <w:pPr>
              <w:adjustRightInd/>
              <w:snapToGrid/>
              <w:jc w:val="center"/>
              <w:outlineLvl w:val="0"/>
              <w:rPr>
                <w:rFonts w:ascii="Times New Roman" w:hAnsi="Times New Roman" w:eastAsia="宋体" w:cs="Times New Roman"/>
                <w:bCs/>
                <w:color w:val="auto"/>
                <w:sz w:val="24"/>
                <w:szCs w:val="24"/>
              </w:rPr>
            </w:pPr>
            <w:r>
              <w:rPr>
                <w:rFonts w:ascii="Times New Roman" w:hAnsi="Times New Roman" w:cs="Times New Roman"/>
                <w:color w:val="auto"/>
                <w:sz w:val="24"/>
                <w:szCs w:val="24"/>
                <w:lang w:eastAsia="zh-CN"/>
              </w:rPr>
              <w:t>《</w:t>
            </w:r>
            <w:r>
              <w:rPr>
                <w:rFonts w:ascii="Times New Roman" w:hAnsi="Times New Roman" w:cs="Times New Roman"/>
                <w:color w:val="auto"/>
                <w:sz w:val="24"/>
                <w:szCs w:val="24"/>
              </w:rPr>
              <w:t>工业炉窑大气污染物排放标准》（GB 9078-1996）表2相关标准要求及“关于印发《工业炉窑大气污染综合治理方案》的通知”（环大气〔2019〕56号）中“重点区域原则上按照颗粒物、二氧化硫、氮氧化物原则上按照排放限值分别不高于30、200、300毫克/立方米实施改造”</w:t>
            </w:r>
          </w:p>
        </w:tc>
      </w:tr>
      <w:tr w14:paraId="2691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518" w:type="pct"/>
            <w:vAlign w:val="center"/>
          </w:tcPr>
          <w:p w14:paraId="1C6B51D5">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水污染物</w:t>
            </w:r>
          </w:p>
        </w:tc>
        <w:tc>
          <w:tcPr>
            <w:tcW w:w="834" w:type="pct"/>
            <w:vAlign w:val="center"/>
          </w:tcPr>
          <w:p w14:paraId="5C2F1E5C">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rPr>
              <w:t>DW001/</w:t>
            </w:r>
            <w:r>
              <w:rPr>
                <w:rFonts w:ascii="Times New Roman" w:hAnsi="Times New Roman" w:eastAsia="宋体" w:cs="Times New Roman"/>
                <w:bCs/>
                <w:color w:val="auto"/>
                <w:sz w:val="24"/>
                <w:szCs w:val="24"/>
                <w:lang w:eastAsia="zh-CN"/>
              </w:rPr>
              <w:t>生活污水</w:t>
            </w:r>
          </w:p>
        </w:tc>
        <w:tc>
          <w:tcPr>
            <w:tcW w:w="633" w:type="pct"/>
            <w:vAlign w:val="center"/>
          </w:tcPr>
          <w:p w14:paraId="16ACA24A">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rPr>
              <w:t>pH、COD、BOD</w:t>
            </w:r>
            <w:r>
              <w:rPr>
                <w:rFonts w:ascii="Times New Roman" w:hAnsi="Times New Roman" w:eastAsia="宋体" w:cs="Times New Roman"/>
                <w:bCs/>
                <w:color w:val="auto"/>
                <w:sz w:val="24"/>
                <w:szCs w:val="24"/>
                <w:vertAlign w:val="subscript"/>
              </w:rPr>
              <w:t>5</w:t>
            </w:r>
            <w:r>
              <w:rPr>
                <w:rFonts w:ascii="Times New Roman" w:hAnsi="Times New Roman" w:eastAsia="宋体" w:cs="Times New Roman"/>
                <w:bCs/>
                <w:color w:val="auto"/>
                <w:sz w:val="24"/>
                <w:szCs w:val="24"/>
              </w:rPr>
              <w:t>、NH</w:t>
            </w:r>
            <w:r>
              <w:rPr>
                <w:rFonts w:ascii="Times New Roman" w:hAnsi="Times New Roman" w:eastAsia="宋体" w:cs="Times New Roman"/>
                <w:bCs/>
                <w:color w:val="auto"/>
                <w:sz w:val="24"/>
                <w:szCs w:val="24"/>
                <w:vertAlign w:val="subscript"/>
              </w:rPr>
              <w:t>3</w:t>
            </w:r>
            <w:r>
              <w:rPr>
                <w:rFonts w:ascii="Times New Roman" w:hAnsi="Times New Roman" w:eastAsia="宋体" w:cs="Times New Roman"/>
                <w:bCs/>
                <w:color w:val="auto"/>
                <w:sz w:val="24"/>
                <w:szCs w:val="24"/>
              </w:rPr>
              <w:t>-N、SS</w:t>
            </w:r>
          </w:p>
        </w:tc>
        <w:tc>
          <w:tcPr>
            <w:tcW w:w="1151" w:type="pct"/>
            <w:vAlign w:val="center"/>
          </w:tcPr>
          <w:p w14:paraId="77DAB5D0">
            <w:pPr>
              <w:adjustRightInd/>
              <w:snapToGrid/>
              <w:jc w:val="center"/>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生活污水经化粪池处理后，排入园区污水管网</w:t>
            </w:r>
            <w:r>
              <w:rPr>
                <w:rFonts w:hint="eastAsia" w:cs="Times New Roman"/>
                <w:bCs/>
                <w:color w:val="auto"/>
                <w:sz w:val="24"/>
                <w:szCs w:val="24"/>
                <w:lang w:eastAsia="zh-CN"/>
              </w:rPr>
              <w:t>；</w:t>
            </w:r>
          </w:p>
        </w:tc>
        <w:tc>
          <w:tcPr>
            <w:tcW w:w="1862" w:type="pct"/>
            <w:vAlign w:val="center"/>
          </w:tcPr>
          <w:p w14:paraId="1C7DF0F7">
            <w:pPr>
              <w:adjustRightInd/>
              <w:snapToGrid/>
              <w:jc w:val="center"/>
              <w:outlineLvl w:val="0"/>
              <w:rPr>
                <w:rFonts w:ascii="Times New Roman" w:hAnsi="Times New Roman" w:eastAsia="宋体" w:cs="Times New Roman"/>
                <w:bCs/>
                <w:color w:val="auto"/>
                <w:sz w:val="24"/>
                <w:szCs w:val="24"/>
                <w:lang w:eastAsia="zh-CN" w:bidi="ar"/>
              </w:rPr>
            </w:pPr>
            <w:r>
              <w:rPr>
                <w:rFonts w:ascii="Times New Roman" w:hAnsi="Times New Roman" w:eastAsia="宋体" w:cs="Times New Roman"/>
                <w:bCs/>
                <w:color w:val="auto"/>
                <w:sz w:val="24"/>
                <w:szCs w:val="24"/>
                <w:lang w:eastAsia="zh-CN"/>
              </w:rPr>
              <w:t>满足《污水综合排放标准》（GB8978-1996）三级标准并满足</w:t>
            </w:r>
            <w:r>
              <w:rPr>
                <w:rFonts w:hint="eastAsia" w:ascii="Times New Roman" w:hAnsi="Times New Roman" w:eastAsia="宋体" w:cs="Times New Roman"/>
                <w:bCs/>
                <w:color w:val="auto"/>
                <w:sz w:val="24"/>
                <w:szCs w:val="24"/>
                <w:lang w:eastAsia="zh-CN"/>
              </w:rPr>
              <w:t>濉溪县</w:t>
            </w:r>
            <w:r>
              <w:rPr>
                <w:rFonts w:hint="eastAsia" w:ascii="Times New Roman" w:hAnsi="Times New Roman" w:eastAsia="宋体" w:cs="Times New Roman"/>
                <w:color w:val="auto"/>
                <w:kern w:val="2"/>
                <w:sz w:val="24"/>
                <w:szCs w:val="24"/>
                <w:lang w:eastAsia="zh-CN"/>
              </w:rPr>
              <w:t>第二污水处理厂</w:t>
            </w:r>
            <w:r>
              <w:rPr>
                <w:rFonts w:ascii="Times New Roman" w:hAnsi="Times New Roman" w:eastAsia="宋体" w:cs="Times New Roman"/>
                <w:bCs/>
                <w:color w:val="auto"/>
                <w:sz w:val="24"/>
                <w:szCs w:val="24"/>
                <w:lang w:eastAsia="zh-CN"/>
              </w:rPr>
              <w:t>接管标准</w:t>
            </w:r>
          </w:p>
        </w:tc>
      </w:tr>
      <w:tr w14:paraId="38D7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518" w:type="pct"/>
            <w:vAlign w:val="center"/>
          </w:tcPr>
          <w:p w14:paraId="46263083">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声环境</w:t>
            </w:r>
          </w:p>
        </w:tc>
        <w:tc>
          <w:tcPr>
            <w:tcW w:w="834" w:type="pct"/>
            <w:vAlign w:val="center"/>
          </w:tcPr>
          <w:p w14:paraId="421FF0AD">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生产设备</w:t>
            </w:r>
          </w:p>
        </w:tc>
        <w:tc>
          <w:tcPr>
            <w:tcW w:w="633" w:type="pct"/>
            <w:vAlign w:val="center"/>
          </w:tcPr>
          <w:p w14:paraId="5E60E394">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设备噪声</w:t>
            </w:r>
          </w:p>
        </w:tc>
        <w:tc>
          <w:tcPr>
            <w:tcW w:w="1151" w:type="pct"/>
            <w:vAlign w:val="center"/>
          </w:tcPr>
          <w:p w14:paraId="46079096">
            <w:pPr>
              <w:adjustRightInd/>
              <w:snapToGrid/>
              <w:jc w:val="center"/>
              <w:outlineLvl w:val="0"/>
              <w:rPr>
                <w:rFonts w:ascii="Times New Roman" w:hAnsi="Times New Roman" w:eastAsia="宋体" w:cs="Times New Roman"/>
                <w:bCs/>
                <w:color w:val="auto"/>
                <w:sz w:val="24"/>
                <w:szCs w:val="24"/>
                <w:lang w:eastAsia="zh-CN"/>
              </w:rPr>
            </w:pPr>
            <w:r>
              <w:rPr>
                <w:rFonts w:hint="eastAsia" w:cs="宋体"/>
                <w:color w:val="auto"/>
                <w:sz w:val="24"/>
                <w:szCs w:val="24"/>
              </w:rPr>
              <w:t>厂房隔声，使用低噪设备，合理安排工作时间等</w:t>
            </w:r>
          </w:p>
        </w:tc>
        <w:tc>
          <w:tcPr>
            <w:tcW w:w="1862" w:type="pct"/>
            <w:vAlign w:val="center"/>
          </w:tcPr>
          <w:p w14:paraId="2B42B2F2">
            <w:pPr>
              <w:adjustRightInd/>
              <w:snapToGrid/>
              <w:jc w:val="center"/>
              <w:outlineLvl w:val="0"/>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满足《工业企业厂界环境噪声排放标准》（GB12348-2008）中3类标准</w:t>
            </w:r>
          </w:p>
        </w:tc>
      </w:tr>
      <w:tr w14:paraId="67D1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18" w:type="pct"/>
            <w:vAlign w:val="center"/>
          </w:tcPr>
          <w:p w14:paraId="4487FD4B">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固体废物</w:t>
            </w:r>
          </w:p>
        </w:tc>
        <w:tc>
          <w:tcPr>
            <w:tcW w:w="4481" w:type="pct"/>
            <w:gridSpan w:val="4"/>
            <w:vAlign w:val="center"/>
          </w:tcPr>
          <w:p w14:paraId="300CF0CD">
            <w:pPr>
              <w:adjustRightInd/>
              <w:snapToGrid/>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1、生活垃圾由环卫部门清运；</w:t>
            </w:r>
          </w:p>
          <w:p w14:paraId="7B7EB80B">
            <w:pPr>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2、项目</w:t>
            </w:r>
            <w:r>
              <w:rPr>
                <w:rFonts w:ascii="Times New Roman" w:hAnsi="Times New Roman" w:eastAsia="宋体" w:cs="Times New Roman"/>
                <w:color w:val="auto"/>
                <w:sz w:val="24"/>
                <w:szCs w:val="24"/>
                <w:lang w:eastAsia="zh-CN"/>
              </w:rPr>
              <w:t>建设一座20m²的一般固废暂存间，用于暂存生产过程中产生的</w:t>
            </w:r>
            <w:r>
              <w:rPr>
                <w:rFonts w:ascii="Times New Roman" w:hAnsi="Times New Roman" w:eastAsia="宋体" w:cs="Times New Roman"/>
                <w:color w:val="auto"/>
                <w:sz w:val="24"/>
                <w:szCs w:val="24"/>
              </w:rPr>
              <w:t>金属边角料、焊渣、</w:t>
            </w:r>
            <w:r>
              <w:rPr>
                <w:rFonts w:hint="eastAsia" w:ascii="Times New Roman" w:hAnsi="Times New Roman" w:eastAsia="宋体" w:cs="Times New Roman"/>
                <w:color w:val="auto"/>
                <w:sz w:val="24"/>
                <w:szCs w:val="24"/>
                <w:lang w:eastAsia="zh-CN"/>
              </w:rPr>
              <w:t>布袋除尘器收尘、滤芯收集尘、碎玻璃</w:t>
            </w:r>
            <w:r>
              <w:rPr>
                <w:rFonts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焊渣</w:t>
            </w:r>
            <w:r>
              <w:rPr>
                <w:rFonts w:hint="eastAsia" w:ascii="Times New Roman" w:hAnsi="Times New Roman" w:eastAsia="宋体" w:cs="Times New Roman"/>
                <w:color w:val="auto"/>
                <w:sz w:val="24"/>
                <w:szCs w:val="24"/>
                <w:lang w:eastAsia="zh-CN"/>
              </w:rPr>
              <w:t>、布袋除尘器收集尘定期外售处理</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碎玻璃、</w:t>
            </w:r>
            <w:r>
              <w:rPr>
                <w:rFonts w:ascii="Times New Roman" w:hAnsi="Times New Roman" w:eastAsia="宋体" w:cs="Times New Roman"/>
                <w:color w:val="auto"/>
                <w:sz w:val="24"/>
                <w:szCs w:val="24"/>
              </w:rPr>
              <w:t>金属边角料外售</w:t>
            </w:r>
            <w:r>
              <w:rPr>
                <w:rFonts w:hint="eastAsia" w:ascii="Times New Roman" w:hAnsi="Times New Roman" w:eastAsia="宋体" w:cs="Times New Roman"/>
                <w:color w:val="auto"/>
                <w:sz w:val="24"/>
                <w:szCs w:val="24"/>
                <w:lang w:eastAsia="zh-CN"/>
              </w:rPr>
              <w:t>综合利用</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滤芯收集尘回用于生产。</w:t>
            </w:r>
          </w:p>
          <w:p w14:paraId="47677A74">
            <w:pPr>
              <w:adjustRightInd/>
              <w:snapToGrid/>
              <w:spacing w:line="360" w:lineRule="auto"/>
              <w:ind w:firstLine="480" w:firstLineChars="200"/>
              <w:rPr>
                <w:rFonts w:ascii="Times New Roman" w:hAnsi="Times New Roman" w:eastAsia="宋体" w:cs="Times New Roman"/>
                <w:bCs/>
                <w:color w:val="auto"/>
                <w:sz w:val="24"/>
                <w:szCs w:val="24"/>
                <w:lang w:eastAsia="zh-CN"/>
              </w:rPr>
            </w:pPr>
            <w:r>
              <w:rPr>
                <w:rFonts w:ascii="Times New Roman" w:hAnsi="Times New Roman" w:eastAsia="宋体" w:cs="Times New Roman"/>
                <w:color w:val="auto"/>
                <w:sz w:val="24"/>
                <w:szCs w:val="24"/>
              </w:rPr>
              <w:t>3、</w:t>
            </w:r>
            <w:r>
              <w:rPr>
                <w:rFonts w:ascii="Times New Roman" w:hAnsi="Times New Roman" w:eastAsia="宋体" w:cs="Times New Roman"/>
                <w:color w:val="auto"/>
                <w:sz w:val="24"/>
                <w:szCs w:val="24"/>
                <w:lang w:eastAsia="zh-CN"/>
              </w:rPr>
              <w:t>项目建设一间</w:t>
            </w:r>
            <w:r>
              <w:rPr>
                <w:rFonts w:hint="eastAsia" w:ascii="Times New Roman" w:hAnsi="Times New Roman" w:eastAsia="宋体" w:cs="Times New Roman"/>
                <w:color w:val="auto"/>
                <w:sz w:val="24"/>
                <w:szCs w:val="24"/>
                <w:lang w:eastAsia="zh-CN"/>
              </w:rPr>
              <w:t>10m</w:t>
            </w:r>
            <w:r>
              <w:rPr>
                <w:rFonts w:ascii="Times New Roman" w:hAnsi="Times New Roman" w:eastAsia="宋体" w:cs="Times New Roman"/>
                <w:color w:val="auto"/>
                <w:sz w:val="24"/>
                <w:szCs w:val="24"/>
                <w:lang w:eastAsia="zh-CN"/>
              </w:rPr>
              <w:t>²的危废暂存间，用于暂存</w:t>
            </w:r>
            <w:r>
              <w:rPr>
                <w:rFonts w:ascii="Times New Roman" w:hAnsi="Times New Roman" w:eastAsia="宋体" w:cs="Times New Roman"/>
                <w:color w:val="auto"/>
                <w:sz w:val="24"/>
                <w:szCs w:val="24"/>
              </w:rPr>
              <w:t>废活性炭</w:t>
            </w:r>
            <w:r>
              <w:rPr>
                <w:rFonts w:hint="eastAsia" w:cs="Times New Roman"/>
                <w:color w:val="auto"/>
                <w:sz w:val="24"/>
                <w:szCs w:val="24"/>
                <w:lang w:eastAsia="zh-CN"/>
              </w:rPr>
              <w:t>、废机油、废机油桶，</w:t>
            </w:r>
            <w:r>
              <w:rPr>
                <w:rFonts w:ascii="Times New Roman" w:hAnsi="Times New Roman" w:cs="Times New Roman"/>
                <w:color w:val="auto"/>
                <w:sz w:val="24"/>
                <w:szCs w:val="24"/>
                <w:lang w:eastAsia="zh-CN"/>
              </w:rPr>
              <w:t>液体危废暂存于专用密闭包装桶中，废活性炭</w:t>
            </w:r>
            <w:r>
              <w:rPr>
                <w:rFonts w:hint="eastAsia" w:ascii="Times New Roman" w:hAnsi="Times New Roman" w:cs="Times New Roman"/>
                <w:color w:val="auto"/>
                <w:sz w:val="24"/>
                <w:szCs w:val="24"/>
                <w:lang w:eastAsia="zh-CN"/>
              </w:rPr>
              <w:t>采用薄膜缠绕包裹暂存密闭桶内。</w:t>
            </w:r>
            <w:r>
              <w:rPr>
                <w:rFonts w:ascii="Times New Roman" w:hAnsi="Times New Roman" w:eastAsia="宋体" w:cs="Times New Roman"/>
                <w:color w:val="auto"/>
                <w:sz w:val="24"/>
                <w:szCs w:val="24"/>
                <w:lang w:eastAsia="zh-CN"/>
              </w:rPr>
              <w:t>定期委托有</w:t>
            </w:r>
            <w:r>
              <w:rPr>
                <w:rFonts w:ascii="Times New Roman" w:hAnsi="Times New Roman" w:eastAsia="宋体" w:cs="Times New Roman"/>
                <w:color w:val="auto"/>
                <w:sz w:val="24"/>
                <w:szCs w:val="24"/>
              </w:rPr>
              <w:t>资质单位进行处理。</w:t>
            </w:r>
          </w:p>
        </w:tc>
      </w:tr>
      <w:tr w14:paraId="1C95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518" w:type="pct"/>
            <w:vAlign w:val="center"/>
          </w:tcPr>
          <w:p w14:paraId="6B917B41">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土壤及地下水污染防治措施</w:t>
            </w:r>
          </w:p>
        </w:tc>
        <w:tc>
          <w:tcPr>
            <w:tcW w:w="4481" w:type="pct"/>
            <w:gridSpan w:val="4"/>
            <w:vAlign w:val="center"/>
          </w:tcPr>
          <w:p w14:paraId="47324A59">
            <w:pPr>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分区防渗：</w:t>
            </w:r>
          </w:p>
          <w:p w14:paraId="6F5B1B29">
            <w:pPr>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（1）重点防渗：</w:t>
            </w:r>
            <w:r>
              <w:rPr>
                <w:rFonts w:ascii="Times New Roman" w:hAnsi="Times New Roman" w:eastAsia="宋体" w:cs="Times New Roman"/>
                <w:color w:val="auto"/>
                <w:sz w:val="24"/>
                <w:lang w:eastAsia="zh-CN"/>
              </w:rPr>
              <w:t>项目在建设过程中，</w:t>
            </w:r>
            <w:r>
              <w:rPr>
                <w:rFonts w:ascii="Times New Roman" w:hAnsi="Times New Roman" w:cs="Times New Roman"/>
                <w:color w:val="auto"/>
                <w:sz w:val="24"/>
                <w:lang w:eastAsia="zh-CN"/>
              </w:rPr>
              <w:t>租赁</w:t>
            </w:r>
            <w:r>
              <w:rPr>
                <w:rFonts w:ascii="Times New Roman" w:hAnsi="Times New Roman" w:eastAsia="宋体" w:cs="Times New Roman"/>
                <w:color w:val="auto"/>
                <w:sz w:val="24"/>
                <w:lang w:eastAsia="zh-CN"/>
              </w:rPr>
              <w:t>已建</w:t>
            </w:r>
            <w:r>
              <w:rPr>
                <w:rFonts w:ascii="Times New Roman" w:hAnsi="Times New Roman" w:cs="Times New Roman"/>
                <w:color w:val="auto"/>
                <w:sz w:val="24"/>
                <w:lang w:eastAsia="zh-CN"/>
              </w:rPr>
              <w:t>厂房，依托已有</w:t>
            </w:r>
            <w:r>
              <w:rPr>
                <w:rFonts w:ascii="Times New Roman" w:hAnsi="Times New Roman" w:eastAsia="宋体" w:cs="Times New Roman"/>
                <w:color w:val="auto"/>
                <w:sz w:val="24"/>
                <w:lang w:eastAsia="zh-CN"/>
              </w:rPr>
              <w:t>C30防渗混凝土</w:t>
            </w:r>
            <w:r>
              <w:rPr>
                <w:rFonts w:ascii="Times New Roman" w:hAnsi="Times New Roman" w:cs="Times New Roman"/>
                <w:color w:val="auto"/>
                <w:sz w:val="24"/>
                <w:lang w:eastAsia="zh-CN"/>
              </w:rPr>
              <w:t>（20cm厚）</w:t>
            </w:r>
            <w:r>
              <w:rPr>
                <w:rFonts w:ascii="Times New Roman" w:hAnsi="Times New Roman" w:eastAsia="宋体" w:cs="Times New Roman"/>
                <w:color w:val="auto"/>
                <w:sz w:val="24"/>
                <w:lang w:eastAsia="zh-CN"/>
              </w:rPr>
              <w:t>地面</w:t>
            </w:r>
            <w:r>
              <w:rPr>
                <w:rFonts w:ascii="Times New Roman" w:hAnsi="Times New Roman" w:cs="Times New Roman"/>
                <w:color w:val="auto"/>
                <w:sz w:val="24"/>
                <w:lang w:eastAsia="zh-CN"/>
              </w:rPr>
              <w:t>，本项目在危废暂存间、</w:t>
            </w:r>
            <w:r>
              <w:rPr>
                <w:rFonts w:hint="eastAsia" w:ascii="Times New Roman" w:hAnsi="Times New Roman" w:cs="Times New Roman"/>
                <w:color w:val="auto"/>
                <w:sz w:val="24"/>
                <w:lang w:eastAsia="zh-CN"/>
              </w:rPr>
              <w:t>喷塑房、固化房</w:t>
            </w:r>
            <w:r>
              <w:rPr>
                <w:rFonts w:hint="eastAsia" w:ascii="Times New Roman" w:hAnsi="Times New Roman" w:cs="Times New Roman"/>
                <w:color w:val="auto"/>
                <w:sz w:val="24"/>
                <w:lang w:val="en-US" w:eastAsia="zh-CN"/>
              </w:rPr>
              <w:t>的区域</w:t>
            </w:r>
            <w:r>
              <w:rPr>
                <w:rFonts w:ascii="Times New Roman" w:hAnsi="Times New Roman" w:cs="Times New Roman"/>
                <w:color w:val="auto"/>
                <w:sz w:val="24"/>
                <w:lang w:eastAsia="zh-CN"/>
              </w:rPr>
              <w:t>增加2</w:t>
            </w:r>
            <w:r>
              <w:rPr>
                <w:rFonts w:ascii="Times New Roman" w:hAnsi="Times New Roman" w:eastAsia="宋体" w:cs="Times New Roman"/>
                <w:color w:val="auto"/>
                <w:sz w:val="24"/>
                <w:lang w:eastAsia="zh-CN"/>
              </w:rPr>
              <w:t>mm</w:t>
            </w:r>
            <w:r>
              <w:rPr>
                <w:rFonts w:ascii="Times New Roman" w:hAnsi="Times New Roman" w:cs="Times New Roman"/>
                <w:color w:val="auto"/>
                <w:sz w:val="24"/>
                <w:lang w:eastAsia="zh-CN"/>
              </w:rPr>
              <w:t>厚</w:t>
            </w:r>
            <w:r>
              <w:rPr>
                <w:rFonts w:ascii="Times New Roman" w:hAnsi="Times New Roman" w:eastAsia="宋体" w:cs="Times New Roman"/>
                <w:color w:val="auto"/>
                <w:sz w:val="24"/>
                <w:lang w:eastAsia="zh-CN"/>
              </w:rPr>
              <w:t>环氧树脂漆</w:t>
            </w:r>
            <w:r>
              <w:rPr>
                <w:rFonts w:ascii="Times New Roman" w:hAnsi="Times New Roman" w:cs="Times New Roman"/>
                <w:color w:val="auto"/>
                <w:sz w:val="24"/>
                <w:lang w:eastAsia="zh-CN"/>
              </w:rPr>
              <w:t>地面</w:t>
            </w:r>
            <w:r>
              <w:rPr>
                <w:rFonts w:ascii="Times New Roman" w:hAnsi="Times New Roman" w:eastAsia="宋体" w:cs="Times New Roman"/>
                <w:color w:val="auto"/>
                <w:sz w:val="24"/>
                <w:lang w:eastAsia="zh-CN"/>
              </w:rPr>
              <w:t>，防渗层渗透系数达到≤1.0×10</w:t>
            </w:r>
            <w:r>
              <w:rPr>
                <w:rFonts w:ascii="Times New Roman" w:hAnsi="Times New Roman" w:eastAsia="宋体" w:cs="Times New Roman"/>
                <w:color w:val="auto"/>
                <w:sz w:val="24"/>
                <w:vertAlign w:val="superscript"/>
                <w:lang w:eastAsia="zh-CN"/>
              </w:rPr>
              <w:t>-10</w:t>
            </w:r>
            <w:r>
              <w:rPr>
                <w:rFonts w:ascii="Times New Roman" w:hAnsi="Times New Roman" w:eastAsia="宋体" w:cs="Times New Roman"/>
                <w:color w:val="auto"/>
                <w:sz w:val="24"/>
                <w:lang w:eastAsia="zh-CN"/>
              </w:rPr>
              <w:t>cm/s</w:t>
            </w:r>
            <w:r>
              <w:rPr>
                <w:rFonts w:ascii="Times New Roman" w:hAnsi="Times New Roman" w:cs="Times New Roman"/>
                <w:color w:val="auto"/>
                <w:sz w:val="24"/>
                <w:lang w:eastAsia="zh-CN"/>
              </w:rPr>
              <w:t>。</w:t>
            </w:r>
          </w:p>
          <w:p w14:paraId="152DE424">
            <w:pPr>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snapToGrid/>
                <w:color w:val="auto"/>
                <w:sz w:val="24"/>
                <w:szCs w:val="24"/>
                <w:lang w:eastAsia="zh-CN"/>
              </w:rPr>
              <w:t>（2）一般防渗：依托原有，现厂区车间使用C30混凝土建设20cm硬化地面，可满足一般防渗要求。</w:t>
            </w:r>
          </w:p>
        </w:tc>
      </w:tr>
      <w:tr w14:paraId="5274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3F364E89">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环境风险管控措施</w:t>
            </w:r>
          </w:p>
        </w:tc>
        <w:tc>
          <w:tcPr>
            <w:tcW w:w="4481" w:type="pct"/>
            <w:gridSpan w:val="4"/>
            <w:vAlign w:val="center"/>
          </w:tcPr>
          <w:p w14:paraId="216FA0AF">
            <w:pPr>
              <w:adjustRightInd/>
              <w:snapToGrid/>
              <w:spacing w:line="360" w:lineRule="auto"/>
              <w:ind w:firstLine="480" w:firstLineChars="200"/>
              <w:jc w:val="both"/>
              <w:rPr>
                <w:rFonts w:ascii="Times New Roman" w:hAnsi="Times New Roman" w:eastAsia="宋体" w:cs="Times New Roman"/>
                <w:bCs/>
                <w:color w:val="auto"/>
                <w:sz w:val="24"/>
                <w:szCs w:val="24"/>
                <w:lang w:eastAsia="zh-CN"/>
              </w:rPr>
            </w:pPr>
            <w:r>
              <w:rPr>
                <w:rFonts w:ascii="Times New Roman" w:hAnsi="Times New Roman" w:eastAsia="宋体" w:cs="Times New Roman"/>
                <w:bCs/>
                <w:color w:val="auto"/>
                <w:sz w:val="24"/>
                <w:szCs w:val="24"/>
                <w:lang w:eastAsia="zh-CN"/>
              </w:rPr>
              <w:t>建设单位须制订环境突发事故应急预案，一旦突发环境风险事故，必须立即按应急预案提到的紧急处理、救援、监测方案等进行紧急救援，救援人员采取相应的防护措施，以避免造成人员伤亡事故。</w:t>
            </w:r>
          </w:p>
        </w:tc>
      </w:tr>
      <w:tr w14:paraId="54E3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Align w:val="center"/>
          </w:tcPr>
          <w:p w14:paraId="4A534FD1">
            <w:pPr>
              <w:adjustRightInd/>
              <w:snapToGrid/>
              <w:jc w:val="center"/>
              <w:outlineLvl w:val="0"/>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其他环境管理要求</w:t>
            </w:r>
          </w:p>
        </w:tc>
        <w:tc>
          <w:tcPr>
            <w:tcW w:w="4481" w:type="pct"/>
            <w:gridSpan w:val="4"/>
            <w:vAlign w:val="center"/>
          </w:tcPr>
          <w:p w14:paraId="7929D399">
            <w:pPr>
              <w:adjustRightInd/>
              <w:snapToGrid/>
              <w:spacing w:line="360" w:lineRule="auto"/>
              <w:ind w:firstLine="482" w:firstLineChars="200"/>
              <w:rPr>
                <w:rFonts w:ascii="Times New Roman" w:hAnsi="Times New Roman" w:eastAsia="宋体" w:cs="Times New Roman"/>
                <w:b/>
                <w:bCs/>
                <w:color w:val="auto"/>
                <w:sz w:val="24"/>
                <w:szCs w:val="24"/>
                <w:lang w:eastAsia="zh-CN" w:bidi="ar"/>
              </w:rPr>
            </w:pPr>
            <w:r>
              <w:rPr>
                <w:rFonts w:ascii="Times New Roman" w:hAnsi="Times New Roman" w:eastAsia="宋体" w:cs="Times New Roman"/>
                <w:b/>
                <w:bCs/>
                <w:color w:val="auto"/>
                <w:sz w:val="24"/>
                <w:szCs w:val="24"/>
                <w:lang w:eastAsia="zh-CN" w:bidi="ar"/>
              </w:rPr>
              <w:t>1、排放口规范化及信息公开化</w:t>
            </w:r>
          </w:p>
          <w:p w14:paraId="54A78A25">
            <w:pPr>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hint="eastAsia" w:ascii="Times New Roman" w:hAnsi="Times New Roman" w:eastAsia="宋体" w:cs="Times New Roman"/>
                <w:color w:val="auto"/>
                <w:kern w:val="2"/>
                <w:sz w:val="24"/>
                <w:szCs w:val="24"/>
                <w:lang w:eastAsia="zh-CN" w:bidi="ar"/>
              </w:rPr>
              <w:t>根据《</w:t>
            </w:r>
            <w:r>
              <w:rPr>
                <w:rFonts w:ascii="Times New Roman" w:hAnsi="Times New Roman" w:eastAsia="宋体" w:cs="Times New Roman"/>
                <w:color w:val="auto"/>
                <w:kern w:val="2"/>
                <w:sz w:val="24"/>
                <w:szCs w:val="24"/>
                <w:lang w:eastAsia="zh-CN" w:bidi="ar"/>
              </w:rPr>
              <w:t>安徽省污染源排放口规范化整治管理办法</w:t>
            </w:r>
            <w:r>
              <w:rPr>
                <w:rFonts w:hint="eastAsia" w:ascii="Times New Roman" w:hAnsi="Times New Roman" w:eastAsia="宋体" w:cs="Times New Roman"/>
                <w:color w:val="auto"/>
                <w:kern w:val="2"/>
                <w:sz w:val="24"/>
                <w:szCs w:val="24"/>
                <w:lang w:eastAsia="zh-CN" w:bidi="ar"/>
              </w:rPr>
              <w:t>》（</w:t>
            </w:r>
            <w:r>
              <w:rPr>
                <w:rFonts w:ascii="Times New Roman" w:hAnsi="Times New Roman" w:eastAsia="宋体" w:cs="Times New Roman"/>
                <w:color w:val="auto"/>
                <w:kern w:val="2"/>
                <w:sz w:val="24"/>
                <w:szCs w:val="24"/>
                <w:lang w:eastAsia="zh-CN" w:bidi="ar"/>
              </w:rPr>
              <w:t>环</w:t>
            </w:r>
            <w:r>
              <w:rPr>
                <w:rFonts w:hint="eastAsia" w:ascii="Times New Roman" w:hAnsi="Times New Roman" w:eastAsia="宋体" w:cs="Times New Roman"/>
                <w:color w:val="auto"/>
                <w:kern w:val="2"/>
                <w:sz w:val="24"/>
                <w:szCs w:val="24"/>
                <w:lang w:eastAsia="zh-CN" w:bidi="ar"/>
              </w:rPr>
              <w:t>法函[2005]114号）</w:t>
            </w:r>
            <w:r>
              <w:rPr>
                <w:rFonts w:ascii="Times New Roman" w:hAnsi="Times New Roman" w:eastAsia="宋体" w:cs="Times New Roman"/>
                <w:color w:val="auto"/>
                <w:sz w:val="24"/>
                <w:szCs w:val="24"/>
                <w:lang w:eastAsia="zh-CN" w:bidi="ar"/>
              </w:rPr>
              <w:t>、《排污口规范化整治技术要求》（环监[1996]470号）等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3A6B8722">
            <w:pPr>
              <w:kinsoku/>
              <w:adjustRightInd/>
              <w:snapToGrid/>
              <w:spacing w:line="360" w:lineRule="auto"/>
              <w:ind w:firstLine="482" w:firstLineChars="200"/>
              <w:rPr>
                <w:rFonts w:ascii="Times New Roman" w:hAnsi="Times New Roman" w:eastAsia="宋体" w:cs="Times New Roman"/>
                <w:b/>
                <w:bCs/>
                <w:color w:val="auto"/>
                <w:sz w:val="24"/>
                <w:szCs w:val="24"/>
                <w:lang w:eastAsia="zh-CN" w:bidi="ar"/>
              </w:rPr>
            </w:pPr>
            <w:r>
              <w:rPr>
                <w:rFonts w:ascii="Times New Roman" w:hAnsi="Times New Roman" w:eastAsia="宋体" w:cs="Times New Roman"/>
                <w:b/>
                <w:bCs/>
                <w:color w:val="auto"/>
                <w:sz w:val="24"/>
                <w:szCs w:val="24"/>
                <w:lang w:eastAsia="zh-CN" w:bidi="ar"/>
              </w:rPr>
              <w:t>2、监测计划</w:t>
            </w:r>
          </w:p>
          <w:p w14:paraId="4A2BE716">
            <w:pPr>
              <w:pStyle w:val="55"/>
              <w:kinsoku/>
              <w:adjustRightInd/>
              <w:snapToGrid/>
              <w:spacing w:before="0"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依据《排污单位自行监测技术指南总则》（HJ819-2017）、</w:t>
            </w:r>
            <w:r>
              <w:rPr>
                <w:rFonts w:ascii="Times New Roman" w:hAnsi="Times New Roman" w:eastAsia="宋体" w:cs="Times New Roman"/>
                <w:bCs/>
                <w:color w:val="auto"/>
                <w:sz w:val="24"/>
                <w:szCs w:val="32"/>
                <w:lang w:eastAsia="zh-CN"/>
              </w:rPr>
              <w:t>《</w:t>
            </w:r>
            <w:r>
              <w:fldChar w:fldCharType="begin"/>
            </w:r>
            <w:r>
              <w:instrText xml:space="preserve"> HYPERLINK "https://www.eiacloud.com/hpyzs/lawsRegulations/searchDetail?modelName=%E6%8E%92%E6%B1%A1%E5%90%8D%E5%BD%95&amp;id=61c459b05d144dea89d584089fffd470" \t "https://www.eiacloud.com/hpyzs/category/_blank" </w:instrText>
            </w:r>
            <w:r>
              <w:fldChar w:fldCharType="separate"/>
            </w:r>
            <w:r>
              <w:rPr>
                <w:rFonts w:ascii="Times New Roman" w:hAnsi="Times New Roman" w:eastAsia="宋体" w:cs="Times New Roman"/>
                <w:bCs/>
                <w:color w:val="auto"/>
                <w:sz w:val="24"/>
                <w:szCs w:val="32"/>
                <w:lang w:eastAsia="zh-CN"/>
              </w:rPr>
              <w:t xml:space="preserve">排污单位自行监测技术指南 </w:t>
            </w:r>
            <w:r>
              <w:rPr>
                <w:rFonts w:hint="eastAsia" w:ascii="Times New Roman" w:hAnsi="Times New Roman" w:eastAsia="宋体" w:cs="Times New Roman"/>
                <w:bCs/>
                <w:color w:val="auto"/>
                <w:sz w:val="24"/>
                <w:szCs w:val="32"/>
                <w:lang w:eastAsia="zh-CN"/>
              </w:rPr>
              <w:t>涂装</w:t>
            </w:r>
            <w:r>
              <w:rPr>
                <w:rFonts w:ascii="Times New Roman" w:hAnsi="Times New Roman" w:eastAsia="宋体" w:cs="Times New Roman"/>
                <w:bCs/>
                <w:color w:val="auto"/>
                <w:sz w:val="24"/>
                <w:szCs w:val="32"/>
                <w:lang w:eastAsia="zh-CN"/>
              </w:rPr>
              <w:t>》（ HJ1086-2020</w:t>
            </w:r>
            <w:r>
              <w:rPr>
                <w:rFonts w:ascii="Times New Roman" w:hAnsi="Times New Roman" w:eastAsia="宋体" w:cs="Times New Roman"/>
                <w:bCs/>
                <w:color w:val="auto"/>
                <w:sz w:val="24"/>
                <w:szCs w:val="32"/>
                <w:lang w:eastAsia="zh-CN"/>
              </w:rPr>
              <w:fldChar w:fldCharType="end"/>
            </w:r>
            <w:r>
              <w:rPr>
                <w:rFonts w:ascii="Times New Roman" w:hAnsi="Times New Roman" w:eastAsia="宋体" w:cs="Times New Roman"/>
                <w:bCs/>
                <w:color w:val="auto"/>
                <w:sz w:val="24"/>
                <w:szCs w:val="32"/>
                <w:lang w:eastAsia="zh-CN"/>
              </w:rPr>
              <w:t>）</w:t>
            </w:r>
            <w:r>
              <w:rPr>
                <w:rFonts w:ascii="Times New Roman" w:hAnsi="Times New Roman" w:eastAsia="宋体" w:cs="Times New Roman"/>
                <w:color w:val="auto"/>
                <w:sz w:val="24"/>
                <w:szCs w:val="24"/>
                <w:lang w:eastAsia="zh-CN"/>
              </w:rPr>
              <w:t>中自行监测内容进行设置。</w:t>
            </w:r>
          </w:p>
          <w:p w14:paraId="114D18A0">
            <w:pPr>
              <w:pStyle w:val="55"/>
              <w:keepNext w:val="0"/>
              <w:keepLines w:val="0"/>
              <w:pageBreakBefore w:val="0"/>
              <w:widowControl/>
              <w:kinsoku/>
              <w:wordWrap/>
              <w:overflowPunct/>
              <w:topLinePunct w:val="0"/>
              <w:autoSpaceDE w:val="0"/>
              <w:autoSpaceDN w:val="0"/>
              <w:bidi w:val="0"/>
              <w:adjustRightInd/>
              <w:snapToGrid/>
              <w:spacing w:before="0" w:line="240" w:lineRule="auto"/>
              <w:ind w:left="0" w:leftChars="0" w:firstLine="0" w:firstLineChars="0"/>
              <w:jc w:val="center"/>
              <w:textAlignment w:val="baseline"/>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 xml:space="preserve">表5-1  </w:t>
            </w:r>
            <w:r>
              <w:rPr>
                <w:rFonts w:hint="eastAsia" w:ascii="Times New Roman" w:hAnsi="Times New Roman" w:eastAsia="宋体" w:cs="Times New Roman"/>
                <w:b/>
                <w:bCs/>
                <w:color w:val="auto"/>
                <w:sz w:val="24"/>
                <w:szCs w:val="24"/>
                <w:lang w:eastAsia="zh-CN"/>
              </w:rPr>
              <w:t>自行</w:t>
            </w:r>
            <w:r>
              <w:rPr>
                <w:rFonts w:ascii="Times New Roman" w:hAnsi="Times New Roman" w:eastAsia="宋体" w:cs="Times New Roman"/>
                <w:b/>
                <w:bCs/>
                <w:color w:val="auto"/>
                <w:sz w:val="24"/>
                <w:szCs w:val="24"/>
                <w:lang w:eastAsia="zh-CN"/>
              </w:rPr>
              <w:t>监测计划表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15"/>
              <w:gridCol w:w="776"/>
              <w:gridCol w:w="819"/>
              <w:gridCol w:w="1177"/>
              <w:gridCol w:w="998"/>
              <w:gridCol w:w="1430"/>
              <w:gridCol w:w="2046"/>
            </w:tblGrid>
            <w:tr w14:paraId="345C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restart"/>
                  <w:vAlign w:val="center"/>
                </w:tcPr>
                <w:p w14:paraId="55B67F9A">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p w14:paraId="554A09B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p w14:paraId="14648CDA">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p w14:paraId="707C3DF7">
                  <w:pPr>
                    <w:pStyle w:val="55"/>
                    <w:widowControl/>
                    <w:kinsoku/>
                    <w:adjustRightInd/>
                    <w:snapToGrid/>
                    <w:spacing w:before="0" w:line="240" w:lineRule="auto"/>
                    <w:ind w:firstLine="0"/>
                    <w:jc w:val="both"/>
                    <w:rPr>
                      <w:rFonts w:ascii="Times New Roman" w:hAnsi="Times New Roman" w:eastAsia="宋体" w:cs="Times New Roman"/>
                      <w:color w:val="auto"/>
                      <w:spacing w:val="0"/>
                      <w:kern w:val="21"/>
                      <w:lang w:eastAsia="zh-CN"/>
                    </w:rPr>
                  </w:pPr>
                </w:p>
                <w:p w14:paraId="6962247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污染源监测</w:t>
                  </w:r>
                </w:p>
              </w:tc>
              <w:tc>
                <w:tcPr>
                  <w:tcW w:w="425" w:type="pct"/>
                  <w:vMerge w:val="restart"/>
                  <w:vAlign w:val="center"/>
                </w:tcPr>
                <w:p w14:paraId="751DCD42">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类别</w:t>
                  </w:r>
                </w:p>
              </w:tc>
              <w:tc>
                <w:tcPr>
                  <w:tcW w:w="461" w:type="pct"/>
                  <w:vMerge w:val="restart"/>
                  <w:vAlign w:val="center"/>
                </w:tcPr>
                <w:p w14:paraId="135849A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监测项目</w:t>
                  </w:r>
                </w:p>
              </w:tc>
              <w:tc>
                <w:tcPr>
                  <w:tcW w:w="486" w:type="pct"/>
                  <w:vMerge w:val="restart"/>
                  <w:vAlign w:val="center"/>
                </w:tcPr>
                <w:p w14:paraId="3D0D414A">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监测频次</w:t>
                  </w:r>
                </w:p>
              </w:tc>
              <w:tc>
                <w:tcPr>
                  <w:tcW w:w="3356" w:type="pct"/>
                  <w:gridSpan w:val="4"/>
                  <w:vAlign w:val="center"/>
                </w:tcPr>
                <w:p w14:paraId="408E764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执行标准</w:t>
                  </w:r>
                </w:p>
              </w:tc>
            </w:tr>
            <w:tr w14:paraId="20E4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4A52F05A">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continue"/>
                  <w:vAlign w:val="center"/>
                </w:tcPr>
                <w:p w14:paraId="6ADB78B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61" w:type="pct"/>
                  <w:vMerge w:val="continue"/>
                  <w:vAlign w:val="center"/>
                </w:tcPr>
                <w:p w14:paraId="00B41F3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86" w:type="pct"/>
                  <w:vMerge w:val="continue"/>
                  <w:vAlign w:val="center"/>
                </w:tcPr>
                <w:p w14:paraId="191F37B6">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699" w:type="pct"/>
                  <w:vAlign w:val="center"/>
                </w:tcPr>
                <w:p w14:paraId="5DA8FEB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排放浓度（mg/m³）</w:t>
                  </w:r>
                </w:p>
              </w:tc>
              <w:tc>
                <w:tcPr>
                  <w:tcW w:w="593" w:type="pct"/>
                  <w:vAlign w:val="center"/>
                </w:tcPr>
                <w:p w14:paraId="374056E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排放速率（kg/h）</w:t>
                  </w:r>
                </w:p>
              </w:tc>
              <w:tc>
                <w:tcPr>
                  <w:tcW w:w="849" w:type="pct"/>
                  <w:vAlign w:val="center"/>
                </w:tcPr>
                <w:p w14:paraId="3A53E3A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无组织排放浓度限值（mg/m³）</w:t>
                  </w:r>
                </w:p>
              </w:tc>
              <w:tc>
                <w:tcPr>
                  <w:tcW w:w="1215" w:type="pct"/>
                  <w:vAlign w:val="center"/>
                </w:tcPr>
                <w:p w14:paraId="3F50FC1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标准名称</w:t>
                  </w:r>
                </w:p>
              </w:tc>
            </w:tr>
            <w:tr w14:paraId="1D8C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66BA995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restart"/>
                  <w:vAlign w:val="center"/>
                </w:tcPr>
                <w:p w14:paraId="1F9949C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废气</w:t>
                  </w:r>
                </w:p>
              </w:tc>
              <w:tc>
                <w:tcPr>
                  <w:tcW w:w="461" w:type="pct"/>
                  <w:vAlign w:val="center"/>
                </w:tcPr>
                <w:p w14:paraId="56AFAFA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颗粒物</w:t>
                  </w:r>
                </w:p>
              </w:tc>
              <w:tc>
                <w:tcPr>
                  <w:tcW w:w="486" w:type="pct"/>
                  <w:vAlign w:val="center"/>
                </w:tcPr>
                <w:p w14:paraId="2CF2968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1次/年</w:t>
                  </w:r>
                </w:p>
              </w:tc>
              <w:tc>
                <w:tcPr>
                  <w:tcW w:w="699" w:type="pct"/>
                  <w:vAlign w:val="center"/>
                </w:tcPr>
                <w:p w14:paraId="7184778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120</w:t>
                  </w:r>
                </w:p>
              </w:tc>
              <w:tc>
                <w:tcPr>
                  <w:tcW w:w="593" w:type="pct"/>
                  <w:vAlign w:val="center"/>
                </w:tcPr>
                <w:p w14:paraId="01E962E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5.9</w:t>
                  </w:r>
                </w:p>
              </w:tc>
              <w:tc>
                <w:tcPr>
                  <w:tcW w:w="849" w:type="pct"/>
                  <w:vAlign w:val="center"/>
                </w:tcPr>
                <w:p w14:paraId="71835BD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1.0</w:t>
                  </w:r>
                </w:p>
              </w:tc>
              <w:tc>
                <w:tcPr>
                  <w:tcW w:w="1215" w:type="pct"/>
                  <w:vAlign w:val="center"/>
                </w:tcPr>
                <w:p w14:paraId="5766CB27">
                  <w:pPr>
                    <w:pStyle w:val="52"/>
                    <w:widowControl w:val="0"/>
                    <w:kinsoku/>
                    <w:spacing w:line="240" w:lineRule="auto"/>
                    <w:ind w:firstLine="0" w:firstLineChars="0"/>
                    <w:textAlignment w:val="auto"/>
                    <w:rPr>
                      <w:rFonts w:ascii="Times New Roman" w:hAnsi="Times New Roman" w:eastAsia="宋体" w:cs="Times New Roman"/>
                      <w:color w:val="auto"/>
                      <w:spacing w:val="0"/>
                      <w:kern w:val="21"/>
                      <w:sz w:val="21"/>
                      <w:szCs w:val="21"/>
                      <w:lang w:eastAsia="zh-CN"/>
                    </w:rPr>
                  </w:pPr>
                  <w:r>
                    <w:rPr>
                      <w:rFonts w:ascii="Times New Roman" w:hAnsi="Times New Roman" w:eastAsia="宋体" w:cs="Times New Roman"/>
                      <w:bCs/>
                      <w:color w:val="auto"/>
                      <w:spacing w:val="0"/>
                      <w:kern w:val="21"/>
                      <w:sz w:val="21"/>
                      <w:szCs w:val="21"/>
                      <w:lang w:eastAsia="zh-CN"/>
                    </w:rPr>
                    <w:t>《大气污染物综合排放标准》（GB16297-1996）</w:t>
                  </w:r>
                </w:p>
              </w:tc>
            </w:tr>
            <w:tr w14:paraId="3622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3233D03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continue"/>
                  <w:vAlign w:val="center"/>
                </w:tcPr>
                <w:p w14:paraId="08C89E7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61" w:type="pct"/>
                  <w:vAlign w:val="center"/>
                </w:tcPr>
                <w:p w14:paraId="1374CB39">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非甲烷总烃</w:t>
                  </w:r>
                </w:p>
              </w:tc>
              <w:tc>
                <w:tcPr>
                  <w:tcW w:w="486" w:type="pct"/>
                  <w:vAlign w:val="center"/>
                </w:tcPr>
                <w:p w14:paraId="02A50AD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1次/年</w:t>
                  </w:r>
                </w:p>
              </w:tc>
              <w:tc>
                <w:tcPr>
                  <w:tcW w:w="699" w:type="pct"/>
                  <w:vAlign w:val="center"/>
                </w:tcPr>
                <w:p w14:paraId="109CEE36">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70</w:t>
                  </w:r>
                </w:p>
              </w:tc>
              <w:tc>
                <w:tcPr>
                  <w:tcW w:w="593" w:type="pct"/>
                  <w:vAlign w:val="center"/>
                </w:tcPr>
                <w:p w14:paraId="6F6B51E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3.0</w:t>
                  </w:r>
                </w:p>
              </w:tc>
              <w:tc>
                <w:tcPr>
                  <w:tcW w:w="849" w:type="pct"/>
                  <w:vAlign w:val="center"/>
                </w:tcPr>
                <w:p w14:paraId="0331016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4.0</w:t>
                  </w:r>
                </w:p>
              </w:tc>
              <w:tc>
                <w:tcPr>
                  <w:tcW w:w="1215" w:type="pct"/>
                  <w:vAlign w:val="center"/>
                </w:tcPr>
                <w:p w14:paraId="0A10809A">
                  <w:pPr>
                    <w:pStyle w:val="52"/>
                    <w:widowControl w:val="0"/>
                    <w:kinsoku/>
                    <w:spacing w:line="240" w:lineRule="auto"/>
                    <w:ind w:firstLine="0" w:firstLineChars="0"/>
                    <w:textAlignment w:val="auto"/>
                    <w:rPr>
                      <w:rFonts w:ascii="Times New Roman" w:hAnsi="Times New Roman" w:eastAsia="宋体" w:cs="Times New Roman"/>
                      <w:color w:val="auto"/>
                      <w:spacing w:val="0"/>
                      <w:kern w:val="21"/>
                      <w:sz w:val="21"/>
                      <w:szCs w:val="21"/>
                      <w:lang w:eastAsia="zh-CN"/>
                    </w:rPr>
                  </w:pPr>
                  <w:r>
                    <w:rPr>
                      <w:rFonts w:ascii="Times New Roman" w:hAnsi="Times New Roman" w:eastAsia="宋体" w:cs="Times New Roman"/>
                      <w:bCs/>
                      <w:color w:val="auto"/>
                      <w:spacing w:val="0"/>
                      <w:kern w:val="21"/>
                      <w:sz w:val="21"/>
                      <w:szCs w:val="21"/>
                      <w:lang w:eastAsia="zh-CN"/>
                    </w:rPr>
                    <w:t>《固定源挥发性有机物第六部分：其他行业》（DB34/4812.6-2024）</w:t>
                  </w:r>
                </w:p>
              </w:tc>
            </w:tr>
            <w:tr w14:paraId="0A06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5C9C3D1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restart"/>
                  <w:vAlign w:val="center"/>
                </w:tcPr>
                <w:p w14:paraId="70E0160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天然气燃烧废气</w:t>
                  </w:r>
                </w:p>
              </w:tc>
              <w:tc>
                <w:tcPr>
                  <w:tcW w:w="461" w:type="pct"/>
                  <w:vAlign w:val="center"/>
                </w:tcPr>
                <w:p w14:paraId="5FBA351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颗粒物</w:t>
                  </w:r>
                </w:p>
              </w:tc>
              <w:tc>
                <w:tcPr>
                  <w:tcW w:w="486" w:type="pct"/>
                  <w:vAlign w:val="center"/>
                </w:tcPr>
                <w:p w14:paraId="059329F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1次/年</w:t>
                  </w:r>
                </w:p>
              </w:tc>
              <w:tc>
                <w:tcPr>
                  <w:tcW w:w="699" w:type="pct"/>
                  <w:vAlign w:val="center"/>
                </w:tcPr>
                <w:p w14:paraId="79BEB40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30</w:t>
                  </w:r>
                </w:p>
              </w:tc>
              <w:tc>
                <w:tcPr>
                  <w:tcW w:w="593" w:type="pct"/>
                  <w:vAlign w:val="center"/>
                </w:tcPr>
                <w:p w14:paraId="240EABE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61E5413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1215" w:type="pct"/>
                  <w:vMerge w:val="restart"/>
                  <w:vAlign w:val="center"/>
                </w:tcPr>
                <w:p w14:paraId="3302B5D7">
                  <w:pPr>
                    <w:pStyle w:val="52"/>
                    <w:widowControl w:val="0"/>
                    <w:kinsoku/>
                    <w:spacing w:line="240" w:lineRule="auto"/>
                    <w:ind w:firstLine="0" w:firstLineChars="0"/>
                    <w:textAlignment w:val="auto"/>
                    <w:rPr>
                      <w:rFonts w:ascii="Times New Roman" w:hAnsi="Times New Roman" w:eastAsia="宋体" w:cs="Times New Roman"/>
                      <w:bCs/>
                      <w:color w:val="auto"/>
                      <w:spacing w:val="0"/>
                      <w:kern w:val="21"/>
                      <w:sz w:val="21"/>
                      <w:szCs w:val="21"/>
                      <w:lang w:eastAsia="zh-CN"/>
                    </w:rPr>
                  </w:pPr>
                  <w:r>
                    <w:rPr>
                      <w:rFonts w:ascii="Times New Roman" w:hAnsi="Times New Roman" w:eastAsia="宋体" w:cs="Times New Roman"/>
                      <w:bCs/>
                      <w:color w:val="auto"/>
                      <w:spacing w:val="0"/>
                      <w:kern w:val="21"/>
                      <w:sz w:val="21"/>
                      <w:szCs w:val="21"/>
                    </w:rPr>
                    <w:t>《工业窑炉大气污染物排放标准》（GB9078-1996）及关于印发《工业炉窑大气污染综合治理方案》的通知（环大气〔2019〕56号）</w:t>
                  </w:r>
                </w:p>
              </w:tc>
            </w:tr>
            <w:tr w14:paraId="30EB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40E8F5D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continue"/>
                  <w:shd w:val="clear" w:color="auto" w:fill="auto"/>
                  <w:vAlign w:val="center"/>
                </w:tcPr>
                <w:p w14:paraId="442BB1B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61" w:type="pct"/>
                  <w:vAlign w:val="center"/>
                </w:tcPr>
                <w:p w14:paraId="5B4C877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氮氧化物</w:t>
                  </w:r>
                </w:p>
              </w:tc>
              <w:tc>
                <w:tcPr>
                  <w:tcW w:w="486" w:type="pct"/>
                  <w:vAlign w:val="center"/>
                </w:tcPr>
                <w:p w14:paraId="21F530C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1次/年</w:t>
                  </w:r>
                </w:p>
              </w:tc>
              <w:tc>
                <w:tcPr>
                  <w:tcW w:w="699" w:type="pct"/>
                  <w:vAlign w:val="center"/>
                </w:tcPr>
                <w:p w14:paraId="565E032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300</w:t>
                  </w:r>
                </w:p>
              </w:tc>
              <w:tc>
                <w:tcPr>
                  <w:tcW w:w="593" w:type="pct"/>
                  <w:vAlign w:val="center"/>
                </w:tcPr>
                <w:p w14:paraId="6FAB274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140FFA7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1215" w:type="pct"/>
                  <w:vMerge w:val="continue"/>
                  <w:vAlign w:val="center"/>
                </w:tcPr>
                <w:p w14:paraId="44093965">
                  <w:pPr>
                    <w:pStyle w:val="52"/>
                    <w:widowControl w:val="0"/>
                    <w:kinsoku/>
                    <w:spacing w:line="240" w:lineRule="auto"/>
                    <w:ind w:firstLine="0" w:firstLineChars="0"/>
                    <w:textAlignment w:val="auto"/>
                    <w:rPr>
                      <w:rFonts w:ascii="Times New Roman" w:hAnsi="Times New Roman" w:eastAsia="宋体" w:cs="Times New Roman"/>
                      <w:bCs/>
                      <w:color w:val="auto"/>
                      <w:spacing w:val="0"/>
                      <w:kern w:val="21"/>
                      <w:sz w:val="21"/>
                      <w:szCs w:val="21"/>
                      <w:lang w:eastAsia="zh-CN"/>
                    </w:rPr>
                  </w:pPr>
                </w:p>
              </w:tc>
            </w:tr>
            <w:tr w14:paraId="08BF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5ADBB909">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continue"/>
                  <w:vAlign w:val="center"/>
                </w:tcPr>
                <w:p w14:paraId="3A5683C2">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61" w:type="pct"/>
                  <w:vAlign w:val="center"/>
                </w:tcPr>
                <w:p w14:paraId="24097C2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二氧化硫</w:t>
                  </w:r>
                </w:p>
              </w:tc>
              <w:tc>
                <w:tcPr>
                  <w:tcW w:w="486" w:type="pct"/>
                  <w:vAlign w:val="center"/>
                </w:tcPr>
                <w:p w14:paraId="1AEB988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1次/年</w:t>
                  </w:r>
                </w:p>
              </w:tc>
              <w:tc>
                <w:tcPr>
                  <w:tcW w:w="699" w:type="pct"/>
                  <w:vAlign w:val="center"/>
                </w:tcPr>
                <w:p w14:paraId="5B46BEF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200</w:t>
                  </w:r>
                </w:p>
              </w:tc>
              <w:tc>
                <w:tcPr>
                  <w:tcW w:w="593" w:type="pct"/>
                  <w:vAlign w:val="center"/>
                </w:tcPr>
                <w:p w14:paraId="441900B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0E3D576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1215" w:type="pct"/>
                  <w:vMerge w:val="continue"/>
                  <w:vAlign w:val="center"/>
                </w:tcPr>
                <w:p w14:paraId="624EEBF9">
                  <w:pPr>
                    <w:pStyle w:val="52"/>
                    <w:widowControl w:val="0"/>
                    <w:kinsoku/>
                    <w:spacing w:line="240" w:lineRule="auto"/>
                    <w:ind w:firstLine="0" w:firstLineChars="0"/>
                    <w:textAlignment w:val="auto"/>
                    <w:rPr>
                      <w:rFonts w:ascii="Times New Roman" w:hAnsi="Times New Roman" w:eastAsia="宋体" w:cs="Times New Roman"/>
                      <w:bCs/>
                      <w:color w:val="auto"/>
                      <w:spacing w:val="0"/>
                      <w:kern w:val="21"/>
                      <w:sz w:val="21"/>
                      <w:szCs w:val="21"/>
                      <w:lang w:eastAsia="zh-CN"/>
                    </w:rPr>
                  </w:pPr>
                </w:p>
              </w:tc>
            </w:tr>
            <w:tr w14:paraId="1D4E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39DD196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restart"/>
                  <w:vAlign w:val="center"/>
                </w:tcPr>
                <w:p w14:paraId="722585C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厂界</w:t>
                  </w:r>
                </w:p>
              </w:tc>
              <w:tc>
                <w:tcPr>
                  <w:tcW w:w="461" w:type="pct"/>
                  <w:vAlign w:val="center"/>
                </w:tcPr>
                <w:p w14:paraId="2489DD9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颗粒物</w:t>
                  </w:r>
                </w:p>
              </w:tc>
              <w:tc>
                <w:tcPr>
                  <w:tcW w:w="486" w:type="pct"/>
                  <w:vAlign w:val="center"/>
                </w:tcPr>
                <w:p w14:paraId="5806A99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1次/半年</w:t>
                  </w:r>
                </w:p>
              </w:tc>
              <w:tc>
                <w:tcPr>
                  <w:tcW w:w="699" w:type="pct"/>
                  <w:vAlign w:val="center"/>
                </w:tcPr>
                <w:p w14:paraId="12A6025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593" w:type="pct"/>
                  <w:vAlign w:val="center"/>
                </w:tcPr>
                <w:p w14:paraId="05B4ABA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7F2B178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1.0</w:t>
                  </w:r>
                </w:p>
              </w:tc>
              <w:tc>
                <w:tcPr>
                  <w:tcW w:w="1215" w:type="pct"/>
                  <w:vAlign w:val="center"/>
                </w:tcPr>
                <w:p w14:paraId="3331EC9C">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bCs/>
                      <w:color w:val="auto"/>
                      <w:spacing w:val="0"/>
                      <w:kern w:val="21"/>
                      <w:sz w:val="21"/>
                      <w:lang w:eastAsia="zh-CN"/>
                    </w:rPr>
                    <w:t>《大气污染物综合排放标准》（GB16297-1996）</w:t>
                  </w:r>
                </w:p>
              </w:tc>
            </w:tr>
            <w:tr w14:paraId="103E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76C46EB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Merge w:val="continue"/>
                  <w:vAlign w:val="center"/>
                </w:tcPr>
                <w:p w14:paraId="68D981A8">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61" w:type="pct"/>
                  <w:vAlign w:val="center"/>
                </w:tcPr>
                <w:p w14:paraId="7B4FF600">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非甲烷总烃</w:t>
                  </w:r>
                </w:p>
              </w:tc>
              <w:tc>
                <w:tcPr>
                  <w:tcW w:w="486" w:type="pct"/>
                  <w:vAlign w:val="center"/>
                </w:tcPr>
                <w:p w14:paraId="459D5463">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1次/半年</w:t>
                  </w:r>
                </w:p>
              </w:tc>
              <w:tc>
                <w:tcPr>
                  <w:tcW w:w="699" w:type="pct"/>
                  <w:vAlign w:val="center"/>
                </w:tcPr>
                <w:p w14:paraId="3FBB3381">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593" w:type="pct"/>
                  <w:vAlign w:val="center"/>
                </w:tcPr>
                <w:p w14:paraId="0BB3B80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08A7A80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4.0</w:t>
                  </w:r>
                </w:p>
              </w:tc>
              <w:tc>
                <w:tcPr>
                  <w:tcW w:w="1215" w:type="pct"/>
                  <w:vMerge w:val="restart"/>
                  <w:vAlign w:val="center"/>
                </w:tcPr>
                <w:p w14:paraId="22E6EDD1">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bCs/>
                      <w:color w:val="auto"/>
                      <w:spacing w:val="0"/>
                      <w:kern w:val="21"/>
                      <w:lang w:eastAsia="zh-CN"/>
                    </w:rPr>
                    <w:t>《固定源挥发性有机物第六部分：其他行业》（DB34/4812.6-2024）</w:t>
                  </w:r>
                </w:p>
              </w:tc>
            </w:tr>
            <w:tr w14:paraId="092D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3A212717">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Align w:val="center"/>
                </w:tcPr>
                <w:p w14:paraId="24E576B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厂区内</w:t>
                  </w:r>
                </w:p>
              </w:tc>
              <w:tc>
                <w:tcPr>
                  <w:tcW w:w="461" w:type="pct"/>
                  <w:vAlign w:val="center"/>
                </w:tcPr>
                <w:p w14:paraId="12094B9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非甲烷总烃</w:t>
                  </w:r>
                </w:p>
              </w:tc>
              <w:tc>
                <w:tcPr>
                  <w:tcW w:w="486" w:type="pct"/>
                  <w:vAlign w:val="center"/>
                </w:tcPr>
                <w:p w14:paraId="09A691CB">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1次/季度</w:t>
                  </w:r>
                </w:p>
              </w:tc>
              <w:tc>
                <w:tcPr>
                  <w:tcW w:w="699" w:type="pct"/>
                  <w:vAlign w:val="center"/>
                </w:tcPr>
                <w:p w14:paraId="5633BE5C">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593" w:type="pct"/>
                  <w:vAlign w:val="center"/>
                </w:tcPr>
                <w:p w14:paraId="1A1AB04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0CEA74DC">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20</w:t>
                  </w:r>
                </w:p>
              </w:tc>
              <w:tc>
                <w:tcPr>
                  <w:tcW w:w="1215" w:type="pct"/>
                  <w:vMerge w:val="continue"/>
                  <w:vAlign w:val="center"/>
                </w:tcPr>
                <w:p w14:paraId="1991CB34">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r>
            <w:tr w14:paraId="3CA3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Merge w:val="continue"/>
                  <w:vAlign w:val="center"/>
                </w:tcPr>
                <w:p w14:paraId="2B218816">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p>
              </w:tc>
              <w:tc>
                <w:tcPr>
                  <w:tcW w:w="425" w:type="pct"/>
                  <w:vAlign w:val="center"/>
                </w:tcPr>
                <w:p w14:paraId="406E6D3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厂界噪声</w:t>
                  </w:r>
                </w:p>
              </w:tc>
              <w:tc>
                <w:tcPr>
                  <w:tcW w:w="461" w:type="pct"/>
                  <w:vAlign w:val="center"/>
                </w:tcPr>
                <w:p w14:paraId="67618E4E">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噪声</w:t>
                  </w:r>
                </w:p>
              </w:tc>
              <w:tc>
                <w:tcPr>
                  <w:tcW w:w="486" w:type="pct"/>
                  <w:vAlign w:val="center"/>
                </w:tcPr>
                <w:p w14:paraId="249D3BAD">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1次/季度</w:t>
                  </w:r>
                </w:p>
              </w:tc>
              <w:tc>
                <w:tcPr>
                  <w:tcW w:w="699" w:type="pct"/>
                  <w:vAlign w:val="center"/>
                </w:tcPr>
                <w:p w14:paraId="3F07208F">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593" w:type="pct"/>
                  <w:vAlign w:val="center"/>
                </w:tcPr>
                <w:p w14:paraId="0F78D71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w:t>
                  </w:r>
                </w:p>
              </w:tc>
              <w:tc>
                <w:tcPr>
                  <w:tcW w:w="849" w:type="pct"/>
                  <w:vAlign w:val="center"/>
                </w:tcPr>
                <w:p w14:paraId="29DFFEE5">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昼间65，夜间55</w:t>
                  </w:r>
                </w:p>
              </w:tc>
              <w:tc>
                <w:tcPr>
                  <w:tcW w:w="1215" w:type="pct"/>
                  <w:vAlign w:val="center"/>
                </w:tcPr>
                <w:p w14:paraId="11426EDC">
                  <w:pPr>
                    <w:pStyle w:val="55"/>
                    <w:widowControl/>
                    <w:kinsoku/>
                    <w:adjustRightInd/>
                    <w:snapToGrid/>
                    <w:spacing w:before="0" w:line="240" w:lineRule="auto"/>
                    <w:ind w:firstLine="0"/>
                    <w:jc w:val="center"/>
                    <w:rPr>
                      <w:rFonts w:ascii="Times New Roman" w:hAnsi="Times New Roman" w:eastAsia="宋体" w:cs="Times New Roman"/>
                      <w:color w:val="auto"/>
                      <w:spacing w:val="0"/>
                      <w:kern w:val="21"/>
                      <w:lang w:eastAsia="zh-CN"/>
                    </w:rPr>
                  </w:pPr>
                  <w:r>
                    <w:rPr>
                      <w:rFonts w:ascii="Times New Roman" w:hAnsi="Times New Roman" w:eastAsia="宋体" w:cs="Times New Roman"/>
                      <w:bCs/>
                      <w:color w:val="auto"/>
                      <w:spacing w:val="0"/>
                      <w:kern w:val="21"/>
                      <w:lang w:eastAsia="zh-CN"/>
                    </w:rPr>
                    <w:t>《排污许可证申请与核发技术规范 工业噪声》（HJ1301-2023）</w:t>
                  </w:r>
                </w:p>
              </w:tc>
            </w:tr>
          </w:tbl>
          <w:p w14:paraId="6F703553">
            <w:pPr>
              <w:adjustRightInd/>
              <w:snapToGrid/>
              <w:spacing w:line="360" w:lineRule="auto"/>
              <w:ind w:firstLine="480" w:firstLineChars="200"/>
              <w:rPr>
                <w:rFonts w:hint="default" w:ascii="Times New Roman" w:hAnsi="Times New Roman" w:eastAsia="宋体" w:cs="Times New Roman"/>
                <w:b/>
                <w:bCs/>
                <w:color w:val="auto"/>
                <w:sz w:val="24"/>
                <w:szCs w:val="24"/>
                <w:lang w:eastAsia="zh-CN" w:bidi="ar"/>
              </w:rPr>
            </w:pPr>
            <w:r>
              <w:rPr>
                <w:rFonts w:hint="default" w:ascii="Times New Roman" w:hAnsi="Times New Roman" w:cs="Times New Roman"/>
                <w:b/>
                <w:bCs/>
                <w:color w:val="auto"/>
                <w:sz w:val="24"/>
                <w:szCs w:val="24"/>
                <w:lang w:eastAsia="zh-CN" w:bidi="ar"/>
              </w:rPr>
              <w:t>3</w:t>
            </w:r>
            <w:r>
              <w:rPr>
                <w:rFonts w:hint="default" w:ascii="Times New Roman" w:hAnsi="Times New Roman" w:eastAsia="宋体" w:cs="Times New Roman"/>
                <w:b/>
                <w:bCs/>
                <w:color w:val="auto"/>
                <w:sz w:val="24"/>
                <w:szCs w:val="24"/>
                <w:lang w:eastAsia="zh-CN" w:bidi="ar"/>
              </w:rPr>
              <w:t>、排污许可衔接</w:t>
            </w:r>
          </w:p>
          <w:p w14:paraId="3EBA9AE0">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textAlignment w:val="baseline"/>
              <w:rPr>
                <w:rFonts w:ascii="Times New Roman" w:hAnsi="Times New Roman" w:cs="Times New Roman"/>
                <w:sz w:val="24"/>
                <w:szCs w:val="24"/>
                <w:lang w:val="zh-CN"/>
              </w:rPr>
            </w:pPr>
            <w:r>
              <w:rPr>
                <w:rFonts w:ascii="Times New Roman" w:hAnsi="Times New Roman" w:cs="Times New Roman"/>
                <w:sz w:val="24"/>
                <w:szCs w:val="24"/>
                <w:lang w:val="zh-CN"/>
              </w:rPr>
              <w:t>根据项目的国民经济行业类别</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3311</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lang w:eastAsia="zh-CN"/>
              </w:rPr>
              <w:t>金属结构制造；</w:t>
            </w:r>
            <w:r>
              <w:rPr>
                <w:rFonts w:ascii="Times New Roman" w:hAnsi="Times New Roman" w:eastAsia="宋体" w:cs="Times New Roman"/>
                <w:color w:val="auto"/>
                <w:sz w:val="24"/>
                <w:szCs w:val="24"/>
                <w:lang w:eastAsia="zh-CN"/>
              </w:rPr>
              <w:t>【</w:t>
            </w:r>
            <w:r>
              <w:rPr>
                <w:rFonts w:ascii="Times New Roman" w:hAnsi="Times New Roman" w:cs="Times New Roman"/>
                <w:color w:val="auto"/>
                <w:sz w:val="24"/>
                <w:szCs w:val="24"/>
              </w:rPr>
              <w:t>C</w:t>
            </w:r>
            <w:r>
              <w:rPr>
                <w:rFonts w:ascii="Times New Roman" w:hAnsi="Times New Roman" w:cs="Times New Roman"/>
                <w:color w:val="auto"/>
                <w:sz w:val="24"/>
                <w:szCs w:val="24"/>
                <w:lang w:eastAsia="zh-CN"/>
              </w:rPr>
              <w:t>3312</w:t>
            </w:r>
            <w:r>
              <w:rPr>
                <w:rFonts w:ascii="Times New Roman" w:hAnsi="Times New Roman" w:eastAsia="宋体" w:cs="Times New Roman"/>
                <w:color w:val="auto"/>
                <w:sz w:val="24"/>
                <w:szCs w:val="24"/>
                <w:lang w:eastAsia="zh-CN"/>
              </w:rPr>
              <w:t>】金属门窗制造</w:t>
            </w:r>
            <w:r>
              <w:rPr>
                <w:rFonts w:ascii="Times New Roman" w:hAnsi="Times New Roman" w:cs="Times New Roman"/>
                <w:sz w:val="24"/>
                <w:szCs w:val="24"/>
                <w:lang w:val="zh-CN"/>
              </w:rPr>
              <w:t>，按《固定污染源排污许可分类管理名录（2019年版）》进行判定可知：本项目属于固定污染源排污许可分类管理名录表中的“</w:t>
            </w:r>
            <w:r>
              <w:rPr>
                <w:rFonts w:ascii="Times New Roman" w:hAnsi="Times New Roman" w:cs="Times New Roman"/>
                <w:sz w:val="24"/>
                <w:szCs w:val="24"/>
              </w:rPr>
              <w:t>二十八、“金属制品业33”</w:t>
            </w:r>
            <w:r>
              <w:rPr>
                <w:rFonts w:ascii="Times New Roman" w:hAnsi="Times New Roman" w:cs="Times New Roman"/>
                <w:sz w:val="24"/>
                <w:szCs w:val="24"/>
                <w:lang w:val="zh-CN"/>
              </w:rPr>
              <w:t>中的“其他”，</w:t>
            </w:r>
            <w:r>
              <w:rPr>
                <w:rFonts w:ascii="Times New Roman" w:hAnsi="Times New Roman" w:cs="Times New Roman"/>
                <w:sz w:val="24"/>
                <w:szCs w:val="24"/>
              </w:rPr>
              <w:t>同时对照通用工序中的“工业炉窑”</w:t>
            </w:r>
            <w:r>
              <w:rPr>
                <w:rFonts w:ascii="Times New Roman" w:hAnsi="Times New Roman" w:cs="Times New Roman"/>
                <w:sz w:val="24"/>
                <w:szCs w:val="24"/>
                <w:lang w:val="zh-CN"/>
              </w:rPr>
              <w:t>，</w:t>
            </w:r>
            <w:r>
              <w:rPr>
                <w:rFonts w:ascii="Times New Roman" w:hAnsi="Times New Roman" w:cs="Times New Roman"/>
                <w:sz w:val="24"/>
                <w:szCs w:val="24"/>
              </w:rPr>
              <w:t>由于本项目所涉及的加热炉以天然气为能源，因此实行登记管理</w:t>
            </w:r>
            <w:r>
              <w:rPr>
                <w:rFonts w:ascii="Times New Roman" w:hAnsi="Times New Roman" w:cs="Times New Roman"/>
                <w:sz w:val="24"/>
                <w:szCs w:val="24"/>
                <w:lang w:val="zh-CN"/>
              </w:rPr>
              <w:t>”。</w:t>
            </w:r>
          </w:p>
          <w:p w14:paraId="17D4689B">
            <w:pPr>
              <w:adjustRightInd/>
              <w:snapToGrid/>
              <w:spacing w:line="360" w:lineRule="auto"/>
              <w:ind w:firstLine="480" w:firstLineChars="200"/>
              <w:rPr>
                <w:rFonts w:hint="default" w:ascii="Times New Roman" w:hAnsi="Times New Roman" w:eastAsia="宋体" w:cs="Times New Roman"/>
                <w:b/>
                <w:bCs/>
                <w:color w:val="auto"/>
                <w:sz w:val="24"/>
                <w:szCs w:val="24"/>
                <w:lang w:eastAsia="zh-CN" w:bidi="ar"/>
              </w:rPr>
            </w:pPr>
            <w:r>
              <w:rPr>
                <w:rFonts w:hint="default" w:ascii="Times New Roman" w:hAnsi="Times New Roman" w:cs="Times New Roman"/>
                <w:b/>
                <w:bCs/>
                <w:color w:val="auto"/>
                <w:sz w:val="24"/>
                <w:szCs w:val="24"/>
                <w:lang w:eastAsia="zh-CN" w:bidi="ar"/>
              </w:rPr>
              <w:t>4</w:t>
            </w:r>
            <w:r>
              <w:rPr>
                <w:rFonts w:hint="default" w:ascii="Times New Roman" w:hAnsi="Times New Roman" w:eastAsia="宋体" w:cs="Times New Roman"/>
                <w:b/>
                <w:bCs/>
                <w:color w:val="auto"/>
                <w:sz w:val="24"/>
                <w:szCs w:val="24"/>
                <w:lang w:eastAsia="zh-CN" w:bidi="ar"/>
              </w:rPr>
              <w:t>、竣工环境保护设施验收</w:t>
            </w:r>
          </w:p>
          <w:p w14:paraId="4ABDC4FF">
            <w:pPr>
              <w:adjustRightInd/>
              <w:snapToGrid/>
              <w:spacing w:line="360" w:lineRule="auto"/>
              <w:ind w:firstLine="480" w:firstLineChars="200"/>
              <w:rPr>
                <w:rFonts w:ascii="Times New Roman" w:hAnsi="Times New Roman" w:eastAsia="宋体" w:cs="Times New Roman"/>
                <w:color w:val="auto"/>
                <w:sz w:val="24"/>
                <w:szCs w:val="24"/>
                <w:lang w:eastAsia="zh-CN" w:bidi="ar"/>
              </w:rPr>
            </w:pPr>
            <w:r>
              <w:rPr>
                <w:rFonts w:ascii="Times New Roman" w:hAnsi="Times New Roman" w:eastAsia="宋体" w:cs="Times New Roman"/>
                <w:color w:val="auto"/>
                <w:sz w:val="24"/>
                <w:szCs w:val="24"/>
                <w:lang w:eastAsia="zh-CN" w:bidi="ar"/>
              </w:rPr>
              <w:t>根据《建设项目竣工环境保护验收暂行办法》的规定，建设项目竣工后，建设单位应当如实查验、监测、记载建设项目环境保护设施的建设和调试情况，编制验收监测报告。</w:t>
            </w:r>
          </w:p>
          <w:p w14:paraId="6D3B3770">
            <w:pPr>
              <w:kinsoku/>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本项目环保设施投资概算见下表。</w:t>
            </w:r>
          </w:p>
          <w:p w14:paraId="13CAA47F">
            <w:pPr>
              <w:keepNext w:val="0"/>
              <w:keepLines w:val="0"/>
              <w:pageBreakBefore w:val="0"/>
              <w:widowControl/>
              <w:kinsoku w:val="0"/>
              <w:wordWrap/>
              <w:overflowPunct/>
              <w:topLinePunct w:val="0"/>
              <w:autoSpaceDE w:val="0"/>
              <w:autoSpaceDN w:val="0"/>
              <w:bidi w:val="0"/>
              <w:adjustRightInd/>
              <w:snapToGrid/>
              <w:jc w:val="center"/>
              <w:textAlignment w:val="baseline"/>
              <w:rPr>
                <w:rFonts w:ascii="Times New Roman" w:hAnsi="Times New Roman" w:eastAsia="宋体" w:cs="Times New Roman"/>
                <w:color w:val="auto"/>
                <w:sz w:val="24"/>
                <w:szCs w:val="24"/>
                <w:lang w:eastAsia="zh-CN" w:bidi="ar"/>
              </w:rPr>
            </w:pPr>
            <w:r>
              <w:rPr>
                <w:rFonts w:ascii="Times New Roman" w:hAnsi="Times New Roman" w:eastAsia="宋体" w:cs="Times New Roman"/>
                <w:b/>
                <w:bCs/>
                <w:color w:val="auto"/>
                <w:sz w:val="24"/>
                <w:szCs w:val="24"/>
                <w:lang w:eastAsia="zh-CN"/>
              </w:rPr>
              <w:t>表5-2 本项目环保设施投资概算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208"/>
              <w:gridCol w:w="3492"/>
              <w:gridCol w:w="1331"/>
            </w:tblGrid>
            <w:tr w14:paraId="5C46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601569B0">
                  <w:pPr>
                    <w:kinsoku/>
                    <w:adjustRightInd/>
                    <w:snapToGrid/>
                    <w:jc w:val="center"/>
                    <w:rPr>
                      <w:rFonts w:ascii="Times New Roman" w:hAnsi="Times New Roman" w:eastAsia="宋体" w:cs="Times New Roman"/>
                      <w:b/>
                      <w:bCs/>
                      <w:color w:val="auto"/>
                      <w:spacing w:val="0"/>
                      <w:kern w:val="21"/>
                    </w:rPr>
                  </w:pPr>
                  <w:r>
                    <w:rPr>
                      <w:rFonts w:ascii="Times New Roman" w:hAnsi="Times New Roman" w:eastAsia="宋体" w:cs="Times New Roman"/>
                      <w:b/>
                      <w:bCs/>
                      <w:color w:val="auto"/>
                      <w:spacing w:val="0"/>
                      <w:kern w:val="21"/>
                    </w:rPr>
                    <w:t>项目名称</w:t>
                  </w:r>
                </w:p>
              </w:tc>
              <w:tc>
                <w:tcPr>
                  <w:tcW w:w="2151" w:type="dxa"/>
                  <w:tcBorders>
                    <w:top w:val="single" w:color="auto" w:sz="4" w:space="0"/>
                    <w:left w:val="single" w:color="auto" w:sz="4" w:space="0"/>
                    <w:bottom w:val="single" w:color="auto" w:sz="4" w:space="0"/>
                    <w:right w:val="single" w:color="auto" w:sz="4" w:space="0"/>
                  </w:tcBorders>
                  <w:vAlign w:val="center"/>
                </w:tcPr>
                <w:p w14:paraId="30845EB4">
                  <w:pPr>
                    <w:kinsoku/>
                    <w:adjustRightInd/>
                    <w:snapToGrid/>
                    <w:jc w:val="center"/>
                    <w:rPr>
                      <w:rFonts w:ascii="Times New Roman" w:hAnsi="Times New Roman" w:eastAsia="宋体" w:cs="Times New Roman"/>
                      <w:b/>
                      <w:bCs/>
                      <w:color w:val="auto"/>
                      <w:spacing w:val="0"/>
                      <w:kern w:val="21"/>
                    </w:rPr>
                  </w:pPr>
                  <w:r>
                    <w:rPr>
                      <w:rFonts w:ascii="Times New Roman" w:hAnsi="Times New Roman" w:eastAsia="宋体" w:cs="Times New Roman"/>
                      <w:b/>
                      <w:bCs/>
                      <w:color w:val="auto"/>
                      <w:spacing w:val="0"/>
                      <w:kern w:val="21"/>
                    </w:rPr>
                    <w:t>治理对象</w:t>
                  </w:r>
                </w:p>
              </w:tc>
              <w:tc>
                <w:tcPr>
                  <w:tcW w:w="3401" w:type="dxa"/>
                  <w:tcBorders>
                    <w:top w:val="single" w:color="auto" w:sz="4" w:space="0"/>
                    <w:left w:val="single" w:color="auto" w:sz="4" w:space="0"/>
                    <w:bottom w:val="single" w:color="auto" w:sz="4" w:space="0"/>
                    <w:right w:val="single" w:color="auto" w:sz="4" w:space="0"/>
                  </w:tcBorders>
                  <w:vAlign w:val="center"/>
                </w:tcPr>
                <w:p w14:paraId="6131EA18">
                  <w:pPr>
                    <w:kinsoku/>
                    <w:adjustRightInd/>
                    <w:snapToGrid/>
                    <w:jc w:val="center"/>
                    <w:rPr>
                      <w:rFonts w:ascii="Times New Roman" w:hAnsi="Times New Roman" w:eastAsia="宋体" w:cs="Times New Roman"/>
                      <w:b/>
                      <w:bCs/>
                      <w:color w:val="auto"/>
                      <w:spacing w:val="0"/>
                      <w:kern w:val="21"/>
                    </w:rPr>
                  </w:pPr>
                  <w:r>
                    <w:rPr>
                      <w:rFonts w:ascii="Times New Roman" w:hAnsi="Times New Roman" w:eastAsia="宋体" w:cs="Times New Roman"/>
                      <w:b/>
                      <w:bCs/>
                      <w:color w:val="auto"/>
                      <w:spacing w:val="0"/>
                      <w:kern w:val="21"/>
                    </w:rPr>
                    <w:t>建设内容</w:t>
                  </w:r>
                </w:p>
              </w:tc>
              <w:tc>
                <w:tcPr>
                  <w:tcW w:w="1296" w:type="dxa"/>
                  <w:tcBorders>
                    <w:top w:val="single" w:color="auto" w:sz="4" w:space="0"/>
                    <w:left w:val="single" w:color="auto" w:sz="4" w:space="0"/>
                    <w:bottom w:val="single" w:color="auto" w:sz="4" w:space="0"/>
                    <w:right w:val="single" w:color="auto" w:sz="4" w:space="0"/>
                  </w:tcBorders>
                  <w:vAlign w:val="center"/>
                </w:tcPr>
                <w:p w14:paraId="52EE783A">
                  <w:pPr>
                    <w:kinsoku/>
                    <w:adjustRightInd/>
                    <w:snapToGrid/>
                    <w:jc w:val="center"/>
                    <w:rPr>
                      <w:rFonts w:ascii="Times New Roman" w:hAnsi="Times New Roman" w:eastAsia="宋体" w:cs="Times New Roman"/>
                      <w:b/>
                      <w:bCs/>
                      <w:color w:val="auto"/>
                      <w:spacing w:val="0"/>
                      <w:kern w:val="21"/>
                    </w:rPr>
                  </w:pPr>
                  <w:r>
                    <w:rPr>
                      <w:rFonts w:ascii="Times New Roman" w:hAnsi="Times New Roman" w:eastAsia="宋体" w:cs="Times New Roman"/>
                      <w:b/>
                      <w:bCs/>
                      <w:color w:val="auto"/>
                      <w:spacing w:val="0"/>
                      <w:kern w:val="21"/>
                    </w:rPr>
                    <w:t>投资</w:t>
                  </w:r>
                </w:p>
                <w:p w14:paraId="21873D49">
                  <w:pPr>
                    <w:kinsoku/>
                    <w:adjustRightInd/>
                    <w:snapToGrid/>
                    <w:jc w:val="center"/>
                    <w:rPr>
                      <w:rFonts w:ascii="Times New Roman" w:hAnsi="Times New Roman" w:eastAsia="宋体" w:cs="Times New Roman"/>
                      <w:b/>
                      <w:bCs/>
                      <w:color w:val="auto"/>
                      <w:spacing w:val="0"/>
                      <w:kern w:val="21"/>
                    </w:rPr>
                  </w:pPr>
                  <w:r>
                    <w:rPr>
                      <w:rFonts w:ascii="Times New Roman" w:hAnsi="Times New Roman" w:eastAsia="宋体" w:cs="Times New Roman"/>
                      <w:b/>
                      <w:bCs/>
                      <w:color w:val="auto"/>
                      <w:spacing w:val="0"/>
                      <w:kern w:val="21"/>
                    </w:rPr>
                    <w:t>（万元）</w:t>
                  </w:r>
                </w:p>
              </w:tc>
            </w:tr>
            <w:tr w14:paraId="49F7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right w:val="single" w:color="auto" w:sz="4" w:space="0"/>
                  </w:tcBorders>
                  <w:vAlign w:val="center"/>
                </w:tcPr>
                <w:p w14:paraId="275D9455">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废水治理</w:t>
                  </w:r>
                </w:p>
              </w:tc>
              <w:tc>
                <w:tcPr>
                  <w:tcW w:w="2151" w:type="dxa"/>
                  <w:tcBorders>
                    <w:top w:val="single" w:color="auto" w:sz="4" w:space="0"/>
                    <w:left w:val="single" w:color="auto" w:sz="4" w:space="0"/>
                    <w:bottom w:val="single" w:color="auto" w:sz="4" w:space="0"/>
                    <w:right w:val="single" w:color="auto" w:sz="4" w:space="0"/>
                  </w:tcBorders>
                  <w:vAlign w:val="center"/>
                </w:tcPr>
                <w:p w14:paraId="4C103986">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生活污水</w:t>
                  </w:r>
                </w:p>
              </w:tc>
              <w:tc>
                <w:tcPr>
                  <w:tcW w:w="3401" w:type="dxa"/>
                  <w:tcBorders>
                    <w:top w:val="single" w:color="auto" w:sz="4" w:space="0"/>
                    <w:left w:val="single" w:color="auto" w:sz="4" w:space="0"/>
                    <w:bottom w:val="single" w:color="auto" w:sz="4" w:space="0"/>
                    <w:right w:val="single" w:color="auto" w:sz="4" w:space="0"/>
                  </w:tcBorders>
                  <w:vAlign w:val="center"/>
                </w:tcPr>
                <w:p w14:paraId="257BAFCF">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依托已建化粪池处理</w:t>
                  </w:r>
                </w:p>
              </w:tc>
              <w:tc>
                <w:tcPr>
                  <w:tcW w:w="1296" w:type="dxa"/>
                  <w:tcBorders>
                    <w:top w:val="single" w:color="auto" w:sz="4" w:space="0"/>
                    <w:left w:val="single" w:color="auto" w:sz="4" w:space="0"/>
                    <w:bottom w:val="single" w:color="auto" w:sz="4" w:space="0"/>
                    <w:right w:val="single" w:color="auto" w:sz="4" w:space="0"/>
                  </w:tcBorders>
                  <w:vAlign w:val="center"/>
                </w:tcPr>
                <w:p w14:paraId="151461C8">
                  <w:pPr>
                    <w:pStyle w:val="62"/>
                    <w:kinsoku/>
                    <w:adjustRightInd/>
                    <w:snapToGrid/>
                    <w:spacing w:line="240" w:lineRule="auto"/>
                    <w:ind w:left="460" w:hanging="460"/>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0</w:t>
                  </w:r>
                </w:p>
              </w:tc>
            </w:tr>
            <w:tr w14:paraId="3A15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vMerge w:val="restart"/>
                  <w:tcBorders>
                    <w:top w:val="single" w:color="auto" w:sz="4" w:space="0"/>
                    <w:left w:val="single" w:color="auto" w:sz="4" w:space="0"/>
                    <w:right w:val="single" w:color="auto" w:sz="4" w:space="0"/>
                  </w:tcBorders>
                  <w:vAlign w:val="center"/>
                </w:tcPr>
                <w:p w14:paraId="48D9B674">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废气治理</w:t>
                  </w:r>
                </w:p>
              </w:tc>
              <w:tc>
                <w:tcPr>
                  <w:tcW w:w="2151" w:type="dxa"/>
                  <w:tcBorders>
                    <w:top w:val="single" w:color="auto" w:sz="4" w:space="0"/>
                    <w:left w:val="single" w:color="auto" w:sz="4" w:space="0"/>
                    <w:bottom w:val="single" w:color="auto" w:sz="4" w:space="0"/>
                    <w:right w:val="single" w:color="auto" w:sz="4" w:space="0"/>
                  </w:tcBorders>
                  <w:vAlign w:val="center"/>
                </w:tcPr>
                <w:p w14:paraId="633949CB">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下料</w:t>
                  </w:r>
                  <w:r>
                    <w:rPr>
                      <w:rFonts w:ascii="Times New Roman" w:hAnsi="Times New Roman" w:cs="Times New Roman"/>
                      <w:color w:val="auto"/>
                      <w:spacing w:val="0"/>
                      <w:kern w:val="21"/>
                      <w:lang w:eastAsia="zh-CN"/>
                    </w:rPr>
                    <w:t>、焊接、打磨/抛光</w:t>
                  </w:r>
                  <w:r>
                    <w:rPr>
                      <w:rFonts w:ascii="Times New Roman" w:hAnsi="Times New Roman" w:eastAsia="宋体" w:cs="Times New Roman"/>
                      <w:color w:val="auto"/>
                      <w:spacing w:val="0"/>
                      <w:kern w:val="21"/>
                      <w:lang w:eastAsia="zh-CN"/>
                    </w:rPr>
                    <w:t>粉尘</w:t>
                  </w:r>
                </w:p>
              </w:tc>
              <w:tc>
                <w:tcPr>
                  <w:tcW w:w="3401" w:type="dxa"/>
                  <w:tcBorders>
                    <w:top w:val="single" w:color="auto" w:sz="4" w:space="0"/>
                    <w:left w:val="single" w:color="auto" w:sz="4" w:space="0"/>
                    <w:bottom w:val="single" w:color="auto" w:sz="4" w:space="0"/>
                    <w:right w:val="single" w:color="auto" w:sz="4" w:space="0"/>
                  </w:tcBorders>
                  <w:vAlign w:val="center"/>
                </w:tcPr>
                <w:p w14:paraId="27D0DFCB">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集气罩+</w:t>
                  </w:r>
                  <w:r>
                    <w:rPr>
                      <w:rFonts w:ascii="Times New Roman" w:hAnsi="Times New Roman" w:cs="Times New Roman"/>
                      <w:color w:val="auto"/>
                      <w:spacing w:val="0"/>
                      <w:kern w:val="21"/>
                      <w:lang w:eastAsia="zh-CN"/>
                    </w:rPr>
                    <w:t>布袋除尘器处理后通过15m高排气筒排放（DA001）</w:t>
                  </w:r>
                </w:p>
              </w:tc>
              <w:tc>
                <w:tcPr>
                  <w:tcW w:w="1296" w:type="dxa"/>
                  <w:tcBorders>
                    <w:top w:val="single" w:color="auto" w:sz="4" w:space="0"/>
                    <w:left w:val="single" w:color="auto" w:sz="4" w:space="0"/>
                    <w:right w:val="single" w:color="auto" w:sz="4" w:space="0"/>
                  </w:tcBorders>
                  <w:vAlign w:val="center"/>
                </w:tcPr>
                <w:p w14:paraId="13262991">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10</w:t>
                  </w:r>
                </w:p>
              </w:tc>
            </w:tr>
            <w:tr w14:paraId="57E9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vMerge w:val="continue"/>
                  <w:tcBorders>
                    <w:left w:val="single" w:color="auto" w:sz="4" w:space="0"/>
                    <w:right w:val="single" w:color="auto" w:sz="4" w:space="0"/>
                  </w:tcBorders>
                  <w:vAlign w:val="center"/>
                </w:tcPr>
                <w:p w14:paraId="628509E9">
                  <w:pPr>
                    <w:kinsoku/>
                    <w:adjustRightInd/>
                    <w:snapToGrid/>
                    <w:jc w:val="center"/>
                    <w:rPr>
                      <w:rFonts w:ascii="Times New Roman" w:hAnsi="Times New Roman" w:eastAsia="宋体" w:cs="Times New Roman"/>
                      <w:color w:val="auto"/>
                      <w:spacing w:val="0"/>
                      <w:kern w:val="21"/>
                    </w:rPr>
                  </w:pPr>
                </w:p>
              </w:tc>
              <w:tc>
                <w:tcPr>
                  <w:tcW w:w="2151" w:type="dxa"/>
                  <w:tcBorders>
                    <w:top w:val="single" w:color="auto" w:sz="4" w:space="0"/>
                    <w:left w:val="single" w:color="auto" w:sz="4" w:space="0"/>
                    <w:bottom w:val="single" w:color="auto" w:sz="4" w:space="0"/>
                    <w:right w:val="single" w:color="auto" w:sz="4" w:space="0"/>
                  </w:tcBorders>
                  <w:vAlign w:val="center"/>
                </w:tcPr>
                <w:p w14:paraId="24DA2296">
                  <w:pPr>
                    <w:pStyle w:val="63"/>
                    <w:kinsoku/>
                    <w:adjustRightInd/>
                    <w:snapToGrid/>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喷塑粉尘</w:t>
                  </w:r>
                </w:p>
              </w:tc>
              <w:tc>
                <w:tcPr>
                  <w:tcW w:w="3401" w:type="dxa"/>
                  <w:tcBorders>
                    <w:top w:val="single" w:color="auto" w:sz="4" w:space="0"/>
                    <w:left w:val="single" w:color="auto" w:sz="4" w:space="0"/>
                    <w:right w:val="single" w:color="auto" w:sz="4" w:space="0"/>
                  </w:tcBorders>
                  <w:vAlign w:val="center"/>
                </w:tcPr>
                <w:p w14:paraId="5F6DA065">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密闭负压收集+滤芯除尘+布袋除尘器处理后由</w:t>
                  </w:r>
                  <w:r>
                    <w:rPr>
                      <w:rFonts w:ascii="Times New Roman" w:hAnsi="Times New Roman" w:cs="Times New Roman"/>
                      <w:color w:val="auto"/>
                      <w:spacing w:val="0"/>
                      <w:kern w:val="21"/>
                      <w:lang w:eastAsia="zh-CN"/>
                    </w:rPr>
                    <w:t>15</w:t>
                  </w:r>
                  <w:r>
                    <w:rPr>
                      <w:rFonts w:ascii="Times New Roman" w:hAnsi="Times New Roman" w:eastAsia="宋体" w:cs="Times New Roman"/>
                      <w:color w:val="auto"/>
                      <w:spacing w:val="0"/>
                      <w:kern w:val="21"/>
                      <w:lang w:eastAsia="zh-CN"/>
                    </w:rPr>
                    <w:t>m高排气筒排放（DA002）</w:t>
                  </w:r>
                </w:p>
              </w:tc>
              <w:tc>
                <w:tcPr>
                  <w:tcW w:w="1296" w:type="dxa"/>
                  <w:tcBorders>
                    <w:top w:val="single" w:color="auto" w:sz="4" w:space="0"/>
                    <w:left w:val="single" w:color="auto" w:sz="4" w:space="0"/>
                    <w:right w:val="single" w:color="auto" w:sz="4" w:space="0"/>
                  </w:tcBorders>
                  <w:vAlign w:val="center"/>
                </w:tcPr>
                <w:p w14:paraId="0BAF1C9C">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20</w:t>
                  </w:r>
                </w:p>
              </w:tc>
            </w:tr>
            <w:tr w14:paraId="44D8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vMerge w:val="continue"/>
                  <w:tcBorders>
                    <w:left w:val="single" w:color="auto" w:sz="4" w:space="0"/>
                    <w:right w:val="single" w:color="auto" w:sz="4" w:space="0"/>
                  </w:tcBorders>
                  <w:vAlign w:val="center"/>
                </w:tcPr>
                <w:p w14:paraId="2A20C58C">
                  <w:pPr>
                    <w:kinsoku/>
                    <w:adjustRightInd/>
                    <w:snapToGrid/>
                    <w:jc w:val="center"/>
                    <w:rPr>
                      <w:rFonts w:ascii="Times New Roman" w:hAnsi="Times New Roman" w:eastAsia="宋体" w:cs="Times New Roman"/>
                      <w:color w:val="auto"/>
                      <w:spacing w:val="0"/>
                      <w:kern w:val="21"/>
                    </w:rPr>
                  </w:pPr>
                </w:p>
              </w:tc>
              <w:tc>
                <w:tcPr>
                  <w:tcW w:w="2151" w:type="dxa"/>
                  <w:tcBorders>
                    <w:top w:val="single" w:color="auto" w:sz="4" w:space="0"/>
                    <w:left w:val="single" w:color="auto" w:sz="4" w:space="0"/>
                    <w:bottom w:val="single" w:color="auto" w:sz="4" w:space="0"/>
                    <w:right w:val="single" w:color="auto" w:sz="4" w:space="0"/>
                  </w:tcBorders>
                  <w:vAlign w:val="center"/>
                </w:tcPr>
                <w:p w14:paraId="46475A76">
                  <w:pPr>
                    <w:pStyle w:val="63"/>
                    <w:kinsoku/>
                    <w:adjustRightInd/>
                    <w:snapToGrid/>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固化</w:t>
                  </w:r>
                  <w:r>
                    <w:rPr>
                      <w:rFonts w:ascii="Times New Roman" w:hAnsi="Times New Roman" w:cs="Times New Roman"/>
                      <w:color w:val="auto"/>
                      <w:spacing w:val="0"/>
                      <w:kern w:val="21"/>
                      <w:lang w:eastAsia="zh-CN"/>
                    </w:rPr>
                    <w:t>/</w:t>
                  </w:r>
                  <w:r>
                    <w:rPr>
                      <w:rFonts w:ascii="Times New Roman" w:hAnsi="Times New Roman" w:eastAsia="宋体" w:cs="Times New Roman"/>
                      <w:color w:val="auto"/>
                      <w:spacing w:val="0"/>
                      <w:kern w:val="21"/>
                      <w:lang w:eastAsia="zh-CN"/>
                    </w:rPr>
                    <w:t>废气</w:t>
                  </w:r>
                </w:p>
              </w:tc>
              <w:tc>
                <w:tcPr>
                  <w:tcW w:w="3401" w:type="dxa"/>
                  <w:tcBorders>
                    <w:left w:val="single" w:color="auto" w:sz="4" w:space="0"/>
                    <w:bottom w:val="single" w:color="auto" w:sz="4" w:space="0"/>
                    <w:right w:val="single" w:color="auto" w:sz="4" w:space="0"/>
                  </w:tcBorders>
                  <w:vAlign w:val="center"/>
                </w:tcPr>
                <w:p w14:paraId="3A662919">
                  <w:pPr>
                    <w:kinsoku/>
                    <w:adjustRightInd/>
                    <w:snapToGrid/>
                    <w:jc w:val="center"/>
                    <w:rPr>
                      <w:rFonts w:ascii="Times New Roman" w:hAnsi="Times New Roman" w:eastAsia="宋体" w:cs="Times New Roman"/>
                      <w:color w:val="auto"/>
                      <w:spacing w:val="0"/>
                      <w:kern w:val="21"/>
                      <w:szCs w:val="22"/>
                      <w:lang w:eastAsia="zh-CN"/>
                    </w:rPr>
                  </w:pPr>
                  <w:r>
                    <w:rPr>
                      <w:rFonts w:ascii="Times New Roman" w:hAnsi="Times New Roman" w:eastAsia="宋体" w:cs="Times New Roman"/>
                      <w:color w:val="auto"/>
                      <w:spacing w:val="0"/>
                      <w:kern w:val="21"/>
                      <w:szCs w:val="22"/>
                      <w:lang w:eastAsia="zh-CN"/>
                    </w:rPr>
                    <w:t>密闭负压收集</w:t>
                  </w:r>
                  <w:r>
                    <w:rPr>
                      <w:rFonts w:ascii="Times New Roman" w:hAnsi="Times New Roman" w:eastAsia="宋体" w:cs="Times New Roman"/>
                      <w:color w:val="auto"/>
                      <w:spacing w:val="0"/>
                      <w:kern w:val="21"/>
                      <w:lang w:eastAsia="zh-CN"/>
                    </w:rPr>
                    <w:t>+风冷+</w:t>
                  </w:r>
                  <w:r>
                    <w:rPr>
                      <w:rFonts w:ascii="Times New Roman" w:hAnsi="Times New Roman" w:eastAsia="宋体" w:cs="Times New Roman"/>
                      <w:color w:val="auto"/>
                      <w:spacing w:val="0"/>
                      <w:kern w:val="21"/>
                      <w:szCs w:val="22"/>
                      <w:lang w:eastAsia="zh-CN"/>
                    </w:rPr>
                    <w:t>二级活性炭装置处理后由</w:t>
                  </w:r>
                  <w:r>
                    <w:rPr>
                      <w:rFonts w:ascii="Times New Roman" w:hAnsi="Times New Roman" w:cs="Times New Roman"/>
                      <w:color w:val="auto"/>
                      <w:spacing w:val="0"/>
                      <w:kern w:val="21"/>
                      <w:szCs w:val="22"/>
                      <w:lang w:eastAsia="zh-CN"/>
                    </w:rPr>
                    <w:t>15</w:t>
                  </w:r>
                  <w:r>
                    <w:rPr>
                      <w:rFonts w:ascii="Times New Roman" w:hAnsi="Times New Roman" w:eastAsia="宋体" w:cs="Times New Roman"/>
                      <w:color w:val="auto"/>
                      <w:spacing w:val="0"/>
                      <w:kern w:val="21"/>
                      <w:szCs w:val="22"/>
                      <w:lang w:eastAsia="zh-CN"/>
                    </w:rPr>
                    <w:t>m高排气筒排放（DA003）</w:t>
                  </w:r>
                </w:p>
              </w:tc>
              <w:tc>
                <w:tcPr>
                  <w:tcW w:w="1296" w:type="dxa"/>
                  <w:tcBorders>
                    <w:left w:val="single" w:color="auto" w:sz="4" w:space="0"/>
                    <w:bottom w:val="single" w:color="auto" w:sz="4" w:space="0"/>
                    <w:right w:val="single" w:color="auto" w:sz="4" w:space="0"/>
                  </w:tcBorders>
                  <w:vAlign w:val="center"/>
                </w:tcPr>
                <w:p w14:paraId="7C4381D0">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25</w:t>
                  </w:r>
                </w:p>
              </w:tc>
            </w:tr>
            <w:tr w14:paraId="2DCE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302B29A3">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噪声治理</w:t>
                  </w:r>
                </w:p>
              </w:tc>
              <w:tc>
                <w:tcPr>
                  <w:tcW w:w="2151" w:type="dxa"/>
                  <w:tcBorders>
                    <w:top w:val="single" w:color="auto" w:sz="4" w:space="0"/>
                    <w:left w:val="single" w:color="auto" w:sz="4" w:space="0"/>
                    <w:bottom w:val="single" w:color="auto" w:sz="4" w:space="0"/>
                    <w:right w:val="single" w:color="auto" w:sz="4" w:space="0"/>
                  </w:tcBorders>
                  <w:vAlign w:val="center"/>
                </w:tcPr>
                <w:p w14:paraId="02E91B80">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设备运转噪声</w:t>
                  </w:r>
                </w:p>
              </w:tc>
              <w:tc>
                <w:tcPr>
                  <w:tcW w:w="3401" w:type="dxa"/>
                  <w:tcBorders>
                    <w:top w:val="single" w:color="auto" w:sz="4" w:space="0"/>
                    <w:left w:val="single" w:color="auto" w:sz="4" w:space="0"/>
                    <w:bottom w:val="single" w:color="auto" w:sz="4" w:space="0"/>
                    <w:right w:val="single" w:color="auto" w:sz="4" w:space="0"/>
                  </w:tcBorders>
                  <w:vAlign w:val="center"/>
                </w:tcPr>
                <w:p w14:paraId="43D0A357">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合理布局、减振、隔声</w:t>
                  </w:r>
                </w:p>
              </w:tc>
              <w:tc>
                <w:tcPr>
                  <w:tcW w:w="1296" w:type="dxa"/>
                  <w:tcBorders>
                    <w:top w:val="single" w:color="auto" w:sz="4" w:space="0"/>
                    <w:left w:val="single" w:color="auto" w:sz="4" w:space="0"/>
                    <w:bottom w:val="single" w:color="auto" w:sz="4" w:space="0"/>
                    <w:right w:val="single" w:color="auto" w:sz="4" w:space="0"/>
                  </w:tcBorders>
                  <w:vAlign w:val="center"/>
                </w:tcPr>
                <w:p w14:paraId="36171008">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5</w:t>
                  </w:r>
                </w:p>
              </w:tc>
            </w:tr>
            <w:tr w14:paraId="4D29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74C373E0">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固废治理</w:t>
                  </w:r>
                </w:p>
              </w:tc>
              <w:tc>
                <w:tcPr>
                  <w:tcW w:w="2151" w:type="dxa"/>
                  <w:tcBorders>
                    <w:top w:val="single" w:color="auto" w:sz="4" w:space="0"/>
                    <w:left w:val="single" w:color="auto" w:sz="4" w:space="0"/>
                    <w:bottom w:val="single" w:color="auto" w:sz="4" w:space="0"/>
                    <w:right w:val="single" w:color="auto" w:sz="4" w:space="0"/>
                  </w:tcBorders>
                  <w:vAlign w:val="center"/>
                </w:tcPr>
                <w:p w14:paraId="09414014">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生活垃圾、危险废物、一般固体废物</w:t>
                  </w:r>
                </w:p>
              </w:tc>
              <w:tc>
                <w:tcPr>
                  <w:tcW w:w="3401" w:type="dxa"/>
                  <w:tcBorders>
                    <w:top w:val="single" w:color="auto" w:sz="4" w:space="0"/>
                    <w:left w:val="single" w:color="auto" w:sz="4" w:space="0"/>
                    <w:bottom w:val="single" w:color="auto" w:sz="4" w:space="0"/>
                    <w:right w:val="single" w:color="auto" w:sz="4" w:space="0"/>
                  </w:tcBorders>
                  <w:vAlign w:val="center"/>
                </w:tcPr>
                <w:p w14:paraId="274401BB">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垃圾桶，一般固废暂存点，危险废物暂存间</w:t>
                  </w:r>
                </w:p>
              </w:tc>
              <w:tc>
                <w:tcPr>
                  <w:tcW w:w="1296" w:type="dxa"/>
                  <w:tcBorders>
                    <w:top w:val="single" w:color="auto" w:sz="4" w:space="0"/>
                    <w:left w:val="single" w:color="auto" w:sz="4" w:space="0"/>
                    <w:bottom w:val="single" w:color="auto" w:sz="4" w:space="0"/>
                    <w:right w:val="single" w:color="auto" w:sz="4" w:space="0"/>
                  </w:tcBorders>
                  <w:vAlign w:val="center"/>
                </w:tcPr>
                <w:p w14:paraId="77031AD4">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rPr>
                    <w:t>1</w:t>
                  </w:r>
                  <w:r>
                    <w:rPr>
                      <w:rFonts w:ascii="Times New Roman" w:hAnsi="Times New Roman" w:eastAsia="宋体" w:cs="Times New Roman"/>
                      <w:color w:val="auto"/>
                      <w:spacing w:val="0"/>
                      <w:kern w:val="21"/>
                      <w:lang w:eastAsia="zh-CN"/>
                    </w:rPr>
                    <w:t>0</w:t>
                  </w:r>
                </w:p>
              </w:tc>
            </w:tr>
            <w:tr w14:paraId="024B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3E5E11F1">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地下水及土壤</w:t>
                  </w:r>
                </w:p>
              </w:tc>
              <w:tc>
                <w:tcPr>
                  <w:tcW w:w="2151" w:type="dxa"/>
                  <w:tcBorders>
                    <w:top w:val="single" w:color="auto" w:sz="4" w:space="0"/>
                    <w:left w:val="single" w:color="auto" w:sz="4" w:space="0"/>
                    <w:bottom w:val="single" w:color="auto" w:sz="4" w:space="0"/>
                    <w:right w:val="single" w:color="auto" w:sz="4" w:space="0"/>
                  </w:tcBorders>
                  <w:vAlign w:val="center"/>
                </w:tcPr>
                <w:p w14:paraId="39E30F7C">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地下水及土壤</w:t>
                  </w:r>
                </w:p>
              </w:tc>
              <w:tc>
                <w:tcPr>
                  <w:tcW w:w="3401" w:type="dxa"/>
                  <w:tcBorders>
                    <w:top w:val="single" w:color="auto" w:sz="4" w:space="0"/>
                    <w:left w:val="single" w:color="auto" w:sz="4" w:space="0"/>
                    <w:bottom w:val="single" w:color="auto" w:sz="4" w:space="0"/>
                    <w:right w:val="single" w:color="auto" w:sz="4" w:space="0"/>
                  </w:tcBorders>
                  <w:vAlign w:val="center"/>
                </w:tcPr>
                <w:p w14:paraId="56D5E615">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厂区分区防渗：危险废物暂存间、喷塑房、固化房等重点防渗</w:t>
                  </w:r>
                </w:p>
              </w:tc>
              <w:tc>
                <w:tcPr>
                  <w:tcW w:w="1296" w:type="dxa"/>
                  <w:tcBorders>
                    <w:top w:val="single" w:color="auto" w:sz="4" w:space="0"/>
                    <w:left w:val="single" w:color="auto" w:sz="4" w:space="0"/>
                    <w:bottom w:val="single" w:color="auto" w:sz="4" w:space="0"/>
                    <w:right w:val="single" w:color="auto" w:sz="4" w:space="0"/>
                  </w:tcBorders>
                  <w:vAlign w:val="center"/>
                </w:tcPr>
                <w:p w14:paraId="66E88BE4">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20</w:t>
                  </w:r>
                </w:p>
              </w:tc>
            </w:tr>
            <w:tr w14:paraId="7092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7" w:type="dxa"/>
                  <w:tcBorders>
                    <w:top w:val="single" w:color="auto" w:sz="4" w:space="0"/>
                    <w:left w:val="single" w:color="auto" w:sz="4" w:space="0"/>
                    <w:bottom w:val="single" w:color="auto" w:sz="4" w:space="0"/>
                    <w:right w:val="single" w:color="auto" w:sz="4" w:space="0"/>
                  </w:tcBorders>
                  <w:vAlign w:val="center"/>
                </w:tcPr>
                <w:p w14:paraId="2B9E8864">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环境风险</w:t>
                  </w:r>
                </w:p>
              </w:tc>
              <w:tc>
                <w:tcPr>
                  <w:tcW w:w="2151" w:type="dxa"/>
                  <w:tcBorders>
                    <w:top w:val="single" w:color="auto" w:sz="4" w:space="0"/>
                    <w:left w:val="single" w:color="auto" w:sz="4" w:space="0"/>
                    <w:bottom w:val="single" w:color="auto" w:sz="4" w:space="0"/>
                    <w:right w:val="single" w:color="auto" w:sz="4" w:space="0"/>
                  </w:tcBorders>
                  <w:vAlign w:val="center"/>
                </w:tcPr>
                <w:p w14:paraId="7BE32AAF">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环境风险</w:t>
                  </w:r>
                </w:p>
              </w:tc>
              <w:tc>
                <w:tcPr>
                  <w:tcW w:w="3401" w:type="dxa"/>
                  <w:tcBorders>
                    <w:top w:val="single" w:color="auto" w:sz="4" w:space="0"/>
                    <w:left w:val="single" w:color="auto" w:sz="4" w:space="0"/>
                    <w:bottom w:val="single" w:color="auto" w:sz="4" w:space="0"/>
                    <w:right w:val="single" w:color="auto" w:sz="4" w:space="0"/>
                  </w:tcBorders>
                  <w:vAlign w:val="center"/>
                </w:tcPr>
                <w:p w14:paraId="54E981EB">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eastAsia="宋体" w:cs="Times New Roman"/>
                      <w:color w:val="auto"/>
                      <w:spacing w:val="0"/>
                      <w:kern w:val="21"/>
                      <w:lang w:eastAsia="zh-CN"/>
                    </w:rPr>
                    <w:t>编制应急预案，并设置危废间泄漏收集应急措施</w:t>
                  </w:r>
                </w:p>
              </w:tc>
              <w:tc>
                <w:tcPr>
                  <w:tcW w:w="1296" w:type="dxa"/>
                  <w:tcBorders>
                    <w:top w:val="single" w:color="auto" w:sz="4" w:space="0"/>
                    <w:left w:val="single" w:color="auto" w:sz="4" w:space="0"/>
                    <w:bottom w:val="single" w:color="auto" w:sz="4" w:space="0"/>
                    <w:right w:val="single" w:color="auto" w:sz="4" w:space="0"/>
                  </w:tcBorders>
                  <w:vAlign w:val="center"/>
                </w:tcPr>
                <w:p w14:paraId="1D2A0870">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10</w:t>
                  </w:r>
                </w:p>
              </w:tc>
            </w:tr>
            <w:tr w14:paraId="5010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9" w:type="dxa"/>
                  <w:gridSpan w:val="3"/>
                  <w:tcBorders>
                    <w:top w:val="single" w:color="auto" w:sz="4" w:space="0"/>
                    <w:left w:val="single" w:color="auto" w:sz="4" w:space="0"/>
                    <w:bottom w:val="single" w:color="auto" w:sz="4" w:space="0"/>
                    <w:right w:val="single" w:color="auto" w:sz="4" w:space="0"/>
                  </w:tcBorders>
                  <w:vAlign w:val="center"/>
                </w:tcPr>
                <w:p w14:paraId="3D2D3901">
                  <w:pPr>
                    <w:kinsoku/>
                    <w:adjustRightInd/>
                    <w:snapToGrid/>
                    <w:jc w:val="center"/>
                    <w:rPr>
                      <w:rFonts w:ascii="Times New Roman" w:hAnsi="Times New Roman" w:eastAsia="宋体" w:cs="Times New Roman"/>
                      <w:color w:val="auto"/>
                      <w:spacing w:val="0"/>
                      <w:kern w:val="21"/>
                    </w:rPr>
                  </w:pPr>
                  <w:r>
                    <w:rPr>
                      <w:rFonts w:ascii="Times New Roman" w:hAnsi="Times New Roman" w:eastAsia="宋体" w:cs="Times New Roman"/>
                      <w:color w:val="auto"/>
                      <w:spacing w:val="0"/>
                      <w:kern w:val="21"/>
                    </w:rPr>
                    <w:t>总计</w:t>
                  </w:r>
                </w:p>
              </w:tc>
              <w:tc>
                <w:tcPr>
                  <w:tcW w:w="1296" w:type="dxa"/>
                  <w:tcBorders>
                    <w:top w:val="single" w:color="auto" w:sz="4" w:space="0"/>
                    <w:left w:val="single" w:color="auto" w:sz="4" w:space="0"/>
                    <w:bottom w:val="single" w:color="auto" w:sz="4" w:space="0"/>
                    <w:right w:val="single" w:color="auto" w:sz="4" w:space="0"/>
                  </w:tcBorders>
                  <w:vAlign w:val="center"/>
                </w:tcPr>
                <w:p w14:paraId="0AF0B9B4">
                  <w:pPr>
                    <w:kinsoku/>
                    <w:adjustRightInd/>
                    <w:snapToGrid/>
                    <w:jc w:val="center"/>
                    <w:rPr>
                      <w:rFonts w:ascii="Times New Roman" w:hAnsi="Times New Roman" w:eastAsia="宋体" w:cs="Times New Roman"/>
                      <w:color w:val="auto"/>
                      <w:spacing w:val="0"/>
                      <w:kern w:val="21"/>
                      <w:lang w:eastAsia="zh-CN"/>
                    </w:rPr>
                  </w:pPr>
                  <w:r>
                    <w:rPr>
                      <w:rFonts w:ascii="Times New Roman" w:hAnsi="Times New Roman" w:cs="Times New Roman"/>
                      <w:color w:val="auto"/>
                      <w:spacing w:val="0"/>
                      <w:kern w:val="21"/>
                      <w:lang w:eastAsia="zh-CN"/>
                    </w:rPr>
                    <w:t>100</w:t>
                  </w:r>
                </w:p>
              </w:tc>
            </w:tr>
          </w:tbl>
          <w:p w14:paraId="30E70825">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2A3031C9">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15F2A44B">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18959489">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3D700397">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0D469E10">
            <w:pPr>
              <w:adjustRightInd/>
              <w:snapToGrid/>
              <w:spacing w:line="360" w:lineRule="auto"/>
              <w:ind w:firstLine="480" w:firstLineChars="200"/>
              <w:rPr>
                <w:rFonts w:ascii="Times New Roman" w:hAnsi="Times New Roman" w:eastAsia="宋体" w:cs="Times New Roman"/>
                <w:color w:val="auto"/>
                <w:sz w:val="24"/>
                <w:szCs w:val="24"/>
                <w:lang w:eastAsia="zh-CN"/>
              </w:rPr>
            </w:pPr>
          </w:p>
          <w:p w14:paraId="692A75FF">
            <w:pPr>
              <w:adjustRightInd/>
              <w:snapToGrid/>
              <w:spacing w:line="360" w:lineRule="auto"/>
              <w:rPr>
                <w:rFonts w:ascii="Times New Roman" w:hAnsi="Times New Roman" w:eastAsia="宋体" w:cs="Times New Roman"/>
                <w:bCs/>
                <w:color w:val="auto"/>
                <w:sz w:val="24"/>
                <w:szCs w:val="24"/>
                <w:lang w:eastAsia="zh-CN"/>
              </w:rPr>
            </w:pPr>
          </w:p>
          <w:p w14:paraId="1CFD9B98">
            <w:pPr>
              <w:adjustRightInd/>
              <w:snapToGrid/>
              <w:spacing w:line="360" w:lineRule="auto"/>
              <w:rPr>
                <w:rFonts w:ascii="Times New Roman" w:hAnsi="Times New Roman" w:eastAsia="宋体" w:cs="Times New Roman"/>
                <w:bCs/>
                <w:color w:val="auto"/>
                <w:sz w:val="24"/>
                <w:szCs w:val="24"/>
                <w:lang w:eastAsia="zh-CN"/>
              </w:rPr>
            </w:pPr>
          </w:p>
          <w:p w14:paraId="4846D588">
            <w:pPr>
              <w:adjustRightInd/>
              <w:snapToGrid/>
              <w:spacing w:line="360" w:lineRule="auto"/>
              <w:rPr>
                <w:rFonts w:ascii="Times New Roman" w:hAnsi="Times New Roman" w:eastAsia="宋体" w:cs="Times New Roman"/>
                <w:bCs/>
                <w:color w:val="auto"/>
                <w:sz w:val="24"/>
                <w:szCs w:val="24"/>
                <w:lang w:eastAsia="zh-CN"/>
              </w:rPr>
            </w:pPr>
          </w:p>
          <w:p w14:paraId="607AAEE7">
            <w:pPr>
              <w:adjustRightInd/>
              <w:snapToGrid/>
              <w:spacing w:line="360" w:lineRule="auto"/>
              <w:rPr>
                <w:rFonts w:ascii="Times New Roman" w:hAnsi="Times New Roman" w:eastAsia="宋体" w:cs="Times New Roman"/>
                <w:bCs/>
                <w:color w:val="auto"/>
                <w:sz w:val="24"/>
                <w:szCs w:val="24"/>
                <w:lang w:eastAsia="zh-CN"/>
              </w:rPr>
            </w:pPr>
          </w:p>
          <w:p w14:paraId="5D94AE5B">
            <w:pPr>
              <w:adjustRightInd/>
              <w:snapToGrid/>
              <w:spacing w:line="360" w:lineRule="auto"/>
              <w:rPr>
                <w:rFonts w:ascii="Times New Roman" w:hAnsi="Times New Roman" w:eastAsia="宋体" w:cs="Times New Roman"/>
                <w:bCs/>
                <w:color w:val="auto"/>
                <w:sz w:val="24"/>
                <w:szCs w:val="24"/>
                <w:lang w:eastAsia="zh-CN"/>
              </w:rPr>
            </w:pPr>
          </w:p>
          <w:p w14:paraId="2BF1BC1E">
            <w:pPr>
              <w:adjustRightInd/>
              <w:snapToGrid/>
              <w:spacing w:line="360" w:lineRule="auto"/>
              <w:rPr>
                <w:rFonts w:ascii="Times New Roman" w:hAnsi="Times New Roman" w:eastAsia="宋体" w:cs="Times New Roman"/>
                <w:bCs/>
                <w:color w:val="auto"/>
                <w:sz w:val="24"/>
                <w:szCs w:val="24"/>
                <w:lang w:eastAsia="zh-CN"/>
              </w:rPr>
            </w:pPr>
          </w:p>
          <w:p w14:paraId="73CA8351">
            <w:pPr>
              <w:adjustRightInd/>
              <w:snapToGrid/>
              <w:spacing w:line="360" w:lineRule="auto"/>
              <w:rPr>
                <w:rFonts w:ascii="Times New Roman" w:hAnsi="Times New Roman" w:eastAsia="宋体" w:cs="Times New Roman"/>
                <w:bCs/>
                <w:color w:val="auto"/>
                <w:sz w:val="24"/>
                <w:szCs w:val="24"/>
                <w:lang w:eastAsia="zh-CN"/>
              </w:rPr>
            </w:pPr>
          </w:p>
          <w:p w14:paraId="3B1CB203">
            <w:pPr>
              <w:adjustRightInd/>
              <w:snapToGrid/>
              <w:spacing w:line="360" w:lineRule="auto"/>
              <w:rPr>
                <w:rFonts w:ascii="Times New Roman" w:hAnsi="Times New Roman" w:eastAsia="宋体" w:cs="Times New Roman"/>
                <w:bCs/>
                <w:color w:val="auto"/>
                <w:sz w:val="24"/>
                <w:szCs w:val="24"/>
                <w:lang w:eastAsia="zh-CN"/>
              </w:rPr>
            </w:pPr>
          </w:p>
          <w:p w14:paraId="56E5F308">
            <w:pPr>
              <w:adjustRightInd/>
              <w:snapToGrid/>
              <w:spacing w:line="360" w:lineRule="auto"/>
              <w:rPr>
                <w:rFonts w:ascii="Times New Roman" w:hAnsi="Times New Roman" w:eastAsia="宋体" w:cs="Times New Roman"/>
                <w:bCs/>
                <w:color w:val="auto"/>
                <w:sz w:val="24"/>
                <w:szCs w:val="24"/>
                <w:lang w:eastAsia="zh-CN"/>
              </w:rPr>
            </w:pPr>
          </w:p>
          <w:p w14:paraId="4EA960DB">
            <w:pPr>
              <w:adjustRightInd/>
              <w:snapToGrid/>
              <w:spacing w:line="360" w:lineRule="auto"/>
              <w:rPr>
                <w:rFonts w:ascii="Times New Roman" w:hAnsi="Times New Roman" w:eastAsia="宋体" w:cs="Times New Roman"/>
                <w:bCs/>
                <w:color w:val="auto"/>
                <w:sz w:val="24"/>
                <w:szCs w:val="24"/>
                <w:lang w:eastAsia="zh-CN"/>
              </w:rPr>
            </w:pPr>
          </w:p>
          <w:p w14:paraId="52F5A16D">
            <w:pPr>
              <w:adjustRightInd/>
              <w:snapToGrid/>
              <w:spacing w:line="360" w:lineRule="auto"/>
              <w:rPr>
                <w:rFonts w:ascii="Times New Roman" w:hAnsi="Times New Roman" w:eastAsia="宋体" w:cs="Times New Roman"/>
                <w:bCs/>
                <w:color w:val="auto"/>
                <w:sz w:val="24"/>
                <w:szCs w:val="24"/>
                <w:lang w:eastAsia="zh-CN"/>
              </w:rPr>
            </w:pPr>
          </w:p>
          <w:p w14:paraId="343EB3B5">
            <w:pPr>
              <w:adjustRightInd/>
              <w:snapToGrid/>
              <w:spacing w:line="360" w:lineRule="auto"/>
              <w:rPr>
                <w:rFonts w:ascii="Times New Roman" w:hAnsi="Times New Roman" w:eastAsia="宋体" w:cs="Times New Roman"/>
                <w:bCs/>
                <w:color w:val="auto"/>
                <w:sz w:val="24"/>
                <w:szCs w:val="24"/>
                <w:lang w:eastAsia="zh-CN"/>
              </w:rPr>
            </w:pPr>
          </w:p>
          <w:p w14:paraId="6480E9D0">
            <w:pPr>
              <w:adjustRightInd/>
              <w:snapToGrid/>
              <w:spacing w:line="360" w:lineRule="auto"/>
              <w:rPr>
                <w:rFonts w:ascii="Times New Roman" w:hAnsi="Times New Roman" w:eastAsia="宋体" w:cs="Times New Roman"/>
                <w:bCs/>
                <w:color w:val="auto"/>
                <w:sz w:val="24"/>
                <w:szCs w:val="24"/>
                <w:lang w:eastAsia="zh-CN"/>
              </w:rPr>
            </w:pPr>
          </w:p>
          <w:p w14:paraId="4096C035">
            <w:pPr>
              <w:adjustRightInd/>
              <w:snapToGrid/>
              <w:spacing w:line="360" w:lineRule="auto"/>
              <w:rPr>
                <w:rFonts w:ascii="Times New Roman" w:hAnsi="Times New Roman" w:eastAsia="宋体" w:cs="Times New Roman"/>
                <w:bCs/>
                <w:color w:val="auto"/>
                <w:sz w:val="24"/>
                <w:szCs w:val="24"/>
                <w:lang w:eastAsia="zh-CN"/>
              </w:rPr>
            </w:pPr>
          </w:p>
          <w:p w14:paraId="47D1C0EE">
            <w:pPr>
              <w:adjustRightInd/>
              <w:snapToGrid/>
              <w:spacing w:line="360" w:lineRule="auto"/>
              <w:rPr>
                <w:rFonts w:ascii="Times New Roman" w:hAnsi="Times New Roman" w:eastAsia="宋体" w:cs="Times New Roman"/>
                <w:bCs/>
                <w:color w:val="auto"/>
                <w:sz w:val="24"/>
                <w:szCs w:val="24"/>
                <w:lang w:eastAsia="zh-CN"/>
              </w:rPr>
            </w:pPr>
          </w:p>
        </w:tc>
      </w:tr>
    </w:tbl>
    <w:p w14:paraId="6916C940">
      <w:pPr>
        <w:pStyle w:val="19"/>
        <w:spacing w:before="0" w:beforeAutospacing="0" w:after="0" w:afterAutospacing="0"/>
        <w:jc w:val="both"/>
        <w:rPr>
          <w:rFonts w:ascii="Times New Roman" w:hAnsi="Times New Roman"/>
          <w:b/>
          <w:bCs/>
          <w:sz w:val="30"/>
          <w:szCs w:val="30"/>
        </w:rPr>
      </w:pPr>
    </w:p>
    <w:p w14:paraId="112B5AC7">
      <w:pPr>
        <w:pStyle w:val="19"/>
        <w:spacing w:before="0" w:beforeAutospacing="0" w:after="0" w:afterAutospacing="0"/>
        <w:jc w:val="center"/>
        <w:outlineLvl w:val="9"/>
        <w:rPr>
          <w:rFonts w:ascii="Times New Roman" w:hAnsi="Times New Roman"/>
          <w:b/>
          <w:bCs/>
          <w:sz w:val="30"/>
          <w:szCs w:val="30"/>
        </w:rPr>
      </w:pPr>
    </w:p>
    <w:p w14:paraId="2A33817B">
      <w:pPr>
        <w:pStyle w:val="19"/>
        <w:spacing w:before="0" w:beforeAutospacing="0" w:after="0" w:afterAutospacing="0"/>
        <w:jc w:val="center"/>
        <w:outlineLvl w:val="0"/>
        <w:rPr>
          <w:rFonts w:ascii="Times New Roman" w:hAnsi="Times New Roman"/>
          <w:b/>
          <w:bCs/>
          <w:sz w:val="30"/>
          <w:szCs w:val="30"/>
        </w:rPr>
      </w:pPr>
      <w:r>
        <w:rPr>
          <w:rFonts w:ascii="Times New Roman" w:hAnsi="Times New Roman"/>
          <w:b/>
          <w:bCs/>
          <w:sz w:val="30"/>
          <w:szCs w:val="30"/>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44"/>
      </w:tblGrid>
      <w:tr w14:paraId="7E631F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999" w:hRule="atLeast"/>
          <w:jc w:val="center"/>
        </w:trPr>
        <w:tc>
          <w:tcPr>
            <w:tcW w:w="5000" w:type="pct"/>
            <w:tcBorders>
              <w:tl2br w:val="nil"/>
              <w:tr2bl w:val="nil"/>
            </w:tcBorders>
          </w:tcPr>
          <w:p w14:paraId="14FB0E5F">
            <w:pPr>
              <w:adjustRightInd/>
              <w:snapToGrid/>
              <w:spacing w:line="360" w:lineRule="auto"/>
              <w:ind w:firstLine="480" w:firstLineChars="200"/>
              <w:rPr>
                <w:sz w:val="24"/>
              </w:rPr>
            </w:pPr>
            <w:r>
              <w:rPr>
                <w:sz w:val="24"/>
              </w:rPr>
              <w:t>本项目的建设符合国家产业政策，符合</w:t>
            </w:r>
            <w:r>
              <w:rPr>
                <w:rFonts w:ascii="Times New Roman" w:hAnsi="Times New Roman" w:eastAsia="宋体" w:cs="Times New Roman"/>
                <w:color w:val="auto"/>
                <w:sz w:val="24"/>
                <w:szCs w:val="24"/>
                <w:lang w:eastAsia="zh-CN"/>
              </w:rPr>
              <w:t>安徽濉溪经济开发区总体发展规划</w:t>
            </w:r>
            <w:r>
              <w:rPr>
                <w:sz w:val="24"/>
              </w:rPr>
              <w:t>和土地利用规划要求，符合“三线一单”管控要求；在实施了环评提出的污染治理措施后，排放污染物能达标排放，对区域环境质量影响较小；且有良好的社会、经济综合效益。从</w:t>
            </w:r>
            <w:r>
              <w:rPr>
                <w:rFonts w:hint="eastAsia"/>
                <w:sz w:val="24"/>
              </w:rPr>
              <w:t>环境</w:t>
            </w:r>
            <w:r>
              <w:rPr>
                <w:rFonts w:hint="eastAsia" w:eastAsia="宋体"/>
                <w:sz w:val="24"/>
                <w:lang w:eastAsia="zh-CN"/>
              </w:rPr>
              <w:t>保护</w:t>
            </w:r>
            <w:r>
              <w:rPr>
                <w:sz w:val="24"/>
              </w:rPr>
              <w:t>角度看，该项目可以在所选场址进行建设。</w:t>
            </w:r>
          </w:p>
        </w:tc>
      </w:tr>
    </w:tbl>
    <w:p w14:paraId="3BB520DF">
      <w:pPr>
        <w:rPr>
          <w:rFonts w:ascii="Times New Roman" w:hAnsi="Times New Roman" w:cs="Times New Roman"/>
        </w:rPr>
        <w:sectPr>
          <w:pgSz w:w="11906" w:h="16838"/>
          <w:pgMar w:top="1440" w:right="1689" w:bottom="1440" w:left="1689" w:header="851" w:footer="992" w:gutter="0"/>
          <w:cols w:space="425" w:num="1"/>
          <w:docGrid w:type="lines" w:linePitch="312" w:charSpace="0"/>
        </w:sectPr>
      </w:pPr>
    </w:p>
    <w:p w14:paraId="2EBAD890">
      <w:pPr>
        <w:pStyle w:val="19"/>
        <w:spacing w:before="0" w:beforeAutospacing="0" w:after="0" w:afterAutospacing="0"/>
        <w:rPr>
          <w:rFonts w:cs="宋体"/>
          <w:b/>
          <w:bCs/>
          <w:color w:val="auto"/>
          <w:sz w:val="32"/>
          <w:szCs w:val="32"/>
        </w:rPr>
      </w:pPr>
      <w:r>
        <w:rPr>
          <w:rFonts w:hint="eastAsia" w:cs="宋体"/>
          <w:b/>
          <w:bCs/>
          <w:color w:val="auto"/>
          <w:sz w:val="32"/>
          <w:szCs w:val="32"/>
        </w:rPr>
        <w:t>附表</w:t>
      </w:r>
    </w:p>
    <w:p w14:paraId="5112E613">
      <w:pPr>
        <w:pStyle w:val="19"/>
        <w:kinsoku/>
        <w:autoSpaceDE/>
        <w:autoSpaceDN/>
        <w:adjustRightInd/>
        <w:snapToGrid/>
        <w:spacing w:before="0" w:beforeAutospacing="0" w:after="0" w:afterAutospacing="0"/>
        <w:jc w:val="center"/>
        <w:textAlignment w:val="auto"/>
        <w:outlineLvl w:val="0"/>
        <w:rPr>
          <w:rFonts w:cs="宋体"/>
          <w:b/>
          <w:bCs/>
          <w:color w:val="auto"/>
          <w:sz w:val="38"/>
          <w:szCs w:val="38"/>
        </w:rPr>
      </w:pPr>
      <w:r>
        <w:rPr>
          <w:rFonts w:ascii="方正小标宋_GBK" w:hAnsi="黑体" w:eastAsia="方正小标宋_GBK" w:cs="方正小标宋_GBK"/>
          <w:color w:val="auto"/>
          <w:sz w:val="38"/>
          <w:szCs w:val="38"/>
        </w:rPr>
        <w:t xml:space="preserve">  </w:t>
      </w:r>
      <w:r>
        <w:rPr>
          <w:rFonts w:hint="eastAsia" w:cs="宋体"/>
          <w:color w:val="auto"/>
          <w:sz w:val="38"/>
          <w:szCs w:val="38"/>
        </w:rPr>
        <w:t xml:space="preserve"> </w:t>
      </w:r>
      <w:r>
        <w:rPr>
          <w:rFonts w:hint="eastAsia" w:cs="宋体"/>
          <w:b/>
          <w:bCs/>
          <w:color w:val="auto"/>
          <w:sz w:val="38"/>
          <w:szCs w:val="38"/>
        </w:rPr>
        <w:t>建设项目污染物排放量汇总表</w:t>
      </w:r>
    </w:p>
    <w:tbl>
      <w:tblPr>
        <w:tblStyle w:val="2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13"/>
        <w:gridCol w:w="1665"/>
        <w:gridCol w:w="1268"/>
      </w:tblGrid>
      <w:tr w14:paraId="298DD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op w:val="single" w:color="auto" w:sz="8" w:space="0"/>
              <w:tl2br w:val="single" w:color="auto" w:sz="4" w:space="0"/>
            </w:tcBorders>
            <w:tcMar>
              <w:left w:w="28" w:type="dxa"/>
              <w:right w:w="28" w:type="dxa"/>
            </w:tcMar>
            <w:vAlign w:val="center"/>
          </w:tcPr>
          <w:p w14:paraId="5D1157F8">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 xml:space="preserve">    项目</w:t>
            </w:r>
          </w:p>
          <w:p w14:paraId="7D68A29A">
            <w:pPr>
              <w:pStyle w:val="42"/>
              <w:widowControl w:val="0"/>
              <w:kinsoku/>
              <w:autoSpaceDE/>
              <w:autoSpaceDN/>
              <w:adjustRightInd/>
              <w:snapToGrid/>
              <w:ind w:left="0" w:leftChars="0" w:firstLine="0" w:firstLineChars="0"/>
              <w:jc w:val="both"/>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分类</w:t>
            </w:r>
          </w:p>
        </w:tc>
        <w:tc>
          <w:tcPr>
            <w:tcW w:w="1417" w:type="dxa"/>
            <w:tcBorders>
              <w:top w:val="single" w:color="auto" w:sz="8" w:space="0"/>
            </w:tcBorders>
            <w:tcMar>
              <w:left w:w="28" w:type="dxa"/>
              <w:right w:w="28" w:type="dxa"/>
            </w:tcMar>
            <w:vAlign w:val="center"/>
          </w:tcPr>
          <w:p w14:paraId="3232E229">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污染物名称</w:t>
            </w:r>
          </w:p>
        </w:tc>
        <w:tc>
          <w:tcPr>
            <w:tcW w:w="1701" w:type="dxa"/>
            <w:tcBorders>
              <w:top w:val="single" w:color="auto" w:sz="8" w:space="0"/>
            </w:tcBorders>
            <w:tcMar>
              <w:left w:w="28" w:type="dxa"/>
              <w:right w:w="28" w:type="dxa"/>
            </w:tcMar>
            <w:vAlign w:val="center"/>
          </w:tcPr>
          <w:p w14:paraId="651B0E3E">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现有工程</w:t>
            </w:r>
          </w:p>
          <w:p w14:paraId="59FE4813">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排放量（固体废物产生量）</w:t>
            </w:r>
            <w:r>
              <w:rPr>
                <w:rFonts w:ascii="Times New Roman" w:hAnsi="Times New Roman" w:cs="Times New Roman"/>
                <w:color w:val="auto"/>
                <w:spacing w:val="-6"/>
                <w:kern w:val="21"/>
                <w:sz w:val="24"/>
                <w:szCs w:val="24"/>
              </w:rPr>
              <w:fldChar w:fldCharType="begin"/>
            </w:r>
            <w:r>
              <w:rPr>
                <w:rFonts w:ascii="Times New Roman" w:hAnsi="Times New Roman" w:cs="Times New Roman"/>
                <w:color w:val="auto"/>
                <w:spacing w:val="-6"/>
                <w:kern w:val="21"/>
                <w:sz w:val="24"/>
                <w:szCs w:val="24"/>
              </w:rPr>
              <w:instrText xml:space="preserve"> = 1 \* GB3 \* MERGEFORMAT </w:instrText>
            </w:r>
            <w:r>
              <w:rPr>
                <w:rFonts w:ascii="Times New Roman" w:hAnsi="Times New Roman" w:cs="Times New Roman"/>
                <w:color w:val="auto"/>
                <w:spacing w:val="-6"/>
                <w:kern w:val="21"/>
                <w:sz w:val="24"/>
                <w:szCs w:val="24"/>
              </w:rPr>
              <w:fldChar w:fldCharType="separate"/>
            </w:r>
            <w:r>
              <w:rPr>
                <w:rFonts w:ascii="Times New Roman" w:hAnsi="Times New Roman" w:cs="Times New Roman"/>
                <w:color w:val="auto"/>
                <w:kern w:val="2"/>
                <w:sz w:val="24"/>
                <w:szCs w:val="24"/>
              </w:rPr>
              <w:t>①</w:t>
            </w:r>
            <w:r>
              <w:rPr>
                <w:rFonts w:ascii="Times New Roman" w:hAnsi="Times New Roman" w:cs="Times New Roman"/>
                <w:color w:val="auto"/>
                <w:spacing w:val="-6"/>
                <w:kern w:val="21"/>
                <w:sz w:val="24"/>
                <w:szCs w:val="24"/>
              </w:rPr>
              <w:fldChar w:fldCharType="end"/>
            </w:r>
          </w:p>
        </w:tc>
        <w:tc>
          <w:tcPr>
            <w:tcW w:w="1276" w:type="dxa"/>
            <w:tcBorders>
              <w:top w:val="single" w:color="auto" w:sz="8" w:space="0"/>
            </w:tcBorders>
            <w:tcMar>
              <w:left w:w="28" w:type="dxa"/>
              <w:right w:w="28" w:type="dxa"/>
            </w:tcMar>
            <w:vAlign w:val="center"/>
          </w:tcPr>
          <w:p w14:paraId="0B1FDBCB">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现有工程</w:t>
            </w:r>
          </w:p>
          <w:p w14:paraId="603FBAE2">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许可排放量</w:t>
            </w:r>
          </w:p>
          <w:p w14:paraId="07F15C87">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fldChar w:fldCharType="begin"/>
            </w:r>
            <w:r>
              <w:rPr>
                <w:rFonts w:ascii="Times New Roman" w:hAnsi="Times New Roman" w:cs="Times New Roman"/>
                <w:color w:val="auto"/>
                <w:spacing w:val="-6"/>
                <w:kern w:val="21"/>
                <w:sz w:val="24"/>
                <w:szCs w:val="24"/>
              </w:rPr>
              <w:instrText xml:space="preserve"> = 2 \* GB3 \* MERGEFORMAT </w:instrText>
            </w:r>
            <w:r>
              <w:rPr>
                <w:rFonts w:ascii="Times New Roman" w:hAnsi="Times New Roman" w:cs="Times New Roman"/>
                <w:color w:val="auto"/>
                <w:spacing w:val="-6"/>
                <w:kern w:val="21"/>
                <w:sz w:val="24"/>
                <w:szCs w:val="24"/>
              </w:rPr>
              <w:fldChar w:fldCharType="separate"/>
            </w:r>
            <w:r>
              <w:rPr>
                <w:rFonts w:ascii="Times New Roman" w:hAnsi="Times New Roman" w:cs="Times New Roman"/>
                <w:color w:val="auto"/>
                <w:spacing w:val="-6"/>
                <w:kern w:val="21"/>
                <w:sz w:val="24"/>
                <w:szCs w:val="24"/>
              </w:rPr>
              <w:t>②</w:t>
            </w:r>
            <w:r>
              <w:rPr>
                <w:rFonts w:ascii="Times New Roman" w:hAnsi="Times New Roman" w:cs="Times New Roman"/>
                <w:color w:val="auto"/>
                <w:spacing w:val="-6"/>
                <w:kern w:val="21"/>
                <w:sz w:val="24"/>
                <w:szCs w:val="24"/>
              </w:rPr>
              <w:fldChar w:fldCharType="end"/>
            </w:r>
          </w:p>
        </w:tc>
        <w:tc>
          <w:tcPr>
            <w:tcW w:w="1701" w:type="dxa"/>
            <w:tcBorders>
              <w:top w:val="single" w:color="auto" w:sz="8" w:space="0"/>
            </w:tcBorders>
            <w:tcMar>
              <w:left w:w="28" w:type="dxa"/>
              <w:right w:w="28" w:type="dxa"/>
            </w:tcMar>
            <w:vAlign w:val="center"/>
          </w:tcPr>
          <w:p w14:paraId="51775426">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在建工程</w:t>
            </w:r>
          </w:p>
          <w:p w14:paraId="69E41CFB">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排放量（固体废物产生量）</w:t>
            </w:r>
            <w:r>
              <w:rPr>
                <w:rFonts w:ascii="Times New Roman" w:hAnsi="Times New Roman" w:cs="Times New Roman"/>
                <w:color w:val="auto"/>
                <w:spacing w:val="-6"/>
                <w:kern w:val="21"/>
                <w:sz w:val="24"/>
                <w:szCs w:val="24"/>
              </w:rPr>
              <w:fldChar w:fldCharType="begin"/>
            </w:r>
            <w:r>
              <w:rPr>
                <w:rFonts w:ascii="Times New Roman" w:hAnsi="Times New Roman" w:cs="Times New Roman"/>
                <w:color w:val="auto"/>
                <w:spacing w:val="-6"/>
                <w:kern w:val="21"/>
                <w:sz w:val="24"/>
                <w:szCs w:val="24"/>
              </w:rPr>
              <w:instrText xml:space="preserve"> = 3 \* GB3 \* MERGEFORMAT </w:instrText>
            </w:r>
            <w:r>
              <w:rPr>
                <w:rFonts w:ascii="Times New Roman" w:hAnsi="Times New Roman" w:cs="Times New Roman"/>
                <w:color w:val="auto"/>
                <w:spacing w:val="-6"/>
                <w:kern w:val="21"/>
                <w:sz w:val="24"/>
                <w:szCs w:val="24"/>
              </w:rPr>
              <w:fldChar w:fldCharType="separate"/>
            </w:r>
            <w:r>
              <w:rPr>
                <w:rFonts w:ascii="Times New Roman" w:hAnsi="Times New Roman" w:cs="Times New Roman"/>
                <w:color w:val="auto"/>
                <w:kern w:val="2"/>
                <w:sz w:val="24"/>
                <w:szCs w:val="24"/>
              </w:rPr>
              <w:t>③</w:t>
            </w:r>
            <w:r>
              <w:rPr>
                <w:rFonts w:ascii="Times New Roman" w:hAnsi="Times New Roman" w:cs="Times New Roman"/>
                <w:color w:val="auto"/>
                <w:spacing w:val="-6"/>
                <w:kern w:val="21"/>
                <w:sz w:val="24"/>
                <w:szCs w:val="24"/>
              </w:rPr>
              <w:fldChar w:fldCharType="end"/>
            </w:r>
          </w:p>
        </w:tc>
        <w:tc>
          <w:tcPr>
            <w:tcW w:w="1559" w:type="dxa"/>
            <w:tcBorders>
              <w:top w:val="single" w:color="auto" w:sz="8" w:space="0"/>
            </w:tcBorders>
            <w:tcMar>
              <w:left w:w="28" w:type="dxa"/>
              <w:right w:w="28" w:type="dxa"/>
            </w:tcMar>
            <w:vAlign w:val="center"/>
          </w:tcPr>
          <w:p w14:paraId="6F38A797">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本项目</w:t>
            </w:r>
          </w:p>
          <w:p w14:paraId="6B8246F6">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排放量（固体废物产生量）</w:t>
            </w:r>
            <w:r>
              <w:rPr>
                <w:rFonts w:ascii="Times New Roman" w:hAnsi="Times New Roman" w:cs="Times New Roman"/>
                <w:color w:val="auto"/>
                <w:spacing w:val="-6"/>
                <w:kern w:val="21"/>
                <w:sz w:val="24"/>
                <w:szCs w:val="24"/>
              </w:rPr>
              <w:fldChar w:fldCharType="begin"/>
            </w:r>
            <w:r>
              <w:rPr>
                <w:rFonts w:ascii="Times New Roman" w:hAnsi="Times New Roman" w:cs="Times New Roman"/>
                <w:color w:val="auto"/>
                <w:spacing w:val="-6"/>
                <w:kern w:val="21"/>
                <w:sz w:val="24"/>
                <w:szCs w:val="24"/>
              </w:rPr>
              <w:instrText xml:space="preserve"> = 4 \* GB3 \* MERGEFORMAT </w:instrText>
            </w:r>
            <w:r>
              <w:rPr>
                <w:rFonts w:ascii="Times New Roman" w:hAnsi="Times New Roman" w:cs="Times New Roman"/>
                <w:color w:val="auto"/>
                <w:spacing w:val="-6"/>
                <w:kern w:val="21"/>
                <w:sz w:val="24"/>
                <w:szCs w:val="24"/>
              </w:rPr>
              <w:fldChar w:fldCharType="separate"/>
            </w:r>
            <w:r>
              <w:rPr>
                <w:rFonts w:ascii="Times New Roman" w:hAnsi="Times New Roman" w:cs="Times New Roman"/>
                <w:color w:val="auto"/>
                <w:kern w:val="2"/>
                <w:sz w:val="24"/>
                <w:szCs w:val="24"/>
              </w:rPr>
              <w:t>④</w:t>
            </w:r>
            <w:r>
              <w:rPr>
                <w:rFonts w:ascii="Times New Roman" w:hAnsi="Times New Roman" w:cs="Times New Roman"/>
                <w:color w:val="auto"/>
                <w:spacing w:val="-6"/>
                <w:kern w:val="21"/>
                <w:sz w:val="24"/>
                <w:szCs w:val="24"/>
              </w:rPr>
              <w:fldChar w:fldCharType="end"/>
            </w:r>
          </w:p>
        </w:tc>
        <w:tc>
          <w:tcPr>
            <w:tcW w:w="1613" w:type="dxa"/>
            <w:tcBorders>
              <w:top w:val="single" w:color="auto" w:sz="8" w:space="0"/>
            </w:tcBorders>
            <w:tcMar>
              <w:left w:w="28" w:type="dxa"/>
              <w:right w:w="28" w:type="dxa"/>
            </w:tcMar>
            <w:vAlign w:val="center"/>
          </w:tcPr>
          <w:p w14:paraId="7FE935FD">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16"/>
                <w:kern w:val="21"/>
                <w:sz w:val="24"/>
                <w:szCs w:val="24"/>
              </w:rPr>
            </w:pPr>
            <w:r>
              <w:rPr>
                <w:rFonts w:ascii="Times New Roman" w:hAnsi="Times New Roman" w:cs="Times New Roman"/>
                <w:color w:val="auto"/>
                <w:spacing w:val="-16"/>
                <w:kern w:val="21"/>
                <w:sz w:val="24"/>
                <w:szCs w:val="24"/>
              </w:rPr>
              <w:t>以新带老削减量</w:t>
            </w:r>
          </w:p>
          <w:p w14:paraId="30C91708">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16"/>
                <w:kern w:val="21"/>
                <w:sz w:val="24"/>
                <w:szCs w:val="24"/>
              </w:rPr>
            </w:pPr>
            <w:r>
              <w:rPr>
                <w:rFonts w:ascii="Times New Roman" w:hAnsi="Times New Roman" w:cs="Times New Roman"/>
                <w:color w:val="auto"/>
                <w:spacing w:val="-16"/>
                <w:kern w:val="21"/>
                <w:sz w:val="24"/>
                <w:szCs w:val="24"/>
              </w:rPr>
              <w:t>（新建项目不填）</w:t>
            </w:r>
            <w:r>
              <w:rPr>
                <w:rFonts w:ascii="Times New Roman" w:hAnsi="Times New Roman" w:cs="Times New Roman"/>
                <w:color w:val="auto"/>
                <w:spacing w:val="-16"/>
                <w:kern w:val="21"/>
                <w:sz w:val="24"/>
                <w:szCs w:val="24"/>
              </w:rPr>
              <w:fldChar w:fldCharType="begin"/>
            </w:r>
            <w:r>
              <w:rPr>
                <w:rFonts w:ascii="Times New Roman" w:hAnsi="Times New Roman" w:cs="Times New Roman"/>
                <w:color w:val="auto"/>
                <w:spacing w:val="-16"/>
                <w:kern w:val="21"/>
                <w:sz w:val="24"/>
                <w:szCs w:val="24"/>
              </w:rPr>
              <w:instrText xml:space="preserve"> = 5 \* GB3 \* MERGEFORMAT </w:instrText>
            </w:r>
            <w:r>
              <w:rPr>
                <w:rFonts w:ascii="Times New Roman" w:hAnsi="Times New Roman" w:cs="Times New Roman"/>
                <w:color w:val="auto"/>
                <w:spacing w:val="-16"/>
                <w:kern w:val="21"/>
                <w:sz w:val="24"/>
                <w:szCs w:val="24"/>
              </w:rPr>
              <w:fldChar w:fldCharType="separate"/>
            </w:r>
            <w:r>
              <w:rPr>
                <w:rFonts w:ascii="Times New Roman" w:hAnsi="Times New Roman" w:cs="Times New Roman"/>
                <w:color w:val="auto"/>
                <w:kern w:val="2"/>
                <w:sz w:val="24"/>
                <w:szCs w:val="24"/>
              </w:rPr>
              <w:t>⑤</w:t>
            </w:r>
            <w:r>
              <w:rPr>
                <w:rFonts w:ascii="Times New Roman" w:hAnsi="Times New Roman" w:cs="Times New Roman"/>
                <w:color w:val="auto"/>
                <w:spacing w:val="-16"/>
                <w:kern w:val="21"/>
                <w:sz w:val="24"/>
                <w:szCs w:val="24"/>
              </w:rPr>
              <w:fldChar w:fldCharType="end"/>
            </w:r>
          </w:p>
        </w:tc>
        <w:tc>
          <w:tcPr>
            <w:tcW w:w="1665" w:type="dxa"/>
            <w:tcBorders>
              <w:top w:val="single" w:color="auto" w:sz="8" w:space="0"/>
            </w:tcBorders>
            <w:tcMar>
              <w:left w:w="28" w:type="dxa"/>
              <w:right w:w="28" w:type="dxa"/>
            </w:tcMar>
            <w:vAlign w:val="center"/>
          </w:tcPr>
          <w:p w14:paraId="2D856BF1">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16"/>
                <w:kern w:val="21"/>
                <w:sz w:val="24"/>
                <w:szCs w:val="24"/>
              </w:rPr>
            </w:pPr>
            <w:r>
              <w:rPr>
                <w:rFonts w:ascii="Times New Roman" w:hAnsi="Times New Roman" w:cs="Times New Roman"/>
                <w:color w:val="auto"/>
                <w:spacing w:val="-16"/>
                <w:kern w:val="21"/>
                <w:sz w:val="24"/>
                <w:szCs w:val="24"/>
              </w:rPr>
              <w:t>本项目建成后</w:t>
            </w:r>
          </w:p>
          <w:p w14:paraId="728AD4D0">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16"/>
                <w:kern w:val="21"/>
                <w:sz w:val="24"/>
                <w:szCs w:val="24"/>
              </w:rPr>
            </w:pPr>
            <w:r>
              <w:rPr>
                <w:rFonts w:ascii="Times New Roman" w:hAnsi="Times New Roman" w:cs="Times New Roman"/>
                <w:color w:val="auto"/>
                <w:spacing w:val="-16"/>
                <w:kern w:val="21"/>
                <w:sz w:val="24"/>
                <w:szCs w:val="24"/>
              </w:rPr>
              <w:t>全厂排放量（固体废物产生量）</w:t>
            </w:r>
            <w:r>
              <w:rPr>
                <w:rFonts w:ascii="Times New Roman" w:hAnsi="Times New Roman" w:cs="Times New Roman"/>
                <w:color w:val="auto"/>
                <w:spacing w:val="-16"/>
                <w:kern w:val="21"/>
                <w:sz w:val="24"/>
                <w:szCs w:val="24"/>
              </w:rPr>
              <w:fldChar w:fldCharType="begin"/>
            </w:r>
            <w:r>
              <w:rPr>
                <w:rFonts w:ascii="Times New Roman" w:hAnsi="Times New Roman" w:cs="Times New Roman"/>
                <w:color w:val="auto"/>
                <w:spacing w:val="-16"/>
                <w:kern w:val="21"/>
                <w:sz w:val="24"/>
                <w:szCs w:val="24"/>
              </w:rPr>
              <w:instrText xml:space="preserve"> = 6 \* GB3 \* MERGEFORMAT </w:instrText>
            </w:r>
            <w:r>
              <w:rPr>
                <w:rFonts w:ascii="Times New Roman" w:hAnsi="Times New Roman" w:cs="Times New Roman"/>
                <w:color w:val="auto"/>
                <w:spacing w:val="-16"/>
                <w:kern w:val="21"/>
                <w:sz w:val="24"/>
                <w:szCs w:val="24"/>
              </w:rPr>
              <w:fldChar w:fldCharType="separate"/>
            </w:r>
            <w:r>
              <w:rPr>
                <w:rFonts w:ascii="Times New Roman" w:hAnsi="Times New Roman" w:cs="Times New Roman"/>
                <w:color w:val="auto"/>
                <w:kern w:val="2"/>
                <w:sz w:val="24"/>
                <w:szCs w:val="24"/>
              </w:rPr>
              <w:t>⑥</w:t>
            </w:r>
            <w:r>
              <w:rPr>
                <w:rFonts w:ascii="Times New Roman" w:hAnsi="Times New Roman" w:cs="Times New Roman"/>
                <w:color w:val="auto"/>
                <w:spacing w:val="-16"/>
                <w:kern w:val="21"/>
                <w:sz w:val="24"/>
                <w:szCs w:val="24"/>
              </w:rPr>
              <w:fldChar w:fldCharType="end"/>
            </w:r>
          </w:p>
        </w:tc>
        <w:tc>
          <w:tcPr>
            <w:tcW w:w="1268" w:type="dxa"/>
            <w:tcBorders>
              <w:top w:val="single" w:color="auto" w:sz="8" w:space="0"/>
            </w:tcBorders>
            <w:tcMar>
              <w:left w:w="28" w:type="dxa"/>
              <w:right w:w="28" w:type="dxa"/>
            </w:tcMar>
            <w:vAlign w:val="center"/>
          </w:tcPr>
          <w:p w14:paraId="53132EB7">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t>变化量</w:t>
            </w:r>
          </w:p>
          <w:p w14:paraId="21F405C3">
            <w:pPr>
              <w:pStyle w:val="42"/>
              <w:widowControl w:val="0"/>
              <w:kinsoku/>
              <w:autoSpaceDE/>
              <w:autoSpaceDN/>
              <w:adjustRightInd/>
              <w:snapToGrid/>
              <w:ind w:left="0" w:leftChars="0" w:firstLine="0" w:firstLineChars="0"/>
              <w:textAlignment w:val="auto"/>
              <w:rPr>
                <w:rFonts w:ascii="Times New Roman" w:hAnsi="Times New Roman" w:cs="Times New Roman"/>
                <w:color w:val="auto"/>
                <w:spacing w:val="-6"/>
                <w:kern w:val="21"/>
                <w:sz w:val="24"/>
                <w:szCs w:val="24"/>
              </w:rPr>
            </w:pPr>
            <w:r>
              <w:rPr>
                <w:rFonts w:ascii="Times New Roman" w:hAnsi="Times New Roman" w:cs="Times New Roman"/>
                <w:color w:val="auto"/>
                <w:spacing w:val="-6"/>
                <w:kern w:val="21"/>
                <w:sz w:val="24"/>
                <w:szCs w:val="24"/>
              </w:rPr>
              <w:fldChar w:fldCharType="begin"/>
            </w:r>
            <w:r>
              <w:rPr>
                <w:rFonts w:ascii="Times New Roman" w:hAnsi="Times New Roman" w:cs="Times New Roman"/>
                <w:color w:val="auto"/>
                <w:spacing w:val="-6"/>
                <w:kern w:val="21"/>
                <w:sz w:val="24"/>
                <w:szCs w:val="24"/>
              </w:rPr>
              <w:instrText xml:space="preserve"> = 7 \* GB3 \* MERGEFORMAT </w:instrText>
            </w:r>
            <w:r>
              <w:rPr>
                <w:rFonts w:ascii="Times New Roman" w:hAnsi="Times New Roman" w:cs="Times New Roman"/>
                <w:color w:val="auto"/>
                <w:spacing w:val="-6"/>
                <w:kern w:val="21"/>
                <w:sz w:val="24"/>
                <w:szCs w:val="24"/>
              </w:rPr>
              <w:fldChar w:fldCharType="separate"/>
            </w:r>
            <w:r>
              <w:rPr>
                <w:rFonts w:ascii="Times New Roman" w:hAnsi="Times New Roman" w:cs="Times New Roman"/>
                <w:color w:val="auto"/>
                <w:kern w:val="2"/>
                <w:sz w:val="24"/>
                <w:szCs w:val="24"/>
              </w:rPr>
              <w:t>⑦</w:t>
            </w:r>
            <w:r>
              <w:rPr>
                <w:rFonts w:ascii="Times New Roman" w:hAnsi="Times New Roman" w:cs="Times New Roman"/>
                <w:color w:val="auto"/>
                <w:spacing w:val="-6"/>
                <w:kern w:val="21"/>
                <w:sz w:val="24"/>
                <w:szCs w:val="24"/>
              </w:rPr>
              <w:fldChar w:fldCharType="end"/>
            </w:r>
          </w:p>
        </w:tc>
      </w:tr>
      <w:tr w14:paraId="1C659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4184517B">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废气</w:t>
            </w:r>
          </w:p>
        </w:tc>
        <w:tc>
          <w:tcPr>
            <w:tcW w:w="1417" w:type="dxa"/>
            <w:vAlign w:val="center"/>
          </w:tcPr>
          <w:p w14:paraId="0C36B2C1">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非甲烷总烃</w:t>
            </w:r>
          </w:p>
        </w:tc>
        <w:tc>
          <w:tcPr>
            <w:tcW w:w="1701" w:type="dxa"/>
            <w:vAlign w:val="center"/>
          </w:tcPr>
          <w:p w14:paraId="29744C23">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6D99B321">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3C79DFB7">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2A884A85">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0.031t/a</w:t>
            </w:r>
          </w:p>
        </w:tc>
        <w:tc>
          <w:tcPr>
            <w:tcW w:w="1613" w:type="dxa"/>
            <w:vAlign w:val="center"/>
          </w:tcPr>
          <w:p w14:paraId="499F9E64">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665" w:type="dxa"/>
            <w:vAlign w:val="center"/>
          </w:tcPr>
          <w:p w14:paraId="0B8C4683">
            <w:pPr>
              <w:pStyle w:val="33"/>
              <w:widowControl w:val="0"/>
              <w:kinsoku/>
              <w:autoSpaceDE/>
              <w:autoSpaceDN/>
              <w:adjustRightInd/>
              <w:snapToGrid/>
              <w:textAlignment w:val="auto"/>
              <w:rPr>
                <w:rFonts w:ascii="Times New Roman" w:hAnsi="Times New Roman" w:cs="Times New Roman"/>
                <w:color w:val="auto"/>
                <w:sz w:val="24"/>
                <w:szCs w:val="24"/>
              </w:rPr>
            </w:pPr>
            <w:r>
              <w:rPr>
                <w:rFonts w:ascii="Times New Roman" w:hAnsi="Times New Roman" w:cs="Times New Roman"/>
                <w:color w:val="auto"/>
                <w:sz w:val="24"/>
                <w:szCs w:val="24"/>
                <w:lang w:eastAsia="zh-CN"/>
              </w:rPr>
              <w:t>0.031t/a</w:t>
            </w:r>
          </w:p>
        </w:tc>
        <w:tc>
          <w:tcPr>
            <w:tcW w:w="1268" w:type="dxa"/>
            <w:vAlign w:val="center"/>
          </w:tcPr>
          <w:p w14:paraId="1F79BD73">
            <w:pPr>
              <w:pStyle w:val="33"/>
              <w:widowControl w:val="0"/>
              <w:kinsoku/>
              <w:autoSpaceDE/>
              <w:autoSpaceDN/>
              <w:adjustRightInd/>
              <w:snapToGrid/>
              <w:textAlignment w:val="auto"/>
              <w:rPr>
                <w:rFonts w:ascii="Times New Roman" w:hAnsi="Times New Roman" w:cs="Times New Roman"/>
                <w:color w:val="auto"/>
                <w:sz w:val="24"/>
                <w:szCs w:val="24"/>
              </w:rPr>
            </w:pPr>
            <w:r>
              <w:rPr>
                <w:rFonts w:ascii="Times New Roman" w:hAnsi="Times New Roman" w:cs="Times New Roman"/>
                <w:color w:val="auto"/>
                <w:sz w:val="24"/>
                <w:szCs w:val="24"/>
                <w:lang w:eastAsia="zh-CN"/>
              </w:rPr>
              <w:t>+0.031t/a</w:t>
            </w:r>
          </w:p>
        </w:tc>
      </w:tr>
      <w:tr w14:paraId="1D69F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1803C6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2F9AD3BA">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颗粒物</w:t>
            </w:r>
          </w:p>
        </w:tc>
        <w:tc>
          <w:tcPr>
            <w:tcW w:w="1701" w:type="dxa"/>
            <w:vAlign w:val="center"/>
          </w:tcPr>
          <w:p w14:paraId="61B94DE7">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1CEE7944">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03AED583">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6541B1B8">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0.469</w:t>
            </w:r>
            <w:r>
              <w:rPr>
                <w:rFonts w:ascii="Times New Roman" w:hAnsi="Times New Roman" w:cs="Times New Roman"/>
                <w:color w:val="auto"/>
                <w:sz w:val="24"/>
                <w:szCs w:val="24"/>
                <w:lang w:eastAsia="zh-CN"/>
              </w:rPr>
              <w:t>t/a</w:t>
            </w:r>
          </w:p>
        </w:tc>
        <w:tc>
          <w:tcPr>
            <w:tcW w:w="1613" w:type="dxa"/>
            <w:vAlign w:val="center"/>
          </w:tcPr>
          <w:p w14:paraId="244BC35A">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665" w:type="dxa"/>
            <w:vAlign w:val="center"/>
          </w:tcPr>
          <w:p w14:paraId="09920F91">
            <w:pPr>
              <w:pStyle w:val="33"/>
              <w:widowControl w:val="0"/>
              <w:kinsoku/>
              <w:autoSpaceDE/>
              <w:autoSpaceDN/>
              <w:adjustRightInd/>
              <w:snapToGrid/>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0.469</w:t>
            </w:r>
            <w:r>
              <w:rPr>
                <w:rFonts w:ascii="Times New Roman" w:hAnsi="Times New Roman" w:cs="Times New Roman"/>
                <w:color w:val="auto"/>
                <w:sz w:val="24"/>
                <w:szCs w:val="24"/>
                <w:lang w:eastAsia="zh-CN"/>
              </w:rPr>
              <w:t>t/a</w:t>
            </w:r>
          </w:p>
        </w:tc>
        <w:tc>
          <w:tcPr>
            <w:tcW w:w="1268" w:type="dxa"/>
            <w:vAlign w:val="center"/>
          </w:tcPr>
          <w:p w14:paraId="436BE62C">
            <w:pPr>
              <w:pStyle w:val="33"/>
              <w:widowControl w:val="0"/>
              <w:kinsoku/>
              <w:autoSpaceDE/>
              <w:autoSpaceDN/>
              <w:adjustRightInd/>
              <w:snapToGrid/>
              <w:textAlignment w:val="auto"/>
              <w:rPr>
                <w:rFonts w:ascii="Times New Roman" w:hAnsi="Times New Roman" w:cs="Times New Roman"/>
                <w:color w:val="auto"/>
                <w:sz w:val="24"/>
                <w:szCs w:val="24"/>
              </w:rPr>
            </w:pPr>
            <w:r>
              <w:rPr>
                <w:rFonts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0.469</w:t>
            </w:r>
            <w:r>
              <w:rPr>
                <w:rFonts w:ascii="Times New Roman" w:hAnsi="Times New Roman" w:cs="Times New Roman"/>
                <w:color w:val="auto"/>
                <w:sz w:val="24"/>
                <w:szCs w:val="24"/>
                <w:lang w:eastAsia="zh-CN"/>
              </w:rPr>
              <w:t>t/a</w:t>
            </w:r>
          </w:p>
        </w:tc>
      </w:tr>
      <w:tr w14:paraId="66D0D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8" w:type="dxa"/>
            <w:vMerge w:val="continue"/>
            <w:vAlign w:val="center"/>
          </w:tcPr>
          <w:p w14:paraId="0648D62C">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334D16F3">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二氧化硫</w:t>
            </w:r>
          </w:p>
        </w:tc>
        <w:tc>
          <w:tcPr>
            <w:tcW w:w="1701" w:type="dxa"/>
            <w:vAlign w:val="center"/>
          </w:tcPr>
          <w:p w14:paraId="2F762E43">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276" w:type="dxa"/>
            <w:vAlign w:val="center"/>
          </w:tcPr>
          <w:p w14:paraId="63D98CD7">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701" w:type="dxa"/>
            <w:vAlign w:val="center"/>
          </w:tcPr>
          <w:p w14:paraId="2BFCFF68">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559" w:type="dxa"/>
            <w:vAlign w:val="center"/>
          </w:tcPr>
          <w:p w14:paraId="23DEF074">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0.02</w:t>
            </w:r>
            <w:r>
              <w:rPr>
                <w:rFonts w:ascii="Times New Roman" w:hAnsi="Times New Roman" w:cs="Times New Roman"/>
                <w:color w:val="auto"/>
                <w:sz w:val="24"/>
                <w:szCs w:val="24"/>
                <w:lang w:eastAsia="zh-CN"/>
              </w:rPr>
              <w:t>t/a</w:t>
            </w:r>
          </w:p>
        </w:tc>
        <w:tc>
          <w:tcPr>
            <w:tcW w:w="1613" w:type="dxa"/>
            <w:vAlign w:val="center"/>
          </w:tcPr>
          <w:p w14:paraId="3ABB6A68">
            <w:pPr>
              <w:widowControl w:val="0"/>
              <w:kinsoku/>
              <w:autoSpaceDE/>
              <w:autoSpaceDN/>
              <w:adjustRightInd/>
              <w:snapToGrid/>
              <w:jc w:val="center"/>
              <w:textAlignment w:val="auto"/>
              <w:rPr>
                <w:rFonts w:ascii="Times New Roman" w:hAnsi="Times New Roman" w:cs="Times New Roman"/>
                <w:color w:val="auto"/>
                <w:sz w:val="24"/>
                <w:szCs w:val="24"/>
              </w:rPr>
            </w:pPr>
          </w:p>
        </w:tc>
        <w:tc>
          <w:tcPr>
            <w:tcW w:w="1665" w:type="dxa"/>
            <w:vAlign w:val="center"/>
          </w:tcPr>
          <w:p w14:paraId="42EDF092">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0.02</w:t>
            </w:r>
            <w:r>
              <w:rPr>
                <w:rFonts w:ascii="Times New Roman" w:hAnsi="Times New Roman" w:cs="Times New Roman"/>
                <w:color w:val="auto"/>
                <w:sz w:val="24"/>
                <w:szCs w:val="24"/>
                <w:lang w:eastAsia="zh-CN"/>
              </w:rPr>
              <w:t>t/a</w:t>
            </w:r>
          </w:p>
        </w:tc>
        <w:tc>
          <w:tcPr>
            <w:tcW w:w="1268" w:type="dxa"/>
            <w:vAlign w:val="center"/>
          </w:tcPr>
          <w:p w14:paraId="3D32F43F">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+0.02</w:t>
            </w:r>
            <w:r>
              <w:rPr>
                <w:rFonts w:ascii="Times New Roman" w:hAnsi="Times New Roman" w:cs="Times New Roman"/>
                <w:color w:val="auto"/>
                <w:sz w:val="24"/>
                <w:szCs w:val="24"/>
                <w:lang w:eastAsia="zh-CN"/>
              </w:rPr>
              <w:t>t/a</w:t>
            </w:r>
          </w:p>
        </w:tc>
      </w:tr>
      <w:tr w14:paraId="0A490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577C8D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0F61C358">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氮氧化物</w:t>
            </w:r>
          </w:p>
        </w:tc>
        <w:tc>
          <w:tcPr>
            <w:tcW w:w="1701" w:type="dxa"/>
            <w:vAlign w:val="center"/>
          </w:tcPr>
          <w:p w14:paraId="348FC097">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276" w:type="dxa"/>
            <w:vAlign w:val="center"/>
          </w:tcPr>
          <w:p w14:paraId="09DC2E7C">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701" w:type="dxa"/>
            <w:vAlign w:val="center"/>
          </w:tcPr>
          <w:p w14:paraId="5EF0056A">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559" w:type="dxa"/>
            <w:vAlign w:val="center"/>
          </w:tcPr>
          <w:p w14:paraId="390CA074">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0.066</w:t>
            </w:r>
            <w:r>
              <w:rPr>
                <w:rFonts w:ascii="Times New Roman" w:hAnsi="Times New Roman" w:cs="Times New Roman"/>
                <w:color w:val="auto"/>
                <w:sz w:val="24"/>
                <w:szCs w:val="24"/>
                <w:lang w:eastAsia="zh-CN"/>
              </w:rPr>
              <w:t>t/a</w:t>
            </w:r>
          </w:p>
        </w:tc>
        <w:tc>
          <w:tcPr>
            <w:tcW w:w="1613" w:type="dxa"/>
            <w:vAlign w:val="center"/>
          </w:tcPr>
          <w:p w14:paraId="34746007">
            <w:pPr>
              <w:widowControl w:val="0"/>
              <w:kinsoku/>
              <w:autoSpaceDE/>
              <w:autoSpaceDN/>
              <w:adjustRightInd/>
              <w:snapToGrid/>
              <w:jc w:val="center"/>
              <w:textAlignment w:val="auto"/>
              <w:rPr>
                <w:rFonts w:ascii="Times New Roman" w:hAnsi="Times New Roman" w:cs="Times New Roman"/>
                <w:color w:val="auto"/>
                <w:sz w:val="24"/>
                <w:szCs w:val="24"/>
              </w:rPr>
            </w:pPr>
          </w:p>
        </w:tc>
        <w:tc>
          <w:tcPr>
            <w:tcW w:w="1665" w:type="dxa"/>
            <w:vAlign w:val="center"/>
          </w:tcPr>
          <w:p w14:paraId="6F94B6DF">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0.066</w:t>
            </w:r>
            <w:r>
              <w:rPr>
                <w:rFonts w:ascii="Times New Roman" w:hAnsi="Times New Roman" w:cs="Times New Roman"/>
                <w:color w:val="auto"/>
                <w:sz w:val="24"/>
                <w:szCs w:val="24"/>
                <w:lang w:eastAsia="zh-CN"/>
              </w:rPr>
              <w:t>t/a</w:t>
            </w:r>
          </w:p>
        </w:tc>
        <w:tc>
          <w:tcPr>
            <w:tcW w:w="1268" w:type="dxa"/>
            <w:vAlign w:val="center"/>
          </w:tcPr>
          <w:p w14:paraId="37386A0B">
            <w:pPr>
              <w:pStyle w:val="33"/>
              <w:widowControl w:val="0"/>
              <w:kinsoku/>
              <w:autoSpaceDE/>
              <w:autoSpaceDN/>
              <w:adjustRightInd/>
              <w:snapToGrid/>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+0.066</w:t>
            </w:r>
            <w:r>
              <w:rPr>
                <w:rFonts w:ascii="Times New Roman" w:hAnsi="Times New Roman" w:cs="Times New Roman"/>
                <w:color w:val="auto"/>
                <w:sz w:val="24"/>
                <w:szCs w:val="24"/>
                <w:lang w:eastAsia="zh-CN"/>
              </w:rPr>
              <w:t>t/a</w:t>
            </w:r>
          </w:p>
        </w:tc>
      </w:tr>
      <w:tr w14:paraId="35AA6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2F25B16A">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废水</w:t>
            </w:r>
          </w:p>
        </w:tc>
        <w:tc>
          <w:tcPr>
            <w:tcW w:w="1417" w:type="dxa"/>
            <w:vAlign w:val="center"/>
          </w:tcPr>
          <w:p w14:paraId="5413F737">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sz w:val="24"/>
                <w:szCs w:val="24"/>
              </w:rPr>
              <w:t>COD</w:t>
            </w:r>
          </w:p>
        </w:tc>
        <w:tc>
          <w:tcPr>
            <w:tcW w:w="1701" w:type="dxa"/>
            <w:vAlign w:val="center"/>
          </w:tcPr>
          <w:p w14:paraId="1CFFCC4E">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1C4D7F37">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64162144">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40072810">
            <w:pPr>
              <w:widowControl w:val="0"/>
              <w:kinsoku/>
              <w:autoSpaceDE/>
              <w:autoSpaceDN/>
              <w:adjustRightInd/>
              <w:snapToGrid/>
              <w:jc w:val="center"/>
              <w:textAlignment w:val="auto"/>
              <w:rPr>
                <w:rFonts w:ascii="Times New Roman" w:hAnsi="Times New Roman" w:eastAsia="宋体" w:cs="Times New Roman"/>
                <w:b/>
                <w:bCs/>
                <w:color w:val="auto"/>
                <w:sz w:val="24"/>
                <w:szCs w:val="24"/>
                <w:lang w:eastAsia="zh-CN"/>
              </w:rPr>
            </w:pPr>
            <w:r>
              <w:rPr>
                <w:rFonts w:ascii="Times New Roman" w:hAnsi="Times New Roman" w:cs="Times New Roman"/>
                <w:b/>
                <w:bCs/>
                <w:color w:val="auto"/>
                <w:kern w:val="21"/>
                <w:sz w:val="24"/>
                <w:szCs w:val="24"/>
              </w:rPr>
              <w:t>/</w:t>
            </w:r>
          </w:p>
        </w:tc>
        <w:tc>
          <w:tcPr>
            <w:tcW w:w="1613" w:type="dxa"/>
            <w:vAlign w:val="center"/>
          </w:tcPr>
          <w:p w14:paraId="6D98B90A">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c>
          <w:tcPr>
            <w:tcW w:w="1665" w:type="dxa"/>
            <w:vAlign w:val="center"/>
          </w:tcPr>
          <w:p w14:paraId="16FF9C90">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c>
          <w:tcPr>
            <w:tcW w:w="1268" w:type="dxa"/>
            <w:vAlign w:val="center"/>
          </w:tcPr>
          <w:p w14:paraId="6725F163">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r>
      <w:tr w14:paraId="37A90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485DBF9">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7E54C80E">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sz w:val="24"/>
                <w:szCs w:val="24"/>
              </w:rPr>
              <w:t>NH</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-N</w:t>
            </w:r>
          </w:p>
        </w:tc>
        <w:tc>
          <w:tcPr>
            <w:tcW w:w="1701" w:type="dxa"/>
            <w:vAlign w:val="center"/>
          </w:tcPr>
          <w:p w14:paraId="158BB0CF">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2B0AA215">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51F8D1E6">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51994F54">
            <w:pPr>
              <w:widowControl w:val="0"/>
              <w:kinsoku/>
              <w:autoSpaceDE/>
              <w:autoSpaceDN/>
              <w:adjustRightInd/>
              <w:snapToGrid/>
              <w:jc w:val="center"/>
              <w:textAlignment w:val="auto"/>
              <w:rPr>
                <w:rFonts w:ascii="Times New Roman" w:hAnsi="Times New Roman" w:eastAsia="宋体" w:cs="Times New Roman"/>
                <w:b/>
                <w:bCs/>
                <w:color w:val="auto"/>
                <w:sz w:val="24"/>
                <w:szCs w:val="24"/>
                <w:lang w:eastAsia="zh-CN"/>
              </w:rPr>
            </w:pPr>
            <w:r>
              <w:rPr>
                <w:rFonts w:ascii="Times New Roman" w:hAnsi="Times New Roman" w:cs="Times New Roman"/>
                <w:b/>
                <w:bCs/>
                <w:color w:val="auto"/>
                <w:kern w:val="21"/>
                <w:sz w:val="24"/>
                <w:szCs w:val="24"/>
              </w:rPr>
              <w:t>/</w:t>
            </w:r>
          </w:p>
        </w:tc>
        <w:tc>
          <w:tcPr>
            <w:tcW w:w="1613" w:type="dxa"/>
            <w:vAlign w:val="center"/>
          </w:tcPr>
          <w:p w14:paraId="01851D24">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c>
          <w:tcPr>
            <w:tcW w:w="1665" w:type="dxa"/>
            <w:vAlign w:val="center"/>
          </w:tcPr>
          <w:p w14:paraId="6ABB9676">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c>
          <w:tcPr>
            <w:tcW w:w="1268" w:type="dxa"/>
            <w:vAlign w:val="center"/>
          </w:tcPr>
          <w:p w14:paraId="39882966">
            <w:pPr>
              <w:widowControl w:val="0"/>
              <w:kinsoku/>
              <w:autoSpaceDE/>
              <w:autoSpaceDN/>
              <w:adjustRightInd/>
              <w:snapToGrid/>
              <w:jc w:val="center"/>
              <w:textAlignment w:val="auto"/>
              <w:rPr>
                <w:rFonts w:ascii="Times New Roman" w:hAnsi="Times New Roman" w:cs="Times New Roman"/>
                <w:b/>
                <w:bCs/>
                <w:color w:val="auto"/>
                <w:sz w:val="24"/>
                <w:szCs w:val="24"/>
              </w:rPr>
            </w:pPr>
            <w:r>
              <w:rPr>
                <w:rFonts w:ascii="Times New Roman" w:hAnsi="Times New Roman" w:cs="Times New Roman"/>
                <w:b/>
                <w:bCs/>
                <w:color w:val="auto"/>
                <w:kern w:val="21"/>
                <w:sz w:val="24"/>
                <w:szCs w:val="24"/>
              </w:rPr>
              <w:t>/</w:t>
            </w:r>
          </w:p>
        </w:tc>
      </w:tr>
      <w:tr w14:paraId="6449C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6BB1C193">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一般工业</w:t>
            </w:r>
          </w:p>
          <w:p w14:paraId="1D5C1C4A">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固体废物</w:t>
            </w:r>
          </w:p>
        </w:tc>
        <w:tc>
          <w:tcPr>
            <w:tcW w:w="1417" w:type="dxa"/>
            <w:vAlign w:val="center"/>
          </w:tcPr>
          <w:p w14:paraId="71B60E55">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金属边角料</w:t>
            </w:r>
          </w:p>
        </w:tc>
        <w:tc>
          <w:tcPr>
            <w:tcW w:w="1701" w:type="dxa"/>
            <w:vAlign w:val="center"/>
          </w:tcPr>
          <w:p w14:paraId="7050CFB5">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673D4445">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3470EC19">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6B1E5D89">
            <w:pPr>
              <w:pStyle w:val="19"/>
              <w:jc w:val="center"/>
              <w:rPr>
                <w:rFonts w:ascii="Times New Roman" w:hAnsi="Times New Roman" w:eastAsia="宋体" w:cs="Times New Roman"/>
                <w:color w:val="auto"/>
                <w:szCs w:val="24"/>
                <w:lang w:eastAsia="zh-CN"/>
              </w:rPr>
            </w:pPr>
            <w:r>
              <w:rPr>
                <w:rFonts w:hint="eastAsia" w:ascii="Times New Roman" w:hAnsi="Times New Roman" w:cs="Times New Roman"/>
                <w:color w:val="auto"/>
                <w:szCs w:val="24"/>
                <w:lang w:eastAsia="zh-CN" w:bidi="zh-CN"/>
              </w:rPr>
              <w:t>2.5</w:t>
            </w:r>
            <w:r>
              <w:rPr>
                <w:rFonts w:ascii="Times New Roman" w:hAnsi="Times New Roman" w:cs="Times New Roman"/>
                <w:color w:val="auto"/>
                <w:szCs w:val="24"/>
                <w:lang w:eastAsia="zh-CN"/>
              </w:rPr>
              <w:t>t/a</w:t>
            </w:r>
          </w:p>
        </w:tc>
        <w:tc>
          <w:tcPr>
            <w:tcW w:w="1613" w:type="dxa"/>
            <w:vAlign w:val="center"/>
          </w:tcPr>
          <w:p w14:paraId="06F7448A">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665" w:type="dxa"/>
            <w:vAlign w:val="center"/>
          </w:tcPr>
          <w:p w14:paraId="570D07AC">
            <w:pPr>
              <w:pStyle w:val="19"/>
              <w:jc w:val="center"/>
              <w:rPr>
                <w:rFonts w:ascii="Times New Roman" w:hAnsi="Times New Roman" w:cs="Times New Roman"/>
                <w:color w:val="auto"/>
                <w:szCs w:val="24"/>
              </w:rPr>
            </w:pPr>
            <w:r>
              <w:rPr>
                <w:rFonts w:hint="eastAsia" w:ascii="Times New Roman" w:hAnsi="Times New Roman" w:cs="Times New Roman"/>
                <w:color w:val="auto"/>
                <w:szCs w:val="24"/>
                <w:lang w:eastAsia="zh-CN" w:bidi="zh-CN"/>
              </w:rPr>
              <w:t>2.5</w:t>
            </w:r>
            <w:r>
              <w:rPr>
                <w:rFonts w:ascii="Times New Roman" w:hAnsi="Times New Roman" w:cs="Times New Roman"/>
                <w:color w:val="auto"/>
                <w:szCs w:val="24"/>
                <w:lang w:eastAsia="zh-CN"/>
              </w:rPr>
              <w:t>t/a</w:t>
            </w:r>
          </w:p>
        </w:tc>
        <w:tc>
          <w:tcPr>
            <w:tcW w:w="1268" w:type="dxa"/>
            <w:vAlign w:val="center"/>
          </w:tcPr>
          <w:p w14:paraId="29EC2B66">
            <w:pPr>
              <w:pStyle w:val="19"/>
              <w:jc w:val="center"/>
              <w:rPr>
                <w:rFonts w:ascii="Times New Roman" w:hAnsi="Times New Roman" w:cs="Times New Roman"/>
                <w:color w:val="auto"/>
                <w:szCs w:val="24"/>
              </w:rPr>
            </w:pPr>
            <w:r>
              <w:rPr>
                <w:rFonts w:hint="eastAsia" w:ascii="Times New Roman" w:hAnsi="Times New Roman" w:cs="Times New Roman"/>
                <w:color w:val="auto"/>
                <w:szCs w:val="24"/>
                <w:lang w:eastAsia="zh-CN" w:bidi="zh-CN"/>
              </w:rPr>
              <w:t>+2.5</w:t>
            </w:r>
            <w:r>
              <w:rPr>
                <w:rFonts w:ascii="Times New Roman" w:hAnsi="Times New Roman" w:cs="Times New Roman"/>
                <w:color w:val="auto"/>
                <w:szCs w:val="24"/>
                <w:lang w:eastAsia="zh-CN"/>
              </w:rPr>
              <w:t>t/a</w:t>
            </w:r>
          </w:p>
        </w:tc>
      </w:tr>
      <w:tr w14:paraId="1B08B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588" w:type="dxa"/>
            <w:vMerge w:val="continue"/>
            <w:vAlign w:val="center"/>
          </w:tcPr>
          <w:p w14:paraId="7C7241EE">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46583C6D">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焊渣</w:t>
            </w:r>
          </w:p>
        </w:tc>
        <w:tc>
          <w:tcPr>
            <w:tcW w:w="1701" w:type="dxa"/>
            <w:vAlign w:val="center"/>
          </w:tcPr>
          <w:p w14:paraId="4212E9E7">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6AA4279F">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3690DD66">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6E8A5556">
            <w:pPr>
              <w:pStyle w:val="19"/>
              <w:jc w:val="center"/>
              <w:rPr>
                <w:rFonts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1.5</w:t>
            </w:r>
            <w:r>
              <w:rPr>
                <w:rFonts w:ascii="Times New Roman" w:hAnsi="Times New Roman" w:cs="Times New Roman"/>
                <w:color w:val="auto"/>
                <w:szCs w:val="24"/>
                <w:lang w:eastAsia="zh-CN"/>
              </w:rPr>
              <w:t>t/a</w:t>
            </w:r>
          </w:p>
        </w:tc>
        <w:tc>
          <w:tcPr>
            <w:tcW w:w="1613" w:type="dxa"/>
            <w:vAlign w:val="center"/>
          </w:tcPr>
          <w:p w14:paraId="4BF8C8CA">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665" w:type="dxa"/>
            <w:vAlign w:val="center"/>
          </w:tcPr>
          <w:p w14:paraId="223BD3A9">
            <w:pPr>
              <w:pStyle w:val="19"/>
              <w:jc w:val="center"/>
              <w:rPr>
                <w:rFonts w:ascii="Times New Roman" w:hAnsi="Times New Roman" w:cs="Times New Roman"/>
                <w:color w:val="auto"/>
                <w:szCs w:val="24"/>
              </w:rPr>
            </w:pPr>
            <w:r>
              <w:rPr>
                <w:rFonts w:hint="eastAsia" w:ascii="Times New Roman" w:hAnsi="Times New Roman" w:eastAsia="宋体" w:cs="Times New Roman"/>
                <w:color w:val="auto"/>
                <w:szCs w:val="24"/>
                <w:lang w:eastAsia="zh-CN"/>
              </w:rPr>
              <w:t>1.5</w:t>
            </w:r>
            <w:r>
              <w:rPr>
                <w:rFonts w:ascii="Times New Roman" w:hAnsi="Times New Roman" w:cs="Times New Roman"/>
                <w:color w:val="auto"/>
                <w:szCs w:val="24"/>
                <w:lang w:eastAsia="zh-CN"/>
              </w:rPr>
              <w:t>t/a</w:t>
            </w:r>
          </w:p>
        </w:tc>
        <w:tc>
          <w:tcPr>
            <w:tcW w:w="1268" w:type="dxa"/>
            <w:vAlign w:val="center"/>
          </w:tcPr>
          <w:p w14:paraId="6C33D1E9">
            <w:pPr>
              <w:pStyle w:val="19"/>
              <w:jc w:val="center"/>
              <w:rPr>
                <w:rFonts w:ascii="Times New Roman" w:hAnsi="Times New Roman" w:cs="Times New Roman"/>
                <w:color w:val="auto"/>
                <w:szCs w:val="24"/>
              </w:rPr>
            </w:pPr>
            <w:r>
              <w:rPr>
                <w:rFonts w:hint="eastAsia" w:ascii="Times New Roman" w:hAnsi="Times New Roman" w:eastAsia="宋体" w:cs="Times New Roman"/>
                <w:color w:val="auto"/>
                <w:szCs w:val="24"/>
                <w:lang w:eastAsia="zh-CN"/>
              </w:rPr>
              <w:t>+1.5</w:t>
            </w:r>
            <w:r>
              <w:rPr>
                <w:rFonts w:ascii="Times New Roman" w:hAnsi="Times New Roman" w:cs="Times New Roman"/>
                <w:color w:val="auto"/>
                <w:szCs w:val="24"/>
                <w:lang w:eastAsia="zh-CN"/>
              </w:rPr>
              <w:t>t/a</w:t>
            </w:r>
          </w:p>
        </w:tc>
      </w:tr>
      <w:tr w14:paraId="1D346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873A973">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48386A5B">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布袋除尘器收尘</w:t>
            </w:r>
          </w:p>
        </w:tc>
        <w:tc>
          <w:tcPr>
            <w:tcW w:w="1701" w:type="dxa"/>
            <w:vAlign w:val="center"/>
          </w:tcPr>
          <w:p w14:paraId="37550D23">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276" w:type="dxa"/>
            <w:vAlign w:val="center"/>
          </w:tcPr>
          <w:p w14:paraId="54E5B6A7">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701" w:type="dxa"/>
            <w:vAlign w:val="center"/>
          </w:tcPr>
          <w:p w14:paraId="0B9D14B0">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559" w:type="dxa"/>
            <w:vAlign w:val="center"/>
          </w:tcPr>
          <w:p w14:paraId="242F6C9F">
            <w:pPr>
              <w:pStyle w:val="19"/>
              <w:jc w:val="center"/>
              <w:rPr>
                <w:rFonts w:ascii="Times New Roman" w:hAnsi="Times New Roman" w:cs="Times New Roman"/>
                <w:color w:val="auto"/>
                <w:szCs w:val="24"/>
                <w:lang w:eastAsia="zh-CN"/>
              </w:rPr>
            </w:pPr>
            <w:r>
              <w:rPr>
                <w:rFonts w:hint="eastAsia" w:ascii="Times New Roman" w:hAnsi="Times New Roman" w:cs="Times New Roman"/>
                <w:color w:val="auto"/>
                <w:szCs w:val="24"/>
                <w:lang w:eastAsia="zh-CN"/>
              </w:rPr>
              <w:t>6.9</w:t>
            </w:r>
            <w:r>
              <w:rPr>
                <w:rFonts w:ascii="Times New Roman" w:hAnsi="Times New Roman" w:cs="Times New Roman"/>
                <w:color w:val="auto"/>
                <w:szCs w:val="24"/>
                <w:lang w:eastAsia="zh-CN"/>
              </w:rPr>
              <w:t>t/a</w:t>
            </w:r>
          </w:p>
        </w:tc>
        <w:tc>
          <w:tcPr>
            <w:tcW w:w="1613" w:type="dxa"/>
            <w:vAlign w:val="center"/>
          </w:tcPr>
          <w:p w14:paraId="4A66CA95">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w:t>
            </w:r>
          </w:p>
        </w:tc>
        <w:tc>
          <w:tcPr>
            <w:tcW w:w="1665" w:type="dxa"/>
            <w:vAlign w:val="center"/>
          </w:tcPr>
          <w:p w14:paraId="64768028">
            <w:pPr>
              <w:pStyle w:val="19"/>
              <w:jc w:val="center"/>
              <w:rPr>
                <w:rFonts w:ascii="Times New Roman" w:hAnsi="Times New Roman" w:eastAsia="宋体" w:cs="Times New Roman"/>
                <w:color w:val="auto"/>
                <w:szCs w:val="24"/>
                <w:lang w:eastAsia="zh-CN"/>
              </w:rPr>
            </w:pPr>
            <w:r>
              <w:rPr>
                <w:rFonts w:hint="eastAsia" w:ascii="Times New Roman" w:hAnsi="Times New Roman" w:cs="Times New Roman"/>
                <w:color w:val="auto"/>
                <w:szCs w:val="24"/>
                <w:lang w:eastAsia="zh-CN"/>
              </w:rPr>
              <w:t>6.9</w:t>
            </w:r>
            <w:r>
              <w:rPr>
                <w:rFonts w:ascii="Times New Roman" w:hAnsi="Times New Roman" w:cs="Times New Roman"/>
                <w:color w:val="auto"/>
                <w:szCs w:val="24"/>
                <w:lang w:eastAsia="zh-CN"/>
              </w:rPr>
              <w:t>t/a</w:t>
            </w:r>
          </w:p>
        </w:tc>
        <w:tc>
          <w:tcPr>
            <w:tcW w:w="1268" w:type="dxa"/>
            <w:vAlign w:val="center"/>
          </w:tcPr>
          <w:p w14:paraId="311F6A0E">
            <w:pPr>
              <w:pStyle w:val="19"/>
              <w:jc w:val="center"/>
              <w:rPr>
                <w:rFonts w:ascii="Times New Roman" w:hAnsi="Times New Roman" w:eastAsia="宋体" w:cs="Times New Roman"/>
                <w:color w:val="auto"/>
                <w:szCs w:val="24"/>
                <w:lang w:eastAsia="zh-CN"/>
              </w:rPr>
            </w:pPr>
            <w:r>
              <w:rPr>
                <w:rFonts w:hint="eastAsia" w:ascii="Times New Roman" w:hAnsi="Times New Roman" w:cs="Times New Roman"/>
                <w:color w:val="auto"/>
                <w:szCs w:val="24"/>
                <w:lang w:eastAsia="zh-CN"/>
              </w:rPr>
              <w:t>+6.9</w:t>
            </w:r>
            <w:r>
              <w:rPr>
                <w:rFonts w:ascii="Times New Roman" w:hAnsi="Times New Roman" w:cs="Times New Roman"/>
                <w:color w:val="auto"/>
                <w:szCs w:val="24"/>
                <w:lang w:eastAsia="zh-CN"/>
              </w:rPr>
              <w:t>t/a</w:t>
            </w:r>
          </w:p>
        </w:tc>
      </w:tr>
      <w:tr w14:paraId="5F616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E79B0A8">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1D7B1D50">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滤芯收集尘</w:t>
            </w:r>
          </w:p>
        </w:tc>
        <w:tc>
          <w:tcPr>
            <w:tcW w:w="1701" w:type="dxa"/>
            <w:vAlign w:val="center"/>
          </w:tcPr>
          <w:p w14:paraId="17203858">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4A1E36E0">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042BFDFB">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26BB280E">
            <w:pPr>
              <w:pStyle w:val="19"/>
              <w:jc w:val="center"/>
              <w:rPr>
                <w:rFonts w:ascii="Times New Roman" w:hAnsi="Times New Roman" w:eastAsia="宋体" w:cs="Times New Roman"/>
                <w:color w:val="auto"/>
                <w:szCs w:val="24"/>
                <w:lang w:eastAsia="zh-CN"/>
              </w:rPr>
            </w:pPr>
            <w:r>
              <w:rPr>
                <w:rFonts w:hint="eastAsia" w:ascii="Times New Roman" w:hAnsi="Times New Roman" w:cs="Times New Roman"/>
                <w:color w:val="auto"/>
                <w:szCs w:val="24"/>
                <w:lang w:eastAsia="zh-CN"/>
              </w:rPr>
              <w:t>31.65</w:t>
            </w:r>
            <w:r>
              <w:rPr>
                <w:rFonts w:ascii="Times New Roman" w:hAnsi="Times New Roman" w:cs="Times New Roman"/>
                <w:color w:val="auto"/>
                <w:szCs w:val="24"/>
                <w:lang w:eastAsia="zh-CN"/>
              </w:rPr>
              <w:t>t/a</w:t>
            </w:r>
          </w:p>
        </w:tc>
        <w:tc>
          <w:tcPr>
            <w:tcW w:w="1613" w:type="dxa"/>
            <w:vAlign w:val="center"/>
          </w:tcPr>
          <w:p w14:paraId="74FC5874">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w:t>
            </w:r>
          </w:p>
        </w:tc>
        <w:tc>
          <w:tcPr>
            <w:tcW w:w="1665" w:type="dxa"/>
            <w:vAlign w:val="center"/>
          </w:tcPr>
          <w:p w14:paraId="0FDA6343">
            <w:pPr>
              <w:pStyle w:val="19"/>
              <w:jc w:val="center"/>
              <w:rPr>
                <w:rFonts w:ascii="Times New Roman" w:hAnsi="Times New Roman" w:cs="Times New Roman"/>
                <w:color w:val="auto"/>
                <w:szCs w:val="24"/>
              </w:rPr>
            </w:pPr>
            <w:r>
              <w:rPr>
                <w:rFonts w:hint="eastAsia" w:ascii="Times New Roman" w:hAnsi="Times New Roman" w:cs="Times New Roman"/>
                <w:color w:val="auto"/>
                <w:szCs w:val="24"/>
                <w:lang w:eastAsia="zh-CN"/>
              </w:rPr>
              <w:t>31.65</w:t>
            </w:r>
            <w:r>
              <w:rPr>
                <w:rFonts w:ascii="Times New Roman" w:hAnsi="Times New Roman" w:cs="Times New Roman"/>
                <w:color w:val="auto"/>
                <w:szCs w:val="24"/>
                <w:lang w:eastAsia="zh-CN"/>
              </w:rPr>
              <w:t>t/a</w:t>
            </w:r>
          </w:p>
        </w:tc>
        <w:tc>
          <w:tcPr>
            <w:tcW w:w="1268" w:type="dxa"/>
            <w:vAlign w:val="center"/>
          </w:tcPr>
          <w:p w14:paraId="481EC467">
            <w:pPr>
              <w:pStyle w:val="19"/>
              <w:jc w:val="center"/>
              <w:rPr>
                <w:rFonts w:ascii="Times New Roman" w:hAnsi="Times New Roman" w:cs="Times New Roman"/>
                <w:color w:val="auto"/>
                <w:szCs w:val="24"/>
              </w:rPr>
            </w:pPr>
            <w:r>
              <w:rPr>
                <w:rFonts w:ascii="Times New Roman" w:hAnsi="Times New Roman" w:eastAsia="宋体" w:cs="Times New Roman"/>
                <w:color w:val="auto"/>
                <w:szCs w:val="24"/>
                <w:lang w:eastAsia="zh-CN"/>
              </w:rPr>
              <w:t>+</w:t>
            </w:r>
            <w:r>
              <w:rPr>
                <w:rFonts w:hint="eastAsia" w:ascii="Times New Roman" w:hAnsi="Times New Roman" w:cs="Times New Roman"/>
                <w:color w:val="auto"/>
                <w:szCs w:val="24"/>
                <w:lang w:eastAsia="zh-CN"/>
              </w:rPr>
              <w:t>31.65</w:t>
            </w:r>
            <w:r>
              <w:rPr>
                <w:rFonts w:ascii="Times New Roman" w:hAnsi="Times New Roman" w:cs="Times New Roman"/>
                <w:color w:val="auto"/>
                <w:szCs w:val="24"/>
                <w:lang w:eastAsia="zh-CN"/>
              </w:rPr>
              <w:t>t/a</w:t>
            </w:r>
          </w:p>
        </w:tc>
      </w:tr>
      <w:tr w14:paraId="42025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793DB3B">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3E4E35DC">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碎玻璃</w:t>
            </w:r>
          </w:p>
        </w:tc>
        <w:tc>
          <w:tcPr>
            <w:tcW w:w="1701" w:type="dxa"/>
            <w:vAlign w:val="center"/>
          </w:tcPr>
          <w:p w14:paraId="59750114">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hint="eastAsia" w:ascii="Times New Roman" w:hAnsi="Times New Roman" w:eastAsia="宋体" w:cs="Times New Roman"/>
                <w:color w:val="auto"/>
                <w:kern w:val="21"/>
                <w:sz w:val="24"/>
                <w:szCs w:val="24"/>
                <w:lang w:eastAsia="zh-CN"/>
              </w:rPr>
              <w:t>/</w:t>
            </w:r>
          </w:p>
        </w:tc>
        <w:tc>
          <w:tcPr>
            <w:tcW w:w="1276" w:type="dxa"/>
            <w:vAlign w:val="center"/>
          </w:tcPr>
          <w:p w14:paraId="78B73308">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hint="eastAsia" w:ascii="Times New Roman" w:hAnsi="Times New Roman" w:eastAsia="宋体" w:cs="Times New Roman"/>
                <w:color w:val="auto"/>
                <w:kern w:val="21"/>
                <w:sz w:val="24"/>
                <w:szCs w:val="24"/>
                <w:lang w:eastAsia="zh-CN"/>
              </w:rPr>
              <w:t>/</w:t>
            </w:r>
          </w:p>
        </w:tc>
        <w:tc>
          <w:tcPr>
            <w:tcW w:w="1701" w:type="dxa"/>
            <w:vAlign w:val="center"/>
          </w:tcPr>
          <w:p w14:paraId="272DA0C9">
            <w:pPr>
              <w:pStyle w:val="42"/>
              <w:widowControl w:val="0"/>
              <w:kinsoku/>
              <w:autoSpaceDE/>
              <w:autoSpaceDN/>
              <w:adjustRightInd/>
              <w:snapToGrid/>
              <w:ind w:left="0" w:leftChars="0" w:firstLine="0" w:firstLineChars="0"/>
              <w:textAlignment w:val="auto"/>
              <w:rPr>
                <w:rFonts w:ascii="Times New Roman" w:hAnsi="Times New Roman" w:eastAsia="宋体" w:cs="Times New Roman"/>
                <w:color w:val="auto"/>
                <w:kern w:val="21"/>
                <w:sz w:val="24"/>
                <w:szCs w:val="24"/>
                <w:lang w:eastAsia="zh-CN"/>
              </w:rPr>
            </w:pPr>
            <w:r>
              <w:rPr>
                <w:rFonts w:hint="eastAsia" w:ascii="Times New Roman" w:hAnsi="Times New Roman" w:eastAsia="宋体" w:cs="Times New Roman"/>
                <w:color w:val="auto"/>
                <w:kern w:val="21"/>
                <w:sz w:val="24"/>
                <w:szCs w:val="24"/>
                <w:lang w:eastAsia="zh-CN"/>
              </w:rPr>
              <w:t>/</w:t>
            </w:r>
          </w:p>
        </w:tc>
        <w:tc>
          <w:tcPr>
            <w:tcW w:w="1559" w:type="dxa"/>
            <w:vAlign w:val="center"/>
          </w:tcPr>
          <w:p w14:paraId="1C7E01A2">
            <w:pPr>
              <w:pStyle w:val="19"/>
              <w:jc w:val="center"/>
              <w:rPr>
                <w:rFonts w:ascii="Times New Roman" w:hAnsi="Times New Roman" w:cs="Times New Roman"/>
                <w:color w:val="auto"/>
                <w:szCs w:val="24"/>
                <w:lang w:eastAsia="zh-CN"/>
              </w:rPr>
            </w:pPr>
            <w:r>
              <w:rPr>
                <w:rFonts w:hint="eastAsia" w:ascii="Times New Roman" w:hAnsi="Times New Roman" w:cs="Times New Roman"/>
                <w:color w:val="auto"/>
                <w:szCs w:val="24"/>
                <w:lang w:eastAsia="zh-CN"/>
              </w:rPr>
              <w:t>0.01</w:t>
            </w:r>
            <w:r>
              <w:rPr>
                <w:rFonts w:ascii="Times New Roman" w:hAnsi="Times New Roman" w:cs="Times New Roman"/>
                <w:color w:val="auto"/>
                <w:szCs w:val="24"/>
                <w:lang w:eastAsia="zh-CN"/>
              </w:rPr>
              <w:t>t/a</w:t>
            </w:r>
          </w:p>
        </w:tc>
        <w:tc>
          <w:tcPr>
            <w:tcW w:w="1613" w:type="dxa"/>
            <w:vAlign w:val="center"/>
          </w:tcPr>
          <w:p w14:paraId="291169B0">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p>
        </w:tc>
        <w:tc>
          <w:tcPr>
            <w:tcW w:w="1665" w:type="dxa"/>
            <w:vAlign w:val="center"/>
          </w:tcPr>
          <w:p w14:paraId="1C104381">
            <w:pPr>
              <w:pStyle w:val="19"/>
              <w:jc w:val="center"/>
              <w:rPr>
                <w:rFonts w:ascii="Times New Roman" w:hAnsi="Times New Roman" w:cs="Times New Roman"/>
                <w:color w:val="auto"/>
                <w:szCs w:val="24"/>
                <w:lang w:eastAsia="zh-CN"/>
              </w:rPr>
            </w:pPr>
            <w:r>
              <w:rPr>
                <w:rFonts w:hint="eastAsia" w:ascii="Times New Roman" w:hAnsi="Times New Roman" w:cs="Times New Roman"/>
                <w:color w:val="auto"/>
                <w:szCs w:val="24"/>
                <w:lang w:eastAsia="zh-CN"/>
              </w:rPr>
              <w:t>0.01</w:t>
            </w:r>
            <w:r>
              <w:rPr>
                <w:rFonts w:ascii="Times New Roman" w:hAnsi="Times New Roman" w:cs="Times New Roman"/>
                <w:color w:val="auto"/>
                <w:szCs w:val="24"/>
                <w:lang w:eastAsia="zh-CN"/>
              </w:rPr>
              <w:t>t/a</w:t>
            </w:r>
          </w:p>
        </w:tc>
        <w:tc>
          <w:tcPr>
            <w:tcW w:w="1268" w:type="dxa"/>
            <w:vAlign w:val="center"/>
          </w:tcPr>
          <w:p w14:paraId="36FA790A">
            <w:pPr>
              <w:pStyle w:val="19"/>
              <w:jc w:val="center"/>
              <w:rPr>
                <w:rFonts w:ascii="Times New Roman" w:hAnsi="Times New Roman" w:eastAsia="宋体" w:cs="Times New Roman"/>
                <w:color w:val="auto"/>
                <w:szCs w:val="24"/>
                <w:lang w:eastAsia="zh-CN"/>
              </w:rPr>
            </w:pPr>
            <w:r>
              <w:rPr>
                <w:rFonts w:hint="eastAsia" w:ascii="Times New Roman" w:hAnsi="Times New Roman" w:cs="Times New Roman"/>
                <w:color w:val="auto"/>
                <w:szCs w:val="24"/>
                <w:lang w:eastAsia="zh-CN"/>
              </w:rPr>
              <w:t>+0.01</w:t>
            </w:r>
            <w:r>
              <w:rPr>
                <w:rFonts w:ascii="Times New Roman" w:hAnsi="Times New Roman" w:cs="Times New Roman"/>
                <w:color w:val="auto"/>
                <w:szCs w:val="24"/>
                <w:lang w:eastAsia="zh-CN"/>
              </w:rPr>
              <w:t>t/a</w:t>
            </w:r>
          </w:p>
        </w:tc>
      </w:tr>
      <w:tr w14:paraId="0D340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6E0D83A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危险废物</w:t>
            </w:r>
          </w:p>
        </w:tc>
        <w:tc>
          <w:tcPr>
            <w:tcW w:w="1417" w:type="dxa"/>
            <w:vAlign w:val="center"/>
          </w:tcPr>
          <w:p w14:paraId="178185DA">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废活性炭</w:t>
            </w:r>
          </w:p>
        </w:tc>
        <w:tc>
          <w:tcPr>
            <w:tcW w:w="1701" w:type="dxa"/>
            <w:vAlign w:val="center"/>
          </w:tcPr>
          <w:p w14:paraId="5EF8B55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276" w:type="dxa"/>
            <w:vAlign w:val="center"/>
          </w:tcPr>
          <w:p w14:paraId="0652A155">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701" w:type="dxa"/>
            <w:vAlign w:val="center"/>
          </w:tcPr>
          <w:p w14:paraId="2B03E69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r>
              <w:rPr>
                <w:rFonts w:ascii="Times New Roman" w:hAnsi="Times New Roman" w:cs="Times New Roman"/>
                <w:color w:val="auto"/>
                <w:kern w:val="21"/>
                <w:sz w:val="24"/>
                <w:szCs w:val="24"/>
              </w:rPr>
              <w:t>/</w:t>
            </w:r>
          </w:p>
        </w:tc>
        <w:tc>
          <w:tcPr>
            <w:tcW w:w="1559" w:type="dxa"/>
            <w:vAlign w:val="center"/>
          </w:tcPr>
          <w:p w14:paraId="4FB2D95E">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1.377</w:t>
            </w:r>
            <w:r>
              <w:rPr>
                <w:rFonts w:ascii="Times New Roman" w:hAnsi="Times New Roman" w:cs="Times New Roman"/>
                <w:color w:val="auto"/>
                <w:sz w:val="24"/>
                <w:szCs w:val="24"/>
                <w:lang w:eastAsia="zh-CN"/>
              </w:rPr>
              <w:t>t/a</w:t>
            </w:r>
          </w:p>
        </w:tc>
        <w:tc>
          <w:tcPr>
            <w:tcW w:w="1613" w:type="dxa"/>
            <w:vAlign w:val="center"/>
          </w:tcPr>
          <w:p w14:paraId="1B49DE2A">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665" w:type="dxa"/>
            <w:vAlign w:val="center"/>
          </w:tcPr>
          <w:p w14:paraId="7BDCC420">
            <w:pPr>
              <w:widowControl w:val="0"/>
              <w:kinsoku/>
              <w:autoSpaceDE/>
              <w:autoSpaceDN/>
              <w:adjustRightInd/>
              <w:snapToGrid/>
              <w:jc w:val="center"/>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1.377</w:t>
            </w:r>
            <w:r>
              <w:rPr>
                <w:rFonts w:ascii="Times New Roman" w:hAnsi="Times New Roman" w:cs="Times New Roman"/>
                <w:color w:val="auto"/>
                <w:sz w:val="24"/>
                <w:szCs w:val="24"/>
                <w:lang w:eastAsia="zh-CN"/>
              </w:rPr>
              <w:t>t/a</w:t>
            </w:r>
          </w:p>
        </w:tc>
        <w:tc>
          <w:tcPr>
            <w:tcW w:w="1268" w:type="dxa"/>
            <w:vAlign w:val="center"/>
          </w:tcPr>
          <w:p w14:paraId="5F5CFBC8">
            <w:pPr>
              <w:widowControl w:val="0"/>
              <w:kinsoku/>
              <w:autoSpaceDE/>
              <w:autoSpaceDN/>
              <w:adjustRightInd/>
              <w:snapToGrid/>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1.377</w:t>
            </w:r>
            <w:r>
              <w:rPr>
                <w:rFonts w:ascii="Times New Roman" w:hAnsi="Times New Roman" w:cs="Times New Roman"/>
                <w:color w:val="auto"/>
                <w:sz w:val="24"/>
                <w:szCs w:val="24"/>
                <w:lang w:eastAsia="zh-CN"/>
              </w:rPr>
              <w:t>t/a</w:t>
            </w:r>
          </w:p>
        </w:tc>
      </w:tr>
      <w:tr w14:paraId="48C9FA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1F0D781B">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62C559AE">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废机油</w:t>
            </w:r>
          </w:p>
        </w:tc>
        <w:tc>
          <w:tcPr>
            <w:tcW w:w="1701" w:type="dxa"/>
            <w:vAlign w:val="center"/>
          </w:tcPr>
          <w:p w14:paraId="480E590E">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276" w:type="dxa"/>
            <w:vAlign w:val="center"/>
          </w:tcPr>
          <w:p w14:paraId="697B36B0">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701" w:type="dxa"/>
            <w:vAlign w:val="center"/>
          </w:tcPr>
          <w:p w14:paraId="36EDFE84">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559" w:type="dxa"/>
            <w:vAlign w:val="center"/>
          </w:tcPr>
          <w:p w14:paraId="6349DC1A">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0.1</w:t>
            </w:r>
            <w:r>
              <w:rPr>
                <w:rFonts w:ascii="Times New Roman" w:hAnsi="Times New Roman" w:cs="Times New Roman"/>
                <w:color w:val="auto"/>
                <w:sz w:val="24"/>
                <w:szCs w:val="24"/>
                <w:lang w:eastAsia="zh-CN"/>
              </w:rPr>
              <w:t>t/a</w:t>
            </w:r>
          </w:p>
        </w:tc>
        <w:tc>
          <w:tcPr>
            <w:tcW w:w="1613" w:type="dxa"/>
            <w:vAlign w:val="center"/>
          </w:tcPr>
          <w:p w14:paraId="238DBC98">
            <w:pPr>
              <w:widowControl w:val="0"/>
              <w:kinsoku/>
              <w:autoSpaceDE/>
              <w:autoSpaceDN/>
              <w:adjustRightInd/>
              <w:snapToGrid/>
              <w:jc w:val="center"/>
              <w:textAlignment w:val="auto"/>
              <w:rPr>
                <w:rFonts w:ascii="Times New Roman" w:hAnsi="Times New Roman" w:cs="Times New Roman"/>
                <w:color w:val="auto"/>
                <w:sz w:val="24"/>
                <w:szCs w:val="24"/>
                <w:lang w:eastAsia="zh-CN"/>
              </w:rPr>
            </w:pPr>
          </w:p>
        </w:tc>
        <w:tc>
          <w:tcPr>
            <w:tcW w:w="1665" w:type="dxa"/>
            <w:vAlign w:val="center"/>
          </w:tcPr>
          <w:p w14:paraId="0F88E352">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0.1</w:t>
            </w:r>
            <w:r>
              <w:rPr>
                <w:rFonts w:ascii="Times New Roman" w:hAnsi="Times New Roman" w:cs="Times New Roman"/>
                <w:color w:val="auto"/>
                <w:sz w:val="24"/>
                <w:szCs w:val="24"/>
                <w:lang w:eastAsia="zh-CN"/>
              </w:rPr>
              <w:t>t/a</w:t>
            </w:r>
          </w:p>
        </w:tc>
        <w:tc>
          <w:tcPr>
            <w:tcW w:w="1268" w:type="dxa"/>
            <w:vAlign w:val="center"/>
          </w:tcPr>
          <w:p w14:paraId="11857AF0">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+0.1</w:t>
            </w:r>
            <w:r>
              <w:rPr>
                <w:rFonts w:ascii="Times New Roman" w:hAnsi="Times New Roman" w:cs="Times New Roman"/>
                <w:color w:val="auto"/>
                <w:sz w:val="24"/>
                <w:szCs w:val="24"/>
                <w:lang w:eastAsia="zh-CN"/>
              </w:rPr>
              <w:t>t/a</w:t>
            </w:r>
          </w:p>
        </w:tc>
      </w:tr>
      <w:tr w14:paraId="18D73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7A9DA8A">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rPr>
            </w:pPr>
          </w:p>
        </w:tc>
        <w:tc>
          <w:tcPr>
            <w:tcW w:w="1417" w:type="dxa"/>
            <w:vAlign w:val="center"/>
          </w:tcPr>
          <w:p w14:paraId="1A3182FA">
            <w:pPr>
              <w:widowControl w:val="0"/>
              <w:kinsoku/>
              <w:autoSpaceDE/>
              <w:autoSpaceDN/>
              <w:adjustRightInd/>
              <w:snapToGrid/>
              <w:jc w:val="center"/>
              <w:textAlignment w:val="auto"/>
              <w:rPr>
                <w:rFonts w:ascii="Times New Roman" w:hAnsi="Times New Roman" w:eastAsia="宋体" w:cs="Times New Roman"/>
                <w:color w:val="auto"/>
                <w:sz w:val="24"/>
                <w:szCs w:val="24"/>
                <w:lang w:eastAsia="zh-CN"/>
              </w:rPr>
            </w:pPr>
            <w:r>
              <w:rPr>
                <w:rFonts w:ascii="Times New Roman" w:hAnsi="Times New Roman" w:cs="Times New Roman"/>
                <w:color w:val="auto"/>
                <w:sz w:val="24"/>
                <w:szCs w:val="24"/>
                <w:lang w:eastAsia="zh-CN"/>
              </w:rPr>
              <w:t>废机油桶</w:t>
            </w:r>
          </w:p>
        </w:tc>
        <w:tc>
          <w:tcPr>
            <w:tcW w:w="1701" w:type="dxa"/>
            <w:vAlign w:val="center"/>
          </w:tcPr>
          <w:p w14:paraId="787A760D">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276" w:type="dxa"/>
            <w:vAlign w:val="center"/>
          </w:tcPr>
          <w:p w14:paraId="0D0FCAA2">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701" w:type="dxa"/>
            <w:vAlign w:val="center"/>
          </w:tcPr>
          <w:p w14:paraId="31DD70B6">
            <w:pPr>
              <w:pStyle w:val="42"/>
              <w:widowControl w:val="0"/>
              <w:kinsoku/>
              <w:autoSpaceDE/>
              <w:autoSpaceDN/>
              <w:adjustRightInd/>
              <w:snapToGrid/>
              <w:ind w:left="0" w:leftChars="0" w:firstLine="0" w:firstLineChars="0"/>
              <w:textAlignment w:val="auto"/>
              <w:rPr>
                <w:rFonts w:ascii="Times New Roman" w:hAnsi="Times New Roman" w:cs="Times New Roman"/>
                <w:color w:val="auto"/>
                <w:kern w:val="21"/>
                <w:sz w:val="24"/>
                <w:szCs w:val="24"/>
                <w:lang w:eastAsia="zh-CN"/>
              </w:rPr>
            </w:pPr>
            <w:r>
              <w:rPr>
                <w:rFonts w:ascii="Times New Roman" w:hAnsi="Times New Roman" w:cs="Times New Roman"/>
                <w:color w:val="auto"/>
                <w:kern w:val="21"/>
                <w:sz w:val="24"/>
                <w:szCs w:val="24"/>
                <w:lang w:eastAsia="zh-CN"/>
              </w:rPr>
              <w:t>/</w:t>
            </w:r>
          </w:p>
        </w:tc>
        <w:tc>
          <w:tcPr>
            <w:tcW w:w="1559" w:type="dxa"/>
            <w:vAlign w:val="center"/>
          </w:tcPr>
          <w:p w14:paraId="1739B103">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0</w:t>
            </w:r>
            <w:r>
              <w:rPr>
                <w:rFonts w:ascii="Times New Roman" w:hAnsi="Times New Roman" w:cs="Times New Roman"/>
                <w:color w:val="auto"/>
                <w:sz w:val="24"/>
                <w:szCs w:val="24"/>
                <w:lang w:eastAsia="zh-CN"/>
              </w:rPr>
              <w:t>1t/a</w:t>
            </w:r>
          </w:p>
        </w:tc>
        <w:tc>
          <w:tcPr>
            <w:tcW w:w="1613" w:type="dxa"/>
            <w:vAlign w:val="center"/>
          </w:tcPr>
          <w:p w14:paraId="1B489117">
            <w:pPr>
              <w:widowControl w:val="0"/>
              <w:kinsoku/>
              <w:autoSpaceDE/>
              <w:autoSpaceDN/>
              <w:adjustRightInd/>
              <w:snapToGrid/>
              <w:jc w:val="center"/>
              <w:textAlignment w:val="auto"/>
              <w:rPr>
                <w:rFonts w:ascii="Times New Roman" w:hAnsi="Times New Roman" w:cs="Times New Roman"/>
                <w:color w:val="auto"/>
                <w:sz w:val="24"/>
                <w:szCs w:val="24"/>
                <w:lang w:eastAsia="zh-CN"/>
              </w:rPr>
            </w:pPr>
          </w:p>
        </w:tc>
        <w:tc>
          <w:tcPr>
            <w:tcW w:w="1665" w:type="dxa"/>
            <w:vAlign w:val="center"/>
          </w:tcPr>
          <w:p w14:paraId="49F2E065">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0</w:t>
            </w:r>
            <w:r>
              <w:rPr>
                <w:rFonts w:ascii="Times New Roman" w:hAnsi="Times New Roman" w:cs="Times New Roman"/>
                <w:color w:val="auto"/>
                <w:sz w:val="24"/>
                <w:szCs w:val="24"/>
                <w:lang w:eastAsia="zh-CN"/>
              </w:rPr>
              <w:t>1t/a</w:t>
            </w:r>
          </w:p>
        </w:tc>
        <w:tc>
          <w:tcPr>
            <w:tcW w:w="1268" w:type="dxa"/>
            <w:vAlign w:val="center"/>
          </w:tcPr>
          <w:p w14:paraId="05974FA6">
            <w:pPr>
              <w:widowControl w:val="0"/>
              <w:kinsoku/>
              <w:autoSpaceDE/>
              <w:autoSpaceDN/>
              <w:adjustRightInd/>
              <w:snapToGrid/>
              <w:jc w:val="center"/>
              <w:textAlignment w:val="auto"/>
              <w:rPr>
                <w:rFonts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0.</w:t>
            </w:r>
            <w:r>
              <w:rPr>
                <w:rFonts w:hint="eastAsia" w:ascii="Times New Roman" w:hAnsi="Times New Roman" w:cs="Times New Roman"/>
                <w:color w:val="auto"/>
                <w:sz w:val="24"/>
                <w:szCs w:val="24"/>
                <w:lang w:eastAsia="zh-CN"/>
              </w:rPr>
              <w:t>0</w:t>
            </w:r>
            <w:r>
              <w:rPr>
                <w:rFonts w:ascii="Times New Roman" w:hAnsi="Times New Roman" w:cs="Times New Roman"/>
                <w:color w:val="auto"/>
                <w:sz w:val="24"/>
                <w:szCs w:val="24"/>
                <w:lang w:eastAsia="zh-CN"/>
              </w:rPr>
              <w:t>1t/a</w:t>
            </w:r>
          </w:p>
        </w:tc>
      </w:tr>
    </w:tbl>
    <w:p w14:paraId="13257677">
      <w:pPr>
        <w:jc w:val="both"/>
        <w:rPr>
          <w:color w:val="auto"/>
        </w:rPr>
      </w:pPr>
      <w:r>
        <w:rPr>
          <w:rFonts w:hint="eastAsia" w:hAnsi="宋体"/>
          <w:color w:val="auto"/>
          <w:kern w:val="21"/>
        </w:rPr>
        <w:t>注：</w:t>
      </w:r>
      <w:r>
        <w:rPr>
          <w:rFonts w:hAnsi="宋体"/>
          <w:color w:val="auto"/>
          <w:spacing w:val="-16"/>
          <w:kern w:val="21"/>
        </w:rPr>
        <w:fldChar w:fldCharType="begin"/>
      </w:r>
      <w:r>
        <w:rPr>
          <w:rFonts w:hAnsi="宋体"/>
          <w:color w:val="auto"/>
          <w:spacing w:val="-16"/>
          <w:kern w:val="21"/>
        </w:rPr>
        <w:instrText xml:space="preserve"> = 6 \* GB3 \* MERGEFORMAT </w:instrText>
      </w:r>
      <w:r>
        <w:rPr>
          <w:rFonts w:hAnsi="宋体"/>
          <w:color w:val="auto"/>
          <w:spacing w:val="-16"/>
          <w:kern w:val="21"/>
        </w:rPr>
        <w:fldChar w:fldCharType="separate"/>
      </w:r>
      <w:r>
        <w:rPr>
          <w:rFonts w:hint="eastAsia" w:hAnsi="宋体"/>
          <w:color w:val="auto"/>
        </w:rPr>
        <w:t>⑥</w:t>
      </w:r>
      <w:r>
        <w:rPr>
          <w:rFonts w:hAnsi="宋体"/>
          <w:color w:val="auto"/>
          <w:spacing w:val="-16"/>
          <w:kern w:val="21"/>
        </w:rPr>
        <w:fldChar w:fldCharType="end"/>
      </w:r>
      <w:r>
        <w:rPr>
          <w:rFonts w:hAnsi="宋体"/>
          <w:color w:val="auto"/>
          <w:spacing w:val="-16"/>
          <w:kern w:val="21"/>
        </w:rPr>
        <w:t>=</w:t>
      </w:r>
      <w:r>
        <w:rPr>
          <w:rFonts w:hAnsi="宋体"/>
          <w:color w:val="auto"/>
          <w:spacing w:val="-6"/>
          <w:kern w:val="21"/>
        </w:rPr>
        <w:fldChar w:fldCharType="begin"/>
      </w:r>
      <w:r>
        <w:rPr>
          <w:rFonts w:hAnsi="宋体"/>
          <w:color w:val="auto"/>
          <w:spacing w:val="-6"/>
          <w:kern w:val="21"/>
        </w:rPr>
        <w:instrText xml:space="preserve"> = 1 \* GB3 \* MERGEFORMAT </w:instrText>
      </w:r>
      <w:r>
        <w:rPr>
          <w:rFonts w:hAnsi="宋体"/>
          <w:color w:val="auto"/>
          <w:spacing w:val="-6"/>
          <w:kern w:val="21"/>
        </w:rPr>
        <w:fldChar w:fldCharType="separate"/>
      </w:r>
      <w:r>
        <w:rPr>
          <w:rFonts w:hint="eastAsia" w:hAnsi="宋体"/>
          <w:color w:val="auto"/>
        </w:rPr>
        <w:t>①</w:t>
      </w:r>
      <w:r>
        <w:rPr>
          <w:rFonts w:hAnsi="宋体"/>
          <w:color w:val="auto"/>
          <w:spacing w:val="-6"/>
          <w:kern w:val="21"/>
        </w:rPr>
        <w:fldChar w:fldCharType="end"/>
      </w:r>
      <w:r>
        <w:rPr>
          <w:rFonts w:hAnsi="宋体"/>
          <w:color w:val="auto"/>
          <w:spacing w:val="-6"/>
          <w:kern w:val="21"/>
        </w:rPr>
        <w:t>+</w:t>
      </w:r>
      <w:r>
        <w:rPr>
          <w:rFonts w:hAnsi="宋体"/>
          <w:color w:val="auto"/>
          <w:spacing w:val="-6"/>
          <w:kern w:val="21"/>
        </w:rPr>
        <w:fldChar w:fldCharType="begin"/>
      </w:r>
      <w:r>
        <w:rPr>
          <w:rFonts w:hAnsi="宋体"/>
          <w:color w:val="auto"/>
          <w:spacing w:val="-6"/>
          <w:kern w:val="21"/>
        </w:rPr>
        <w:instrText xml:space="preserve"> = 3 \* GB3 \* MERGEFORMAT </w:instrText>
      </w:r>
      <w:r>
        <w:rPr>
          <w:rFonts w:hAnsi="宋体"/>
          <w:color w:val="auto"/>
          <w:spacing w:val="-6"/>
          <w:kern w:val="21"/>
        </w:rPr>
        <w:fldChar w:fldCharType="separate"/>
      </w:r>
      <w:r>
        <w:rPr>
          <w:rFonts w:hint="eastAsia" w:hAnsi="宋体"/>
          <w:color w:val="auto"/>
        </w:rPr>
        <w:t>③</w:t>
      </w:r>
      <w:r>
        <w:rPr>
          <w:rFonts w:hAnsi="宋体"/>
          <w:color w:val="auto"/>
          <w:spacing w:val="-6"/>
          <w:kern w:val="21"/>
        </w:rPr>
        <w:fldChar w:fldCharType="end"/>
      </w:r>
      <w:r>
        <w:rPr>
          <w:rFonts w:hAnsi="宋体"/>
          <w:color w:val="auto"/>
          <w:spacing w:val="-6"/>
          <w:kern w:val="21"/>
        </w:rPr>
        <w:t>+</w:t>
      </w:r>
      <w:r>
        <w:rPr>
          <w:rFonts w:hAnsi="宋体"/>
          <w:color w:val="auto"/>
          <w:spacing w:val="-6"/>
          <w:kern w:val="21"/>
        </w:rPr>
        <w:fldChar w:fldCharType="begin"/>
      </w:r>
      <w:r>
        <w:rPr>
          <w:rFonts w:hAnsi="宋体"/>
          <w:color w:val="auto"/>
          <w:spacing w:val="-6"/>
          <w:kern w:val="21"/>
        </w:rPr>
        <w:instrText xml:space="preserve"> = 4 \* GB3 \* MERGEFORMAT </w:instrText>
      </w:r>
      <w:r>
        <w:rPr>
          <w:rFonts w:hAnsi="宋体"/>
          <w:color w:val="auto"/>
          <w:spacing w:val="-6"/>
          <w:kern w:val="21"/>
        </w:rPr>
        <w:fldChar w:fldCharType="separate"/>
      </w:r>
      <w:r>
        <w:rPr>
          <w:rFonts w:hint="eastAsia" w:hAnsi="宋体"/>
          <w:color w:val="auto"/>
        </w:rPr>
        <w:t>④</w:t>
      </w:r>
      <w:r>
        <w:rPr>
          <w:rFonts w:hAnsi="宋体"/>
          <w:color w:val="auto"/>
          <w:spacing w:val="-6"/>
          <w:kern w:val="21"/>
        </w:rPr>
        <w:fldChar w:fldCharType="end"/>
      </w:r>
      <w:r>
        <w:rPr>
          <w:rFonts w:hAnsi="宋体"/>
          <w:color w:val="auto"/>
          <w:spacing w:val="-6"/>
          <w:kern w:val="21"/>
        </w:rPr>
        <w:t>-</w:t>
      </w:r>
      <w:r>
        <w:rPr>
          <w:rFonts w:hAnsi="宋体"/>
          <w:color w:val="auto"/>
          <w:spacing w:val="-16"/>
          <w:kern w:val="21"/>
        </w:rPr>
        <w:fldChar w:fldCharType="begin"/>
      </w:r>
      <w:r>
        <w:rPr>
          <w:rFonts w:hAnsi="宋体"/>
          <w:color w:val="auto"/>
          <w:spacing w:val="-16"/>
          <w:kern w:val="21"/>
        </w:rPr>
        <w:instrText xml:space="preserve"> = 5 \* GB3 \* MERGEFORMAT </w:instrText>
      </w:r>
      <w:r>
        <w:rPr>
          <w:rFonts w:hAnsi="宋体"/>
          <w:color w:val="auto"/>
          <w:spacing w:val="-16"/>
          <w:kern w:val="21"/>
        </w:rPr>
        <w:fldChar w:fldCharType="separate"/>
      </w:r>
      <w:r>
        <w:rPr>
          <w:rFonts w:hint="eastAsia" w:hAnsi="宋体"/>
          <w:color w:val="auto"/>
        </w:rPr>
        <w:t>⑤</w:t>
      </w:r>
      <w:r>
        <w:rPr>
          <w:rFonts w:hAnsi="宋体"/>
          <w:color w:val="auto"/>
          <w:spacing w:val="-16"/>
          <w:kern w:val="21"/>
        </w:rPr>
        <w:fldChar w:fldCharType="end"/>
      </w:r>
      <w:r>
        <w:rPr>
          <w:rFonts w:hint="eastAsia" w:hAnsi="宋体"/>
          <w:color w:val="auto"/>
          <w:spacing w:val="-16"/>
          <w:kern w:val="21"/>
        </w:rPr>
        <w:t>；</w:t>
      </w:r>
      <w:r>
        <w:rPr>
          <w:rFonts w:hAnsi="宋体"/>
          <w:color w:val="auto"/>
          <w:spacing w:val="-6"/>
          <w:kern w:val="21"/>
        </w:rPr>
        <w:fldChar w:fldCharType="begin"/>
      </w:r>
      <w:r>
        <w:rPr>
          <w:rFonts w:hAnsi="宋体"/>
          <w:color w:val="auto"/>
          <w:spacing w:val="-6"/>
          <w:kern w:val="21"/>
        </w:rPr>
        <w:instrText xml:space="preserve"> = 7 \* GB3 \* MERGEFORMAT </w:instrText>
      </w:r>
      <w:r>
        <w:rPr>
          <w:rFonts w:hAnsi="宋体"/>
          <w:color w:val="auto"/>
          <w:spacing w:val="-6"/>
          <w:kern w:val="21"/>
        </w:rPr>
        <w:fldChar w:fldCharType="separate"/>
      </w:r>
      <w:r>
        <w:rPr>
          <w:rFonts w:hint="eastAsia" w:hAnsi="宋体"/>
          <w:color w:val="auto"/>
        </w:rPr>
        <w:t>⑦</w:t>
      </w:r>
      <w:r>
        <w:rPr>
          <w:rFonts w:hAnsi="宋体"/>
          <w:color w:val="auto"/>
          <w:spacing w:val="-6"/>
          <w:kern w:val="21"/>
        </w:rPr>
        <w:fldChar w:fldCharType="end"/>
      </w:r>
      <w:r>
        <w:rPr>
          <w:rFonts w:hAnsi="宋体"/>
          <w:color w:val="auto"/>
          <w:spacing w:val="-6"/>
          <w:kern w:val="21"/>
        </w:rPr>
        <w:t>=</w:t>
      </w:r>
      <w:r>
        <w:rPr>
          <w:rFonts w:hAnsi="宋体"/>
          <w:color w:val="auto"/>
          <w:spacing w:val="-16"/>
          <w:kern w:val="21"/>
        </w:rPr>
        <w:fldChar w:fldCharType="begin"/>
      </w:r>
      <w:r>
        <w:rPr>
          <w:rFonts w:hAnsi="宋体"/>
          <w:color w:val="auto"/>
          <w:spacing w:val="-16"/>
          <w:kern w:val="21"/>
        </w:rPr>
        <w:instrText xml:space="preserve"> = 6 \* GB3 \* MERGEFORMAT </w:instrText>
      </w:r>
      <w:r>
        <w:rPr>
          <w:rFonts w:hAnsi="宋体"/>
          <w:color w:val="auto"/>
          <w:spacing w:val="-16"/>
          <w:kern w:val="21"/>
        </w:rPr>
        <w:fldChar w:fldCharType="separate"/>
      </w:r>
      <w:r>
        <w:rPr>
          <w:rFonts w:hint="eastAsia" w:hAnsi="宋体"/>
          <w:color w:val="auto"/>
        </w:rPr>
        <w:t>⑥</w:t>
      </w:r>
      <w:r>
        <w:rPr>
          <w:rFonts w:hAnsi="宋体"/>
          <w:color w:val="auto"/>
          <w:spacing w:val="-16"/>
          <w:kern w:val="21"/>
        </w:rPr>
        <w:fldChar w:fldCharType="end"/>
      </w:r>
      <w:r>
        <w:rPr>
          <w:rFonts w:hAnsi="宋体"/>
          <w:color w:val="auto"/>
          <w:spacing w:val="-16"/>
          <w:kern w:val="21"/>
        </w:rPr>
        <w:t>-</w:t>
      </w:r>
      <w:r>
        <w:rPr>
          <w:rFonts w:hAnsi="宋体"/>
          <w:color w:val="auto"/>
          <w:spacing w:val="-6"/>
          <w:kern w:val="21"/>
        </w:rPr>
        <w:fldChar w:fldCharType="begin"/>
      </w:r>
      <w:r>
        <w:rPr>
          <w:rFonts w:hAnsi="宋体"/>
          <w:color w:val="auto"/>
          <w:spacing w:val="-6"/>
          <w:kern w:val="21"/>
        </w:rPr>
        <w:instrText xml:space="preserve"> = 1 \* GB3 \* MERGEFORMAT </w:instrText>
      </w:r>
      <w:r>
        <w:rPr>
          <w:rFonts w:hAnsi="宋体"/>
          <w:color w:val="auto"/>
          <w:spacing w:val="-6"/>
          <w:kern w:val="21"/>
        </w:rPr>
        <w:fldChar w:fldCharType="separate"/>
      </w:r>
      <w:r>
        <w:rPr>
          <w:rFonts w:hint="eastAsia" w:hAnsi="宋体"/>
          <w:color w:val="auto"/>
        </w:rPr>
        <w:t>①</w:t>
      </w:r>
      <w:r>
        <w:rPr>
          <w:rFonts w:hAnsi="宋体"/>
          <w:color w:val="auto"/>
          <w:spacing w:val="-6"/>
          <w:kern w:val="21"/>
        </w:rPr>
        <w:fldChar w:fldCharType="end"/>
      </w:r>
    </w:p>
    <w:p w14:paraId="286BACAB">
      <w:pPr>
        <w:rPr>
          <w:rFonts w:ascii="Times New Roman" w:hAnsi="Times New Roman" w:cs="Times New Roman"/>
        </w:rPr>
      </w:pPr>
    </w:p>
    <w:sectPr>
      <w:pgSz w:w="16838" w:h="11906" w:orient="landscape"/>
      <w:pgMar w:top="1080" w:right="1440" w:bottom="108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方正小标宋_GBK">
    <w:altName w:val="Arial Unicode MS"/>
    <w:panose1 w:val="00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DBFA">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8EC13">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A08EC13">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566EE"/>
    <w:multiLevelType w:val="singleLevel"/>
    <w:tmpl w:val="908566EE"/>
    <w:lvl w:ilvl="0" w:tentative="0">
      <w:start w:val="1"/>
      <w:numFmt w:val="upperLetter"/>
      <w:lvlText w:val="%1."/>
      <w:lvlJc w:val="left"/>
      <w:pPr>
        <w:tabs>
          <w:tab w:val="left" w:pos="312"/>
        </w:tabs>
      </w:pPr>
      <w:rPr>
        <w:rFonts w:hint="default"/>
        <w:b w:val="0"/>
        <w:bCs w:val="0"/>
      </w:rPr>
    </w:lvl>
  </w:abstractNum>
  <w:abstractNum w:abstractNumId="1">
    <w:nsid w:val="A22C54CC"/>
    <w:multiLevelType w:val="singleLevel"/>
    <w:tmpl w:val="A22C54CC"/>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2">
    <w:nsid w:val="B364EB09"/>
    <w:multiLevelType w:val="singleLevel"/>
    <w:tmpl w:val="B364EB09"/>
    <w:lvl w:ilvl="0" w:tentative="0">
      <w:start w:val="3"/>
      <w:numFmt w:val="decimal"/>
      <w:suff w:val="nothing"/>
      <w:lvlText w:val="（%1）"/>
      <w:lvlJc w:val="left"/>
    </w:lvl>
  </w:abstractNum>
  <w:abstractNum w:abstractNumId="3">
    <w:nsid w:val="B37EADE4"/>
    <w:multiLevelType w:val="singleLevel"/>
    <w:tmpl w:val="B37EADE4"/>
    <w:lvl w:ilvl="0" w:tentative="0">
      <w:start w:val="1"/>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45"/>
      <w:suff w:val="space"/>
      <w:lvlText w:val="%1.%2"/>
      <w:lvlJc w:val="left"/>
      <w:pPr>
        <w:ind w:left="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E34EDFB"/>
    <w:multiLevelType w:val="singleLevel"/>
    <w:tmpl w:val="5E34EDFB"/>
    <w:lvl w:ilvl="0" w:tentative="0">
      <w:start w:val="2"/>
      <w:numFmt w:val="decimal"/>
      <w:suff w:val="nothing"/>
      <w:lvlText w:val="%1、"/>
      <w:lvlJc w:val="left"/>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537378"/>
    <w:rsid w:val="000422BF"/>
    <w:rsid w:val="000C3DA7"/>
    <w:rsid w:val="000F2687"/>
    <w:rsid w:val="00136EDD"/>
    <w:rsid w:val="005B143E"/>
    <w:rsid w:val="00802A7F"/>
    <w:rsid w:val="00885B23"/>
    <w:rsid w:val="009C4B49"/>
    <w:rsid w:val="00A45CE3"/>
    <w:rsid w:val="00C65E62"/>
    <w:rsid w:val="00E2429F"/>
    <w:rsid w:val="00E32D5A"/>
    <w:rsid w:val="00F97B93"/>
    <w:rsid w:val="01A52705"/>
    <w:rsid w:val="01EE5E5A"/>
    <w:rsid w:val="02532161"/>
    <w:rsid w:val="03082F4B"/>
    <w:rsid w:val="046441B2"/>
    <w:rsid w:val="04E15802"/>
    <w:rsid w:val="05946D18"/>
    <w:rsid w:val="05B922DB"/>
    <w:rsid w:val="064029FC"/>
    <w:rsid w:val="068B693D"/>
    <w:rsid w:val="075A7AEE"/>
    <w:rsid w:val="07A1571D"/>
    <w:rsid w:val="07CF228A"/>
    <w:rsid w:val="07DD5D59"/>
    <w:rsid w:val="0A7D7D7B"/>
    <w:rsid w:val="0AC41E4E"/>
    <w:rsid w:val="0B136931"/>
    <w:rsid w:val="0C711A26"/>
    <w:rsid w:val="0CA138B2"/>
    <w:rsid w:val="0DA675E9"/>
    <w:rsid w:val="0F3550C8"/>
    <w:rsid w:val="111676F8"/>
    <w:rsid w:val="11186A50"/>
    <w:rsid w:val="111D60C5"/>
    <w:rsid w:val="114233B6"/>
    <w:rsid w:val="14636234"/>
    <w:rsid w:val="15BA204D"/>
    <w:rsid w:val="16CC4D1F"/>
    <w:rsid w:val="18E65685"/>
    <w:rsid w:val="18FE477D"/>
    <w:rsid w:val="19CA537D"/>
    <w:rsid w:val="1A2E1092"/>
    <w:rsid w:val="1B09565B"/>
    <w:rsid w:val="1BD21EF1"/>
    <w:rsid w:val="1BF609B7"/>
    <w:rsid w:val="1C146065"/>
    <w:rsid w:val="1C4049E1"/>
    <w:rsid w:val="1C9553F8"/>
    <w:rsid w:val="1CB735C0"/>
    <w:rsid w:val="1D2E3157"/>
    <w:rsid w:val="1EBC4519"/>
    <w:rsid w:val="1F91436F"/>
    <w:rsid w:val="1F92370C"/>
    <w:rsid w:val="20AF45AF"/>
    <w:rsid w:val="22370D00"/>
    <w:rsid w:val="22631AF5"/>
    <w:rsid w:val="242502D3"/>
    <w:rsid w:val="24294678"/>
    <w:rsid w:val="24376D95"/>
    <w:rsid w:val="250628E9"/>
    <w:rsid w:val="25C74149"/>
    <w:rsid w:val="2601765A"/>
    <w:rsid w:val="26EA4592"/>
    <w:rsid w:val="27003DB6"/>
    <w:rsid w:val="270F224B"/>
    <w:rsid w:val="277B168E"/>
    <w:rsid w:val="284B172A"/>
    <w:rsid w:val="28706D19"/>
    <w:rsid w:val="28BA534D"/>
    <w:rsid w:val="28C56617"/>
    <w:rsid w:val="28D70B46"/>
    <w:rsid w:val="298D5997"/>
    <w:rsid w:val="29D41C18"/>
    <w:rsid w:val="29D82DC8"/>
    <w:rsid w:val="29E259F5"/>
    <w:rsid w:val="29FA0056"/>
    <w:rsid w:val="2ABF4821"/>
    <w:rsid w:val="2BA57F99"/>
    <w:rsid w:val="2C26606D"/>
    <w:rsid w:val="2DCA0C7A"/>
    <w:rsid w:val="2EEE71C0"/>
    <w:rsid w:val="2F902146"/>
    <w:rsid w:val="30F77FD8"/>
    <w:rsid w:val="30FF0C3A"/>
    <w:rsid w:val="32C50EEA"/>
    <w:rsid w:val="34207846"/>
    <w:rsid w:val="34767465"/>
    <w:rsid w:val="363010A6"/>
    <w:rsid w:val="3658650C"/>
    <w:rsid w:val="367D2D2D"/>
    <w:rsid w:val="39E82BB3"/>
    <w:rsid w:val="3A4818A4"/>
    <w:rsid w:val="3AA12D62"/>
    <w:rsid w:val="3AE96BE3"/>
    <w:rsid w:val="3B340067"/>
    <w:rsid w:val="3B710987"/>
    <w:rsid w:val="3BE61375"/>
    <w:rsid w:val="3CBC5CAE"/>
    <w:rsid w:val="3D5D1F54"/>
    <w:rsid w:val="3DC96858"/>
    <w:rsid w:val="3DFD29A6"/>
    <w:rsid w:val="3E126451"/>
    <w:rsid w:val="3E7E5894"/>
    <w:rsid w:val="3F8A2017"/>
    <w:rsid w:val="40210BCD"/>
    <w:rsid w:val="40297384"/>
    <w:rsid w:val="40754A75"/>
    <w:rsid w:val="40B557B9"/>
    <w:rsid w:val="410C362B"/>
    <w:rsid w:val="41FA16D6"/>
    <w:rsid w:val="42274495"/>
    <w:rsid w:val="43081BD1"/>
    <w:rsid w:val="43880F63"/>
    <w:rsid w:val="43AA712C"/>
    <w:rsid w:val="43AC2EA4"/>
    <w:rsid w:val="454C73D3"/>
    <w:rsid w:val="457E261E"/>
    <w:rsid w:val="458D460F"/>
    <w:rsid w:val="45CF2E79"/>
    <w:rsid w:val="4740402F"/>
    <w:rsid w:val="481D55A5"/>
    <w:rsid w:val="48484D17"/>
    <w:rsid w:val="487321E2"/>
    <w:rsid w:val="48A71E8C"/>
    <w:rsid w:val="48A95C04"/>
    <w:rsid w:val="48E01D1C"/>
    <w:rsid w:val="49AF724A"/>
    <w:rsid w:val="4A3E05CE"/>
    <w:rsid w:val="4B5A1074"/>
    <w:rsid w:val="4BCA036B"/>
    <w:rsid w:val="4CA54934"/>
    <w:rsid w:val="4DDE00FE"/>
    <w:rsid w:val="4ED60DD5"/>
    <w:rsid w:val="50670E19"/>
    <w:rsid w:val="51537378"/>
    <w:rsid w:val="52A116FA"/>
    <w:rsid w:val="52C5188C"/>
    <w:rsid w:val="52CC2C1B"/>
    <w:rsid w:val="53856E42"/>
    <w:rsid w:val="53EB1BD7"/>
    <w:rsid w:val="53ED2210"/>
    <w:rsid w:val="54ED50CA"/>
    <w:rsid w:val="565D002E"/>
    <w:rsid w:val="578F614C"/>
    <w:rsid w:val="58BC54DF"/>
    <w:rsid w:val="58EB7B73"/>
    <w:rsid w:val="5A026F22"/>
    <w:rsid w:val="5A36306F"/>
    <w:rsid w:val="5A9617A6"/>
    <w:rsid w:val="5B7A6F8C"/>
    <w:rsid w:val="5BA26C0E"/>
    <w:rsid w:val="5DC82230"/>
    <w:rsid w:val="5DE5472B"/>
    <w:rsid w:val="5E2172F8"/>
    <w:rsid w:val="5E2F0501"/>
    <w:rsid w:val="5E452ECB"/>
    <w:rsid w:val="5F441D8B"/>
    <w:rsid w:val="5FB92779"/>
    <w:rsid w:val="5FE61094"/>
    <w:rsid w:val="603E2C7E"/>
    <w:rsid w:val="60AD07DF"/>
    <w:rsid w:val="611A7247"/>
    <w:rsid w:val="61811074"/>
    <w:rsid w:val="636447A9"/>
    <w:rsid w:val="64211F86"/>
    <w:rsid w:val="64947310"/>
    <w:rsid w:val="64E9765C"/>
    <w:rsid w:val="650D71D8"/>
    <w:rsid w:val="6689422C"/>
    <w:rsid w:val="67B95C13"/>
    <w:rsid w:val="69127EF4"/>
    <w:rsid w:val="6A1A3E14"/>
    <w:rsid w:val="6B132E5E"/>
    <w:rsid w:val="6B67752D"/>
    <w:rsid w:val="6D5533B5"/>
    <w:rsid w:val="6EF7250F"/>
    <w:rsid w:val="6F59718C"/>
    <w:rsid w:val="70161521"/>
    <w:rsid w:val="70671D7D"/>
    <w:rsid w:val="7090092E"/>
    <w:rsid w:val="70C85756"/>
    <w:rsid w:val="715C6E4A"/>
    <w:rsid w:val="716562BC"/>
    <w:rsid w:val="71D945B4"/>
    <w:rsid w:val="72750781"/>
    <w:rsid w:val="72AF08D5"/>
    <w:rsid w:val="72C2329A"/>
    <w:rsid w:val="735465E8"/>
    <w:rsid w:val="73C50373"/>
    <w:rsid w:val="74566390"/>
    <w:rsid w:val="75C8506C"/>
    <w:rsid w:val="75DD0784"/>
    <w:rsid w:val="765A465D"/>
    <w:rsid w:val="767B0330"/>
    <w:rsid w:val="769B32FE"/>
    <w:rsid w:val="788E3945"/>
    <w:rsid w:val="78A376CA"/>
    <w:rsid w:val="78E26444"/>
    <w:rsid w:val="7A73790A"/>
    <w:rsid w:val="7C0B7A60"/>
    <w:rsid w:val="7C9C2DAE"/>
    <w:rsid w:val="7CDD764F"/>
    <w:rsid w:val="7CE85FF3"/>
    <w:rsid w:val="7D87580C"/>
    <w:rsid w:val="7E8F2BCB"/>
    <w:rsid w:val="7E9C305C"/>
    <w:rsid w:val="7ECE0741"/>
    <w:rsid w:val="7EE74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5">
    <w:name w:val="heading 2"/>
    <w:basedOn w:val="1"/>
    <w:next w:val="1"/>
    <w:qFormat/>
    <w:uiPriority w:val="0"/>
    <w:pPr>
      <w:keepNext/>
      <w:keepLines/>
      <w:spacing w:line="360" w:lineRule="auto"/>
      <w:outlineLvl w:val="1"/>
    </w:pPr>
    <w:rPr>
      <w:b/>
      <w:sz w:val="32"/>
    </w:rPr>
  </w:style>
  <w:style w:type="paragraph" w:styleId="6">
    <w:name w:val="heading 3"/>
    <w:basedOn w:val="1"/>
    <w:next w:val="1"/>
    <w:semiHidden/>
    <w:unhideWhenUsed/>
    <w:qFormat/>
    <w:uiPriority w:val="0"/>
    <w:pPr>
      <w:spacing w:beforeAutospacing="1" w:afterAutospacing="1"/>
      <w:outlineLvl w:val="2"/>
    </w:pPr>
    <w:rPr>
      <w:rFonts w:hint="eastAsia" w:ascii="宋体" w:hAnsi="宋体" w:eastAsia="宋体" w:cs="Times New Roman"/>
      <w:b/>
      <w:bCs/>
      <w:sz w:val="27"/>
      <w:szCs w:val="27"/>
      <w:lang w:eastAsia="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60" w:after="160" w:line="259" w:lineRule="auto"/>
      <w:ind w:right="113"/>
    </w:pPr>
    <w:rPr>
      <w:sz w:val="18"/>
      <w:szCs w:val="20"/>
    </w:rPr>
  </w:style>
  <w:style w:type="paragraph" w:customStyle="1" w:styleId="3">
    <w:name w:val="xl27"/>
    <w:basedOn w:val="1"/>
    <w:next w:val="4"/>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eastAsia="PMingLiU" w:cs="Times New Roman"/>
      <w:sz w:val="16"/>
      <w:szCs w:val="16"/>
      <w:lang w:eastAsia="zh-TW"/>
    </w:rPr>
  </w:style>
  <w:style w:type="paragraph" w:customStyle="1" w:styleId="4">
    <w:name w:val="A正文"/>
    <w:basedOn w:val="1"/>
    <w:qFormat/>
    <w:uiPriority w:val="0"/>
    <w:pPr>
      <w:overflowPunct w:val="0"/>
    </w:pPr>
  </w:style>
  <w:style w:type="paragraph" w:styleId="7">
    <w:name w:val="List 3"/>
    <w:basedOn w:val="1"/>
    <w:next w:val="1"/>
    <w:qFormat/>
    <w:uiPriority w:val="0"/>
    <w:pPr>
      <w:spacing w:line="288" w:lineRule="auto"/>
      <w:ind w:left="1260" w:hanging="420"/>
    </w:pPr>
    <w:rPr>
      <w:sz w:val="24"/>
      <w:szCs w:val="20"/>
    </w:rPr>
  </w:style>
  <w:style w:type="paragraph" w:styleId="8">
    <w:name w:val="Normal Indent"/>
    <w:basedOn w:val="1"/>
    <w:next w:val="1"/>
    <w:qFormat/>
    <w:uiPriority w:val="0"/>
    <w:pPr>
      <w:ind w:firstLine="200" w:firstLineChars="200"/>
    </w:pPr>
    <w:rPr>
      <w:sz w:val="28"/>
      <w:szCs w:val="24"/>
    </w:rPr>
  </w:style>
  <w:style w:type="paragraph" w:styleId="9">
    <w:name w:val="annotation text"/>
    <w:basedOn w:val="1"/>
    <w:link w:val="64"/>
    <w:semiHidden/>
    <w:qFormat/>
    <w:uiPriority w:val="99"/>
  </w:style>
  <w:style w:type="paragraph" w:styleId="10">
    <w:name w:val="Body Text Indent"/>
    <w:basedOn w:val="1"/>
    <w:next w:val="11"/>
    <w:qFormat/>
    <w:uiPriority w:val="0"/>
    <w:pPr>
      <w:spacing w:after="120"/>
      <w:ind w:left="420" w:leftChars="200"/>
    </w:pPr>
    <w:rPr>
      <w:sz w:val="24"/>
      <w:szCs w:val="20"/>
    </w:rPr>
  </w:style>
  <w:style w:type="paragraph" w:styleId="11">
    <w:name w:val="Body Text Indent 2"/>
    <w:basedOn w:val="1"/>
    <w:next w:val="12"/>
    <w:qFormat/>
    <w:uiPriority w:val="0"/>
    <w:pPr>
      <w:ind w:left="435"/>
    </w:pPr>
    <w:rPr>
      <w:sz w:val="24"/>
    </w:rPr>
  </w:style>
  <w:style w:type="paragraph" w:styleId="12">
    <w:name w:val="Body Text First Indent 2"/>
    <w:basedOn w:val="10"/>
    <w:next w:val="1"/>
    <w:qFormat/>
    <w:uiPriority w:val="99"/>
    <w:pPr>
      <w:ind w:firstLine="420" w:firstLineChars="200"/>
    </w:pPr>
    <w:rPr>
      <w:szCs w:val="24"/>
    </w:rPr>
  </w:style>
  <w:style w:type="paragraph" w:styleId="13">
    <w:name w:val="List Bullet 5"/>
    <w:basedOn w:val="1"/>
    <w:qFormat/>
    <w:uiPriority w:val="0"/>
    <w:pPr>
      <w:numPr>
        <w:ilvl w:val="0"/>
        <w:numId w:val="1"/>
      </w:numPr>
    </w:pPr>
  </w:style>
  <w:style w:type="paragraph" w:styleId="14">
    <w:name w:val="footer"/>
    <w:basedOn w:val="1"/>
    <w:qFormat/>
    <w:uiPriority w:val="99"/>
    <w:pPr>
      <w:tabs>
        <w:tab w:val="center" w:pos="4153"/>
        <w:tab w:val="right" w:pos="8306"/>
      </w:tabs>
    </w:pPr>
    <w:rPr>
      <w:sz w:val="18"/>
      <w:szCs w:val="20"/>
    </w:rPr>
  </w:style>
  <w:style w:type="paragraph" w:styleId="15">
    <w:name w:val="envelope return"/>
    <w:basedOn w:val="1"/>
    <w:qFormat/>
    <w:uiPriority w:val="0"/>
    <w:pPr>
      <w:spacing w:line="500" w:lineRule="exact"/>
    </w:pPr>
    <w:rPr>
      <w:rFonts w:eastAsia="仿宋_GB2312"/>
      <w:sz w:val="2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7">
    <w:name w:val="List"/>
    <w:basedOn w:val="1"/>
    <w:next w:val="2"/>
    <w:qFormat/>
    <w:uiPriority w:val="0"/>
    <w:pPr>
      <w:ind w:left="200" w:hanging="200" w:hangingChars="200"/>
    </w:pPr>
  </w:style>
  <w:style w:type="paragraph" w:styleId="18">
    <w:name w:val="table of figures"/>
    <w:basedOn w:val="1"/>
    <w:next w:val="1"/>
    <w:unhideWhenUsed/>
    <w:qFormat/>
    <w:uiPriority w:val="99"/>
    <w:pPr>
      <w:ind w:left="200" w:leftChars="200" w:hanging="200" w:hangingChars="200"/>
    </w:pPr>
  </w:style>
  <w:style w:type="paragraph" w:styleId="19">
    <w:name w:val="Normal (Web)"/>
    <w:basedOn w:val="1"/>
    <w:qFormat/>
    <w:uiPriority w:val="0"/>
    <w:pPr>
      <w:spacing w:before="100" w:beforeAutospacing="1" w:after="100" w:afterAutospacing="1"/>
    </w:pPr>
    <w:rPr>
      <w:rFonts w:ascii="宋体" w:hAnsi="宋体"/>
      <w:sz w:val="24"/>
      <w:szCs w:val="20"/>
    </w:rPr>
  </w:style>
  <w:style w:type="paragraph" w:styleId="20">
    <w:name w:val="annotation subject"/>
    <w:basedOn w:val="9"/>
    <w:next w:val="9"/>
    <w:link w:val="65"/>
    <w:qFormat/>
    <w:uiPriority w:val="0"/>
    <w:rPr>
      <w:b/>
      <w:bCs/>
    </w:rPr>
  </w:style>
  <w:style w:type="paragraph" w:styleId="21">
    <w:name w:val="Body Text First Indent"/>
    <w:basedOn w:val="2"/>
    <w:next w:val="1"/>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0"/>
    <w:rPr>
      <w:color w:val="0000FF"/>
      <w:u w:val="single"/>
    </w:rPr>
  </w:style>
  <w:style w:type="character" w:styleId="26">
    <w:name w:val="annotation reference"/>
    <w:basedOn w:val="24"/>
    <w:qFormat/>
    <w:uiPriority w:val="0"/>
    <w:rPr>
      <w:sz w:val="21"/>
      <w:szCs w:val="21"/>
    </w:rPr>
  </w:style>
  <w:style w:type="paragraph" w:customStyle="1" w:styleId="27">
    <w:name w:val="Default"/>
    <w:basedOn w:val="28"/>
    <w:next w:val="7"/>
    <w:qFormat/>
    <w:uiPriority w:val="0"/>
    <w:pPr>
      <w:widowControl w:val="0"/>
      <w:tabs>
        <w:tab w:val="left" w:pos="315"/>
        <w:tab w:val="left" w:pos="425"/>
      </w:tabs>
    </w:pPr>
    <w:rPr>
      <w:rFonts w:ascii="Calibri" w:hAnsi="Calibri" w:eastAsia="宋体" w:cs="Times New Roman"/>
      <w:sz w:val="24"/>
      <w:szCs w:val="24"/>
      <w:lang w:eastAsia="zh-CN"/>
    </w:rPr>
  </w:style>
  <w:style w:type="paragraph" w:customStyle="1" w:styleId="28">
    <w:name w:val="纯文本1"/>
    <w:basedOn w:val="1"/>
    <w:autoRedefine/>
    <w:qFormat/>
    <w:uiPriority w:val="0"/>
    <w:rPr>
      <w:rFonts w:ascii="宋体" w:hAnsi="Courier New"/>
    </w:rPr>
  </w:style>
  <w:style w:type="paragraph" w:customStyle="1" w:styleId="29">
    <w:name w:val="Char Char Char Char Char Char1 Char Char Char Char"/>
    <w:basedOn w:val="1"/>
    <w:next w:val="1"/>
    <w:autoRedefine/>
    <w:semiHidden/>
    <w:qFormat/>
    <w:uiPriority w:val="0"/>
    <w:pPr>
      <w:ind w:firstLine="200" w:firstLineChars="200"/>
    </w:pPr>
    <w:rPr>
      <w:rFonts w:ascii="宋体" w:hAnsi="宋体" w:cs="宋体"/>
    </w:rPr>
  </w:style>
  <w:style w:type="paragraph" w:customStyle="1" w:styleId="30">
    <w:name w:val="文本"/>
    <w:basedOn w:val="1"/>
    <w:next w:val="1"/>
    <w:qFormat/>
    <w:uiPriority w:val="0"/>
    <w:pPr>
      <w:tabs>
        <w:tab w:val="left" w:pos="315"/>
        <w:tab w:val="left" w:pos="425"/>
      </w:tabs>
      <w:spacing w:line="360" w:lineRule="auto"/>
      <w:ind w:left="425" w:hanging="425"/>
    </w:pPr>
    <w:rPr>
      <w:rFonts w:eastAsia="楷体_GB2312"/>
      <w:sz w:val="28"/>
    </w:rPr>
  </w:style>
  <w:style w:type="paragraph" w:customStyle="1" w:styleId="31">
    <w:name w:val="1正文段落"/>
    <w:basedOn w:val="1"/>
    <w:qFormat/>
    <w:uiPriority w:val="0"/>
    <w:pPr>
      <w:spacing w:line="360" w:lineRule="auto"/>
      <w:ind w:firstLine="480" w:firstLineChars="200"/>
    </w:pPr>
    <w:rPr>
      <w:sz w:val="24"/>
      <w:szCs w:val="24"/>
    </w:rPr>
  </w:style>
  <w:style w:type="paragraph" w:customStyle="1" w:styleId="32">
    <w:name w:val="表标题"/>
    <w:basedOn w:val="1"/>
    <w:next w:val="1"/>
    <w:autoRedefine/>
    <w:qFormat/>
    <w:uiPriority w:val="0"/>
    <w:pPr>
      <w:jc w:val="center"/>
    </w:pPr>
    <w:rPr>
      <w:rFonts w:hint="eastAsia"/>
      <w:b/>
    </w:rPr>
  </w:style>
  <w:style w:type="paragraph" w:customStyle="1" w:styleId="33">
    <w:name w:val="表格文字"/>
    <w:basedOn w:val="8"/>
    <w:autoRedefine/>
    <w:qFormat/>
    <w:uiPriority w:val="0"/>
    <w:pPr>
      <w:ind w:firstLine="0" w:firstLineChars="0"/>
      <w:jc w:val="center"/>
    </w:pPr>
    <w:rPr>
      <w:sz w:val="21"/>
      <w:szCs w:val="21"/>
    </w:rPr>
  </w:style>
  <w:style w:type="paragraph" w:customStyle="1" w:styleId="34">
    <w:name w:val="A标准格式"/>
    <w:basedOn w:val="1"/>
    <w:autoRedefine/>
    <w:qFormat/>
    <w:uiPriority w:val="0"/>
    <w:pPr>
      <w:spacing w:line="440" w:lineRule="exact"/>
      <w:ind w:firstLine="480" w:firstLineChars="200"/>
    </w:pPr>
  </w:style>
  <w:style w:type="character" w:customStyle="1" w:styleId="35">
    <w:name w:val="font181"/>
    <w:basedOn w:val="24"/>
    <w:qFormat/>
    <w:uiPriority w:val="0"/>
    <w:rPr>
      <w:rFonts w:hint="eastAsia" w:ascii="仿宋" w:hAnsi="仿宋" w:eastAsia="仿宋" w:cs="仿宋"/>
      <w:b/>
      <w:color w:val="000000"/>
      <w:sz w:val="22"/>
      <w:szCs w:val="22"/>
      <w:u w:val="none"/>
    </w:rPr>
  </w:style>
  <w:style w:type="character" w:customStyle="1" w:styleId="36">
    <w:name w:val="font61"/>
    <w:qFormat/>
    <w:uiPriority w:val="0"/>
    <w:rPr>
      <w:rFonts w:hint="eastAsia" w:ascii="宋体" w:hAnsi="宋体" w:eastAsia="宋体" w:cs="宋体"/>
      <w:color w:val="000000"/>
      <w:sz w:val="22"/>
      <w:szCs w:val="22"/>
      <w:u w:val="none"/>
    </w:rPr>
  </w:style>
  <w:style w:type="paragraph" w:customStyle="1" w:styleId="37">
    <w:name w:val="Default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
    <w:name w:val="表格12"/>
    <w:basedOn w:val="1"/>
    <w:autoRedefine/>
    <w:qFormat/>
    <w:uiPriority w:val="0"/>
    <w:pPr>
      <w:jc w:val="center"/>
    </w:pPr>
  </w:style>
  <w:style w:type="paragraph" w:customStyle="1" w:styleId="39">
    <w:name w:val="A-正文"/>
    <w:basedOn w:val="1"/>
    <w:qFormat/>
    <w:uiPriority w:val="0"/>
    <w:pPr>
      <w:widowControl w:val="0"/>
      <w:adjustRightInd/>
      <w:snapToGrid/>
      <w:spacing w:line="560" w:lineRule="exact"/>
      <w:ind w:firstLine="560" w:firstLineChars="200"/>
    </w:pPr>
    <w:rPr>
      <w:rFonts w:ascii="Times New Roman" w:hAnsi="Times New Roman" w:eastAsia="仿宋_GB2312"/>
      <w:sz w:val="24"/>
    </w:rPr>
  </w:style>
  <w:style w:type="paragraph" w:customStyle="1" w:styleId="40">
    <w:name w:val="图表表题"/>
    <w:basedOn w:val="1"/>
    <w:autoRedefine/>
    <w:qFormat/>
    <w:uiPriority w:val="0"/>
    <w:pPr>
      <w:jc w:val="center"/>
    </w:pPr>
    <w:rPr>
      <w:rFonts w:hint="eastAsia" w:cs="宋体"/>
      <w:b/>
      <w:bCs/>
    </w:rPr>
  </w:style>
  <w:style w:type="paragraph" w:customStyle="1" w:styleId="41">
    <w:name w:val="表格字体"/>
    <w:basedOn w:val="33"/>
    <w:next w:val="1"/>
    <w:autoRedefine/>
    <w:qFormat/>
    <w:uiPriority w:val="0"/>
    <w:pPr>
      <w:spacing w:line="360" w:lineRule="exact"/>
    </w:pPr>
  </w:style>
  <w:style w:type="paragraph" w:customStyle="1" w:styleId="42">
    <w:name w:val="表格"/>
    <w:basedOn w:val="18"/>
    <w:autoRedefine/>
    <w:qFormat/>
    <w:uiPriority w:val="0"/>
    <w:pPr>
      <w:jc w:val="center"/>
    </w:pPr>
    <w:rPr>
      <w:color w:val="000000" w:themeColor="text1"/>
      <w14:textFill>
        <w14:solidFill>
          <w14:schemeClr w14:val="tx1"/>
        </w14:solidFill>
      </w14:textFill>
    </w:rPr>
  </w:style>
  <w:style w:type="paragraph" w:customStyle="1" w:styleId="43">
    <w:name w:val="表1表2"/>
    <w:basedOn w:val="1"/>
    <w:autoRedefine/>
    <w:qFormat/>
    <w:uiPriority w:val="0"/>
    <w:pPr>
      <w:jc w:val="center"/>
      <w:textAlignment w:val="center"/>
    </w:pPr>
  </w:style>
  <w:style w:type="paragraph" w:styleId="44">
    <w:name w:val="No Spacing"/>
    <w:basedOn w:val="1"/>
    <w:autoRedefine/>
    <w:qFormat/>
    <w:uiPriority w:val="1"/>
    <w:pPr>
      <w:ind w:firstLine="480"/>
    </w:pPr>
    <w:rPr>
      <w:rFonts w:eastAsia="仿宋"/>
      <w:w w:val="90"/>
    </w:rPr>
  </w:style>
  <w:style w:type="paragraph" w:customStyle="1" w:styleId="45">
    <w:name w:val="标题2"/>
    <w:basedOn w:val="5"/>
    <w:autoRedefine/>
    <w:qFormat/>
    <w:uiPriority w:val="0"/>
    <w:pPr>
      <w:numPr>
        <w:ilvl w:val="1"/>
        <w:numId w:val="2"/>
      </w:numPr>
      <w:spacing w:line="440" w:lineRule="exact"/>
    </w:pPr>
    <w:rPr>
      <w:sz w:val="28"/>
    </w:rPr>
  </w:style>
  <w:style w:type="paragraph" w:customStyle="1" w:styleId="46">
    <w:name w:val="样式35"/>
    <w:basedOn w:val="1"/>
    <w:autoRedefine/>
    <w:qFormat/>
    <w:uiPriority w:val="0"/>
    <w:pPr>
      <w:spacing w:line="312" w:lineRule="auto"/>
      <w:ind w:firstLine="567"/>
    </w:pPr>
    <w:rPr>
      <w:rFonts w:ascii="宋体"/>
      <w:sz w:val="28"/>
    </w:rPr>
  </w:style>
  <w:style w:type="paragraph" w:customStyle="1" w:styleId="47">
    <w:name w:val="正文首行缩进2个字 Char"/>
    <w:basedOn w:val="1"/>
    <w:autoRedefine/>
    <w:qFormat/>
    <w:uiPriority w:val="0"/>
    <w:pPr>
      <w:ind w:firstLine="480" w:firstLineChars="200"/>
    </w:pPr>
    <w:rPr>
      <w:rFonts w:eastAsia="楷体"/>
      <w:sz w:val="24"/>
    </w:rPr>
  </w:style>
  <w:style w:type="paragraph" w:customStyle="1" w:styleId="48">
    <w:name w:val="p0"/>
    <w:basedOn w:val="1"/>
    <w:autoRedefine/>
    <w:qFormat/>
    <w:uiPriority w:val="0"/>
  </w:style>
  <w:style w:type="paragraph" w:customStyle="1" w:styleId="49">
    <w:name w:val="表格内容"/>
    <w:basedOn w:val="50"/>
    <w:next w:val="1"/>
    <w:qFormat/>
    <w:uiPriority w:val="0"/>
    <w:pPr>
      <w:spacing w:line="240" w:lineRule="atLeast"/>
    </w:pPr>
    <w:rPr>
      <w:sz w:val="21"/>
    </w:rPr>
  </w:style>
  <w:style w:type="paragraph" w:customStyle="1" w:styleId="50">
    <w:name w:val="表格标题"/>
    <w:basedOn w:val="17"/>
    <w:next w:val="49"/>
    <w:autoRedefine/>
    <w:qFormat/>
    <w:uiPriority w:val="0"/>
    <w:pPr>
      <w:spacing w:line="360" w:lineRule="auto"/>
      <w:ind w:firstLine="0" w:firstLineChars="0"/>
      <w:jc w:val="center"/>
      <w:outlineLvl w:val="5"/>
    </w:pPr>
    <w:rPr>
      <w:rFonts w:ascii="Times New Roman" w:hAnsi="Times New Roman" w:eastAsia="宋体"/>
      <w:bCs/>
      <w:sz w:val="24"/>
      <w:szCs w:val="32"/>
      <w:lang w:val="zh-CN"/>
    </w:rPr>
  </w:style>
  <w:style w:type="character" w:customStyle="1" w:styleId="51">
    <w:name w:val="font21"/>
    <w:basedOn w:val="24"/>
    <w:qFormat/>
    <w:uiPriority w:val="0"/>
    <w:rPr>
      <w:rFonts w:ascii="宋体" w:hAnsi="宋体" w:eastAsia="宋体" w:cs="宋体"/>
      <w:color w:val="000000"/>
      <w:sz w:val="14"/>
      <w:szCs w:val="14"/>
      <w:u w:val="none"/>
    </w:rPr>
  </w:style>
  <w:style w:type="paragraph" w:customStyle="1" w:styleId="52">
    <w:name w:val="表头"/>
    <w:basedOn w:val="8"/>
    <w:next w:val="1"/>
    <w:autoRedefine/>
    <w:qFormat/>
    <w:uiPriority w:val="0"/>
    <w:pPr>
      <w:tabs>
        <w:tab w:val="left" w:pos="315"/>
        <w:tab w:val="left" w:pos="425"/>
      </w:tabs>
      <w:spacing w:line="320" w:lineRule="atLeast"/>
      <w:jc w:val="center"/>
    </w:pPr>
    <w:rPr>
      <w:rFonts w:eastAsia="黑体"/>
      <w:spacing w:val="-10"/>
      <w:szCs w:val="20"/>
    </w:rPr>
  </w:style>
  <w:style w:type="paragraph" w:customStyle="1" w:styleId="53">
    <w:name w:val="表格正文"/>
    <w:basedOn w:val="8"/>
    <w:qFormat/>
    <w:uiPriority w:val="0"/>
    <w:pPr>
      <w:ind w:firstLine="0" w:firstLineChars="0"/>
      <w:jc w:val="center"/>
    </w:pPr>
    <w:rPr>
      <w:sz w:val="21"/>
    </w:rPr>
  </w:style>
  <w:style w:type="paragraph" w:customStyle="1" w:styleId="54">
    <w:name w:val="表头样式1"/>
    <w:basedOn w:val="1"/>
    <w:qFormat/>
    <w:uiPriority w:val="0"/>
    <w:pPr>
      <w:jc w:val="center"/>
    </w:pPr>
    <w:rPr>
      <w:rFonts w:ascii="楷体_GB2312" w:hAnsi="宋体" w:eastAsia="楷体_GB2312" w:cs="宋体"/>
      <w:b/>
      <w:bCs/>
    </w:rPr>
  </w:style>
  <w:style w:type="paragraph" w:customStyle="1" w:styleId="55">
    <w:name w:val="正文001"/>
    <w:basedOn w:val="1"/>
    <w:qFormat/>
    <w:uiPriority w:val="0"/>
    <w:pPr>
      <w:spacing w:before="60" w:line="420" w:lineRule="exact"/>
      <w:ind w:firstLine="482"/>
    </w:pPr>
    <w:rPr>
      <w:rFonts w:ascii="宋体" w:hAnsi="宋体"/>
    </w:rPr>
  </w:style>
  <w:style w:type="table" w:customStyle="1" w:styleId="56">
    <w:name w:val="Table Normal"/>
    <w:semiHidden/>
    <w:unhideWhenUsed/>
    <w:qFormat/>
    <w:uiPriority w:val="0"/>
    <w:tblPr>
      <w:tblCellMar>
        <w:top w:w="0" w:type="dxa"/>
        <w:left w:w="0" w:type="dxa"/>
        <w:bottom w:w="0" w:type="dxa"/>
        <w:right w:w="0" w:type="dxa"/>
      </w:tblCellMar>
    </w:tblPr>
  </w:style>
  <w:style w:type="paragraph" w:customStyle="1" w:styleId="57">
    <w:name w:val="表格内容自定"/>
    <w:basedOn w:val="1"/>
    <w:qFormat/>
    <w:uiPriority w:val="0"/>
    <w:pPr>
      <w:spacing w:line="280" w:lineRule="exact"/>
      <w:jc w:val="center"/>
    </w:pPr>
    <w:rPr>
      <w:sz w:val="18"/>
      <w:szCs w:val="18"/>
    </w:rPr>
  </w:style>
  <w:style w:type="paragraph" w:customStyle="1" w:styleId="58">
    <w:name w:val="yt表内"/>
    <w:basedOn w:val="59"/>
    <w:next w:val="59"/>
    <w:qFormat/>
    <w:uiPriority w:val="0"/>
    <w:pPr>
      <w:tabs>
        <w:tab w:val="left" w:pos="1068"/>
      </w:tabs>
      <w:spacing w:line="240" w:lineRule="atLeast"/>
      <w:ind w:firstLine="0" w:firstLineChars="0"/>
      <w:jc w:val="center"/>
    </w:pPr>
    <w:rPr>
      <w:sz w:val="21"/>
      <w:szCs w:val="21"/>
    </w:rPr>
  </w:style>
  <w:style w:type="paragraph" w:customStyle="1" w:styleId="59">
    <w:name w:val="yt正文"/>
    <w:basedOn w:val="8"/>
    <w:next w:val="11"/>
    <w:qFormat/>
    <w:uiPriority w:val="0"/>
    <w:pPr>
      <w:tabs>
        <w:tab w:val="left" w:pos="1068"/>
      </w:tabs>
      <w:spacing w:line="360" w:lineRule="auto"/>
    </w:pPr>
    <w:rPr>
      <w:rFonts w:ascii="Times New Roman" w:hAnsi="Times New Roman" w:eastAsia="宋体"/>
      <w:sz w:val="24"/>
    </w:rPr>
  </w:style>
  <w:style w:type="paragraph" w:customStyle="1" w:styleId="60">
    <w:name w:val="Table Text"/>
    <w:basedOn w:val="1"/>
    <w:semiHidden/>
    <w:qFormat/>
    <w:uiPriority w:val="0"/>
    <w:rPr>
      <w:rFonts w:ascii="宋体" w:hAnsi="宋体" w:eastAsia="宋体" w:cs="宋体"/>
      <w:sz w:val="24"/>
      <w:szCs w:val="24"/>
    </w:rPr>
  </w:style>
  <w:style w:type="paragraph" w:customStyle="1" w:styleId="61">
    <w:name w:val="24磅正文"/>
    <w:basedOn w:val="1"/>
    <w:qFormat/>
    <w:uiPriority w:val="0"/>
    <w:pPr>
      <w:spacing w:line="480" w:lineRule="exact"/>
      <w:ind w:firstLine="480" w:firstLineChars="200"/>
    </w:pPr>
  </w:style>
  <w:style w:type="paragraph" w:customStyle="1" w:styleId="62">
    <w:name w:val="表"/>
    <w:basedOn w:val="17"/>
    <w:qFormat/>
    <w:uiPriority w:val="0"/>
    <w:pPr>
      <w:spacing w:line="360" w:lineRule="exact"/>
      <w:jc w:val="center"/>
    </w:pPr>
    <w:rPr>
      <w:spacing w:val="10"/>
    </w:rPr>
  </w:style>
  <w:style w:type="paragraph" w:customStyle="1" w:styleId="63">
    <w:name w:val="图、表内容"/>
    <w:basedOn w:val="1"/>
    <w:qFormat/>
    <w:uiPriority w:val="0"/>
    <w:pPr>
      <w:jc w:val="center"/>
    </w:pPr>
  </w:style>
  <w:style w:type="character" w:customStyle="1" w:styleId="64">
    <w:name w:val="批注文字 字符"/>
    <w:basedOn w:val="24"/>
    <w:link w:val="9"/>
    <w:semiHidden/>
    <w:qFormat/>
    <w:uiPriority w:val="99"/>
    <w:rPr>
      <w:rFonts w:ascii="Arial" w:hAnsi="Arial" w:eastAsia="Arial" w:cs="Arial"/>
      <w:snapToGrid w:val="0"/>
      <w:color w:val="000000"/>
      <w:sz w:val="21"/>
      <w:szCs w:val="21"/>
      <w:lang w:eastAsia="en-US"/>
    </w:rPr>
  </w:style>
  <w:style w:type="character" w:customStyle="1" w:styleId="65">
    <w:name w:val="批注主题 字符"/>
    <w:basedOn w:val="64"/>
    <w:link w:val="20"/>
    <w:uiPriority w:val="0"/>
    <w:rPr>
      <w:rFonts w:ascii="Arial" w:hAnsi="Arial" w:eastAsia="Arial" w:cs="Arial"/>
      <w:b/>
      <w:bCs/>
      <w:snapToGrid w:val="0"/>
      <w:color w:val="000000"/>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"/>
    </extobj>
    <extobj name="F360BE8B-6686-4F3D-AEAF-501FE73E4058-2">
      <extobjdata type="F360BE8B-6686-4F3D-AEAF-501FE73E4058" data="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"/>
    </extobj>
    <extobj name="F360BE8B-6686-4F3D-AEAF-501FE73E4058-3">
      <extobjdata type="F360BE8B-6686-4F3D-AEAF-501FE73E4058" data="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"/>
    </extobj>
    <extobj name="F360BE8B-6686-4F3D-AEAF-501FE73E4058-4">
      <extobjdata type="F360BE8B-6686-4F3D-AEAF-501FE73E4058" data="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"/>
    </extobj>
    <extobj name="F360BE8B-6686-4F3D-AEAF-501FE73E4058-5">
      <extobjdata type="F360BE8B-6686-4F3D-AEAF-501FE73E4058" data="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"/>
    </extobj>
    <extobj name="F360BE8B-6686-4F3D-AEAF-501FE73E4058-6">
      <extobjdata type="F360BE8B-6686-4F3D-AEAF-501FE73E4058" data="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8688</Words>
  <Characters>9315</Characters>
  <Lines>1799</Lines>
  <Paragraphs>1370</Paragraphs>
  <TotalTime>214</TotalTime>
  <ScaleCrop>false</ScaleCrop>
  <LinksUpToDate>false</LinksUpToDate>
  <CharactersWithSpaces>9411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2025-06-26T08:35:00Z</dcterms:created>
  <dc:creator>张毅</dc:creator>
  <cp:lastModifiedBy>张毅</cp:lastModifiedBy>
  <dcterms:modified xsi:type="dcterms:W3CDTF">2025-07-22T08:48:14Z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79FA8EBB2F294B59BEF8D2F81AB9066D_11</vt:lpwstr>
  </property>
  <property fmtid="{D5CDD505-2E9C-101B-9397-08002B2CF9AE}" pid="4" name="KSOTemplateDocerSaveRecord">
    <vt:lpwstr>eyJoZGlkIjoiYWUwY2Q0NGEwNzRjNmM5Njk1MjlhOTE4YmEyMGNiMTUiLCJ1c2VySWQiOiI0MTQ1NzQzMzYifQ==</vt:lpwstr>
  </property>
</Properties>
</file>