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F65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濉溪县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级预算绩效管理工作</w:t>
      </w:r>
    </w:p>
    <w:p w14:paraId="1BE32B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开展情况的说明</w:t>
      </w:r>
    </w:p>
    <w:bookmarkEnd w:id="0"/>
    <w:p w14:paraId="615213D5">
      <w:pPr>
        <w:rPr>
          <w:rFonts w:ascii="仿宋_GB2312" w:hAnsi="黑体" w:eastAsia="仿宋_GB2312"/>
          <w:sz w:val="32"/>
          <w:szCs w:val="32"/>
        </w:rPr>
      </w:pPr>
    </w:p>
    <w:p w14:paraId="006E071B">
      <w:pPr>
        <w:ind w:firstLine="640" w:firstLineChars="200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为全面深入推进预算绩效管理，加快构建全方位、全过程、全覆盖的预算绩效管理体系，</w:t>
      </w:r>
      <w:r>
        <w:rPr>
          <w:rFonts w:ascii="仿宋_GB2312" w:hAnsi="黑体" w:eastAsia="仿宋_GB2312"/>
          <w:sz w:val="32"/>
          <w:szCs w:val="32"/>
        </w:rPr>
        <w:t>我县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着力强化绩效管理结果运用，切实提高财政资源配置效率和资金使用效益，现将2024年度预算绩效管理工作开展情况</w:t>
      </w:r>
      <w:r>
        <w:rPr>
          <w:rFonts w:ascii="仿宋_GB2312" w:hAnsi="黑体" w:eastAsia="仿宋_GB2312"/>
          <w:sz w:val="32"/>
          <w:szCs w:val="32"/>
        </w:rPr>
        <w:t>总结如下：</w:t>
      </w:r>
    </w:p>
    <w:p w14:paraId="6BF5CC9B"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一、2024</w:t>
      </w:r>
      <w:r>
        <w:rPr>
          <w:rFonts w:hint="eastAsia" w:ascii="黑体" w:hAnsi="黑体" w:eastAsia="黑体" w:cs="黑体"/>
          <w:b/>
          <w:sz w:val="32"/>
          <w:szCs w:val="32"/>
        </w:rPr>
        <w:t>年预算绩效管理工作开展情况</w:t>
      </w:r>
    </w:p>
    <w:p w14:paraId="2EE9FAD6">
      <w:pPr>
        <w:widowControl/>
        <w:shd w:val="clear" w:color="auto" w:fill="FFFFFF"/>
        <w:ind w:firstLine="321" w:firstLineChars="1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lang w:val="en-US" w:eastAsia="zh-CN"/>
        </w:rPr>
        <w:t>（一）建立健全相关制度，规范预算绩效管理工作行为。</w:t>
      </w:r>
      <w:r>
        <w:rPr>
          <w:rFonts w:hint="eastAsia" w:ascii="仿宋_GB2312" w:hAnsi="黑体" w:eastAsia="仿宋_GB2312"/>
          <w:sz w:val="32"/>
          <w:szCs w:val="32"/>
        </w:rPr>
        <w:t>制定了《濉溪县县级</w:t>
      </w:r>
      <w:r>
        <w:rPr>
          <w:rFonts w:ascii="仿宋_GB2312" w:hAnsi="黑体" w:eastAsia="仿宋_GB2312"/>
          <w:sz w:val="32"/>
          <w:szCs w:val="32"/>
        </w:rPr>
        <w:t>财政预算绩效运行监控暂行办法</w:t>
      </w:r>
      <w:r>
        <w:rPr>
          <w:rFonts w:hint="eastAsia" w:ascii="仿宋_GB2312" w:hAnsi="黑体" w:eastAsia="仿宋_GB2312"/>
          <w:sz w:val="32"/>
          <w:szCs w:val="32"/>
        </w:rPr>
        <w:t>》、《濉溪县</w:t>
      </w:r>
      <w:r>
        <w:rPr>
          <w:rFonts w:ascii="仿宋_GB2312" w:hAnsi="黑体" w:eastAsia="仿宋_GB2312"/>
          <w:sz w:val="32"/>
          <w:szCs w:val="32"/>
        </w:rPr>
        <w:t>县级部门预算绩效目标管理暂行办法</w:t>
      </w:r>
      <w:r>
        <w:rPr>
          <w:rFonts w:hint="eastAsia" w:ascii="仿宋_GB2312" w:hAnsi="黑体" w:eastAsia="仿宋_GB2312"/>
          <w:sz w:val="32"/>
          <w:szCs w:val="32"/>
        </w:rPr>
        <w:t>》、《濉溪县县级</w:t>
      </w:r>
      <w:r>
        <w:rPr>
          <w:rFonts w:ascii="仿宋_GB2312" w:hAnsi="黑体" w:eastAsia="仿宋_GB2312"/>
          <w:sz w:val="32"/>
          <w:szCs w:val="32"/>
        </w:rPr>
        <w:t>预算部门整体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ascii="仿宋_GB2312" w:hAnsi="黑体" w:eastAsia="仿宋_GB2312"/>
          <w:sz w:val="32"/>
          <w:szCs w:val="32"/>
        </w:rPr>
        <w:t>绩效管理暂行办法</w:t>
      </w:r>
      <w:r>
        <w:rPr>
          <w:rFonts w:hint="eastAsia" w:ascii="仿宋_GB2312" w:hAnsi="黑体" w:eastAsia="仿宋_GB2312"/>
          <w:sz w:val="32"/>
          <w:szCs w:val="32"/>
        </w:rPr>
        <w:t>》、《濉溪县县级部门预算</w:t>
      </w:r>
      <w:r>
        <w:rPr>
          <w:rFonts w:ascii="仿宋_GB2312" w:hAnsi="黑体" w:eastAsia="仿宋_GB2312"/>
          <w:sz w:val="32"/>
          <w:szCs w:val="32"/>
        </w:rPr>
        <w:t>绩效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管理工作考核</w:t>
      </w:r>
      <w:r>
        <w:rPr>
          <w:rFonts w:ascii="仿宋_GB2312" w:hAnsi="黑体" w:eastAsia="仿宋_GB2312"/>
          <w:sz w:val="32"/>
          <w:szCs w:val="32"/>
        </w:rPr>
        <w:t>暂行办法</w:t>
      </w:r>
      <w:r>
        <w:rPr>
          <w:rFonts w:hint="eastAsia" w:ascii="仿宋_GB2312" w:hAnsi="黑体" w:eastAsia="仿宋_GB2312"/>
          <w:sz w:val="32"/>
          <w:szCs w:val="32"/>
        </w:rPr>
        <w:t>》等相关制度，为建立科学、规范、高效的项目资金使用和管理提供制度保障。</w:t>
      </w:r>
    </w:p>
    <w:p w14:paraId="53D0D3A6">
      <w:pPr>
        <w:widowControl/>
        <w:shd w:val="clear" w:color="auto" w:fill="FFFFFF"/>
        <w:spacing w:line="480" w:lineRule="atLeast"/>
        <w:ind w:firstLine="321" w:firstLineChars="1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（二）开展绩效考核，认真组织单位自评和总结工作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组织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76家</w:t>
      </w:r>
      <w:r>
        <w:rPr>
          <w:rFonts w:hint="eastAsia" w:ascii="仿宋_GB2312" w:hAnsi="黑体" w:eastAsia="仿宋_GB2312"/>
          <w:sz w:val="32"/>
          <w:szCs w:val="32"/>
        </w:rPr>
        <w:t>预算单位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对349个项目进行了项目和整体支出绩效自评，涉及资金约41亿元。</w:t>
      </w:r>
      <w:r>
        <w:rPr>
          <w:rFonts w:hint="eastAsia" w:ascii="仿宋_GB2312" w:hAnsi="黑体" w:eastAsia="仿宋_GB2312"/>
          <w:sz w:val="32"/>
          <w:szCs w:val="32"/>
        </w:rPr>
        <w:t>压实部门预算绩效管理主体责任，推动各单位不断健全完善“全方位、全过程、全覆盖”预算绩效管理体系，进一步增强预算单位财政支出绩效意识，提高财政资金使用效益，切实做到“把钱花在刀刃上”。</w:t>
      </w:r>
    </w:p>
    <w:p w14:paraId="6C072029">
      <w:pPr>
        <w:widowControl/>
        <w:shd w:val="clear" w:color="auto" w:fill="FFFFFF"/>
        <w:spacing w:line="480" w:lineRule="atLeast"/>
        <w:ind w:firstLine="321" w:firstLineChars="1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 xml:space="preserve"> （三）开展财政重点评价，提升预算资金使用效益。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年度财政重点项目及整体支出绩效评价工作，</w:t>
      </w:r>
      <w:r>
        <w:rPr>
          <w:rFonts w:hint="eastAsia" w:ascii="仿宋_GB2312" w:hAnsi="黑体" w:eastAsia="仿宋_GB2312"/>
          <w:sz w:val="32"/>
          <w:szCs w:val="32"/>
        </w:rPr>
        <w:t>选取项目涵盖民生、PPP项目等重点项目，</w:t>
      </w:r>
      <w:r>
        <w:rPr>
          <w:rFonts w:ascii="仿宋_GB2312" w:hAnsi="黑体" w:eastAsia="仿宋_GB2312"/>
          <w:sz w:val="32"/>
          <w:szCs w:val="32"/>
        </w:rPr>
        <w:t>其中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财政重点项目支出</w:t>
      </w:r>
      <w:r>
        <w:rPr>
          <w:rFonts w:ascii="仿宋_GB2312" w:hAnsi="黑体" w:eastAsia="仿宋_GB2312"/>
          <w:sz w:val="32"/>
          <w:szCs w:val="32"/>
        </w:rPr>
        <w:t>涉及预算金额为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74495.01</w:t>
      </w:r>
      <w:r>
        <w:rPr>
          <w:rFonts w:hint="eastAsia" w:ascii="仿宋_GB2312" w:hAnsi="黑体" w:eastAsia="仿宋_GB2312"/>
          <w:sz w:val="32"/>
          <w:szCs w:val="32"/>
        </w:rPr>
        <w:t>万元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17A991E3"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321" w:firstLineChars="1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（五）强化绩效监控工作，确保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财政资金有效运行。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组织76个预算单位对349个项目进行了项目和整体支出绩效自评，涉及资金约41亿元。</w:t>
      </w:r>
      <w:r>
        <w:rPr>
          <w:rFonts w:hint="eastAsia" w:ascii="仿宋_GB2312" w:hAnsi="黑体" w:eastAsia="仿宋_GB2312"/>
          <w:sz w:val="32"/>
          <w:szCs w:val="32"/>
        </w:rPr>
        <w:t>对绩效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目标完成情况进行动态监控，对于支出进度较慢，偏离绩效目标的项目进行预警通报，要求说明原因及时整改，确保绩效目标如期保质保量完成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6A4DBCBD">
      <w:pPr>
        <w:ind w:firstLine="321" w:firstLineChars="1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做好事前绩效评估工作，优化财政资金分配结构。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组织各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预算部门对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100万以上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开展事前评估工作，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通过采取专家论证、现场调研、座谈咨询等多种方式,就立项必要性、投入经济性、绩效目标合理性、实施方案可行性和筹资合规性等进行客观、公正的事前评估，并将评估报告随“一上”在预算管理一体化系统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335A5D04"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ascii="黑体" w:hAnsi="黑体" w:eastAsia="黑体"/>
          <w:b/>
          <w:sz w:val="32"/>
          <w:szCs w:val="32"/>
        </w:rPr>
        <w:t>存在问题</w:t>
      </w:r>
    </w:p>
    <w:p w14:paraId="6632491A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总的来看</w:t>
      </w:r>
      <w:r>
        <w:rPr>
          <w:rFonts w:ascii="仿宋_GB2312" w:hAnsi="黑体" w:eastAsia="仿宋_GB2312"/>
          <w:sz w:val="32"/>
          <w:szCs w:val="32"/>
        </w:rPr>
        <w:t>，我县预算绩效管理工作虽然取得</w:t>
      </w:r>
      <w:r>
        <w:rPr>
          <w:rFonts w:hint="eastAsia" w:ascii="仿宋_GB2312" w:hAnsi="黑体" w:eastAsia="仿宋_GB2312"/>
          <w:sz w:val="32"/>
          <w:szCs w:val="32"/>
        </w:rPr>
        <w:t>了</w:t>
      </w:r>
      <w:r>
        <w:rPr>
          <w:rFonts w:ascii="仿宋_GB2312" w:hAnsi="黑体" w:eastAsia="仿宋_GB2312"/>
          <w:sz w:val="32"/>
          <w:szCs w:val="32"/>
        </w:rPr>
        <w:t>一些成绩，但也存在预算绩效</w:t>
      </w:r>
      <w:r>
        <w:rPr>
          <w:rFonts w:hint="eastAsia" w:ascii="仿宋_GB2312" w:hAnsi="黑体" w:eastAsia="仿宋_GB2312"/>
          <w:sz w:val="32"/>
          <w:szCs w:val="32"/>
        </w:rPr>
        <w:t>工作</w:t>
      </w:r>
      <w:r>
        <w:rPr>
          <w:rFonts w:ascii="仿宋_GB2312" w:hAnsi="黑体" w:eastAsia="仿宋_GB2312"/>
          <w:sz w:val="32"/>
          <w:szCs w:val="32"/>
        </w:rPr>
        <w:t>认识不到</w:t>
      </w:r>
      <w:r>
        <w:rPr>
          <w:rFonts w:hint="eastAsia" w:ascii="仿宋_GB2312" w:hAnsi="黑体" w:eastAsia="仿宋_GB2312"/>
          <w:sz w:val="32"/>
          <w:szCs w:val="32"/>
        </w:rPr>
        <w:t>位</w:t>
      </w:r>
      <w:r>
        <w:rPr>
          <w:rFonts w:ascii="仿宋_GB2312" w:hAnsi="黑体" w:eastAsia="仿宋_GB2312"/>
          <w:sz w:val="32"/>
          <w:szCs w:val="32"/>
        </w:rPr>
        <w:t>、理解不充分，</w:t>
      </w:r>
      <w:r>
        <w:rPr>
          <w:rFonts w:hint="eastAsia" w:ascii="仿宋_GB2312" w:hAnsi="黑体" w:eastAsia="仿宋_GB2312"/>
          <w:sz w:val="32"/>
          <w:szCs w:val="32"/>
        </w:rPr>
        <w:t>对绩效</w:t>
      </w:r>
      <w:r>
        <w:rPr>
          <w:rFonts w:ascii="仿宋_GB2312" w:hAnsi="黑体" w:eastAsia="仿宋_GB2312"/>
          <w:sz w:val="32"/>
          <w:szCs w:val="32"/>
        </w:rPr>
        <w:t>培训</w:t>
      </w:r>
      <w:r>
        <w:rPr>
          <w:rFonts w:hint="eastAsia" w:ascii="仿宋_GB2312" w:hAnsi="黑体" w:eastAsia="仿宋_GB2312"/>
          <w:sz w:val="32"/>
          <w:szCs w:val="32"/>
        </w:rPr>
        <w:t>工作参与</w:t>
      </w:r>
      <w:r>
        <w:rPr>
          <w:rFonts w:ascii="仿宋_GB2312" w:hAnsi="黑体" w:eastAsia="仿宋_GB2312"/>
          <w:sz w:val="32"/>
          <w:szCs w:val="32"/>
        </w:rPr>
        <w:t>积极性不高</w:t>
      </w:r>
      <w:r>
        <w:rPr>
          <w:rFonts w:hint="eastAsia" w:ascii="仿宋_GB2312" w:hAnsi="黑体" w:eastAsia="仿宋_GB2312"/>
          <w:sz w:val="32"/>
          <w:szCs w:val="32"/>
        </w:rPr>
        <w:t>；</w:t>
      </w:r>
      <w:r>
        <w:rPr>
          <w:rFonts w:hint="eastAsia" w:ascii="仿宋_GB2312" w:hAnsi="黑体" w:eastAsia="仿宋_GB2312"/>
          <w:sz w:val="32"/>
        </w:rPr>
        <w:t>对绩效管理的工作重视不够，存在“重分配、轻管理；重支出、轻绩效”的思想，导致绩效评价工作整体质量不高等</w:t>
      </w:r>
      <w:r>
        <w:rPr>
          <w:rFonts w:ascii="仿宋_GB2312" w:hAnsi="黑体" w:eastAsia="仿宋_GB2312"/>
          <w:sz w:val="32"/>
        </w:rPr>
        <w:t>不足之处需要完善。</w:t>
      </w:r>
    </w:p>
    <w:p w14:paraId="45FD09AB">
      <w:pPr>
        <w:numPr>
          <w:ilvl w:val="0"/>
          <w:numId w:val="1"/>
        </w:num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下一步工作计划</w:t>
      </w:r>
    </w:p>
    <w:p w14:paraId="31F660CB">
      <w:pPr>
        <w:ind w:firstLine="482" w:firstLineChars="1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（一）加强评价建设，完善指标体系。</w:t>
      </w:r>
      <w:r>
        <w:rPr>
          <w:rFonts w:hint="eastAsia" w:ascii="仿宋_GB2312" w:hAnsi="黑体" w:eastAsia="仿宋_GB2312"/>
          <w:sz w:val="32"/>
          <w:szCs w:val="32"/>
        </w:rPr>
        <w:t>将</w:t>
      </w:r>
      <w:r>
        <w:rPr>
          <w:rFonts w:ascii="仿宋_GB2312" w:hAnsi="黑体" w:eastAsia="仿宋_GB2312"/>
          <w:sz w:val="32"/>
          <w:szCs w:val="32"/>
        </w:rPr>
        <w:t>符合当前预算绩效管理要求和行业管理特点的个性指标</w:t>
      </w:r>
      <w:r>
        <w:rPr>
          <w:rFonts w:hint="eastAsia" w:ascii="仿宋_GB2312" w:hAnsi="黑体" w:eastAsia="仿宋_GB2312"/>
          <w:sz w:val="32"/>
          <w:szCs w:val="32"/>
        </w:rPr>
        <w:t>汇编</w:t>
      </w:r>
      <w:r>
        <w:rPr>
          <w:rFonts w:ascii="仿宋_GB2312" w:hAnsi="黑体" w:eastAsia="仿宋_GB2312"/>
          <w:sz w:val="32"/>
          <w:szCs w:val="32"/>
        </w:rPr>
        <w:t>成</w:t>
      </w:r>
      <w:r>
        <w:rPr>
          <w:rFonts w:hint="eastAsia" w:ascii="仿宋_GB2312" w:hAnsi="黑体" w:eastAsia="仿宋_GB2312"/>
          <w:sz w:val="32"/>
          <w:szCs w:val="32"/>
        </w:rPr>
        <w:t>库</w:t>
      </w:r>
      <w:r>
        <w:rPr>
          <w:rFonts w:ascii="仿宋_GB2312" w:hAnsi="黑体" w:eastAsia="仿宋_GB2312"/>
          <w:sz w:val="32"/>
          <w:szCs w:val="32"/>
        </w:rPr>
        <w:t>，进一步</w:t>
      </w:r>
      <w:r>
        <w:rPr>
          <w:rFonts w:hint="eastAsia" w:ascii="仿宋_GB2312" w:hAnsi="黑体" w:eastAsia="仿宋_GB2312"/>
          <w:sz w:val="32"/>
          <w:szCs w:val="32"/>
        </w:rPr>
        <w:t>充实</w:t>
      </w:r>
      <w:r>
        <w:rPr>
          <w:rFonts w:ascii="仿宋_GB2312" w:hAnsi="黑体" w:eastAsia="仿宋_GB2312"/>
          <w:sz w:val="32"/>
          <w:szCs w:val="32"/>
        </w:rPr>
        <w:t>完善个性指标库，</w:t>
      </w:r>
      <w:r>
        <w:rPr>
          <w:rFonts w:hint="eastAsia" w:ascii="仿宋_GB2312" w:hAnsi="黑体" w:eastAsia="仿宋_GB2312"/>
          <w:sz w:val="32"/>
          <w:szCs w:val="32"/>
        </w:rPr>
        <w:t>同时</w:t>
      </w:r>
      <w:r>
        <w:rPr>
          <w:rFonts w:ascii="仿宋_GB2312" w:hAnsi="黑体" w:eastAsia="仿宋_GB2312"/>
          <w:sz w:val="32"/>
          <w:szCs w:val="32"/>
        </w:rPr>
        <w:t>建立指标数据库，将</w:t>
      </w:r>
      <w:r>
        <w:rPr>
          <w:rFonts w:hint="eastAsia" w:ascii="仿宋_GB2312" w:hAnsi="黑体" w:eastAsia="仿宋_GB2312"/>
          <w:sz w:val="32"/>
          <w:szCs w:val="32"/>
        </w:rPr>
        <w:t>各年度</w:t>
      </w:r>
      <w:r>
        <w:rPr>
          <w:rFonts w:ascii="仿宋_GB2312" w:hAnsi="黑体" w:eastAsia="仿宋_GB2312"/>
          <w:sz w:val="32"/>
          <w:szCs w:val="32"/>
        </w:rPr>
        <w:t>制定的指标及时纳入指标库，做到</w:t>
      </w:r>
      <w:r>
        <w:rPr>
          <w:rFonts w:hint="eastAsia" w:ascii="仿宋_GB2312" w:hAnsi="黑体" w:eastAsia="仿宋_GB2312"/>
          <w:sz w:val="32"/>
          <w:szCs w:val="32"/>
        </w:rPr>
        <w:t>随时</w:t>
      </w:r>
      <w:r>
        <w:rPr>
          <w:rFonts w:ascii="仿宋_GB2312" w:hAnsi="黑体" w:eastAsia="仿宋_GB2312"/>
          <w:sz w:val="32"/>
          <w:szCs w:val="32"/>
        </w:rPr>
        <w:t>更新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完善。</w:t>
      </w:r>
    </w:p>
    <w:p w14:paraId="05A94C14">
      <w:pPr>
        <w:pStyle w:val="4"/>
        <w:widowControl/>
        <w:spacing w:before="0" w:beforeAutospacing="0" w:after="0" w:afterAutospacing="0"/>
        <w:ind w:firstLine="420"/>
        <w:jc w:val="both"/>
        <w:rPr>
          <w:rFonts w:ascii="仿宋_GB2312" w:eastAsia="仿宋_GB2312"/>
          <w:kern w:val="2"/>
          <w:sz w:val="32"/>
        </w:rPr>
      </w:pPr>
      <w:r>
        <w:rPr>
          <w:rFonts w:hint="eastAsia" w:ascii="仿宋_GB2312" w:hAnsi="黑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（二）扩大评价方式，提高评价质量。</w:t>
      </w:r>
      <w:r>
        <w:rPr>
          <w:rFonts w:hint="eastAsia" w:ascii="仿宋_GB2312" w:eastAsia="仿宋_GB2312"/>
          <w:kern w:val="2"/>
          <w:sz w:val="32"/>
        </w:rPr>
        <w:t>规范引入第三方评价机制，明确准入门槛，细化标准和要求，确保第三方机构</w:t>
      </w:r>
      <w:r>
        <w:rPr>
          <w:rFonts w:ascii="仿宋_GB2312" w:eastAsia="仿宋_GB2312"/>
          <w:kern w:val="2"/>
          <w:sz w:val="32"/>
        </w:rPr>
        <w:t>注重</w:t>
      </w:r>
      <w:r>
        <w:rPr>
          <w:rFonts w:hint="eastAsia" w:ascii="仿宋_GB2312" w:eastAsia="仿宋_GB2312"/>
          <w:kern w:val="2"/>
          <w:sz w:val="32"/>
        </w:rPr>
        <w:t>项目</w:t>
      </w:r>
      <w:r>
        <w:rPr>
          <w:rFonts w:ascii="仿宋_GB2312" w:eastAsia="仿宋_GB2312"/>
          <w:kern w:val="2"/>
          <w:sz w:val="32"/>
        </w:rPr>
        <w:t>实施效果</w:t>
      </w:r>
      <w:r>
        <w:rPr>
          <w:rFonts w:hint="eastAsia" w:ascii="仿宋_GB2312" w:eastAsia="仿宋_GB2312"/>
          <w:kern w:val="2"/>
          <w:sz w:val="32"/>
        </w:rPr>
        <w:t>，对项目进行客观、准确、科学的评价，以问题为导向，提出合理建议，提高预算绩效评价报告质量，为后续财政项目支出提供决策参考。</w:t>
      </w:r>
    </w:p>
    <w:p w14:paraId="055117B5">
      <w:pPr>
        <w:pStyle w:val="4"/>
        <w:widowControl/>
        <w:spacing w:before="0" w:beforeAutospacing="0" w:after="0" w:afterAutospacing="0"/>
        <w:ind w:firstLine="420"/>
        <w:jc w:val="both"/>
        <w:rPr>
          <w:rFonts w:ascii="仿宋_GB2312" w:eastAsia="仿宋_GB2312"/>
          <w:kern w:val="2"/>
          <w:sz w:val="32"/>
        </w:rPr>
      </w:pPr>
      <w:r>
        <w:rPr>
          <w:rFonts w:hint="eastAsia" w:ascii="仿宋_GB2312" w:hAnsi="黑体" w:eastAsia="仿宋_GB2312" w:cstheme="minorBidi"/>
          <w:b/>
          <w:kern w:val="2"/>
          <w:sz w:val="32"/>
        </w:rPr>
        <w:t>（</w:t>
      </w:r>
      <w:r>
        <w:rPr>
          <w:rFonts w:hint="eastAsia" w:ascii="仿宋_GB2312" w:hAnsi="黑体" w:eastAsia="仿宋_GB2312" w:cstheme="minorBidi"/>
          <w:b/>
          <w:kern w:val="2"/>
          <w:sz w:val="32"/>
          <w:lang w:val="en-US" w:eastAsia="zh-CN"/>
        </w:rPr>
        <w:t>三</w:t>
      </w:r>
      <w:r>
        <w:rPr>
          <w:rFonts w:hint="eastAsia" w:ascii="仿宋_GB2312" w:hAnsi="黑体" w:eastAsia="仿宋_GB2312" w:cstheme="minorBidi"/>
          <w:b/>
          <w:kern w:val="2"/>
          <w:sz w:val="32"/>
        </w:rPr>
        <w:t>）</w:t>
      </w:r>
      <w:r>
        <w:rPr>
          <w:rFonts w:ascii="仿宋_GB2312" w:hAnsi="黑体" w:eastAsia="仿宋_GB2312" w:cstheme="minorBidi"/>
          <w:b/>
          <w:kern w:val="2"/>
          <w:sz w:val="32"/>
        </w:rPr>
        <w:t>加强宣传培训，提高思想认识。</w:t>
      </w:r>
      <w:r>
        <w:rPr>
          <w:rFonts w:hint="eastAsia" w:ascii="仿宋_GB2312" w:eastAsia="仿宋_GB2312"/>
          <w:kern w:val="2"/>
          <w:sz w:val="32"/>
        </w:rPr>
        <w:t>进一步加强对财政部门和中介机构与绩效评价的人员培训力度，提升专业能力，让预算绩效管理渗进各部门的各项资金中，树立绩效管理意识，完善</w:t>
      </w:r>
      <w:r>
        <w:rPr>
          <w:rFonts w:ascii="仿宋_GB2312" w:eastAsia="仿宋_GB2312"/>
          <w:kern w:val="2"/>
          <w:sz w:val="32"/>
        </w:rPr>
        <w:t>人才队伍和制度体系建设</w:t>
      </w:r>
      <w:r>
        <w:rPr>
          <w:rFonts w:hint="eastAsia" w:ascii="仿宋_GB2312" w:eastAsia="仿宋_GB2312"/>
          <w:kern w:val="2"/>
          <w:sz w:val="32"/>
        </w:rPr>
        <w:t>，推动各相关主体广泛参与绩效管理共同治理。</w:t>
      </w:r>
    </w:p>
    <w:p w14:paraId="0CEDA7DB">
      <w:pPr>
        <w:pStyle w:val="4"/>
        <w:widowControl/>
        <w:spacing w:before="0" w:beforeAutospacing="0" w:after="0" w:afterAutospacing="0"/>
        <w:ind w:firstLine="420"/>
        <w:jc w:val="both"/>
        <w:rPr>
          <w:rFonts w:hint="default" w:ascii="仿宋_GB2312" w:eastAsia="仿宋_GB2312"/>
          <w:kern w:val="2"/>
          <w:sz w:val="32"/>
          <w:lang w:val="en-US" w:eastAsia="zh-CN"/>
        </w:rPr>
      </w:pPr>
      <w:r>
        <w:rPr>
          <w:rFonts w:hint="eastAsia" w:ascii="仿宋_GB2312" w:hAnsi="黑体" w:eastAsia="仿宋_GB2312" w:cstheme="minorBidi"/>
          <w:b/>
          <w:kern w:val="2"/>
          <w:sz w:val="32"/>
        </w:rPr>
        <w:t>（</w:t>
      </w:r>
      <w:r>
        <w:rPr>
          <w:rFonts w:hint="eastAsia" w:ascii="仿宋_GB2312" w:hAnsi="黑体" w:eastAsia="仿宋_GB2312" w:cstheme="minorBidi"/>
          <w:b/>
          <w:kern w:val="2"/>
          <w:sz w:val="32"/>
          <w:lang w:val="en-US" w:eastAsia="zh-CN"/>
        </w:rPr>
        <w:t>四</w:t>
      </w:r>
      <w:r>
        <w:rPr>
          <w:rFonts w:hint="eastAsia" w:ascii="仿宋_GB2312" w:hAnsi="黑体" w:eastAsia="仿宋_GB2312" w:cstheme="minorBidi"/>
          <w:b/>
          <w:kern w:val="2"/>
          <w:sz w:val="32"/>
        </w:rPr>
        <w:t>）健全考核机制，强化结果应用。</w:t>
      </w:r>
      <w:r>
        <w:rPr>
          <w:rFonts w:hint="eastAsia" w:ascii="仿宋_GB2312" w:eastAsia="仿宋_GB2312"/>
          <w:kern w:val="2"/>
          <w:sz w:val="32"/>
        </w:rPr>
        <w:t>完善推进预算绩效管理的领导职责和问责机制，对考核名次靠后、工作推进不力的部门责令限期整改，将评价结果作为安排以后年度预算的重要依据，切实发挥绩效评价工作重要作用。继续推进绩效评价信息公开，逐步推行全县各预算单位绩效目标、绩效报告、评价结果等信息在政府门户网站公开发布，主动接受社会监督。</w:t>
      </w:r>
    </w:p>
    <w:p w14:paraId="5623270B">
      <w:pPr>
        <w:pStyle w:val="4"/>
        <w:widowControl/>
        <w:spacing w:before="0" w:beforeAutospacing="0" w:after="0" w:afterAutospacing="0"/>
        <w:ind w:firstLine="420"/>
        <w:jc w:val="both"/>
        <w:rPr>
          <w:rFonts w:hint="eastAsia" w:ascii="仿宋_GB2312" w:eastAsia="仿宋_GB2312"/>
          <w:kern w:val="2"/>
          <w:sz w:val="32"/>
        </w:rPr>
      </w:pPr>
    </w:p>
    <w:p w14:paraId="2CB11EE7">
      <w:pPr>
        <w:pStyle w:val="4"/>
        <w:widowControl/>
        <w:spacing w:before="0" w:beforeAutospacing="0" w:after="0" w:afterAutospacing="0"/>
        <w:ind w:firstLine="420"/>
        <w:jc w:val="both"/>
        <w:rPr>
          <w:rFonts w:hint="default" w:ascii="仿宋_GB2312" w:eastAsia="仿宋_GB2312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lang w:val="en-US" w:eastAsia="zh-CN"/>
        </w:rPr>
        <w:t xml:space="preserve">                 </w:t>
      </w:r>
    </w:p>
    <w:p w14:paraId="6EB02F47"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D354"/>
    <w:multiLevelType w:val="singleLevel"/>
    <w:tmpl w:val="2C6CD35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0ZGNkZWI2NmNiMmFjYjQwZjc1N2E4ZDU0ZTAwMDUifQ=="/>
  </w:docVars>
  <w:rsids>
    <w:rsidRoot w:val="00182543"/>
    <w:rsid w:val="000244BE"/>
    <w:rsid w:val="00072314"/>
    <w:rsid w:val="00093775"/>
    <w:rsid w:val="000C36A8"/>
    <w:rsid w:val="000D2612"/>
    <w:rsid w:val="00125250"/>
    <w:rsid w:val="00182543"/>
    <w:rsid w:val="001E0F45"/>
    <w:rsid w:val="001F6520"/>
    <w:rsid w:val="00202733"/>
    <w:rsid w:val="00203012"/>
    <w:rsid w:val="0025325F"/>
    <w:rsid w:val="00270778"/>
    <w:rsid w:val="002A695B"/>
    <w:rsid w:val="002D3A9C"/>
    <w:rsid w:val="003245FF"/>
    <w:rsid w:val="003A0914"/>
    <w:rsid w:val="003F0D05"/>
    <w:rsid w:val="003F3A7F"/>
    <w:rsid w:val="004176EC"/>
    <w:rsid w:val="00424DC9"/>
    <w:rsid w:val="004A5369"/>
    <w:rsid w:val="00514924"/>
    <w:rsid w:val="0052785B"/>
    <w:rsid w:val="005A4F3D"/>
    <w:rsid w:val="005E65CB"/>
    <w:rsid w:val="005F5558"/>
    <w:rsid w:val="00611D68"/>
    <w:rsid w:val="00622138"/>
    <w:rsid w:val="00671A51"/>
    <w:rsid w:val="006D3E12"/>
    <w:rsid w:val="00705768"/>
    <w:rsid w:val="007726E7"/>
    <w:rsid w:val="007923AB"/>
    <w:rsid w:val="007C2C49"/>
    <w:rsid w:val="00854F66"/>
    <w:rsid w:val="0086502F"/>
    <w:rsid w:val="00921139"/>
    <w:rsid w:val="0092194D"/>
    <w:rsid w:val="00947751"/>
    <w:rsid w:val="00954C07"/>
    <w:rsid w:val="009D2D9E"/>
    <w:rsid w:val="00AB4AFA"/>
    <w:rsid w:val="00AD2787"/>
    <w:rsid w:val="00AF178C"/>
    <w:rsid w:val="00B07F89"/>
    <w:rsid w:val="00BA2047"/>
    <w:rsid w:val="00BB62A5"/>
    <w:rsid w:val="00C0277F"/>
    <w:rsid w:val="00C24E23"/>
    <w:rsid w:val="00C605CB"/>
    <w:rsid w:val="00C7645D"/>
    <w:rsid w:val="00C84748"/>
    <w:rsid w:val="00D14DC9"/>
    <w:rsid w:val="00D47FCB"/>
    <w:rsid w:val="00D63736"/>
    <w:rsid w:val="00D73956"/>
    <w:rsid w:val="00D77817"/>
    <w:rsid w:val="00D968A0"/>
    <w:rsid w:val="00E723D6"/>
    <w:rsid w:val="00E75AE4"/>
    <w:rsid w:val="00E87ACC"/>
    <w:rsid w:val="00EB2582"/>
    <w:rsid w:val="00ED6E96"/>
    <w:rsid w:val="00EE4A0B"/>
    <w:rsid w:val="00F8386A"/>
    <w:rsid w:val="00F85882"/>
    <w:rsid w:val="00FE59C8"/>
    <w:rsid w:val="044E75F2"/>
    <w:rsid w:val="04BC2414"/>
    <w:rsid w:val="07723089"/>
    <w:rsid w:val="0AFB5144"/>
    <w:rsid w:val="0C5C7E64"/>
    <w:rsid w:val="0CFA1B57"/>
    <w:rsid w:val="0F931DEF"/>
    <w:rsid w:val="0FEB5787"/>
    <w:rsid w:val="11001706"/>
    <w:rsid w:val="131274CE"/>
    <w:rsid w:val="1A141BF8"/>
    <w:rsid w:val="1A8D7D4A"/>
    <w:rsid w:val="1AD11A1D"/>
    <w:rsid w:val="1D4961E3"/>
    <w:rsid w:val="1DB573D4"/>
    <w:rsid w:val="1E0A7720"/>
    <w:rsid w:val="1E8C282B"/>
    <w:rsid w:val="1FA85442"/>
    <w:rsid w:val="200E6084"/>
    <w:rsid w:val="20DD736E"/>
    <w:rsid w:val="2215476F"/>
    <w:rsid w:val="24AD52A9"/>
    <w:rsid w:val="24BB5C18"/>
    <w:rsid w:val="24EF73F2"/>
    <w:rsid w:val="264B4D7A"/>
    <w:rsid w:val="270E6E7A"/>
    <w:rsid w:val="296879F1"/>
    <w:rsid w:val="2A3A313B"/>
    <w:rsid w:val="2AAB5DE7"/>
    <w:rsid w:val="2C8965FC"/>
    <w:rsid w:val="2D241E80"/>
    <w:rsid w:val="2D46629B"/>
    <w:rsid w:val="2DC84F02"/>
    <w:rsid w:val="2E1C2976"/>
    <w:rsid w:val="2F88694A"/>
    <w:rsid w:val="2FF30F70"/>
    <w:rsid w:val="326C0551"/>
    <w:rsid w:val="33D559F4"/>
    <w:rsid w:val="342F7A89"/>
    <w:rsid w:val="34D9745B"/>
    <w:rsid w:val="36F712A1"/>
    <w:rsid w:val="37D33653"/>
    <w:rsid w:val="38E01351"/>
    <w:rsid w:val="393873DF"/>
    <w:rsid w:val="39B527DE"/>
    <w:rsid w:val="3C7324DC"/>
    <w:rsid w:val="3C885C65"/>
    <w:rsid w:val="3D484274"/>
    <w:rsid w:val="3DA74B34"/>
    <w:rsid w:val="3FD616BA"/>
    <w:rsid w:val="430F26B6"/>
    <w:rsid w:val="437061C3"/>
    <w:rsid w:val="43E95303"/>
    <w:rsid w:val="45D24718"/>
    <w:rsid w:val="465A6BE7"/>
    <w:rsid w:val="46CB26F8"/>
    <w:rsid w:val="484C6A03"/>
    <w:rsid w:val="4AE67BF1"/>
    <w:rsid w:val="4B9E7576"/>
    <w:rsid w:val="4F204746"/>
    <w:rsid w:val="505663CA"/>
    <w:rsid w:val="536410A5"/>
    <w:rsid w:val="54253AC7"/>
    <w:rsid w:val="555230F3"/>
    <w:rsid w:val="56E85B49"/>
    <w:rsid w:val="56EF259C"/>
    <w:rsid w:val="58BF6D7E"/>
    <w:rsid w:val="5BE56499"/>
    <w:rsid w:val="5C1B19CF"/>
    <w:rsid w:val="5D8D2FA6"/>
    <w:rsid w:val="5E8A5738"/>
    <w:rsid w:val="5F182D44"/>
    <w:rsid w:val="60567FC7"/>
    <w:rsid w:val="614E2ECE"/>
    <w:rsid w:val="6187642E"/>
    <w:rsid w:val="62157A0E"/>
    <w:rsid w:val="624F1172"/>
    <w:rsid w:val="6421269A"/>
    <w:rsid w:val="649C3A32"/>
    <w:rsid w:val="66E53E53"/>
    <w:rsid w:val="671D6702"/>
    <w:rsid w:val="67551515"/>
    <w:rsid w:val="67C41D65"/>
    <w:rsid w:val="68E76CD9"/>
    <w:rsid w:val="69362744"/>
    <w:rsid w:val="6A3D7B02"/>
    <w:rsid w:val="6B856EA0"/>
    <w:rsid w:val="6C0F6EE9"/>
    <w:rsid w:val="6FDB2297"/>
    <w:rsid w:val="70057314"/>
    <w:rsid w:val="703F159F"/>
    <w:rsid w:val="73A65A41"/>
    <w:rsid w:val="754D7DFF"/>
    <w:rsid w:val="75612E5E"/>
    <w:rsid w:val="766F54E7"/>
    <w:rsid w:val="7A191365"/>
    <w:rsid w:val="7D2C5EE0"/>
    <w:rsid w:val="7D4F1BCF"/>
    <w:rsid w:val="7F7B4EFD"/>
    <w:rsid w:val="7FE900B8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1418</Words>
  <Characters>1452</Characters>
  <Lines>7</Lines>
  <Paragraphs>2</Paragraphs>
  <TotalTime>0</TotalTime>
  <ScaleCrop>false</ScaleCrop>
  <LinksUpToDate>false</LinksUpToDate>
  <CharactersWithSpaces>1474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2022-09-14T02:20:00Z</dcterms:created>
  <dc:creator>AutoBVT</dc:creator>
  <cp:lastModifiedBy>DELL</cp:lastModifiedBy>
  <dcterms:modified xsi:type="dcterms:W3CDTF">2025-07-23T02:44:02Z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7344479FD47B4408819D23222BA92D58_13</vt:lpwstr>
  </property>
  <property fmtid="{D5CDD505-2E9C-101B-9397-08002B2CF9AE}" pid="4" name="KSOTemplateDocerSaveRecord">
    <vt:lpwstr>eyJoZGlkIjoiNThjOTk0ZjAyNjg1YTljMGY4NzkxY2Y3NmIxMTc2Y2UifQ==</vt:lpwstr>
  </property>
</Properties>
</file>