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rPr>
        <w:t>关于《濉溪县城市基础设施配套费征收管理办法》的</w:t>
      </w:r>
      <w:r>
        <w:rPr>
          <w:rFonts w:hint="eastAsia" w:ascii="宋体" w:hAnsi="宋体" w:eastAsia="宋体" w:cs="宋体"/>
          <w:b/>
          <w:bCs/>
          <w:sz w:val="44"/>
          <w:szCs w:val="44"/>
          <w:lang w:eastAsia="zh-CN"/>
        </w:rPr>
        <w:t>起草说明</w:t>
      </w:r>
    </w:p>
    <w:p>
      <w:pPr>
        <w:jc w:val="center"/>
        <w:rPr>
          <w:rFonts w:hint="eastAsia" w:ascii="宋体" w:hAnsi="宋体" w:eastAsia="宋体" w:cs="宋体"/>
          <w:b/>
          <w:bCs/>
          <w:sz w:val="44"/>
          <w:szCs w:val="44"/>
          <w:lang w:eastAsia="zh-CN"/>
        </w:rPr>
      </w:pP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政策依据</w:t>
      </w:r>
    </w:p>
    <w:p>
      <w:pPr>
        <w:widowControl w:val="0"/>
        <w:adjustRightInd/>
        <w:snapToGrid/>
        <w:spacing w:after="0" w:line="540" w:lineRule="exact"/>
        <w:ind w:firstLine="640" w:firstLineChars="200"/>
        <w:rPr>
          <w:rFonts w:hint="eastAsia" w:ascii="仿宋_GB2312" w:hAnsi="仿宋_GB2312" w:eastAsia="仿宋_GB2312" w:cs="仿宋_GB2312"/>
          <w:sz w:val="32"/>
          <w:szCs w:val="32"/>
          <w:lang w:eastAsia="zh-CN"/>
        </w:rPr>
      </w:pPr>
      <w:r>
        <w:rPr>
          <w:rFonts w:hint="eastAsia" w:ascii="Times New Roman" w:hAnsi="Times New Roman" w:eastAsia="仿宋_GB2312" w:cs="Times New Roman"/>
          <w:kern w:val="2"/>
          <w:sz w:val="32"/>
        </w:rPr>
        <w:t>根据《安徽省物价局等三部门关于进一步完善城市基础设施配套费征收使用管理的通知》（皖价费〔</w:t>
      </w:r>
      <w:r>
        <w:rPr>
          <w:rFonts w:ascii="Times New Roman" w:hAnsi="Times New Roman" w:eastAsia="仿宋_GB2312" w:cs="Times New Roman"/>
          <w:kern w:val="2"/>
          <w:sz w:val="32"/>
        </w:rPr>
        <w:t>2008</w:t>
      </w:r>
      <w:r>
        <w:rPr>
          <w:rFonts w:hint="eastAsia" w:ascii="Times New Roman" w:hAnsi="Times New Roman" w:eastAsia="仿宋_GB2312" w:cs="Times New Roman"/>
          <w:kern w:val="2"/>
          <w:sz w:val="32"/>
        </w:rPr>
        <w:t>〕</w:t>
      </w:r>
      <w:r>
        <w:rPr>
          <w:rFonts w:ascii="Times New Roman" w:hAnsi="Times New Roman" w:eastAsia="仿宋_GB2312" w:cs="Times New Roman"/>
          <w:kern w:val="2"/>
          <w:sz w:val="32"/>
        </w:rPr>
        <w:t>112</w:t>
      </w:r>
      <w:r>
        <w:rPr>
          <w:rFonts w:hint="eastAsia" w:ascii="Times New Roman" w:hAnsi="Times New Roman" w:eastAsia="仿宋_GB2312" w:cs="Times New Roman"/>
          <w:kern w:val="2"/>
          <w:sz w:val="32"/>
        </w:rPr>
        <w:t>号）</w:t>
      </w:r>
      <w:r>
        <w:rPr>
          <w:rFonts w:hint="eastAsia" w:ascii="Times New Roman" w:hAnsi="Times New Roman" w:cs="Times New Roman"/>
          <w:kern w:val="2"/>
          <w:sz w:val="32"/>
          <w:lang w:eastAsia="zh-CN"/>
        </w:rPr>
        <w:t>及</w:t>
      </w:r>
      <w:r>
        <w:rPr>
          <w:rFonts w:hint="eastAsia" w:ascii="仿宋_GB2312" w:hAnsi="仿宋_GB2312" w:eastAsia="仿宋_GB2312" w:cs="仿宋_GB2312"/>
          <w:sz w:val="32"/>
          <w:szCs w:val="32"/>
        </w:rPr>
        <w:t>《创优营商环境对标提升举措（</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版）》</w:t>
      </w:r>
      <w:r>
        <w:rPr>
          <w:rFonts w:hint="eastAsia" w:ascii="Times New Roman" w:hAnsi="Times New Roman" w:cs="Times New Roman"/>
          <w:kern w:val="2"/>
          <w:sz w:val="32"/>
          <w:lang w:eastAsia="zh-CN"/>
        </w:rPr>
        <w:t>文件</w:t>
      </w:r>
      <w:r>
        <w:rPr>
          <w:rFonts w:hint="eastAsia" w:ascii="Times New Roman" w:hAnsi="Times New Roman" w:eastAsia="仿宋_GB2312" w:cs="Times New Roman"/>
          <w:kern w:val="2"/>
          <w:sz w:val="32"/>
        </w:rPr>
        <w:t>精神</w:t>
      </w:r>
      <w:r>
        <w:rPr>
          <w:rFonts w:hint="eastAsia" w:ascii="Times New Roman" w:hAnsi="Times New Roman" w:eastAsia="仿宋_GB2312"/>
          <w:sz w:val="32"/>
          <w:szCs w:val="24"/>
        </w:rPr>
        <w:t>，</w:t>
      </w:r>
      <w:r>
        <w:rPr>
          <w:rFonts w:hint="eastAsia" w:ascii="Times New Roman" w:hAnsi="Times New Roman"/>
          <w:sz w:val="32"/>
          <w:szCs w:val="24"/>
          <w:lang w:eastAsia="zh-CN"/>
        </w:rPr>
        <w:t>制定</w:t>
      </w:r>
      <w:r>
        <w:rPr>
          <w:rFonts w:hint="eastAsia" w:ascii="Times New Roman" w:hAnsi="Times New Roman" w:eastAsia="仿宋_GB2312"/>
          <w:sz w:val="32"/>
          <w:szCs w:val="24"/>
        </w:rPr>
        <w:t>《濉溪县城市基础设施配套费征收管理办法》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淮政办〔</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bookmarkStart w:id="0" w:name="zhengwen"/>
      <w:bookmarkEnd w:id="0"/>
      <w:bookmarkStart w:id="1" w:name="hongtouend"/>
      <w:bookmarkEnd w:id="1"/>
      <w:r>
        <w:rPr>
          <w:rFonts w:hint="eastAsia" w:ascii="仿宋_GB2312" w:hAnsi="仿宋_GB2312" w:eastAsia="仿宋_GB2312" w:cs="仿宋_GB2312"/>
          <w:sz w:val="32"/>
          <w:szCs w:val="32"/>
          <w:lang w:eastAsia="zh-CN"/>
        </w:rPr>
        <w:t>（以下简称办法）。</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主要内容</w:t>
      </w:r>
    </w:p>
    <w:p>
      <w:pPr>
        <w:widowControl w:val="0"/>
        <w:adjustRightInd/>
        <w:snapToGrid/>
        <w:spacing w:after="0" w:line="540" w:lineRule="exact"/>
        <w:ind w:firstLine="640" w:firstLineChars="200"/>
        <w:rPr>
          <w:rFonts w:hint="eastAsia" w:ascii="Times New Roman" w:hAnsi="Times New Roman" w:eastAsia="仿宋_GB2312" w:cs="Times New Roman"/>
          <w:kern w:val="2"/>
          <w:sz w:val="32"/>
          <w:lang w:eastAsia="zh-CN"/>
        </w:rPr>
      </w:pPr>
      <w:r>
        <w:rPr>
          <w:rFonts w:hint="eastAsia" w:ascii="Times New Roman" w:hAnsi="Times New Roman" w:eastAsia="仿宋_GB2312" w:cs="Times New Roman"/>
          <w:kern w:val="2"/>
          <w:sz w:val="32"/>
          <w:lang w:eastAsia="zh-CN"/>
        </w:rPr>
        <w:t>本《办法》共分为6个章节15条内容，包括总则、征收区域和标准、减免范围和程序、资金使用、监督检查、附则。</w:t>
      </w:r>
    </w:p>
    <w:p>
      <w:pPr>
        <w:widowControl w:val="0"/>
        <w:adjustRightInd/>
        <w:snapToGrid/>
        <w:spacing w:after="0" w:line="540" w:lineRule="exact"/>
        <w:ind w:firstLine="640" w:firstLineChars="200"/>
        <w:rPr>
          <w:rFonts w:hint="eastAsia" w:ascii="Times New Roman" w:hAnsi="Times New Roman" w:eastAsia="仿宋_GB2312" w:cs="Times New Roman"/>
          <w:kern w:val="2"/>
          <w:sz w:val="32"/>
          <w:lang w:eastAsia="zh-CN"/>
        </w:rPr>
      </w:pPr>
      <w:r>
        <w:rPr>
          <w:rFonts w:hint="eastAsia" w:ascii="Times New Roman" w:hAnsi="Times New Roman" w:eastAsia="仿宋_GB2312" w:cs="Times New Roman"/>
          <w:kern w:val="2"/>
          <w:sz w:val="32"/>
          <w:lang w:eastAsia="zh-CN"/>
        </w:rPr>
        <w:t>总则部分，主要阐述本办法制定依据，城市基础设施配套费是为筹集城市公用基础设施建设资金所收取的专项政府性基金，实行收支两条线，专款专用。</w:t>
      </w:r>
    </w:p>
    <w:p>
      <w:pPr>
        <w:widowControl w:val="0"/>
        <w:adjustRightInd/>
        <w:snapToGrid/>
        <w:spacing w:after="0" w:line="540" w:lineRule="exact"/>
        <w:ind w:firstLine="640" w:firstLineChars="200"/>
        <w:rPr>
          <w:rFonts w:hint="eastAsia" w:ascii="Times New Roman" w:hAnsi="Times New Roman" w:eastAsia="仿宋_GB2312" w:cs="Times New Roman"/>
          <w:kern w:val="2"/>
          <w:sz w:val="32"/>
          <w:lang w:eastAsia="zh-CN"/>
        </w:rPr>
      </w:pPr>
      <w:r>
        <w:rPr>
          <w:rFonts w:hint="eastAsia" w:ascii="Times New Roman" w:hAnsi="Times New Roman" w:eastAsia="仿宋_GB2312" w:cs="Times New Roman"/>
          <w:kern w:val="2"/>
          <w:sz w:val="32"/>
          <w:lang w:eastAsia="zh-CN"/>
        </w:rPr>
        <w:t>明确征收区域，</w:t>
      </w:r>
      <w:r>
        <w:rPr>
          <w:rFonts w:hint="eastAsia" w:ascii="Times New Roman" w:hAnsi="Times New Roman" w:eastAsia="仿宋_GB2312" w:cs="Times New Roman"/>
          <w:kern w:val="2"/>
          <w:sz w:val="32"/>
        </w:rPr>
        <w:t>凡在城市规划区内新建、扩建、改建的各类工业、民用和公共房屋建筑工程项目，均应按规定缴纳城市基础设施配套费。  </w:t>
      </w:r>
    </w:p>
    <w:p>
      <w:pPr>
        <w:widowControl w:val="0"/>
        <w:adjustRightInd/>
        <w:snapToGrid/>
        <w:spacing w:after="0" w:line="540" w:lineRule="exact"/>
        <w:ind w:firstLine="640" w:firstLineChars="200"/>
        <w:rPr>
          <w:rFonts w:hint="eastAsia" w:ascii="Times New Roman" w:hAnsi="Times New Roman" w:eastAsia="仿宋_GB2312" w:cs="Times New Roman"/>
          <w:kern w:val="2"/>
          <w:sz w:val="32"/>
        </w:rPr>
      </w:pPr>
      <w:r>
        <w:rPr>
          <w:rFonts w:hint="eastAsia" w:ascii="Times New Roman" w:hAnsi="Times New Roman" w:eastAsia="仿宋_GB2312" w:cs="Times New Roman"/>
          <w:kern w:val="2"/>
          <w:sz w:val="32"/>
          <w:lang w:eastAsia="zh-CN"/>
        </w:rPr>
        <w:t>明确征收标准，</w:t>
      </w:r>
      <w:r>
        <w:rPr>
          <w:rFonts w:hint="eastAsia" w:ascii="Times New Roman" w:hAnsi="Times New Roman" w:eastAsia="仿宋_GB2312" w:cs="Times New Roman"/>
          <w:kern w:val="2"/>
          <w:sz w:val="32"/>
        </w:rPr>
        <w:t>在建成区内，2万平方米以上的（含本数，下同），住宅每平方米40元，非住宅每平方米50元；低于2万平方米的，住宅每平方米60元，非住宅每平方米75元；工业厂房、仓储用房每平方米32元。</w:t>
      </w:r>
    </w:p>
    <w:p>
      <w:pPr>
        <w:widowControl w:val="0"/>
        <w:adjustRightInd/>
        <w:snapToGrid/>
        <w:spacing w:after="0" w:line="540" w:lineRule="exact"/>
        <w:ind w:firstLine="640" w:firstLineChars="200"/>
        <w:rPr>
          <w:rFonts w:hint="eastAsia" w:ascii="Times New Roman" w:hAnsi="Times New Roman" w:cs="Times New Roman"/>
          <w:kern w:val="2"/>
          <w:sz w:val="32"/>
          <w:lang w:eastAsia="zh-CN"/>
        </w:rPr>
      </w:pPr>
      <w:r>
        <w:rPr>
          <w:rFonts w:hint="eastAsia" w:ascii="Times New Roman" w:hAnsi="Times New Roman" w:cs="Times New Roman"/>
          <w:kern w:val="2"/>
          <w:sz w:val="32"/>
          <w:lang w:eastAsia="zh-CN"/>
        </w:rPr>
        <w:t>明确减免范围和程序，按法规和中央、国务院、财政部和省、市、县政府有关规定应当免征、减征的建设项目。</w:t>
      </w:r>
    </w:p>
    <w:p>
      <w:pPr>
        <w:widowControl w:val="0"/>
        <w:adjustRightInd/>
        <w:snapToGrid/>
        <w:spacing w:after="0" w:line="540" w:lineRule="exact"/>
        <w:ind w:firstLine="640" w:firstLineChars="200"/>
        <w:rPr>
          <w:rFonts w:hint="eastAsia" w:ascii="Times New Roman" w:hAnsi="Times New Roman" w:eastAsia="仿宋_GB2312" w:cs="Times New Roman"/>
          <w:kern w:val="2"/>
          <w:sz w:val="32"/>
          <w:lang w:eastAsia="zh-CN"/>
        </w:rPr>
      </w:pPr>
      <w:r>
        <w:rPr>
          <w:rFonts w:hint="eastAsia" w:ascii="Times New Roman" w:hAnsi="Times New Roman" w:cs="Times New Roman"/>
          <w:kern w:val="2"/>
          <w:sz w:val="32"/>
          <w:lang w:eastAsia="zh-CN"/>
        </w:rPr>
        <w:t>明确资金使用，</w:t>
      </w:r>
      <w:r>
        <w:rPr>
          <w:rFonts w:hint="eastAsia" w:ascii="Times New Roman" w:hAnsi="Times New Roman" w:eastAsia="仿宋_GB2312"/>
          <w:kern w:val="2"/>
          <w:sz w:val="32"/>
          <w:szCs w:val="24"/>
        </w:rPr>
        <w:t>县住房城乡建设局编制城市基础设施配套费年度预算，按批复预算执行。</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对文件的意见协调情况</w:t>
      </w:r>
    </w:p>
    <w:p>
      <w:pPr>
        <w:widowControl w:val="0"/>
        <w:numPr>
          <w:numId w:val="0"/>
        </w:numPr>
        <w:adjustRightInd/>
        <w:snapToGrid/>
        <w:spacing w:after="0" w:line="540" w:lineRule="exact"/>
        <w:ind w:leftChars="0"/>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 xml:space="preserve">    （一）</w:t>
      </w:r>
      <w:r>
        <w:rPr>
          <w:rFonts w:hint="eastAsia" w:ascii="仿宋_GB2312" w:hAnsi="仿宋_GB2312" w:eastAsia="仿宋_GB2312" w:cs="仿宋_GB2312"/>
          <w:sz w:val="32"/>
          <w:szCs w:val="32"/>
        </w:rPr>
        <w:t>征求意见</w:t>
      </w:r>
      <w:r>
        <w:rPr>
          <w:rFonts w:hint="eastAsia" w:ascii="仿宋_GB2312" w:hAnsi="仿宋_GB2312" w:cs="仿宋_GB2312"/>
          <w:sz w:val="32"/>
          <w:szCs w:val="32"/>
          <w:lang w:eastAsia="zh-CN"/>
        </w:rPr>
        <w:t>情况</w:t>
      </w:r>
    </w:p>
    <w:p>
      <w:pPr>
        <w:widowControl w:val="0"/>
        <w:adjustRightInd/>
        <w:snapToGrid/>
        <w:spacing w:after="0" w:line="540" w:lineRule="exact"/>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本办法</w:t>
      </w:r>
      <w:r>
        <w:rPr>
          <w:rFonts w:hint="eastAsia" w:ascii="仿宋_GB2312" w:hAnsi="仿宋_GB2312" w:eastAsia="仿宋_GB2312" w:cs="仿宋_GB2312"/>
          <w:sz w:val="32"/>
          <w:szCs w:val="32"/>
        </w:rPr>
        <w:t>征求</w:t>
      </w:r>
      <w:r>
        <w:rPr>
          <w:rFonts w:hint="eastAsia" w:ascii="仿宋_GB2312" w:hAnsi="仿宋_GB2312" w:cs="仿宋_GB2312"/>
          <w:sz w:val="32"/>
          <w:szCs w:val="32"/>
          <w:lang w:eastAsia="zh-CN"/>
        </w:rPr>
        <w:t>了</w:t>
      </w:r>
      <w:r>
        <w:rPr>
          <w:rFonts w:hint="eastAsia" w:ascii="仿宋_GB2312" w:hAnsi="仿宋_GB2312" w:eastAsia="仿宋_GB2312" w:cs="仿宋_GB2312"/>
          <w:sz w:val="32"/>
          <w:szCs w:val="32"/>
        </w:rPr>
        <w:t>县发改委、县审计局、县财政局意见，</w:t>
      </w:r>
      <w:r>
        <w:rPr>
          <w:rFonts w:hint="eastAsia" w:ascii="仿宋_GB2312" w:hAnsi="仿宋_GB2312" w:cs="仿宋_GB2312"/>
          <w:sz w:val="32"/>
          <w:szCs w:val="32"/>
          <w:lang w:eastAsia="zh-CN"/>
        </w:rPr>
        <w:t>均</w:t>
      </w:r>
      <w:r>
        <w:rPr>
          <w:rFonts w:hint="eastAsia" w:ascii="仿宋_GB2312" w:hAnsi="仿宋_GB2312" w:eastAsia="仿宋_GB2312" w:cs="仿宋_GB2312"/>
          <w:sz w:val="32"/>
          <w:szCs w:val="32"/>
        </w:rPr>
        <w:t>无意见。</w:t>
      </w:r>
    </w:p>
    <w:p>
      <w:pPr>
        <w:widowControl w:val="0"/>
        <w:numPr>
          <w:numId w:val="0"/>
        </w:numPr>
        <w:adjustRightInd/>
        <w:snapToGrid/>
        <w:spacing w:after="0" w:line="540" w:lineRule="exact"/>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（二）</w:t>
      </w:r>
      <w:r>
        <w:rPr>
          <w:rFonts w:hint="eastAsia" w:ascii="仿宋_GB2312" w:hAnsi="仿宋_GB2312" w:eastAsia="仿宋_GB2312" w:cs="仿宋_GB2312"/>
          <w:sz w:val="32"/>
          <w:szCs w:val="32"/>
        </w:rPr>
        <w:t>合法性审查情况</w:t>
      </w:r>
    </w:p>
    <w:p>
      <w:pPr>
        <w:widowControl w:val="0"/>
        <w:numPr>
          <w:numId w:val="0"/>
        </w:numPr>
        <w:adjustRightInd/>
        <w:snapToGrid/>
        <w:spacing w:after="0" w:line="540" w:lineRule="exact"/>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本办法已通过县司法局合法性审查。</w:t>
      </w:r>
    </w:p>
    <w:p>
      <w:pPr>
        <w:widowControl w:val="0"/>
        <w:numPr>
          <w:numId w:val="0"/>
        </w:numPr>
        <w:adjustRightInd/>
        <w:snapToGrid/>
        <w:spacing w:after="0"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（三）</w:t>
      </w:r>
      <w:r>
        <w:rPr>
          <w:rFonts w:hint="eastAsia" w:ascii="仿宋_GB2312" w:hAnsi="仿宋_GB2312" w:cs="仿宋_GB2312"/>
          <w:sz w:val="32"/>
          <w:szCs w:val="32"/>
          <w:lang w:eastAsia="zh-CN"/>
        </w:rPr>
        <w:t>公平竞争审查情况</w:t>
      </w:r>
    </w:p>
    <w:p>
      <w:pPr>
        <w:widowControl w:val="0"/>
        <w:numPr>
          <w:numId w:val="0"/>
        </w:numPr>
        <w:adjustRightInd/>
        <w:snapToGrid/>
        <w:spacing w:after="0"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本办法已通过县市场局公平竞争审查。</w:t>
      </w:r>
      <w:bookmarkStart w:id="2" w:name="_GoBack"/>
      <w:bookmarkEnd w:id="2"/>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其他需要说明的问题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eastAsia="仿宋_GB2312"/>
          <w:b w:val="0"/>
          <w:bCs w:val="0"/>
          <w:lang w:val="en-US" w:eastAsia="zh-CN"/>
        </w:rPr>
      </w:pPr>
      <w:r>
        <w:rPr>
          <w:rFonts w:hint="eastAsia"/>
          <w:b w:val="0"/>
          <w:bCs w:val="0"/>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D92C5"/>
    <w:multiLevelType w:val="singleLevel"/>
    <w:tmpl w:val="21AD92C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2ZGFkZDE2NGVlM2I3NzkxMjg2MDFiNTM5YWVjNGIifQ=="/>
  </w:docVars>
  <w:rsids>
    <w:rsidRoot w:val="49D4089A"/>
    <w:rsid w:val="0D213940"/>
    <w:rsid w:val="2FFA2056"/>
    <w:rsid w:val="41AD55C0"/>
    <w:rsid w:val="49D40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w w:val="100"/>
      <w:kern w:val="2"/>
      <w:sz w:val="32"/>
      <w:szCs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Words>
  <Characters>49</Characters>
  <Lines>0</Lines>
  <Paragraphs>0</Paragraphs>
  <TotalTime>3</TotalTime>
  <ScaleCrop>false</ScaleCrop>
  <LinksUpToDate>false</LinksUpToDate>
  <CharactersWithSpaces>49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2022-07-14T07:36:00Z</dcterms:created>
  <dc:creator>唐小雪</dc:creator>
  <cp:lastModifiedBy>唐小雪</cp:lastModifiedBy>
  <dcterms:modified xsi:type="dcterms:W3CDTF">2022-07-14T09:10:21Z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DAF41FA407BC4DBFA37D5A87646EAB3A</vt:lpwstr>
  </property>
</Properties>
</file>