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92D8">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濉溪县国库支付中心2023年度一般公共预算财政</w:t>
      </w:r>
    </w:p>
    <w:p w14:paraId="52E2A70F">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拨款“三公”经费支出决算情况说明</w:t>
      </w:r>
    </w:p>
    <w:p w14:paraId="1D657A75">
      <w:pPr>
        <w:jc w:val="center"/>
        <w:rPr>
          <w:rFonts w:ascii="楷体_GB2312" w:eastAsia="楷体_GB2312"/>
          <w:szCs w:val="32"/>
        </w:rPr>
      </w:pPr>
      <w:bookmarkStart w:id="0" w:name="_GoBack"/>
      <w:bookmarkEnd w:id="0"/>
    </w:p>
    <w:p w14:paraId="11D85A10">
      <w:pPr>
        <w:adjustRightInd w:val="0"/>
        <w:snapToGrid w:val="0"/>
        <w:spacing w:line="360" w:lineRule="auto"/>
        <w:jc w:val="center"/>
        <w:rPr>
          <w:rFonts w:ascii="宋体" w:hAnsi="宋体"/>
          <w:sz w:val="6"/>
          <w:szCs w:val="32"/>
        </w:rPr>
      </w:pPr>
    </w:p>
    <w:p w14:paraId="647C2670">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一、2023年度一般公共预算财政拨款“三公”经费支出决算表</w:t>
      </w:r>
    </w:p>
    <w:p w14:paraId="3127D237">
      <w:pPr>
        <w:ind w:firstLine="6594"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FB9B70C">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4603C9AE">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4415F34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5C12E0D">
            <w:pPr>
              <w:widowControl/>
              <w:jc w:val="center"/>
              <w:rPr>
                <w:rFonts w:ascii="宋体" w:hAnsi="宋体" w:cs="宋体"/>
                <w:b/>
                <w:bCs/>
                <w:kern w:val="0"/>
                <w:szCs w:val="21"/>
              </w:rPr>
            </w:pPr>
            <w:r>
              <w:rPr>
                <w:rFonts w:hint="eastAsia" w:ascii="宋体" w:hAnsi="宋体" w:cs="宋体"/>
                <w:b/>
                <w:bCs/>
                <w:kern w:val="0"/>
                <w:szCs w:val="21"/>
              </w:rPr>
              <w:t>决 算 数</w:t>
            </w:r>
          </w:p>
        </w:tc>
      </w:tr>
      <w:tr w14:paraId="7AC3A5B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68ACE05">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789AA3EE">
            <w:pPr>
              <w:widowControl/>
              <w:jc w:val="center"/>
              <w:rPr>
                <w:rFonts w:ascii="宋体" w:hAnsi="宋体" w:cs="宋体"/>
                <w:b/>
                <w:bCs/>
                <w:kern w:val="0"/>
                <w:szCs w:val="21"/>
              </w:rPr>
            </w:pPr>
            <w:r>
              <w:rPr>
                <w:rFonts w:hint="eastAsia" w:ascii="宋体" w:hAnsi="宋体" w:cs="宋体"/>
                <w:b/>
                <w:bCs/>
                <w:kern w:val="0"/>
                <w:szCs w:val="21"/>
              </w:rPr>
              <w:t>0.2</w:t>
            </w:r>
          </w:p>
        </w:tc>
        <w:tc>
          <w:tcPr>
            <w:tcW w:w="2220" w:type="dxa"/>
            <w:tcBorders>
              <w:top w:val="nil"/>
              <w:left w:val="nil"/>
              <w:bottom w:val="single" w:color="auto" w:sz="4" w:space="0"/>
              <w:right w:val="single" w:color="auto" w:sz="4" w:space="0"/>
            </w:tcBorders>
            <w:vAlign w:val="center"/>
          </w:tcPr>
          <w:p w14:paraId="4C31D053">
            <w:pPr>
              <w:widowControl/>
              <w:jc w:val="center"/>
              <w:rPr>
                <w:rFonts w:ascii="宋体" w:hAnsi="宋体" w:cs="宋体"/>
                <w:b/>
                <w:bCs/>
                <w:kern w:val="0"/>
                <w:szCs w:val="21"/>
              </w:rPr>
            </w:pPr>
            <w:r>
              <w:rPr>
                <w:rFonts w:hint="eastAsia" w:ascii="宋体" w:hAnsi="宋体" w:cs="宋体"/>
                <w:b/>
                <w:bCs/>
                <w:kern w:val="0"/>
                <w:szCs w:val="21"/>
              </w:rPr>
              <w:t>0</w:t>
            </w:r>
          </w:p>
        </w:tc>
      </w:tr>
      <w:tr w14:paraId="3721E70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105BD02">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52A5E16D">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2593AA6C">
            <w:pPr>
              <w:widowControl/>
              <w:jc w:val="center"/>
              <w:rPr>
                <w:rFonts w:hint="eastAsia" w:ascii="宋体" w:hAnsi="宋体" w:cs="宋体"/>
                <w:kern w:val="0"/>
                <w:szCs w:val="21"/>
              </w:rPr>
            </w:pPr>
            <w:r>
              <w:rPr>
                <w:rFonts w:hint="eastAsia" w:ascii="宋体" w:hAnsi="宋体" w:cs="宋体"/>
                <w:kern w:val="0"/>
                <w:szCs w:val="21"/>
              </w:rPr>
              <w:t>0</w:t>
            </w:r>
          </w:p>
        </w:tc>
      </w:tr>
      <w:tr w14:paraId="2399064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050BA37">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10D6CA34">
            <w:pPr>
              <w:widowControl/>
              <w:jc w:val="center"/>
              <w:rPr>
                <w:rFonts w:ascii="宋体" w:hAnsi="宋体" w:cs="宋体"/>
                <w:kern w:val="0"/>
                <w:szCs w:val="21"/>
              </w:rPr>
            </w:pPr>
            <w:r>
              <w:rPr>
                <w:rFonts w:hint="eastAsia" w:ascii="宋体" w:hAnsi="宋体" w:cs="宋体"/>
                <w:kern w:val="0"/>
                <w:szCs w:val="21"/>
              </w:rPr>
              <w:t>0.2</w:t>
            </w:r>
          </w:p>
        </w:tc>
        <w:tc>
          <w:tcPr>
            <w:tcW w:w="2220" w:type="dxa"/>
            <w:tcBorders>
              <w:top w:val="nil"/>
              <w:left w:val="nil"/>
              <w:bottom w:val="single" w:color="auto" w:sz="4" w:space="0"/>
              <w:right w:val="single" w:color="auto" w:sz="4" w:space="0"/>
            </w:tcBorders>
            <w:vAlign w:val="bottom"/>
          </w:tcPr>
          <w:p w14:paraId="3128FBFE">
            <w:pPr>
              <w:widowControl/>
              <w:jc w:val="center"/>
              <w:rPr>
                <w:rFonts w:hint="eastAsia" w:ascii="宋体" w:hAnsi="宋体" w:cs="宋体"/>
                <w:kern w:val="0"/>
                <w:szCs w:val="21"/>
              </w:rPr>
            </w:pPr>
            <w:r>
              <w:rPr>
                <w:rFonts w:hint="eastAsia" w:ascii="宋体" w:hAnsi="宋体" w:cs="宋体"/>
                <w:kern w:val="0"/>
                <w:szCs w:val="21"/>
              </w:rPr>
              <w:t>0</w:t>
            </w:r>
          </w:p>
        </w:tc>
      </w:tr>
      <w:tr w14:paraId="22933BF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6B7DC34">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7CECA85">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356D0411">
            <w:pPr>
              <w:widowControl/>
              <w:jc w:val="center"/>
              <w:rPr>
                <w:rFonts w:hint="eastAsia" w:ascii="宋体" w:hAnsi="宋体" w:cs="宋体"/>
                <w:kern w:val="0"/>
                <w:szCs w:val="21"/>
              </w:rPr>
            </w:pPr>
            <w:r>
              <w:rPr>
                <w:rFonts w:hint="eastAsia" w:ascii="宋体" w:hAnsi="宋体" w:cs="宋体"/>
                <w:kern w:val="0"/>
                <w:szCs w:val="21"/>
              </w:rPr>
              <w:t>0</w:t>
            </w:r>
          </w:p>
        </w:tc>
      </w:tr>
      <w:tr w14:paraId="0FA64B6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CDB596C">
            <w:pPr>
              <w:widowControl/>
              <w:jc w:val="left"/>
              <w:rPr>
                <w:rFonts w:ascii="宋体" w:hAnsi="宋体" w:cs="宋体"/>
                <w:kern w:val="0"/>
                <w:szCs w:val="21"/>
              </w:rPr>
            </w:pPr>
            <w:r>
              <w:rPr>
                <w:rFonts w:hint="eastAsia" w:ascii="宋体" w:hAnsi="宋体" w:cs="宋体"/>
                <w:kern w:val="0"/>
                <w:szCs w:val="21"/>
              </w:rPr>
              <w:t xml:space="preserve">  其中：公务用车购置费 </w:t>
            </w:r>
          </w:p>
        </w:tc>
        <w:tc>
          <w:tcPr>
            <w:tcW w:w="2157" w:type="dxa"/>
            <w:tcBorders>
              <w:top w:val="nil"/>
              <w:left w:val="nil"/>
              <w:bottom w:val="single" w:color="auto" w:sz="4" w:space="0"/>
              <w:right w:val="single" w:color="auto" w:sz="4" w:space="0"/>
            </w:tcBorders>
            <w:vAlign w:val="bottom"/>
          </w:tcPr>
          <w:p w14:paraId="2A8D329B">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361BE79C">
            <w:pPr>
              <w:widowControl/>
              <w:jc w:val="center"/>
              <w:rPr>
                <w:rFonts w:hint="eastAsia" w:ascii="宋体" w:hAnsi="宋体" w:cs="宋体"/>
                <w:kern w:val="0"/>
                <w:szCs w:val="21"/>
              </w:rPr>
            </w:pPr>
            <w:r>
              <w:rPr>
                <w:rFonts w:hint="eastAsia" w:ascii="宋体" w:hAnsi="宋体" w:cs="宋体"/>
                <w:kern w:val="0"/>
                <w:szCs w:val="21"/>
              </w:rPr>
              <w:t>0</w:t>
            </w:r>
          </w:p>
        </w:tc>
      </w:tr>
      <w:tr w14:paraId="7BD95A6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F06EEE6">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vAlign w:val="bottom"/>
          </w:tcPr>
          <w:p w14:paraId="054DBAE6">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7A537F9C">
            <w:pPr>
              <w:widowControl/>
              <w:jc w:val="center"/>
              <w:rPr>
                <w:rFonts w:hint="eastAsia" w:ascii="宋体" w:hAnsi="宋体" w:cs="宋体"/>
                <w:kern w:val="0"/>
                <w:szCs w:val="21"/>
              </w:rPr>
            </w:pPr>
            <w:r>
              <w:rPr>
                <w:rFonts w:hint="eastAsia" w:ascii="宋体" w:hAnsi="宋体" w:cs="宋体"/>
                <w:kern w:val="0"/>
                <w:szCs w:val="21"/>
              </w:rPr>
              <w:t>0</w:t>
            </w:r>
          </w:p>
        </w:tc>
      </w:tr>
    </w:tbl>
    <w:p w14:paraId="4CAB6351">
      <w:pPr>
        <w:rPr>
          <w:rFonts w:ascii="黑体" w:hAnsi="黑体" w:eastAsia="黑体"/>
          <w:szCs w:val="32"/>
        </w:rPr>
      </w:pPr>
      <w:r>
        <w:rPr>
          <w:rFonts w:hint="eastAsia" w:ascii="仿宋_GB2312" w:hAnsi="仿宋" w:cs="Times New Roman"/>
          <w:kern w:val="21"/>
          <w:sz w:val="21"/>
          <w:szCs w:val="21"/>
          <w:highlight w:val="none"/>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14:paraId="380B6C16">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071DC250">
      <w:pPr>
        <w:ind w:firstLine="628" w:firstLineChars="200"/>
        <w:rPr>
          <w:rFonts w:ascii="仿宋_GB2312" w:hAnsi="仿宋"/>
          <w:b/>
          <w:szCs w:val="32"/>
        </w:rPr>
      </w:pPr>
      <w:r>
        <w:rPr>
          <w:rFonts w:hint="eastAsia" w:ascii="仿宋_GB2312" w:hAnsi="仿宋"/>
          <w:b/>
          <w:szCs w:val="32"/>
        </w:rPr>
        <w:t>（一）一般公共预算财政拨款“三公”经费支出决算总体情况说明。</w:t>
      </w:r>
    </w:p>
    <w:p w14:paraId="4E780A6E">
      <w:pPr>
        <w:ind w:firstLine="628" w:firstLineChars="200"/>
        <w:rPr>
          <w:rFonts w:hint="eastAsia" w:ascii="仿宋_GB2312" w:hAnsi="仿宋"/>
          <w:color w:val="FF0000"/>
          <w:szCs w:val="32"/>
        </w:rPr>
      </w:pPr>
      <w:r>
        <w:rPr>
          <w:rFonts w:hint="eastAsia" w:ascii="仿宋_GB2312" w:hAnsi="仿宋"/>
          <w:szCs w:val="32"/>
        </w:rPr>
        <w:t>濉溪县国库支付中心2023年度一般公共预算财政拨款“三公”经费支出预算为0.2万元，支出决算为0万元，完成预算的0%，决算数小于预算数的主要原因是本年度无“三公”经费支出；</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w:t>
      </w:r>
      <w:r>
        <w:rPr>
          <w:rFonts w:hint="eastAsia" w:ascii="仿宋_GB2312" w:hAnsi="仿宋"/>
          <w:szCs w:val="32"/>
        </w:rPr>
        <w:t>决算数于上年相同的主要原因是两年度均无“三公”经费支出。</w:t>
      </w:r>
    </w:p>
    <w:p w14:paraId="7186F969">
      <w:pPr>
        <w:ind w:firstLine="628"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15A92C6B">
      <w:pPr>
        <w:ind w:firstLine="628" w:firstLineChars="200"/>
        <w:rPr>
          <w:rFonts w:hint="eastAsia" w:ascii="仿宋_GB2312" w:hAnsi="仿宋"/>
          <w:szCs w:val="32"/>
        </w:rPr>
      </w:pPr>
      <w:r>
        <w:rPr>
          <w:rFonts w:hint="eastAsia" w:ascii="仿宋_GB2312" w:hAnsi="仿宋"/>
          <w:szCs w:val="32"/>
        </w:rPr>
        <w:t>濉溪县国库支付中心2023年度一般公共预算财政拨款“三公”经费支出决算中，因公出国（境）费支出决算0万元，占0%;公务接待费支出决算0万元，占0%；公务用车购置及运行维护费支出决算0万元，占0%。具体情况如下：</w:t>
      </w:r>
    </w:p>
    <w:p w14:paraId="2739D467">
      <w:pPr>
        <w:ind w:firstLine="628" w:firstLineChars="200"/>
        <w:rPr>
          <w:rFonts w:hint="eastAsia" w:ascii="仿宋_GB2312" w:hAnsi="仿宋"/>
          <w:b/>
          <w:bCs/>
          <w:szCs w:val="32"/>
        </w:rPr>
      </w:pPr>
      <w:r>
        <w:rPr>
          <w:rFonts w:hint="eastAsia" w:ascii="仿宋_GB2312" w:hAnsi="仿宋"/>
          <w:b/>
          <w:bCs/>
          <w:szCs w:val="32"/>
        </w:rPr>
        <w:t>1.因公出国（境）费</w:t>
      </w:r>
      <w:r>
        <w:rPr>
          <w:rFonts w:hint="eastAsia" w:ascii="仿宋_GB2312" w:hAnsi="仿宋"/>
          <w:szCs w:val="32"/>
        </w:rPr>
        <w:t>预算为0</w:t>
      </w:r>
      <w:r>
        <w:rPr>
          <w:rFonts w:hint="eastAsia" w:ascii="仿宋_GB2312" w:hAnsi="仿宋"/>
          <w:szCs w:val="32"/>
          <w:lang w:val="en-US" w:eastAsia="zh-CN"/>
        </w:rPr>
        <w:t>.2</w:t>
      </w:r>
      <w:r>
        <w:rPr>
          <w:rFonts w:hint="eastAsia" w:ascii="仿宋_GB2312" w:hAnsi="仿宋"/>
          <w:szCs w:val="32"/>
        </w:rPr>
        <w:t>万元，支出决算为0万元，完成预算的</w:t>
      </w:r>
      <w:r>
        <w:rPr>
          <w:rFonts w:hint="eastAsia" w:ascii="仿宋_GB2312" w:hAnsi="仿宋"/>
          <w:szCs w:val="32"/>
          <w:lang w:val="en-US" w:eastAsia="zh-CN"/>
        </w:rPr>
        <w:t>0</w:t>
      </w:r>
      <w:r>
        <w:rPr>
          <w:rFonts w:hint="eastAsia" w:ascii="仿宋_GB2312" w:hAnsi="仿宋"/>
          <w:szCs w:val="32"/>
        </w:rPr>
        <w:t>%，决算数与预算数相同；较上年减少0万元，下降0%。原因是2022年度、2023年度均未安排因公出国（境）计划。故2023年濉溪县国库支付中心因公出国（境）团组0次，累计出国（境）0人次。</w:t>
      </w:r>
    </w:p>
    <w:p w14:paraId="755077C3">
      <w:pPr>
        <w:numPr>
          <w:ilvl w:val="0"/>
          <w:numId w:val="0"/>
        </w:numPr>
        <w:ind w:firstLine="628" w:firstLineChars="200"/>
        <w:rPr>
          <w:rFonts w:ascii="仿宋_GB2312" w:hAnsi="仿宋"/>
          <w:szCs w:val="32"/>
        </w:rPr>
      </w:pPr>
      <w:r>
        <w:rPr>
          <w:rFonts w:hint="eastAsia" w:ascii="仿宋_GB2312" w:hAnsi="仿宋"/>
          <w:b/>
          <w:bCs/>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w:t>
      </w:r>
      <w:r>
        <w:rPr>
          <w:rFonts w:hint="eastAsia" w:ascii="仿宋_GB2312" w:hAnsi="仿宋"/>
          <w:b w:val="0"/>
          <w:bCs w:val="0"/>
          <w:szCs w:val="32"/>
        </w:rPr>
        <w:t>支出</w:t>
      </w:r>
      <w:r>
        <w:rPr>
          <w:rFonts w:hint="eastAsia" w:ascii="仿宋_GB2312" w:hAnsi="仿宋"/>
          <w:b w:val="0"/>
          <w:bCs w:val="0"/>
          <w:szCs w:val="32"/>
          <w:lang w:val="en-US" w:eastAsia="zh-CN"/>
        </w:rPr>
        <w:t>决算为0</w:t>
      </w:r>
      <w:r>
        <w:rPr>
          <w:rFonts w:hint="eastAsia" w:ascii="仿宋_GB2312" w:hAnsi="仿宋"/>
          <w:szCs w:val="32"/>
        </w:rPr>
        <w:t xml:space="preserve">万元, </w:t>
      </w:r>
      <w:r>
        <w:rPr>
          <w:rFonts w:hint="eastAsia" w:ascii="仿宋_GB2312" w:hAnsi="仿宋"/>
          <w:szCs w:val="32"/>
          <w:lang w:val="en-US" w:eastAsia="zh-CN"/>
        </w:rPr>
        <w:t>完成预算的100</w:t>
      </w:r>
      <w:r>
        <w:rPr>
          <w:rFonts w:hint="eastAsia" w:ascii="仿宋_GB2312" w:hAnsi="仿宋"/>
          <w:color w:val="auto"/>
          <w:szCs w:val="32"/>
          <w:lang w:eastAsia="zh-CN"/>
        </w:rPr>
        <w:t>%</w:t>
      </w:r>
      <w:r>
        <w:rPr>
          <w:rFonts w:hint="eastAsia" w:ascii="仿宋_GB2312" w:hAnsi="仿宋"/>
          <w:szCs w:val="32"/>
        </w:rPr>
        <w:t>，决算数小于预算数的主要原因是本年度无“三公”经费支出</w:t>
      </w:r>
      <w:r>
        <w:rPr>
          <w:rFonts w:hint="eastAsia" w:ascii="仿宋_GB2312" w:hAnsi="仿宋"/>
          <w:color w:val="auto"/>
          <w:szCs w:val="32"/>
          <w:u w:val="none"/>
          <w:lang w:eastAsia="zh-CN"/>
        </w:rPr>
        <w:t>；</w:t>
      </w:r>
      <w:r>
        <w:rPr>
          <w:rFonts w:hint="eastAsia" w:ascii="仿宋_GB2312" w:hAnsi="仿宋"/>
          <w:color w:val="auto"/>
          <w:szCs w:val="32"/>
          <w:u w:val="none"/>
          <w:lang w:val="en-US" w:eastAsia="zh-CN"/>
        </w:rPr>
        <w:t>决算数</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0万元，下降0%，原因是2022年度、2023年度均未发生公务接待</w:t>
      </w:r>
      <w:r>
        <w:rPr>
          <w:rFonts w:hint="eastAsia" w:ascii="仿宋_GB2312" w:hAnsi="仿宋"/>
          <w:color w:val="auto"/>
          <w:szCs w:val="32"/>
          <w:lang w:eastAsia="zh-CN"/>
        </w:rPr>
        <w:t>。</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濉溪县编办</w:t>
      </w:r>
      <w:r>
        <w:rPr>
          <w:rFonts w:hint="eastAsia" w:ascii="仿宋_GB2312" w:hAnsi="仿宋"/>
          <w:szCs w:val="32"/>
        </w:rPr>
        <w:t>国内公务接待共X</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人次）。经费使用严格执行《党政机关厉行节约反对浪费条例》、</w:t>
      </w:r>
      <w:r>
        <w:rPr>
          <w:rFonts w:hint="eastAsia" w:ascii="仿宋_GB2312" w:hAnsi="仿宋"/>
          <w:szCs w:val="32"/>
          <w:lang w:eastAsia="zh-CN"/>
        </w:rPr>
        <w:t>濉溪县</w:t>
      </w:r>
      <w:r>
        <w:rPr>
          <w:rFonts w:hint="eastAsia" w:ascii="仿宋_GB2312" w:hAnsi="仿宋"/>
          <w:szCs w:val="32"/>
        </w:rPr>
        <w:t>公务接待相关规定等。</w:t>
      </w:r>
    </w:p>
    <w:p w14:paraId="20788CA3">
      <w:pPr>
        <w:ind w:firstLine="628" w:firstLineChars="200"/>
        <w:rPr>
          <w:rFonts w:hint="eastAsia"/>
        </w:rPr>
      </w:pPr>
      <w:r>
        <w:rPr>
          <w:rFonts w:hint="eastAsia" w:ascii="仿宋_GB2312" w:hAnsi="仿宋"/>
          <w:b/>
          <w:bCs/>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w:t>
      </w:r>
      <w:r>
        <w:rPr>
          <w:rFonts w:hint="eastAsia" w:ascii="仿宋_GB2312" w:hAnsi="仿宋"/>
          <w:color w:val="auto"/>
          <w:szCs w:val="32"/>
          <w:lang w:val="en-US" w:eastAsia="zh-CN"/>
        </w:rPr>
        <w:t>为0万元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0万元，下降0%，原因是2022年度、2023年度均未发生公务用车购置及运行维护费</w:t>
      </w:r>
      <w:r>
        <w:rPr>
          <w:rFonts w:hint="eastAsia" w:ascii="仿宋_GB2312" w:hAnsi="仿宋"/>
          <w:color w:val="auto"/>
          <w:szCs w:val="32"/>
          <w:lang w:eastAsia="zh-CN"/>
        </w:rPr>
        <w:t>。</w:t>
      </w:r>
      <w:r>
        <w:rPr>
          <w:rFonts w:hint="eastAsia" w:ascii="仿宋_GB2312" w:hAnsi="仿宋"/>
          <w:color w:val="auto"/>
          <w:szCs w:val="32"/>
        </w:rPr>
        <w:t>其中，公务用车购置费</w:t>
      </w:r>
      <w:r>
        <w:rPr>
          <w:rFonts w:hint="eastAsia" w:ascii="仿宋_GB2312" w:hAnsi="仿宋"/>
          <w:color w:val="auto"/>
          <w:szCs w:val="32"/>
          <w:lang w:val="en-US" w:eastAsia="zh-CN"/>
        </w:rPr>
        <w:t>预算为0</w:t>
      </w:r>
      <w:r>
        <w:rPr>
          <w:rFonts w:hint="eastAsia" w:ascii="仿宋_GB2312" w:hAnsi="仿宋"/>
          <w:color w:val="auto"/>
          <w:szCs w:val="32"/>
        </w:rPr>
        <w:t>万元，</w:t>
      </w:r>
      <w:r>
        <w:rPr>
          <w:rFonts w:hint="eastAsia" w:ascii="仿宋_GB2312" w:hAnsi="仿宋"/>
          <w:color w:val="auto"/>
          <w:szCs w:val="32"/>
          <w:lang w:eastAsia="zh-CN"/>
        </w:rPr>
        <w:t>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决算数与预算数相同。较上年减少</w:t>
      </w:r>
      <w:r>
        <w:rPr>
          <w:rFonts w:hint="eastAsia" w:ascii="仿宋_GB2312" w:hAnsi="仿宋"/>
          <w:color w:val="auto"/>
          <w:szCs w:val="32"/>
          <w:lang w:val="en-US" w:eastAsia="zh-CN"/>
        </w:rPr>
        <w:t>0万元，下降0%,原因是2022年度、2023年度均未安排公务用车购置</w:t>
      </w:r>
      <w:r>
        <w:rPr>
          <w:rFonts w:hint="eastAsia" w:ascii="仿宋_GB2312" w:hAnsi="仿宋"/>
          <w:color w:val="auto"/>
          <w:szCs w:val="32"/>
          <w:lang w:eastAsia="zh-CN"/>
        </w:rPr>
        <w:t>。</w:t>
      </w:r>
      <w:r>
        <w:rPr>
          <w:rFonts w:hint="eastAsia" w:ascii="仿宋_GB2312" w:hAnsi="仿宋"/>
          <w:szCs w:val="32"/>
          <w:lang w:eastAsia="zh-CN"/>
        </w:rPr>
        <w:t>2023</w:t>
      </w:r>
      <w:r>
        <w:rPr>
          <w:rFonts w:hint="eastAsia" w:ascii="仿宋_GB2312" w:hAnsi="仿宋"/>
          <w:szCs w:val="32"/>
        </w:rPr>
        <w:t>年没有安排公务用车购置费</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决算数与预算数相同。较上年减少</w:t>
      </w:r>
      <w:r>
        <w:rPr>
          <w:rFonts w:hint="eastAsia" w:ascii="仿宋_GB2312" w:hAnsi="仿宋"/>
          <w:color w:val="auto"/>
          <w:szCs w:val="32"/>
          <w:lang w:val="en-US" w:eastAsia="zh-CN"/>
        </w:rPr>
        <w:t>0万元，下降0%，原因是2022年度、2023年度均未发生公务用车运行维护费</w:t>
      </w:r>
      <w:r>
        <w:rPr>
          <w:rFonts w:hint="eastAsia" w:ascii="仿宋_GB2312" w:hAnsi="仿宋"/>
          <w:szCs w:val="32"/>
        </w:rPr>
        <w:t>。截至2023年12月31日，濉溪县国库支付中心开支财政拨款的公务用车保有量为0辆。</w:t>
      </w:r>
    </w:p>
    <w:p w14:paraId="49982A62"/>
    <w:sectPr>
      <w:footerReference r:id="rId3" w:type="default"/>
      <w:pgSz w:w="11906" w:h="16838"/>
      <w:pgMar w:top="2155" w:right="1531" w:bottom="1588" w:left="1588" w:header="0" w:footer="1588" w:gutter="0"/>
      <w:pgNumType w:start="1"/>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A4ED">
    <w:pPr>
      <w:pStyle w:val="3"/>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5C421">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C15C421">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EzYjc5M2YyYjc5NTk4MjRhMmNmNWVmN2RjNTQifQ=="/>
  </w:docVars>
  <w:rsids>
    <w:rsidRoot w:val="003F39ED"/>
    <w:rsid w:val="003F39ED"/>
    <w:rsid w:val="00504BC6"/>
    <w:rsid w:val="009A4986"/>
    <w:rsid w:val="17247889"/>
    <w:rsid w:val="201D51C1"/>
    <w:rsid w:val="3FE21E53"/>
    <w:rsid w:val="476334E8"/>
    <w:rsid w:val="4C956AAD"/>
    <w:rsid w:val="53E36462"/>
    <w:rsid w:val="656D2231"/>
    <w:rsid w:val="7822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footer"/>
    <w:basedOn w:val="1"/>
    <w:link w:val="6"/>
    <w:qFormat/>
    <w:uiPriority w:val="0"/>
    <w:pPr>
      <w:tabs>
        <w:tab w:val="center" w:pos="4153"/>
        <w:tab w:val="right" w:pos="8306"/>
      </w:tabs>
      <w:snapToGrid w:val="0"/>
      <w:jc w:val="left"/>
    </w:pPr>
    <w:rPr>
      <w:sz w:val="18"/>
    </w:rPr>
  </w:style>
  <w:style w:type="character" w:customStyle="1" w:styleId="6">
    <w:name w:val="页脚 Char"/>
    <w:basedOn w:val="5"/>
    <w:link w:val="3"/>
    <w:qFormat/>
    <w:uiPriority w:val="0"/>
    <w:rPr>
      <w:rFonts w:ascii="Times New Roman" w:hAnsi="Times New Roman" w:eastAsia="仿宋_GB2312" w:cs="Times New Roman"/>
      <w:sz w:val="18"/>
      <w:szCs w:val="20"/>
    </w:rPr>
  </w:style>
  <w:style w:type="character" w:customStyle="1" w:styleId="7">
    <w:name w:val="正文文本 Char"/>
    <w:basedOn w:val="5"/>
    <w:link w:val="2"/>
    <w:semiHidden/>
    <w:qFormat/>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1121</Words>
  <Characters>1217</Characters>
  <Lines>8</Lines>
  <Paragraphs>2</Paragraphs>
  <TotalTime>0</TotalTime>
  <ScaleCrop>false</ScaleCrop>
  <LinksUpToDate>false</LinksUpToDate>
  <CharactersWithSpaces>1287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2024-07-29T08:10:00Z</dcterms:created>
  <dc:creator>微软用户</dc:creator>
  <cp:lastModifiedBy>Williuna</cp:lastModifiedBy>
  <dcterms:modified xsi:type="dcterms:W3CDTF">2025-08-18T01:10:10Z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4D895E9EACEE4C62A5853DAE948DF11C_13</vt:lpwstr>
  </property>
  <property fmtid="{D5CDD505-2E9C-101B-9397-08002B2CF9AE}" pid="4" name="KSOTemplateDocerSaveRecord">
    <vt:lpwstr>eyJoZGlkIjoiZWRiMWJjNjY5YzdmNjgyYzdmNWJiNmFhYmZiNDJjMzIifQ==</vt:lpwstr>
  </property>
</Properties>
</file>