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FD4D6">
      <w:pPr>
        <w:jc w:val="center"/>
        <w:rPr>
          <w:rFonts w:ascii="宋体" w:hAnsi="宋体"/>
          <w:b/>
          <w:sz w:val="36"/>
          <w:szCs w:val="36"/>
        </w:rPr>
      </w:pPr>
      <w:bookmarkStart w:id="0" w:name="_GoBack"/>
      <w:r>
        <w:rPr>
          <w:rFonts w:hint="eastAsia" w:ascii="宋体" w:hAnsi="宋体"/>
          <w:b/>
          <w:sz w:val="36"/>
          <w:szCs w:val="36"/>
        </w:rPr>
        <w:t>濉溪县融媒体中心2023</w:t>
      </w:r>
      <w:r>
        <w:rPr>
          <w:rFonts w:ascii="宋体" w:hAnsi="宋体"/>
          <w:b/>
          <w:sz w:val="36"/>
          <w:szCs w:val="36"/>
        </w:rPr>
        <w:t>年</w:t>
      </w:r>
      <w:r>
        <w:rPr>
          <w:rFonts w:hint="eastAsia" w:ascii="宋体" w:hAnsi="宋体"/>
          <w:b/>
          <w:sz w:val="36"/>
          <w:szCs w:val="36"/>
        </w:rPr>
        <w:t>度一般公共预算财政</w:t>
      </w:r>
    </w:p>
    <w:p w14:paraId="6701634B">
      <w:pPr>
        <w:jc w:val="center"/>
        <w:rPr>
          <w:rFonts w:ascii="宋体" w:hAnsi="宋体"/>
          <w:b/>
          <w:sz w:val="36"/>
          <w:szCs w:val="36"/>
        </w:rPr>
      </w:pPr>
      <w:r>
        <w:rPr>
          <w:rFonts w:hint="eastAsia" w:ascii="宋体" w:hAnsi="宋体"/>
          <w:b/>
          <w:sz w:val="36"/>
          <w:szCs w:val="36"/>
        </w:rPr>
        <w:t>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支出决算情况说明</w:t>
      </w:r>
      <w:bookmarkEnd w:id="0"/>
    </w:p>
    <w:p w14:paraId="33041C7F">
      <w:pPr>
        <w:jc w:val="center"/>
        <w:rPr>
          <w:rFonts w:ascii="楷体_GB2312" w:eastAsia="楷体_GB2312"/>
          <w:szCs w:val="32"/>
        </w:rPr>
      </w:pPr>
    </w:p>
    <w:p w14:paraId="0F425268">
      <w:pPr>
        <w:adjustRightInd w:val="0"/>
        <w:snapToGrid w:val="0"/>
        <w:spacing w:line="360" w:lineRule="auto"/>
        <w:jc w:val="center"/>
        <w:rPr>
          <w:rFonts w:ascii="宋体" w:hAnsi="宋体"/>
          <w:sz w:val="6"/>
          <w:szCs w:val="32"/>
        </w:rPr>
      </w:pPr>
    </w:p>
    <w:p w14:paraId="15A6043A">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一、2023年度一般公共预算财政拨款“三公”经费支出决算表</w:t>
      </w:r>
    </w:p>
    <w:p w14:paraId="26CBD056">
      <w:pPr>
        <w:ind w:firstLine="6594" w:firstLineChars="2100"/>
        <w:rPr>
          <w:rFonts w:ascii="黑体" w:hAnsi="黑体" w:eastAsia="黑体"/>
          <w:szCs w:val="32"/>
        </w:rPr>
      </w:pPr>
      <w:r>
        <w:rPr>
          <w:rFonts w:hint="eastAsia" w:ascii="仿宋_GB2312" w:hAnsi="仿宋_GB2312" w:cs="仿宋_GB2312"/>
          <w:szCs w:val="32"/>
        </w:rPr>
        <w:t>单位：万元</w:t>
      </w:r>
    </w:p>
    <w:tbl>
      <w:tblPr>
        <w:tblStyle w:val="3"/>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6FF61611">
        <w:tblPrEx>
          <w:tblCellMar>
            <w:top w:w="0" w:type="dxa"/>
            <w:left w:w="108" w:type="dxa"/>
            <w:bottom w:w="0" w:type="dxa"/>
            <w:right w:w="108" w:type="dxa"/>
          </w:tblCellMar>
        </w:tblPrEx>
        <w:trPr>
          <w:wBefore w:w="0" w:type="dxa"/>
          <w:trHeight w:val="397" w:hRule="atLeast"/>
        </w:trPr>
        <w:tc>
          <w:tcPr>
            <w:tcW w:w="4379" w:type="dxa"/>
            <w:tcBorders>
              <w:top w:val="single" w:color="auto" w:sz="4" w:space="0"/>
              <w:left w:val="single" w:color="auto" w:sz="4" w:space="0"/>
              <w:bottom w:val="single" w:color="auto" w:sz="4" w:space="0"/>
              <w:right w:val="single" w:color="auto" w:sz="4" w:space="0"/>
            </w:tcBorders>
            <w:noWrap w:val="0"/>
            <w:vAlign w:val="center"/>
          </w:tcPr>
          <w:p w14:paraId="28AA640A">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noWrap w:val="0"/>
            <w:vAlign w:val="center"/>
          </w:tcPr>
          <w:p w14:paraId="26B9F96C">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noWrap w:val="0"/>
            <w:vAlign w:val="center"/>
          </w:tcPr>
          <w:p w14:paraId="7C7C58FD">
            <w:pPr>
              <w:widowControl/>
              <w:jc w:val="center"/>
              <w:rPr>
                <w:rFonts w:ascii="宋体" w:hAnsi="宋体" w:cs="宋体"/>
                <w:b/>
                <w:bCs/>
                <w:kern w:val="0"/>
                <w:szCs w:val="21"/>
              </w:rPr>
            </w:pPr>
            <w:r>
              <w:rPr>
                <w:rFonts w:hint="eastAsia" w:ascii="宋体" w:hAnsi="宋体" w:cs="宋体"/>
                <w:b/>
                <w:bCs/>
                <w:kern w:val="0"/>
                <w:szCs w:val="21"/>
              </w:rPr>
              <w:t>决 算 数</w:t>
            </w:r>
          </w:p>
        </w:tc>
      </w:tr>
      <w:tr w14:paraId="1C80CAE6">
        <w:tblPrEx>
          <w:tblCellMar>
            <w:top w:w="0" w:type="dxa"/>
            <w:left w:w="108" w:type="dxa"/>
            <w:bottom w:w="0" w:type="dxa"/>
            <w:right w:w="108" w:type="dxa"/>
          </w:tblCellMar>
        </w:tblPrEx>
        <w:trPr>
          <w:wBefore w:w="0" w:type="dxa"/>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22ACE2C1">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noWrap w:val="0"/>
            <w:vAlign w:val="center"/>
          </w:tcPr>
          <w:p w14:paraId="2ACEA06E">
            <w:pPr>
              <w:widowControl/>
              <w:jc w:val="center"/>
              <w:rPr>
                <w:rFonts w:hint="eastAsia" w:ascii="宋体" w:hAnsi="宋体" w:cs="宋体"/>
                <w:kern w:val="0"/>
                <w:szCs w:val="21"/>
              </w:rPr>
            </w:pPr>
            <w:r>
              <w:rPr>
                <w:rFonts w:hint="eastAsia" w:ascii="宋体" w:hAnsi="宋体" w:cs="宋体"/>
                <w:kern w:val="0"/>
                <w:szCs w:val="21"/>
              </w:rPr>
              <w:t>3.88</w:t>
            </w:r>
          </w:p>
        </w:tc>
        <w:tc>
          <w:tcPr>
            <w:tcW w:w="2220" w:type="dxa"/>
            <w:tcBorders>
              <w:top w:val="nil"/>
              <w:left w:val="nil"/>
              <w:bottom w:val="single" w:color="auto" w:sz="4" w:space="0"/>
              <w:right w:val="single" w:color="auto" w:sz="4" w:space="0"/>
            </w:tcBorders>
            <w:noWrap w:val="0"/>
            <w:vAlign w:val="center"/>
          </w:tcPr>
          <w:p w14:paraId="01DF15B3">
            <w:pPr>
              <w:widowControl/>
              <w:jc w:val="center"/>
              <w:rPr>
                <w:rFonts w:hint="eastAsia" w:ascii="宋体" w:hAnsi="宋体" w:cs="宋体"/>
                <w:kern w:val="0"/>
                <w:szCs w:val="21"/>
              </w:rPr>
            </w:pPr>
            <w:r>
              <w:rPr>
                <w:rFonts w:hint="eastAsia" w:ascii="宋体" w:hAnsi="宋体" w:cs="宋体"/>
                <w:kern w:val="0"/>
                <w:szCs w:val="21"/>
              </w:rPr>
              <w:t>3.78</w:t>
            </w:r>
          </w:p>
        </w:tc>
      </w:tr>
      <w:tr w14:paraId="6C489701">
        <w:tblPrEx>
          <w:tblCellMar>
            <w:top w:w="0" w:type="dxa"/>
            <w:left w:w="108" w:type="dxa"/>
            <w:bottom w:w="0" w:type="dxa"/>
            <w:right w:w="108" w:type="dxa"/>
          </w:tblCellMar>
        </w:tblPrEx>
        <w:trPr>
          <w:wBefore w:w="0" w:type="dxa"/>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3B3CD267">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noWrap w:val="0"/>
            <w:vAlign w:val="bottom"/>
          </w:tcPr>
          <w:p w14:paraId="06C4ECDB">
            <w:pPr>
              <w:widowControl/>
              <w:jc w:val="center"/>
              <w:rPr>
                <w:rFonts w:hint="eastAsia" w:ascii="宋体" w:hAnsi="宋体" w:cs="宋体"/>
                <w:kern w:val="0"/>
                <w:szCs w:val="21"/>
              </w:rPr>
            </w:pPr>
          </w:p>
        </w:tc>
        <w:tc>
          <w:tcPr>
            <w:tcW w:w="2220" w:type="dxa"/>
            <w:tcBorders>
              <w:top w:val="nil"/>
              <w:left w:val="nil"/>
              <w:bottom w:val="single" w:color="auto" w:sz="4" w:space="0"/>
              <w:right w:val="single" w:color="auto" w:sz="4" w:space="0"/>
            </w:tcBorders>
            <w:noWrap w:val="0"/>
            <w:vAlign w:val="bottom"/>
          </w:tcPr>
          <w:p w14:paraId="486E6FCC">
            <w:pPr>
              <w:widowControl/>
              <w:jc w:val="center"/>
              <w:rPr>
                <w:rFonts w:hint="eastAsia" w:ascii="宋体" w:hAnsi="宋体" w:cs="宋体"/>
                <w:kern w:val="0"/>
                <w:szCs w:val="21"/>
              </w:rPr>
            </w:pPr>
          </w:p>
        </w:tc>
      </w:tr>
      <w:tr w14:paraId="6E8B0309">
        <w:tblPrEx>
          <w:tblCellMar>
            <w:top w:w="0" w:type="dxa"/>
            <w:left w:w="108" w:type="dxa"/>
            <w:bottom w:w="0" w:type="dxa"/>
            <w:right w:w="108" w:type="dxa"/>
          </w:tblCellMar>
        </w:tblPrEx>
        <w:trPr>
          <w:wBefore w:w="0" w:type="dxa"/>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50D4E151">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noWrap w:val="0"/>
            <w:vAlign w:val="center"/>
          </w:tcPr>
          <w:p w14:paraId="4CC51CB9">
            <w:pPr>
              <w:widowControl/>
              <w:jc w:val="center"/>
              <w:rPr>
                <w:rFonts w:ascii="宋体" w:hAnsi="宋体" w:cs="宋体"/>
                <w:kern w:val="0"/>
                <w:szCs w:val="21"/>
              </w:rPr>
            </w:pPr>
            <w:r>
              <w:rPr>
                <w:rFonts w:hint="eastAsia" w:ascii="宋体" w:hAnsi="宋体" w:cs="宋体"/>
                <w:kern w:val="0"/>
                <w:szCs w:val="21"/>
              </w:rPr>
              <w:t>1.00</w:t>
            </w:r>
          </w:p>
        </w:tc>
        <w:tc>
          <w:tcPr>
            <w:tcW w:w="2220" w:type="dxa"/>
            <w:tcBorders>
              <w:top w:val="nil"/>
              <w:left w:val="nil"/>
              <w:bottom w:val="single" w:color="auto" w:sz="4" w:space="0"/>
              <w:right w:val="single" w:color="auto" w:sz="4" w:space="0"/>
            </w:tcBorders>
            <w:noWrap w:val="0"/>
            <w:vAlign w:val="center"/>
          </w:tcPr>
          <w:p w14:paraId="3FFF49BC">
            <w:pPr>
              <w:widowControl/>
              <w:jc w:val="center"/>
              <w:rPr>
                <w:rFonts w:hint="eastAsia" w:ascii="宋体" w:hAnsi="宋体" w:cs="宋体"/>
                <w:kern w:val="0"/>
                <w:szCs w:val="21"/>
              </w:rPr>
            </w:pPr>
            <w:r>
              <w:rPr>
                <w:rFonts w:hint="eastAsia" w:ascii="宋体" w:hAnsi="宋体" w:cs="宋体"/>
                <w:kern w:val="0"/>
                <w:szCs w:val="21"/>
              </w:rPr>
              <w:t>0.90</w:t>
            </w:r>
          </w:p>
        </w:tc>
      </w:tr>
      <w:tr w14:paraId="090EBE9D">
        <w:tblPrEx>
          <w:tblCellMar>
            <w:top w:w="0" w:type="dxa"/>
            <w:left w:w="108" w:type="dxa"/>
            <w:bottom w:w="0" w:type="dxa"/>
            <w:right w:w="108" w:type="dxa"/>
          </w:tblCellMar>
        </w:tblPrEx>
        <w:trPr>
          <w:wBefore w:w="0" w:type="dxa"/>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1FC335F2">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noWrap w:val="0"/>
            <w:vAlign w:val="center"/>
          </w:tcPr>
          <w:p w14:paraId="2E343D67">
            <w:pPr>
              <w:widowControl/>
              <w:jc w:val="center"/>
              <w:rPr>
                <w:rFonts w:hint="eastAsia" w:ascii="宋体" w:hAnsi="宋体" w:cs="宋体"/>
                <w:kern w:val="0"/>
                <w:szCs w:val="21"/>
              </w:rPr>
            </w:pPr>
            <w:r>
              <w:rPr>
                <w:rFonts w:hint="eastAsia" w:ascii="宋体" w:hAnsi="宋体" w:cs="宋体"/>
                <w:kern w:val="0"/>
                <w:szCs w:val="21"/>
              </w:rPr>
              <w:t>2.88</w:t>
            </w:r>
          </w:p>
        </w:tc>
        <w:tc>
          <w:tcPr>
            <w:tcW w:w="2220" w:type="dxa"/>
            <w:tcBorders>
              <w:top w:val="nil"/>
              <w:left w:val="nil"/>
              <w:bottom w:val="single" w:color="auto" w:sz="4" w:space="0"/>
              <w:right w:val="single" w:color="auto" w:sz="4" w:space="0"/>
            </w:tcBorders>
            <w:noWrap w:val="0"/>
            <w:vAlign w:val="center"/>
          </w:tcPr>
          <w:p w14:paraId="2D5FD50E">
            <w:pPr>
              <w:widowControl/>
              <w:jc w:val="center"/>
              <w:rPr>
                <w:rFonts w:hint="eastAsia" w:ascii="宋体" w:hAnsi="宋体" w:cs="宋体"/>
                <w:kern w:val="0"/>
                <w:szCs w:val="21"/>
              </w:rPr>
            </w:pPr>
            <w:r>
              <w:rPr>
                <w:rFonts w:hint="eastAsia" w:ascii="宋体" w:hAnsi="宋体" w:cs="宋体"/>
                <w:kern w:val="0"/>
                <w:szCs w:val="21"/>
              </w:rPr>
              <w:t>2.88</w:t>
            </w:r>
          </w:p>
        </w:tc>
      </w:tr>
      <w:tr w14:paraId="34D4780A">
        <w:tblPrEx>
          <w:tblCellMar>
            <w:top w:w="0" w:type="dxa"/>
            <w:left w:w="108" w:type="dxa"/>
            <w:bottom w:w="0" w:type="dxa"/>
            <w:right w:w="108" w:type="dxa"/>
          </w:tblCellMar>
        </w:tblPrEx>
        <w:trPr>
          <w:wBefore w:w="0" w:type="dxa"/>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0B1713B1">
            <w:pPr>
              <w:widowControl/>
              <w:jc w:val="left"/>
              <w:rPr>
                <w:rFonts w:ascii="宋体" w:hAnsi="宋体" w:cs="宋体"/>
                <w:kern w:val="0"/>
                <w:szCs w:val="21"/>
              </w:rPr>
            </w:pPr>
            <w:r>
              <w:rPr>
                <w:rFonts w:hint="eastAsia" w:ascii="宋体" w:hAnsi="宋体" w:cs="宋体"/>
                <w:kern w:val="0"/>
                <w:szCs w:val="21"/>
              </w:rPr>
              <w:t xml:space="preserve">  其中：公务用车购置费 </w:t>
            </w:r>
          </w:p>
        </w:tc>
        <w:tc>
          <w:tcPr>
            <w:tcW w:w="2157" w:type="dxa"/>
            <w:tcBorders>
              <w:top w:val="nil"/>
              <w:left w:val="nil"/>
              <w:bottom w:val="single" w:color="auto" w:sz="4" w:space="0"/>
              <w:right w:val="single" w:color="auto" w:sz="4" w:space="0"/>
            </w:tcBorders>
            <w:noWrap w:val="0"/>
            <w:vAlign w:val="bottom"/>
          </w:tcPr>
          <w:p w14:paraId="756887E7">
            <w:pPr>
              <w:widowControl/>
              <w:jc w:val="center"/>
              <w:rPr>
                <w:rFonts w:hint="eastAsia" w:ascii="宋体" w:hAnsi="宋体" w:cs="宋体"/>
                <w:kern w:val="0"/>
                <w:szCs w:val="21"/>
              </w:rPr>
            </w:pPr>
          </w:p>
        </w:tc>
        <w:tc>
          <w:tcPr>
            <w:tcW w:w="2220" w:type="dxa"/>
            <w:tcBorders>
              <w:top w:val="nil"/>
              <w:left w:val="nil"/>
              <w:bottom w:val="single" w:color="auto" w:sz="4" w:space="0"/>
              <w:right w:val="single" w:color="auto" w:sz="4" w:space="0"/>
            </w:tcBorders>
            <w:noWrap w:val="0"/>
            <w:vAlign w:val="bottom"/>
          </w:tcPr>
          <w:p w14:paraId="718907F8">
            <w:pPr>
              <w:widowControl/>
              <w:jc w:val="center"/>
              <w:rPr>
                <w:rFonts w:hint="eastAsia" w:ascii="宋体" w:hAnsi="宋体" w:cs="宋体"/>
                <w:kern w:val="0"/>
                <w:szCs w:val="21"/>
              </w:rPr>
            </w:pPr>
          </w:p>
        </w:tc>
      </w:tr>
      <w:tr w14:paraId="0AFCCFDF">
        <w:tblPrEx>
          <w:tblCellMar>
            <w:top w:w="0" w:type="dxa"/>
            <w:left w:w="108" w:type="dxa"/>
            <w:bottom w:w="0" w:type="dxa"/>
            <w:right w:w="108" w:type="dxa"/>
          </w:tblCellMar>
        </w:tblPrEx>
        <w:trPr>
          <w:wBefore w:w="0" w:type="dxa"/>
          <w:trHeight w:val="397" w:hRule="atLeast"/>
        </w:trPr>
        <w:tc>
          <w:tcPr>
            <w:tcW w:w="4379" w:type="dxa"/>
            <w:tcBorders>
              <w:top w:val="nil"/>
              <w:left w:val="single" w:color="auto" w:sz="4" w:space="0"/>
              <w:bottom w:val="single" w:color="auto" w:sz="4" w:space="0"/>
              <w:right w:val="single" w:color="auto" w:sz="4" w:space="0"/>
            </w:tcBorders>
            <w:noWrap w:val="0"/>
            <w:vAlign w:val="center"/>
          </w:tcPr>
          <w:p w14:paraId="37F4070D">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noWrap w:val="0"/>
            <w:vAlign w:val="center"/>
          </w:tcPr>
          <w:p w14:paraId="17F7CD33">
            <w:pPr>
              <w:widowControl/>
              <w:jc w:val="center"/>
              <w:rPr>
                <w:rFonts w:hint="eastAsia" w:ascii="宋体" w:hAnsi="宋体" w:cs="宋体"/>
                <w:kern w:val="0"/>
                <w:szCs w:val="21"/>
              </w:rPr>
            </w:pPr>
            <w:r>
              <w:rPr>
                <w:rFonts w:hint="eastAsia" w:ascii="宋体" w:hAnsi="宋体" w:cs="宋体"/>
                <w:kern w:val="0"/>
                <w:szCs w:val="21"/>
              </w:rPr>
              <w:t>2.88</w:t>
            </w:r>
          </w:p>
        </w:tc>
        <w:tc>
          <w:tcPr>
            <w:tcW w:w="2220" w:type="dxa"/>
            <w:tcBorders>
              <w:top w:val="nil"/>
              <w:left w:val="nil"/>
              <w:bottom w:val="single" w:color="auto" w:sz="4" w:space="0"/>
              <w:right w:val="single" w:color="auto" w:sz="4" w:space="0"/>
            </w:tcBorders>
            <w:noWrap w:val="0"/>
            <w:vAlign w:val="center"/>
          </w:tcPr>
          <w:p w14:paraId="1840D77E">
            <w:pPr>
              <w:widowControl/>
              <w:jc w:val="center"/>
              <w:rPr>
                <w:rFonts w:hint="eastAsia" w:ascii="宋体" w:hAnsi="宋体" w:cs="宋体"/>
                <w:kern w:val="0"/>
                <w:szCs w:val="21"/>
              </w:rPr>
            </w:pPr>
            <w:r>
              <w:rPr>
                <w:rFonts w:hint="eastAsia" w:ascii="宋体" w:hAnsi="宋体" w:cs="宋体"/>
                <w:kern w:val="0"/>
                <w:szCs w:val="21"/>
              </w:rPr>
              <w:t>2.88</w:t>
            </w:r>
          </w:p>
        </w:tc>
      </w:tr>
    </w:tbl>
    <w:p w14:paraId="0D9998F8">
      <w:pPr>
        <w:ind w:firstLine="628" w:firstLineChars="200"/>
        <w:rPr>
          <w:rFonts w:ascii="黑体" w:hAnsi="黑体" w:eastAsia="黑体"/>
          <w:szCs w:val="32"/>
        </w:rPr>
      </w:pPr>
      <w:r>
        <w:rPr>
          <w:rFonts w:hint="eastAsia" w:ascii="黑体" w:hAnsi="黑体" w:eastAsia="黑体"/>
          <w:szCs w:val="32"/>
        </w:rPr>
        <w:t xml:space="preserve">                                      </w:t>
      </w:r>
    </w:p>
    <w:p w14:paraId="7D22C4FA">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rPr>
        <w:t>2023</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356FFE1E">
      <w:pPr>
        <w:ind w:firstLine="628" w:firstLineChars="200"/>
        <w:rPr>
          <w:rFonts w:ascii="仿宋_GB2312" w:hAnsi="仿宋"/>
          <w:b/>
          <w:szCs w:val="32"/>
        </w:rPr>
      </w:pPr>
      <w:r>
        <w:rPr>
          <w:rFonts w:hint="eastAsia" w:ascii="仿宋_GB2312" w:hAnsi="仿宋"/>
          <w:b/>
          <w:szCs w:val="32"/>
        </w:rPr>
        <w:t>（一）一般公共预算财政拨款“三公”经费支出决算总体情况说明。</w:t>
      </w:r>
    </w:p>
    <w:p w14:paraId="7DAE38E6">
      <w:pPr>
        <w:ind w:firstLine="628" w:firstLineChars="200"/>
        <w:rPr>
          <w:rFonts w:hint="eastAsia" w:ascii="仿宋_GB2312" w:hAnsi="仿宋"/>
          <w:color w:val="FF0000"/>
          <w:szCs w:val="32"/>
        </w:rPr>
      </w:pPr>
      <w:r>
        <w:rPr>
          <w:rFonts w:hint="eastAsia" w:ascii="仿宋_GB2312" w:hAnsi="仿宋"/>
          <w:szCs w:val="32"/>
        </w:rPr>
        <w:t>濉溪县融媒体中心2023年度一般公共预算财政拨款“三公”经费支出预算为3.88万元，支出决算为3.78万元，完成预算的97.42%，决算数小于预算数的主要原因是减少公务接待费用；较上年增加1.02万元，增长36.96%，决算数较上年增长的主要原因是增加公务用车车辆保养费用以及加油卡充值。</w:t>
      </w:r>
    </w:p>
    <w:p w14:paraId="26684CA6">
      <w:pPr>
        <w:ind w:firstLine="628"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52BBABCD">
      <w:pPr>
        <w:ind w:firstLine="628" w:firstLineChars="200"/>
        <w:rPr>
          <w:rFonts w:hint="eastAsia" w:ascii="仿宋_GB2312" w:hAnsi="仿宋"/>
          <w:szCs w:val="32"/>
        </w:rPr>
      </w:pPr>
      <w:r>
        <w:rPr>
          <w:rFonts w:hint="eastAsia" w:ascii="仿宋_GB2312" w:hAnsi="仿宋"/>
          <w:szCs w:val="32"/>
        </w:rPr>
        <w:t>濉溪县融媒体中心2023年度一般公共预算财政拨款“三公”经费支出决算中，因公出国（境）费支出决算0万元，占0%;公务接待费支出决算0.90万元，占23.81%；公务用车购置及运行维护费支出决算2.88万元，占76.19%。具体情况如下：</w:t>
      </w:r>
    </w:p>
    <w:p w14:paraId="4ECEB18F">
      <w:pPr>
        <w:ind w:firstLine="628" w:firstLineChars="200"/>
        <w:rPr>
          <w:rFonts w:hint="eastAsia" w:ascii="仿宋_GB2312" w:hAnsi="仿宋"/>
          <w:b/>
          <w:bCs/>
          <w:szCs w:val="32"/>
        </w:rPr>
      </w:pPr>
      <w:r>
        <w:rPr>
          <w:rFonts w:hint="eastAsia" w:ascii="仿宋_GB2312" w:hAnsi="仿宋"/>
          <w:b/>
          <w:bCs/>
          <w:szCs w:val="32"/>
        </w:rPr>
        <w:t>1.因公出国（境）费</w:t>
      </w:r>
      <w:r>
        <w:rPr>
          <w:rFonts w:hint="eastAsia" w:ascii="仿宋_GB2312" w:hAnsi="仿宋"/>
          <w:szCs w:val="32"/>
        </w:rPr>
        <w:t>预算为0万元，支出决算为0万元，完成预算的100%，决算数与预算数相同；较上年减少0万元，下降0%。原因是2022年度、2023年度均未安排因公出国（境）计划。故2023年濉溪县融媒体中心因公出国（境）团组0次，累计出国（境）0人次。</w:t>
      </w:r>
    </w:p>
    <w:p w14:paraId="7DD37782">
      <w:pPr>
        <w:ind w:firstLine="628"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szCs w:val="32"/>
        </w:rPr>
        <w:t>预算为</w:t>
      </w:r>
      <w:r>
        <w:rPr>
          <w:rFonts w:hint="eastAsia" w:ascii="宋体" w:hAnsi="宋体" w:cs="宋体"/>
          <w:kern w:val="0"/>
          <w:szCs w:val="21"/>
        </w:rPr>
        <w:t>1.00</w:t>
      </w:r>
      <w:r>
        <w:rPr>
          <w:rFonts w:hint="eastAsia" w:ascii="仿宋_GB2312" w:hAnsi="仿宋"/>
          <w:szCs w:val="32"/>
        </w:rPr>
        <w:t>万元，支出决算为0.90万元, 完成预算的90%，决算数小于预算数的主要原因是接待项目减少。决算数较上年增加0.38万元，增长73.08%，决算数较上年增加的主要原因是政务直通车加班盒饭费用以及中心加班盒饭费用。2023年濉溪县融媒体中心国内公务接待共10批次（其中外事接待0批次），83人次（其中外事接待0人次）。主要是用于公务接待、机关餐饮费。严格执行《党政机关厉行节约反对浪费条例》、濉溪县公务接待相关规定等。</w:t>
      </w:r>
      <w:r>
        <w:rPr>
          <w:rFonts w:hint="eastAsia" w:ascii="仿宋_GB2312" w:hAnsi="仿宋"/>
          <w:b/>
          <w:bCs/>
          <w:szCs w:val="32"/>
        </w:rPr>
        <w:t xml:space="preserve">                                                                                                                                                                                                                                                                                                                                                                                                                                                                                                                                                                                                                                                                                                                                                                                                                                                       </w:t>
      </w:r>
    </w:p>
    <w:p w14:paraId="13680768">
      <w:pPr>
        <w:ind w:firstLine="628" w:firstLineChars="200"/>
        <w:rPr>
          <w:rFonts w:hint="eastAsia"/>
        </w:rPr>
      </w:pPr>
      <w:r>
        <w:rPr>
          <w:rFonts w:hint="eastAsia" w:ascii="仿宋_GB2312" w:hAnsi="仿宋"/>
          <w:b/>
          <w:bCs/>
          <w:szCs w:val="32"/>
        </w:rPr>
        <w:t>3.公务用车购置及运行维护费</w:t>
      </w:r>
      <w:r>
        <w:rPr>
          <w:rFonts w:hint="eastAsia" w:ascii="仿宋_GB2312" w:hAnsi="仿宋"/>
          <w:szCs w:val="32"/>
        </w:rPr>
        <w:t>预算为2.88万元，支出决算为2.88万元，完成预算的100%，决算数等于预算数。较上年增加0.64万元，增长28.57%，决算数较上年增加的主要原因是增加公务用车车辆保养费用以及加油卡充值。其中，公务用车购置费预算为0万元，支出决算为0万元，完成预算的100%，决算数与预算数相同；较上年减少0万元，下降0%。原因是2022年度、2023年度均未安排公务用车购置费。公务用车运行维护费预预算为2.88万元，支出决算为2.88万元，完成预算的100%，决算数等于预算数。较上年增加0.64万元，增长28.57%，决算数较上年增加的主要原因是增加公务用车车辆保养费用以及加油卡充值。公务用车运行维护费，包括车辆燃料费、维修费、保险费等支出，主要用于公车油卡以及车辆维修。截至2023年12月31日，濉溪县融媒体中心开支财政拨款的公务用车保有量为5辆。</w:t>
      </w:r>
    </w:p>
    <w:p w14:paraId="3B0694F0"/>
    <w:sectPr>
      <w:footerReference r:id="rId3" w:type="default"/>
      <w:pgSz w:w="11906" w:h="16838"/>
      <w:pgMar w:top="2155" w:right="1531" w:bottom="1588" w:left="1588" w:header="0" w:footer="1588" w:gutter="0"/>
      <w:pgNumType w:start="1"/>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1DEDE">
    <w:pPr>
      <w:pStyle w:val="2"/>
      <w:ind w:right="360"/>
      <w:rPr>
        <w:rFonts w:hint="eastAsia" w:ascii="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F05933">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2</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BF05933">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07"/>
    <w:rsid w:val="00097431"/>
    <w:rsid w:val="002250FF"/>
    <w:rsid w:val="003A6E6B"/>
    <w:rsid w:val="006C4A07"/>
    <w:rsid w:val="007E263D"/>
    <w:rsid w:val="008926DB"/>
    <w:rsid w:val="009C0FDC"/>
    <w:rsid w:val="00A01BD4"/>
    <w:rsid w:val="00DF6255"/>
    <w:rsid w:val="00E9390B"/>
    <w:rsid w:val="00FE1350"/>
    <w:rsid w:val="53307E3A"/>
    <w:rsid w:val="787212BF"/>
    <w:rsid w:val="7D31799A"/>
    <w:rsid w:val="7F7532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3</Pages>
  <Words>1101</Words>
  <Characters>1263</Characters>
  <Lines>15</Lines>
  <Paragraphs>4</Paragraphs>
  <TotalTime>2</TotalTime>
  <ScaleCrop>false</ScaleCrop>
  <LinksUpToDate>false</LinksUpToDate>
  <CharactersWithSpaces>2152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2024-08-02T02:15:00Z</dcterms:created>
  <dc:creator>PC</dc:creator>
  <cp:lastModifiedBy>Administrator</cp:lastModifiedBy>
  <dcterms:modified xsi:type="dcterms:W3CDTF">2025-08-19T08:13:01Z</dcterms:modified>
  <dc:title>濉溪县融媒体中心2023年度一般公共预算财政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eyJoZGlkIjoiYWEzZjA4YjJmYmIyMTM0YTIwMzEyMGVlY2NjNmE4N2UifQ==</vt:lpwstr>
  </property>
  <property fmtid="{D5CDD505-2E9C-101B-9397-08002B2CF9AE}" pid="3" name="KSOProductBuildVer">
    <vt:lpwstr>2052-12.1.0.21915</vt:lpwstr>
  </property>
  <property fmtid="{D5CDD505-2E9C-101B-9397-08002B2CF9AE}" pid="4" name="ICV">
    <vt:lpwstr>0E12BF0369904B2F94FCBE4E190FC8A4_13</vt:lpwstr>
  </property>
</Properties>
</file>