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6648">
      <w:pPr>
        <w:spacing w:line="560" w:lineRule="exact"/>
        <w:rPr>
          <w:rFonts w:hint="eastAsia" w:ascii="TimesNewRoman" w:hAnsi="TimesNewRoman" w:eastAsia="黑体" w:cs="TimesNewRoman"/>
          <w:szCs w:val="32"/>
        </w:rPr>
      </w:pPr>
      <w:r>
        <w:rPr>
          <w:rFonts w:hint="eastAsia" w:ascii="TimesNewRoman" w:hAnsi="TimesNewRoman" w:eastAsia="黑体" w:cs="TimesNewRoman"/>
          <w:szCs w:val="32"/>
          <w:lang w:bidi="ar"/>
        </w:rPr>
        <w:t>附件2</w:t>
      </w:r>
    </w:p>
    <w:p w14:paraId="6B7EA2C8">
      <w:pPr>
        <w:spacing w:line="560" w:lineRule="exact"/>
        <w:rPr>
          <w:rFonts w:ascii="TimesNewRoman" w:hAnsi="TimesNewRoman" w:eastAsia="华文中宋" w:cs="TimesNewRoman"/>
          <w:b/>
          <w:szCs w:val="32"/>
        </w:rPr>
      </w:pPr>
    </w:p>
    <w:p w14:paraId="2D5B7E4A"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  <w:bookmarkStart w:id="0" w:name="_GoBack"/>
      <w:r>
        <w:rPr>
          <w:rFonts w:hint="eastAsia" w:ascii="TimesNewRoman" w:hAnsi="TimesNewRoman" w:eastAsia="华文中宋" w:cs="TimesNewRoman"/>
          <w:b/>
          <w:sz w:val="36"/>
          <w:szCs w:val="36"/>
        </w:rPr>
        <w:t>濉溪县融媒体中心</w:t>
      </w:r>
      <w:r>
        <w:rPr>
          <w:rFonts w:ascii="TimesNewRoman" w:hAnsi="TimesNewRoman" w:eastAsia="华文中宋" w:cs="TimesNewRoman"/>
          <w:b/>
          <w:sz w:val="36"/>
          <w:szCs w:val="36"/>
        </w:rPr>
        <w:t>202</w:t>
      </w:r>
      <w:r>
        <w:rPr>
          <w:rFonts w:ascii="TimesNewRoman" w:hAnsi="TimesNewRoman" w:eastAsia="华文中宋" w:cs="TimesNewRoman"/>
          <w:b/>
          <w:sz w:val="36"/>
          <w:szCs w:val="36"/>
          <w:lang w:val="en"/>
        </w:rPr>
        <w:t>3</w:t>
      </w:r>
      <w:r>
        <w:rPr>
          <w:rFonts w:ascii="TimesNewRoman" w:hAnsi="TimesNewRoman" w:eastAsia="华文中宋" w:cs="TimesNewRoman"/>
          <w:b/>
          <w:sz w:val="36"/>
          <w:szCs w:val="36"/>
        </w:rPr>
        <w:t>年一般公共</w:t>
      </w:r>
    </w:p>
    <w:p w14:paraId="4BAD03FA"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  <w:r>
        <w:rPr>
          <w:rFonts w:ascii="TimesNewRoman" w:hAnsi="TimesNewRoman" w:eastAsia="华文中宋" w:cs="TimesNewRoman"/>
          <w:b/>
          <w:sz w:val="36"/>
          <w:szCs w:val="36"/>
        </w:rPr>
        <w:t>预算“三公”经费预算</w:t>
      </w:r>
    </w:p>
    <w:bookmarkEnd w:id="0"/>
    <w:p w14:paraId="01926C11">
      <w:pPr>
        <w:spacing w:line="560" w:lineRule="exact"/>
        <w:rPr>
          <w:rFonts w:ascii="TimesNewRoman" w:hAnsi="TimesNewRoman" w:cs="TimesNewRoman"/>
          <w:sz w:val="6"/>
          <w:szCs w:val="32"/>
        </w:rPr>
      </w:pPr>
    </w:p>
    <w:p w14:paraId="2B80ED2D">
      <w:pPr>
        <w:spacing w:line="560" w:lineRule="exact"/>
        <w:ind w:firstLine="640" w:firstLineChars="200"/>
        <w:outlineLvl w:val="0"/>
        <w:rPr>
          <w:rStyle w:val="10"/>
          <w:rFonts w:ascii="TimesNewRoman" w:hAnsi="TimesNewRoman" w:eastAsia="黑体" w:cs="TimesNewRoman"/>
          <w:b w:val="0"/>
          <w:bCs w:val="0"/>
          <w:sz w:val="32"/>
          <w:szCs w:val="32"/>
        </w:rPr>
      </w:pPr>
      <w:r>
        <w:rPr>
          <w:rFonts w:ascii="TimesNewRoman" w:hAnsi="TimesNewRoman" w:eastAsia="黑体" w:cs="TimesNewRoman"/>
          <w:sz w:val="32"/>
          <w:szCs w:val="32"/>
        </w:rPr>
        <w:t>一、202</w:t>
      </w:r>
      <w:r>
        <w:rPr>
          <w:rFonts w:ascii="TimesNewRoman" w:hAnsi="TimesNewRoman" w:eastAsia="黑体" w:cs="TimesNewRoman"/>
          <w:sz w:val="32"/>
          <w:szCs w:val="32"/>
          <w:lang w:val="en"/>
        </w:rPr>
        <w:t>3</w:t>
      </w:r>
      <w:r>
        <w:rPr>
          <w:rFonts w:ascii="TimesNewRoman" w:hAnsi="TimesNewRoman" w:eastAsia="黑体" w:cs="TimesNewRoman"/>
          <w:sz w:val="32"/>
          <w:szCs w:val="32"/>
        </w:rPr>
        <w:t>年一般公共预算“三公”经费支出预算表</w:t>
      </w:r>
    </w:p>
    <w:p w14:paraId="60DA3BB9">
      <w:pPr>
        <w:wordWrap w:val="0"/>
        <w:adjustRightInd w:val="0"/>
        <w:snapToGrid w:val="0"/>
        <w:spacing w:line="560" w:lineRule="exact"/>
        <w:ind w:firstLine="411" w:firstLineChars="196"/>
        <w:jc w:val="right"/>
        <w:rPr>
          <w:rStyle w:val="10"/>
          <w:rFonts w:ascii="TimesNewRoman" w:hAnsi="TimesNewRoman" w:cs="TimesNewRoman"/>
          <w:b w:val="0"/>
          <w:bCs w:val="0"/>
          <w:szCs w:val="21"/>
        </w:rPr>
      </w:pPr>
      <w:r>
        <w:rPr>
          <w:rStyle w:val="10"/>
          <w:rFonts w:ascii="TimesNewRoman" w:hAnsi="TimesNewRoman" w:cs="TimesNewRoman"/>
          <w:b w:val="0"/>
          <w:bCs w:val="0"/>
          <w:szCs w:val="21"/>
        </w:rPr>
        <w:t xml:space="preserve">      单位：万元</w:t>
      </w:r>
    </w:p>
    <w:tbl>
      <w:tblPr>
        <w:tblStyle w:val="8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4D5E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60A5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B8AEB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AB6CA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79169D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 w14:paraId="69862993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 w14:paraId="4B44E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A61C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C38F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C07C0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3F7EF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76388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D0E75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 w14:paraId="700A1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3B031">
            <w:pPr>
              <w:widowControl/>
              <w:spacing w:line="560" w:lineRule="exact"/>
              <w:ind w:firstLine="330" w:firstLineChars="150"/>
              <w:jc w:val="center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  <w:t>3.88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6BCCB">
            <w:pPr>
              <w:widowControl/>
              <w:spacing w:line="560" w:lineRule="exact"/>
              <w:jc w:val="center"/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7C486">
            <w:pPr>
              <w:widowControl/>
              <w:spacing w:line="560" w:lineRule="exact"/>
              <w:jc w:val="center"/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  <w:t>2.88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AC58C">
            <w:pPr>
              <w:widowControl/>
              <w:spacing w:line="560" w:lineRule="exact"/>
              <w:ind w:firstLine="110" w:firstLineChars="50"/>
              <w:jc w:val="center"/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37D94">
            <w:pPr>
              <w:widowControl/>
              <w:spacing w:line="560" w:lineRule="exact"/>
              <w:ind w:firstLine="110" w:firstLineChars="50"/>
              <w:jc w:val="center"/>
              <w:rPr>
                <w:rFonts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  <w:t>2.88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9F3B1">
            <w:pPr>
              <w:widowControl/>
              <w:spacing w:line="560" w:lineRule="exact"/>
              <w:jc w:val="center"/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</w:rPr>
              <w:t>1</w:t>
            </w:r>
          </w:p>
        </w:tc>
      </w:tr>
    </w:tbl>
    <w:p w14:paraId="5D3F1475">
      <w:pPr>
        <w:spacing w:line="560" w:lineRule="exact"/>
        <w:outlineLvl w:val="0"/>
        <w:rPr>
          <w:rFonts w:ascii="TimesNewRoman" w:hAnsi="TimesNewRoman" w:eastAsia="黑体" w:cs="TimesNewRoman"/>
          <w:szCs w:val="32"/>
        </w:rPr>
      </w:pPr>
    </w:p>
    <w:p w14:paraId="1FC378D1"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sz w:val="32"/>
          <w:szCs w:val="32"/>
        </w:rPr>
      </w:pPr>
      <w:r>
        <w:rPr>
          <w:rFonts w:ascii="TimesNewRoman" w:hAnsi="TimesNewRoman" w:eastAsia="黑体" w:cs="TimesNewRoman"/>
          <w:sz w:val="32"/>
          <w:szCs w:val="32"/>
        </w:rPr>
        <w:t>二、2023年一般公共预算“三公”经费支出预算情况说明</w:t>
      </w:r>
    </w:p>
    <w:p w14:paraId="34AC652F">
      <w:pPr>
        <w:pStyle w:val="7"/>
        <w:adjustRightInd w:val="0"/>
        <w:snapToGrid w:val="0"/>
        <w:spacing w:line="560" w:lineRule="exact"/>
        <w:ind w:firstLine="640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sz w:val="32"/>
          <w:szCs w:val="32"/>
        </w:rPr>
        <w:t>濉溪县融媒体中心</w:t>
      </w:r>
      <w:r>
        <w:rPr>
          <w:rFonts w:ascii="TimesNewRoman" w:hAnsi="TimesNewRoman" w:eastAsia="仿宋_GB2312" w:cs="TimesNewRoman"/>
          <w:sz w:val="32"/>
          <w:szCs w:val="32"/>
        </w:rPr>
        <w:t>2023年一般公共预算“三公”经费支出预算为</w:t>
      </w:r>
      <w:r>
        <w:rPr>
          <w:rFonts w:hint="eastAsia" w:ascii="TimesNewRoman" w:hAnsi="TimesNewRoman" w:eastAsia="仿宋_GB2312" w:cs="TimesNewRoman"/>
          <w:sz w:val="32"/>
          <w:szCs w:val="32"/>
        </w:rPr>
        <w:t>3.88</w:t>
      </w:r>
      <w:r>
        <w:rPr>
          <w:rFonts w:ascii="TimesNewRoman" w:hAnsi="TimesNewRoman" w:eastAsia="仿宋_GB2312" w:cs="TimesNewRoman"/>
          <w:sz w:val="32"/>
          <w:szCs w:val="32"/>
        </w:rPr>
        <w:t>万元，其中：公务接待费支出预算为</w:t>
      </w:r>
      <w:r>
        <w:rPr>
          <w:rFonts w:hint="eastAsia" w:ascii="TimesNewRoman" w:hAnsi="TimesNewRoman" w:eastAsia="仿宋_GB2312" w:cs="TimesNewRoman"/>
          <w:sz w:val="32"/>
          <w:szCs w:val="32"/>
        </w:rPr>
        <w:t>1</w:t>
      </w:r>
      <w:r>
        <w:rPr>
          <w:rFonts w:ascii="TimesNewRoman" w:hAnsi="TimesNewRoman" w:eastAsia="仿宋_GB2312" w:cs="TimesNewRoman"/>
          <w:sz w:val="32"/>
          <w:szCs w:val="32"/>
        </w:rPr>
        <w:t>万元，公务用车购置及运行费支出预算为</w:t>
      </w:r>
      <w:r>
        <w:rPr>
          <w:rFonts w:hint="eastAsia" w:ascii="TimesNewRoman" w:hAnsi="TimesNewRoman" w:eastAsia="仿宋_GB2312" w:cs="TimesNewRoman"/>
          <w:sz w:val="32"/>
          <w:szCs w:val="32"/>
        </w:rPr>
        <w:t>2.88</w:t>
      </w:r>
      <w:r>
        <w:rPr>
          <w:rFonts w:ascii="TimesNewRoman" w:hAnsi="TimesNewRoman" w:eastAsia="仿宋_GB2312" w:cs="TimesNewRoman"/>
          <w:sz w:val="32"/>
          <w:szCs w:val="32"/>
        </w:rPr>
        <w:t>万元。具体情况如下：</w:t>
      </w:r>
    </w:p>
    <w:p w14:paraId="5456CC40">
      <w:pPr>
        <w:pStyle w:val="7"/>
        <w:adjustRightInd w:val="0"/>
        <w:snapToGrid w:val="0"/>
        <w:spacing w:before="0" w:beforeAutospacing="0" w:after="0" w:afterAutospacing="0" w:line="58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TimesNewRoman" w:eastAsia="仿宋_GB2312" w:cs="TimesNewRoman"/>
          <w:b/>
          <w:sz w:val="32"/>
          <w:szCs w:val="32"/>
        </w:rPr>
        <w:t>（一）因公出国（境）费</w:t>
      </w:r>
      <w:r>
        <w:rPr>
          <w:rFonts w:ascii="仿宋_GB2312" w:hAnsi="TimesNewRoman" w:eastAsia="仿宋_GB2312" w:cs="TimesNewRoman"/>
          <w:sz w:val="32"/>
          <w:szCs w:val="32"/>
        </w:rPr>
        <w:t>支出预算</w:t>
      </w:r>
      <w:r>
        <w:rPr>
          <w:rFonts w:hint="eastAsia" w:ascii="仿宋_GB2312" w:hAnsi="仿宋" w:eastAsia="仿宋_GB2312"/>
          <w:sz w:val="32"/>
          <w:szCs w:val="32"/>
        </w:rPr>
        <w:t>0万元, 与2022年预算相比无变化，原因主要是厉行节约，严控因公出国（境）事项。</w:t>
      </w:r>
    </w:p>
    <w:p w14:paraId="3AEBC5EF">
      <w:pPr>
        <w:pStyle w:val="7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TimesNewRoman" w:eastAsia="仿宋_GB2312" w:cs="TimesNewRoman"/>
          <w:b/>
          <w:sz w:val="32"/>
          <w:szCs w:val="32"/>
        </w:rPr>
        <w:t>（二）公务用车购置及运行费</w:t>
      </w:r>
      <w:r>
        <w:rPr>
          <w:rFonts w:ascii="仿宋_GB2312" w:hAnsi="TimesNewRoman" w:eastAsia="仿宋_GB2312" w:cs="TimesNewRoman"/>
          <w:sz w:val="32"/>
          <w:szCs w:val="32"/>
        </w:rPr>
        <w:t>支出预算</w:t>
      </w:r>
      <w:r>
        <w:rPr>
          <w:rFonts w:hint="eastAsia" w:ascii="仿宋_GB2312" w:hAnsi="仿宋" w:eastAsia="仿宋_GB2312"/>
          <w:sz w:val="32"/>
          <w:szCs w:val="32"/>
        </w:rPr>
        <w:t>2.88万元，与2022年预算相比无变化。其中：公务用车运行费2.88万元，与2022</w:t>
      </w:r>
      <w:r>
        <w:rPr>
          <w:rFonts w:hint="eastAsia" w:ascii="仿宋_GB2312" w:eastAsia="仿宋_GB2312"/>
          <w:sz w:val="32"/>
          <w:szCs w:val="32"/>
        </w:rPr>
        <w:t>年预算相比无变化，</w:t>
      </w:r>
      <w:r>
        <w:rPr>
          <w:rFonts w:hint="eastAsia" w:ascii="仿宋_GB2312" w:hAnsi="仿宋" w:eastAsia="仿宋_GB2312"/>
          <w:sz w:val="32"/>
          <w:szCs w:val="32"/>
        </w:rPr>
        <w:t>原因主要是严格</w:t>
      </w:r>
      <w:r>
        <w:rPr>
          <w:rFonts w:hint="eastAsia" w:ascii="仿宋_GB2312" w:eastAsia="仿宋_GB2312"/>
          <w:sz w:val="32"/>
          <w:szCs w:val="32"/>
        </w:rPr>
        <w:t>落实公务用车制度改革的各项要求，节约公务用车运行费。公务用车购置费0万元，与2022年预算相比无变化，主要原因是</w:t>
      </w:r>
      <w:r>
        <w:rPr>
          <w:rFonts w:hint="eastAsia" w:ascii="仿宋_GB2312" w:hAnsi="仿宋" w:eastAsia="仿宋_GB2312"/>
          <w:sz w:val="32"/>
          <w:szCs w:val="32"/>
        </w:rPr>
        <w:t>严格</w:t>
      </w:r>
      <w:r>
        <w:rPr>
          <w:rFonts w:hint="eastAsia" w:ascii="仿宋_GB2312" w:eastAsia="仿宋_GB2312"/>
          <w:sz w:val="32"/>
          <w:szCs w:val="32"/>
        </w:rPr>
        <w:t>落实公务用车制度改革政策要求，部门无购置车辆计划。</w:t>
      </w:r>
    </w:p>
    <w:p w14:paraId="66EB7B7A">
      <w:pPr>
        <w:pStyle w:val="7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（三）公务接待费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</w:rPr>
        <w:t>1</w:t>
      </w:r>
      <w:r>
        <w:rPr>
          <w:rFonts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与2022年预算相比无变化。原因主要从严控制行政性公共消费。</w:t>
      </w:r>
      <w:r>
        <w:rPr>
          <w:rFonts w:ascii="TimesNewRoman" w:hAnsi="TimesNewRoman" w:eastAsia="仿宋_GB2312" w:cs="TimesNewRoman"/>
          <w:sz w:val="32"/>
          <w:szCs w:val="32"/>
        </w:rPr>
        <w:t>该项经费主要用于</w:t>
      </w:r>
      <w:r>
        <w:rPr>
          <w:rFonts w:hint="eastAsia" w:ascii="TimesNewRoman" w:hAnsi="TimesNewRoman" w:eastAsia="仿宋_GB2312" w:cs="TimesNewRoman"/>
          <w:sz w:val="32"/>
          <w:szCs w:val="32"/>
        </w:rPr>
        <w:t>公务接待费用</w:t>
      </w:r>
      <w:r>
        <w:rPr>
          <w:rFonts w:ascii="TimesNewRoman" w:hAnsi="TimesNewRoman" w:eastAsia="仿宋_GB2312" w:cs="TimesNewRoman"/>
          <w:sz w:val="32"/>
          <w:szCs w:val="32"/>
        </w:rPr>
        <w:t>。</w:t>
      </w:r>
      <w:r>
        <w:rPr>
          <w:rFonts w:hint="eastAsia" w:ascii="TimesNewRoman" w:hAnsi="TimesNewRoman" w:eastAsia="仿宋_GB2312" w:cs="TimesNewRoman"/>
          <w:sz w:val="32"/>
          <w:szCs w:val="32"/>
        </w:rPr>
        <w:t>经费使用严格省委省政府30条、市委市政府20条要求，以及《党政机关厉行节约反对浪费条例》（中发〔2013〕13号）和《淮北市市直单位接待经费管理暂行办法》（财行〔2013〕133号）等文件规定执行。</w:t>
      </w:r>
    </w:p>
    <w:p w14:paraId="3A05E9BF">
      <w:pPr>
        <w:rPr>
          <w:rFonts w:hint="eastAsia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NewRoman">
    <w:altName w:val="Times New Roman"/>
    <w:panose1 w:val="00000000000000000000"/>
    <w:charset w:val="00"/>
    <w:family w:val="auto"/>
    <w:pitch w:val="default"/>
    <w:sig w:usb0="00000000" w:usb1="D00078FF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1176A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2</w:t>
    </w:r>
    <w:r>
      <w:fldChar w:fldCharType="end"/>
    </w:r>
  </w:p>
  <w:p w14:paraId="429B3B3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12C1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15D343E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UxYTEyNGYzYTVmNjNiMzcwYzYxODQ5ZjIxOTgifQ=="/>
  </w:docVars>
  <w:rsids>
    <w:rsidRoot w:val="00613303"/>
    <w:rsid w:val="000130CE"/>
    <w:rsid w:val="00016855"/>
    <w:rsid w:val="0002757D"/>
    <w:rsid w:val="000A3684"/>
    <w:rsid w:val="000E1B2E"/>
    <w:rsid w:val="000E3A45"/>
    <w:rsid w:val="000F105B"/>
    <w:rsid w:val="00150DA2"/>
    <w:rsid w:val="001B102E"/>
    <w:rsid w:val="00207E9C"/>
    <w:rsid w:val="0024544B"/>
    <w:rsid w:val="00250486"/>
    <w:rsid w:val="002541F6"/>
    <w:rsid w:val="0026609D"/>
    <w:rsid w:val="00274FF1"/>
    <w:rsid w:val="00284149"/>
    <w:rsid w:val="002B4538"/>
    <w:rsid w:val="002D1C05"/>
    <w:rsid w:val="002D5320"/>
    <w:rsid w:val="002E008F"/>
    <w:rsid w:val="002F37BE"/>
    <w:rsid w:val="00362C19"/>
    <w:rsid w:val="0037184F"/>
    <w:rsid w:val="00377C18"/>
    <w:rsid w:val="003815D7"/>
    <w:rsid w:val="003A6352"/>
    <w:rsid w:val="003A6571"/>
    <w:rsid w:val="003F00BC"/>
    <w:rsid w:val="003F72AF"/>
    <w:rsid w:val="00421095"/>
    <w:rsid w:val="0042256A"/>
    <w:rsid w:val="0045642A"/>
    <w:rsid w:val="004A5BAE"/>
    <w:rsid w:val="004D530D"/>
    <w:rsid w:val="005026B4"/>
    <w:rsid w:val="00553F40"/>
    <w:rsid w:val="005669DB"/>
    <w:rsid w:val="0058632A"/>
    <w:rsid w:val="00593699"/>
    <w:rsid w:val="00596209"/>
    <w:rsid w:val="00597526"/>
    <w:rsid w:val="005A111E"/>
    <w:rsid w:val="005D457A"/>
    <w:rsid w:val="00613303"/>
    <w:rsid w:val="0063323C"/>
    <w:rsid w:val="00650CE0"/>
    <w:rsid w:val="00652344"/>
    <w:rsid w:val="006A15F8"/>
    <w:rsid w:val="006A4576"/>
    <w:rsid w:val="006B78A0"/>
    <w:rsid w:val="006E7CEE"/>
    <w:rsid w:val="007104B6"/>
    <w:rsid w:val="00722C62"/>
    <w:rsid w:val="00776111"/>
    <w:rsid w:val="00776D3D"/>
    <w:rsid w:val="007872B7"/>
    <w:rsid w:val="007910CD"/>
    <w:rsid w:val="007A66E3"/>
    <w:rsid w:val="007B58DC"/>
    <w:rsid w:val="007C2413"/>
    <w:rsid w:val="007F1805"/>
    <w:rsid w:val="007F4C7F"/>
    <w:rsid w:val="007F4E14"/>
    <w:rsid w:val="00813D16"/>
    <w:rsid w:val="0083559A"/>
    <w:rsid w:val="0084771D"/>
    <w:rsid w:val="008701C8"/>
    <w:rsid w:val="00871052"/>
    <w:rsid w:val="008960D6"/>
    <w:rsid w:val="008B18E1"/>
    <w:rsid w:val="008D049D"/>
    <w:rsid w:val="008D303D"/>
    <w:rsid w:val="008E2371"/>
    <w:rsid w:val="009015CF"/>
    <w:rsid w:val="00920E85"/>
    <w:rsid w:val="0094514A"/>
    <w:rsid w:val="00992C83"/>
    <w:rsid w:val="009C3F7D"/>
    <w:rsid w:val="009E1B02"/>
    <w:rsid w:val="00A02978"/>
    <w:rsid w:val="00A20CEC"/>
    <w:rsid w:val="00A219EE"/>
    <w:rsid w:val="00A4367B"/>
    <w:rsid w:val="00A83D5C"/>
    <w:rsid w:val="00A87574"/>
    <w:rsid w:val="00A94372"/>
    <w:rsid w:val="00B30EAE"/>
    <w:rsid w:val="00B508C0"/>
    <w:rsid w:val="00B80094"/>
    <w:rsid w:val="00B93016"/>
    <w:rsid w:val="00BD1A91"/>
    <w:rsid w:val="00C11D41"/>
    <w:rsid w:val="00C33FDA"/>
    <w:rsid w:val="00C34B66"/>
    <w:rsid w:val="00C718AF"/>
    <w:rsid w:val="00C830B5"/>
    <w:rsid w:val="00C83F16"/>
    <w:rsid w:val="00C8793A"/>
    <w:rsid w:val="00C92567"/>
    <w:rsid w:val="00CA0D84"/>
    <w:rsid w:val="00CE4F04"/>
    <w:rsid w:val="00D1516C"/>
    <w:rsid w:val="00D435A9"/>
    <w:rsid w:val="00D50CC8"/>
    <w:rsid w:val="00DA2FE2"/>
    <w:rsid w:val="00DD2019"/>
    <w:rsid w:val="00DD3646"/>
    <w:rsid w:val="00E05EDA"/>
    <w:rsid w:val="00E065A8"/>
    <w:rsid w:val="00E20A28"/>
    <w:rsid w:val="00E30E1F"/>
    <w:rsid w:val="00E44A11"/>
    <w:rsid w:val="00E465A9"/>
    <w:rsid w:val="00E6116A"/>
    <w:rsid w:val="00E75CF6"/>
    <w:rsid w:val="00E80B83"/>
    <w:rsid w:val="00E83395"/>
    <w:rsid w:val="00E93E77"/>
    <w:rsid w:val="00E94A6E"/>
    <w:rsid w:val="00EA30A3"/>
    <w:rsid w:val="00EB4069"/>
    <w:rsid w:val="00F0132E"/>
    <w:rsid w:val="00F01971"/>
    <w:rsid w:val="00F11F26"/>
    <w:rsid w:val="00F20611"/>
    <w:rsid w:val="00F44496"/>
    <w:rsid w:val="00F46C1F"/>
    <w:rsid w:val="2C123314"/>
    <w:rsid w:val="3B1A7CBC"/>
    <w:rsid w:val="475F62BE"/>
    <w:rsid w:val="7D622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Plain Text"/>
    <w:basedOn w:val="1"/>
    <w:semiHidden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customStyle="1" w:styleId="12">
    <w:name w:val="页脚 Char"/>
    <w:link w:val="5"/>
    <w:semiHidden/>
    <w:uiPriority w:val="99"/>
    <w:rPr>
      <w:sz w:val="18"/>
      <w:szCs w:val="18"/>
    </w:rPr>
  </w:style>
  <w:style w:type="character" w:customStyle="1" w:styleId="13">
    <w:name w:val="页眉 Char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555</Words>
  <Characters>614</Characters>
  <Lines>4</Lines>
  <Paragraphs>1</Paragraphs>
  <TotalTime>0</TotalTime>
  <ScaleCrop>false</ScaleCrop>
  <LinksUpToDate>false</LinksUpToDate>
  <CharactersWithSpaces>621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2015-02-26T03:04:00Z</dcterms:created>
  <dc:creator>q</dc:creator>
  <cp:lastModifiedBy>Administrator</cp:lastModifiedBy>
  <cp:lastPrinted>2018-02-01T03:15:00Z</cp:lastPrinted>
  <dcterms:modified xsi:type="dcterms:W3CDTF">2025-08-19T08:53:00Z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CC668068A16D4B66BF228CE73D3287D0_13</vt:lpwstr>
  </property>
  <property fmtid="{D5CDD505-2E9C-101B-9397-08002B2CF9AE}" pid="4" name="KSOTemplateDocerSaveRecord">
    <vt:lpwstr>eyJoZGlkIjoiYWEzZjA4YjJmYmIyMTM0YTIwMzEyMGVlY2NjNmE4N2UifQ==</vt:lpwstr>
  </property>
</Properties>
</file>