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E6716">
      <w:pPr>
        <w:jc w:val="center"/>
        <w:rPr>
          <w:rFonts w:ascii="宋体" w:hAnsi="宋体"/>
          <w:b/>
          <w:sz w:val="36"/>
          <w:szCs w:val="36"/>
        </w:rPr>
      </w:pPr>
      <w:bookmarkStart w:id="0" w:name="_GoBack"/>
      <w:r>
        <w:rPr>
          <w:rFonts w:hint="eastAsia" w:ascii="宋体" w:hAnsi="宋体"/>
          <w:b/>
          <w:sz w:val="36"/>
          <w:szCs w:val="36"/>
        </w:rPr>
        <w:t>濉溪县融媒体中心2022</w:t>
      </w:r>
      <w:r>
        <w:rPr>
          <w:rFonts w:ascii="宋体" w:hAnsi="宋体"/>
          <w:b/>
          <w:sz w:val="36"/>
          <w:szCs w:val="36"/>
        </w:rPr>
        <w:t>年</w:t>
      </w:r>
      <w:r>
        <w:rPr>
          <w:rFonts w:hint="eastAsia" w:ascii="宋体" w:hAnsi="宋体"/>
          <w:b/>
          <w:sz w:val="36"/>
          <w:szCs w:val="36"/>
        </w:rPr>
        <w:t>度一般公共预算财政</w:t>
      </w:r>
    </w:p>
    <w:p w14:paraId="1F240CC5">
      <w:pPr>
        <w:jc w:val="center"/>
        <w:rPr>
          <w:rFonts w:ascii="宋体" w:hAnsi="宋体"/>
          <w:b/>
          <w:sz w:val="36"/>
          <w:szCs w:val="36"/>
        </w:rPr>
      </w:pPr>
      <w:r>
        <w:rPr>
          <w:rFonts w:hint="eastAsia" w:ascii="宋体" w:hAnsi="宋体"/>
          <w:b/>
          <w:sz w:val="36"/>
          <w:szCs w:val="36"/>
        </w:rPr>
        <w:t>拨款</w:t>
      </w:r>
      <w:r>
        <w:rPr>
          <w:rFonts w:ascii="宋体" w:hAnsi="宋体"/>
          <w:b/>
          <w:sz w:val="36"/>
          <w:szCs w:val="36"/>
        </w:rPr>
        <w:t>“三公</w:t>
      </w:r>
      <w:r>
        <w:rPr>
          <w:rFonts w:hint="eastAsia" w:ascii="宋体" w:hAnsi="宋体"/>
          <w:b/>
          <w:sz w:val="36"/>
          <w:szCs w:val="36"/>
        </w:rPr>
        <w:t>”</w:t>
      </w:r>
      <w:r>
        <w:rPr>
          <w:rFonts w:ascii="宋体" w:hAnsi="宋体"/>
          <w:b/>
          <w:sz w:val="36"/>
          <w:szCs w:val="36"/>
        </w:rPr>
        <w:t>经费</w:t>
      </w:r>
      <w:r>
        <w:rPr>
          <w:rFonts w:hint="eastAsia" w:ascii="宋体" w:hAnsi="宋体"/>
          <w:b/>
          <w:sz w:val="36"/>
          <w:szCs w:val="36"/>
        </w:rPr>
        <w:t>支出决算情况说明</w:t>
      </w:r>
      <w:bookmarkEnd w:id="0"/>
    </w:p>
    <w:p w14:paraId="18F628BC">
      <w:pPr>
        <w:jc w:val="center"/>
        <w:rPr>
          <w:rFonts w:ascii="楷体_GB2312" w:eastAsia="楷体_GB2312"/>
          <w:szCs w:val="32"/>
        </w:rPr>
      </w:pPr>
    </w:p>
    <w:p w14:paraId="633C8192">
      <w:pPr>
        <w:adjustRightInd w:val="0"/>
        <w:snapToGrid w:val="0"/>
        <w:spacing w:line="360" w:lineRule="auto"/>
        <w:jc w:val="center"/>
        <w:rPr>
          <w:rFonts w:ascii="宋体" w:hAnsi="宋体"/>
          <w:sz w:val="6"/>
          <w:szCs w:val="32"/>
        </w:rPr>
      </w:pPr>
    </w:p>
    <w:p w14:paraId="6FE26AE6">
      <w:pPr>
        <w:rPr>
          <w:rFonts w:ascii="黑体" w:hAnsi="黑体" w:eastAsia="黑体"/>
          <w:szCs w:val="32"/>
        </w:rPr>
      </w:pPr>
      <w:r>
        <w:rPr>
          <w:rFonts w:ascii="黑体" w:hAnsi="黑体" w:eastAsia="黑体"/>
          <w:szCs w:val="32"/>
        </w:rPr>
        <w:t xml:space="preserve">    </w:t>
      </w:r>
      <w:r>
        <w:rPr>
          <w:rFonts w:hint="eastAsia" w:ascii="黑体" w:hAnsi="黑体" w:eastAsia="黑体"/>
          <w:szCs w:val="32"/>
        </w:rPr>
        <w:t>一、2022年度一般公共预算财政拨款“三公”经费支出决算表</w:t>
      </w:r>
    </w:p>
    <w:p w14:paraId="06B2651C">
      <w:pPr>
        <w:ind w:firstLine="6720" w:firstLineChars="2100"/>
        <w:rPr>
          <w:rFonts w:ascii="黑体" w:hAnsi="黑体" w:eastAsia="黑体"/>
          <w:szCs w:val="32"/>
        </w:rPr>
      </w:pPr>
      <w:r>
        <w:rPr>
          <w:rFonts w:hint="eastAsia" w:ascii="仿宋_GB2312" w:hAnsi="仿宋_GB2312" w:cs="仿宋_GB2312"/>
          <w:szCs w:val="32"/>
        </w:rPr>
        <w:t>单位：万元</w:t>
      </w:r>
    </w:p>
    <w:tbl>
      <w:tblPr>
        <w:tblStyle w:val="4"/>
        <w:tblpPr w:leftFromText="180" w:rightFromText="180" w:vertAnchor="text" w:horzAnchor="margin" w:tblpY="454"/>
        <w:tblOverlap w:val="never"/>
        <w:tblW w:w="0" w:type="auto"/>
        <w:tblInd w:w="0" w:type="dxa"/>
        <w:tblLayout w:type="fixed"/>
        <w:tblCellMar>
          <w:top w:w="0" w:type="dxa"/>
          <w:left w:w="108" w:type="dxa"/>
          <w:bottom w:w="0" w:type="dxa"/>
          <w:right w:w="108" w:type="dxa"/>
        </w:tblCellMar>
      </w:tblPr>
      <w:tblGrid>
        <w:gridCol w:w="4379"/>
        <w:gridCol w:w="2157"/>
        <w:gridCol w:w="2220"/>
      </w:tblGrid>
      <w:tr w14:paraId="2A300FC0">
        <w:tblPrEx>
          <w:tblCellMar>
            <w:top w:w="0" w:type="dxa"/>
            <w:left w:w="108" w:type="dxa"/>
            <w:bottom w:w="0" w:type="dxa"/>
            <w:right w:w="108" w:type="dxa"/>
          </w:tblCellMar>
        </w:tblPrEx>
        <w:trPr>
          <w:trHeight w:val="397" w:hRule="atLeast"/>
        </w:trPr>
        <w:tc>
          <w:tcPr>
            <w:tcW w:w="4379" w:type="dxa"/>
            <w:tcBorders>
              <w:top w:val="single" w:color="auto" w:sz="4" w:space="0"/>
              <w:left w:val="single" w:color="auto" w:sz="4" w:space="0"/>
              <w:bottom w:val="single" w:color="auto" w:sz="4" w:space="0"/>
              <w:right w:val="single" w:color="auto" w:sz="4" w:space="0"/>
            </w:tcBorders>
            <w:vAlign w:val="center"/>
          </w:tcPr>
          <w:p w14:paraId="54A722D9">
            <w:pPr>
              <w:widowControl/>
              <w:jc w:val="center"/>
              <w:rPr>
                <w:rFonts w:ascii="宋体" w:hAnsi="宋体" w:cs="宋体"/>
                <w:b/>
                <w:bCs/>
                <w:kern w:val="0"/>
                <w:szCs w:val="21"/>
              </w:rPr>
            </w:pPr>
            <w:r>
              <w:rPr>
                <w:rFonts w:hint="eastAsia" w:ascii="宋体" w:hAnsi="宋体" w:cs="宋体"/>
                <w:b/>
                <w:bCs/>
                <w:kern w:val="0"/>
                <w:szCs w:val="21"/>
              </w:rPr>
              <w:t>项  目</w:t>
            </w:r>
          </w:p>
        </w:tc>
        <w:tc>
          <w:tcPr>
            <w:tcW w:w="2157" w:type="dxa"/>
            <w:tcBorders>
              <w:top w:val="single" w:color="auto" w:sz="4" w:space="0"/>
              <w:left w:val="nil"/>
              <w:bottom w:val="single" w:color="auto" w:sz="4" w:space="0"/>
              <w:right w:val="single" w:color="auto" w:sz="4" w:space="0"/>
            </w:tcBorders>
            <w:vAlign w:val="center"/>
          </w:tcPr>
          <w:p w14:paraId="28614FD3">
            <w:pPr>
              <w:widowControl/>
              <w:jc w:val="center"/>
              <w:rPr>
                <w:rFonts w:ascii="宋体" w:hAnsi="宋体" w:cs="宋体"/>
                <w:b/>
                <w:bCs/>
                <w:kern w:val="0"/>
                <w:szCs w:val="21"/>
              </w:rPr>
            </w:pPr>
            <w:r>
              <w:rPr>
                <w:rFonts w:hint="eastAsia" w:ascii="宋体" w:hAnsi="宋体" w:cs="宋体"/>
                <w:b/>
                <w:bCs/>
                <w:kern w:val="0"/>
                <w:szCs w:val="21"/>
              </w:rPr>
              <w:t>预 算 数</w:t>
            </w:r>
          </w:p>
        </w:tc>
        <w:tc>
          <w:tcPr>
            <w:tcW w:w="2220" w:type="dxa"/>
            <w:tcBorders>
              <w:top w:val="single" w:color="auto" w:sz="4" w:space="0"/>
              <w:left w:val="nil"/>
              <w:bottom w:val="single" w:color="auto" w:sz="4" w:space="0"/>
              <w:right w:val="single" w:color="auto" w:sz="4" w:space="0"/>
            </w:tcBorders>
            <w:vAlign w:val="center"/>
          </w:tcPr>
          <w:p w14:paraId="78C59CFA">
            <w:pPr>
              <w:widowControl/>
              <w:jc w:val="center"/>
              <w:rPr>
                <w:rFonts w:ascii="宋体" w:hAnsi="宋体" w:cs="宋体"/>
                <w:b/>
                <w:bCs/>
                <w:kern w:val="0"/>
                <w:szCs w:val="21"/>
              </w:rPr>
            </w:pPr>
            <w:r>
              <w:rPr>
                <w:rFonts w:hint="eastAsia" w:ascii="宋体" w:hAnsi="宋体" w:cs="宋体"/>
                <w:b/>
                <w:bCs/>
                <w:kern w:val="0"/>
                <w:szCs w:val="21"/>
              </w:rPr>
              <w:t>决 算 数</w:t>
            </w:r>
          </w:p>
        </w:tc>
      </w:tr>
      <w:tr w14:paraId="069A0856">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31745326">
            <w:pPr>
              <w:widowControl/>
              <w:jc w:val="center"/>
              <w:rPr>
                <w:rFonts w:ascii="宋体" w:hAnsi="宋体" w:cs="宋体"/>
                <w:b/>
                <w:bCs/>
                <w:kern w:val="0"/>
                <w:szCs w:val="21"/>
              </w:rPr>
            </w:pPr>
            <w:r>
              <w:rPr>
                <w:rFonts w:hint="eastAsia" w:ascii="宋体" w:hAnsi="宋体" w:cs="宋体"/>
                <w:b/>
                <w:bCs/>
                <w:kern w:val="0"/>
                <w:szCs w:val="21"/>
              </w:rPr>
              <w:t>合  计</w:t>
            </w:r>
          </w:p>
        </w:tc>
        <w:tc>
          <w:tcPr>
            <w:tcW w:w="2157" w:type="dxa"/>
            <w:tcBorders>
              <w:top w:val="nil"/>
              <w:left w:val="nil"/>
              <w:bottom w:val="single" w:color="auto" w:sz="4" w:space="0"/>
              <w:right w:val="single" w:color="auto" w:sz="4" w:space="0"/>
            </w:tcBorders>
            <w:vAlign w:val="center"/>
          </w:tcPr>
          <w:p w14:paraId="5E828CEF">
            <w:pPr>
              <w:widowControl/>
              <w:jc w:val="center"/>
              <w:rPr>
                <w:rFonts w:hint="default" w:ascii="宋体" w:hAnsi="宋体" w:eastAsia="仿宋_GB2312" w:cs="宋体"/>
                <w:b/>
                <w:bCs/>
                <w:kern w:val="0"/>
                <w:szCs w:val="21"/>
                <w:lang w:val="en-US" w:eastAsia="zh-CN"/>
              </w:rPr>
            </w:pPr>
            <w:r>
              <w:rPr>
                <w:rFonts w:hint="eastAsia" w:ascii="宋体" w:hAnsi="宋体" w:cs="宋体"/>
                <w:b/>
                <w:bCs/>
                <w:kern w:val="0"/>
                <w:szCs w:val="21"/>
                <w:lang w:val="en-US" w:eastAsia="zh-CN"/>
              </w:rPr>
              <w:t>3.88</w:t>
            </w:r>
          </w:p>
        </w:tc>
        <w:tc>
          <w:tcPr>
            <w:tcW w:w="2220" w:type="dxa"/>
            <w:tcBorders>
              <w:top w:val="nil"/>
              <w:left w:val="nil"/>
              <w:bottom w:val="single" w:color="auto" w:sz="4" w:space="0"/>
              <w:right w:val="single" w:color="auto" w:sz="4" w:space="0"/>
            </w:tcBorders>
            <w:vAlign w:val="center"/>
          </w:tcPr>
          <w:p w14:paraId="73B4C8E2">
            <w:pPr>
              <w:widowControl/>
              <w:jc w:val="center"/>
              <w:rPr>
                <w:rFonts w:ascii="宋体" w:hAnsi="宋体" w:cs="宋体"/>
                <w:b/>
                <w:bCs/>
                <w:kern w:val="0"/>
                <w:szCs w:val="21"/>
              </w:rPr>
            </w:pPr>
            <w:r>
              <w:rPr>
                <w:rFonts w:ascii="宋体" w:hAnsi="宋体" w:cs="宋体"/>
                <w:b/>
                <w:bCs/>
                <w:kern w:val="0"/>
                <w:szCs w:val="21"/>
              </w:rPr>
              <w:t>2.76</w:t>
            </w:r>
          </w:p>
        </w:tc>
      </w:tr>
      <w:tr w14:paraId="3FD108A4">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3A560B51">
            <w:pPr>
              <w:widowControl/>
              <w:jc w:val="left"/>
              <w:rPr>
                <w:rFonts w:ascii="宋体" w:hAnsi="宋体" w:cs="宋体"/>
                <w:kern w:val="0"/>
                <w:szCs w:val="21"/>
              </w:rPr>
            </w:pPr>
            <w:r>
              <w:rPr>
                <w:rFonts w:hint="eastAsia" w:ascii="宋体" w:hAnsi="宋体" w:cs="宋体"/>
                <w:kern w:val="0"/>
                <w:szCs w:val="21"/>
              </w:rPr>
              <w:t>因公出国（境）费</w:t>
            </w:r>
          </w:p>
        </w:tc>
        <w:tc>
          <w:tcPr>
            <w:tcW w:w="2157" w:type="dxa"/>
            <w:tcBorders>
              <w:top w:val="nil"/>
              <w:left w:val="nil"/>
              <w:bottom w:val="single" w:color="auto" w:sz="4" w:space="0"/>
              <w:right w:val="single" w:color="auto" w:sz="4" w:space="0"/>
            </w:tcBorders>
            <w:vAlign w:val="bottom"/>
          </w:tcPr>
          <w:p w14:paraId="1F015E86">
            <w:pPr>
              <w:widowControl/>
              <w:jc w:val="center"/>
              <w:rPr>
                <w:rFonts w:ascii="宋体" w:hAnsi="宋体" w:cs="宋体"/>
                <w:kern w:val="0"/>
                <w:szCs w:val="21"/>
              </w:rPr>
            </w:pPr>
          </w:p>
        </w:tc>
        <w:tc>
          <w:tcPr>
            <w:tcW w:w="2220" w:type="dxa"/>
            <w:tcBorders>
              <w:top w:val="nil"/>
              <w:left w:val="nil"/>
              <w:bottom w:val="single" w:color="auto" w:sz="4" w:space="0"/>
              <w:right w:val="single" w:color="auto" w:sz="4" w:space="0"/>
            </w:tcBorders>
            <w:vAlign w:val="bottom"/>
          </w:tcPr>
          <w:p w14:paraId="127E9597">
            <w:pPr>
              <w:widowControl/>
              <w:jc w:val="center"/>
              <w:rPr>
                <w:rFonts w:ascii="宋体" w:hAnsi="宋体" w:cs="宋体"/>
                <w:kern w:val="0"/>
                <w:szCs w:val="21"/>
              </w:rPr>
            </w:pPr>
          </w:p>
        </w:tc>
      </w:tr>
      <w:tr w14:paraId="58B18459">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22AECA48">
            <w:pPr>
              <w:widowControl/>
              <w:jc w:val="left"/>
              <w:rPr>
                <w:rFonts w:ascii="宋体" w:hAnsi="宋体" w:cs="宋体"/>
                <w:kern w:val="0"/>
                <w:szCs w:val="21"/>
              </w:rPr>
            </w:pPr>
            <w:r>
              <w:rPr>
                <w:rFonts w:hint="eastAsia" w:ascii="宋体" w:hAnsi="宋体" w:cs="宋体"/>
                <w:kern w:val="0"/>
                <w:szCs w:val="21"/>
              </w:rPr>
              <w:t>公务接待费</w:t>
            </w:r>
          </w:p>
        </w:tc>
        <w:tc>
          <w:tcPr>
            <w:tcW w:w="2157" w:type="dxa"/>
            <w:tcBorders>
              <w:top w:val="nil"/>
              <w:left w:val="nil"/>
              <w:bottom w:val="single" w:color="auto" w:sz="4" w:space="0"/>
              <w:right w:val="single" w:color="auto" w:sz="4" w:space="0"/>
            </w:tcBorders>
            <w:vAlign w:val="bottom"/>
          </w:tcPr>
          <w:p w14:paraId="37F2AD87">
            <w:pPr>
              <w:widowControl/>
              <w:jc w:val="center"/>
              <w:rPr>
                <w:rFonts w:hint="eastAsia" w:ascii="宋体" w:hAnsi="宋体" w:eastAsia="仿宋_GB2312" w:cs="宋体"/>
                <w:kern w:val="0"/>
                <w:szCs w:val="21"/>
                <w:lang w:val="en-US" w:eastAsia="zh-CN"/>
              </w:rPr>
            </w:pPr>
            <w:r>
              <w:rPr>
                <w:rFonts w:hint="eastAsia" w:ascii="宋体" w:hAnsi="宋体" w:cs="宋体"/>
                <w:kern w:val="0"/>
                <w:szCs w:val="21"/>
                <w:lang w:val="en-US" w:eastAsia="zh-CN"/>
              </w:rPr>
              <w:t>1</w:t>
            </w:r>
          </w:p>
        </w:tc>
        <w:tc>
          <w:tcPr>
            <w:tcW w:w="2220" w:type="dxa"/>
            <w:tcBorders>
              <w:top w:val="nil"/>
              <w:left w:val="nil"/>
              <w:bottom w:val="single" w:color="auto" w:sz="4" w:space="0"/>
              <w:right w:val="single" w:color="auto" w:sz="4" w:space="0"/>
            </w:tcBorders>
            <w:vAlign w:val="bottom"/>
          </w:tcPr>
          <w:p w14:paraId="396127E9">
            <w:pPr>
              <w:widowControl/>
              <w:jc w:val="center"/>
              <w:rPr>
                <w:rFonts w:ascii="宋体" w:hAnsi="宋体" w:cs="宋体"/>
                <w:kern w:val="0"/>
                <w:szCs w:val="21"/>
              </w:rPr>
            </w:pPr>
            <w:r>
              <w:t>0.</w:t>
            </w:r>
            <w:r>
              <w:rPr>
                <w:rFonts w:ascii="宋体" w:hAnsi="宋体" w:cs="宋体"/>
                <w:kern w:val="0"/>
                <w:szCs w:val="21"/>
              </w:rPr>
              <w:t>52</w:t>
            </w:r>
          </w:p>
        </w:tc>
      </w:tr>
      <w:tr w14:paraId="4A8CB981">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152CA28F">
            <w:pPr>
              <w:widowControl/>
              <w:jc w:val="left"/>
              <w:rPr>
                <w:rFonts w:ascii="宋体" w:hAnsi="宋体" w:cs="宋体"/>
                <w:kern w:val="0"/>
                <w:szCs w:val="21"/>
              </w:rPr>
            </w:pPr>
            <w:r>
              <w:rPr>
                <w:rFonts w:hint="eastAsia" w:ascii="宋体" w:hAnsi="宋体" w:cs="宋体"/>
                <w:kern w:val="0"/>
                <w:szCs w:val="21"/>
              </w:rPr>
              <w:t>公务用车购置及运行维护费</w:t>
            </w:r>
          </w:p>
        </w:tc>
        <w:tc>
          <w:tcPr>
            <w:tcW w:w="2157" w:type="dxa"/>
            <w:tcBorders>
              <w:top w:val="nil"/>
              <w:left w:val="nil"/>
              <w:bottom w:val="single" w:color="auto" w:sz="4" w:space="0"/>
              <w:right w:val="single" w:color="auto" w:sz="4" w:space="0"/>
            </w:tcBorders>
            <w:vAlign w:val="bottom"/>
          </w:tcPr>
          <w:p w14:paraId="11D8D437">
            <w:pPr>
              <w:widowControl/>
              <w:jc w:val="center"/>
              <w:rPr>
                <w:rFonts w:hint="default" w:ascii="宋体" w:hAnsi="宋体" w:eastAsia="仿宋_GB2312" w:cs="宋体"/>
                <w:kern w:val="0"/>
                <w:szCs w:val="21"/>
                <w:lang w:val="en-US" w:eastAsia="zh-CN"/>
              </w:rPr>
            </w:pPr>
            <w:r>
              <w:rPr>
                <w:rFonts w:hint="eastAsia" w:ascii="宋体" w:hAnsi="宋体" w:cs="宋体"/>
                <w:kern w:val="0"/>
                <w:szCs w:val="21"/>
                <w:lang w:val="en-US" w:eastAsia="zh-CN"/>
              </w:rPr>
              <w:t>2.88</w:t>
            </w:r>
          </w:p>
        </w:tc>
        <w:tc>
          <w:tcPr>
            <w:tcW w:w="2220" w:type="dxa"/>
            <w:tcBorders>
              <w:top w:val="nil"/>
              <w:left w:val="nil"/>
              <w:bottom w:val="single" w:color="auto" w:sz="4" w:space="0"/>
              <w:right w:val="single" w:color="auto" w:sz="4" w:space="0"/>
            </w:tcBorders>
            <w:vAlign w:val="bottom"/>
          </w:tcPr>
          <w:p w14:paraId="0836C5C7">
            <w:pPr>
              <w:widowControl/>
              <w:jc w:val="center"/>
              <w:rPr>
                <w:rFonts w:hint="eastAsia" w:ascii="宋体" w:hAnsi="宋体" w:cs="宋体"/>
                <w:kern w:val="0"/>
                <w:szCs w:val="21"/>
              </w:rPr>
            </w:pPr>
            <w:r>
              <w:rPr>
                <w:rFonts w:ascii="宋体" w:hAnsi="宋体" w:cs="宋体"/>
                <w:kern w:val="0"/>
                <w:szCs w:val="21"/>
              </w:rPr>
              <w:t>2.24</w:t>
            </w:r>
          </w:p>
        </w:tc>
      </w:tr>
      <w:tr w14:paraId="0F53427E">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3E8766BA">
            <w:pPr>
              <w:widowControl/>
              <w:jc w:val="left"/>
              <w:rPr>
                <w:rFonts w:ascii="宋体" w:hAnsi="宋体" w:cs="宋体"/>
                <w:kern w:val="0"/>
                <w:szCs w:val="21"/>
              </w:rPr>
            </w:pPr>
            <w:r>
              <w:rPr>
                <w:rFonts w:hint="eastAsia" w:ascii="宋体" w:hAnsi="宋体" w:cs="宋体"/>
                <w:kern w:val="0"/>
                <w:szCs w:val="21"/>
              </w:rPr>
              <w:t xml:space="preserve">  其中：公务用车购置费 </w:t>
            </w:r>
          </w:p>
        </w:tc>
        <w:tc>
          <w:tcPr>
            <w:tcW w:w="2157" w:type="dxa"/>
            <w:tcBorders>
              <w:top w:val="nil"/>
              <w:left w:val="nil"/>
              <w:bottom w:val="single" w:color="auto" w:sz="4" w:space="0"/>
              <w:right w:val="single" w:color="auto" w:sz="4" w:space="0"/>
            </w:tcBorders>
            <w:vAlign w:val="bottom"/>
          </w:tcPr>
          <w:p w14:paraId="0B70AE07">
            <w:pPr>
              <w:widowControl/>
              <w:jc w:val="center"/>
              <w:rPr>
                <w:rFonts w:ascii="宋体" w:hAnsi="宋体" w:cs="宋体"/>
                <w:kern w:val="0"/>
                <w:szCs w:val="21"/>
              </w:rPr>
            </w:pPr>
          </w:p>
        </w:tc>
        <w:tc>
          <w:tcPr>
            <w:tcW w:w="2220" w:type="dxa"/>
            <w:tcBorders>
              <w:top w:val="nil"/>
              <w:left w:val="nil"/>
              <w:bottom w:val="single" w:color="auto" w:sz="4" w:space="0"/>
              <w:right w:val="single" w:color="auto" w:sz="4" w:space="0"/>
            </w:tcBorders>
            <w:vAlign w:val="bottom"/>
          </w:tcPr>
          <w:p w14:paraId="020071A9">
            <w:pPr>
              <w:widowControl/>
              <w:jc w:val="center"/>
              <w:rPr>
                <w:rFonts w:ascii="宋体" w:hAnsi="宋体" w:cs="宋体"/>
                <w:kern w:val="0"/>
                <w:szCs w:val="21"/>
              </w:rPr>
            </w:pPr>
          </w:p>
        </w:tc>
      </w:tr>
      <w:tr w14:paraId="6F45CDAA">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491587DE">
            <w:pPr>
              <w:widowControl/>
              <w:jc w:val="left"/>
              <w:rPr>
                <w:rFonts w:ascii="宋体" w:hAnsi="宋体" w:cs="宋体"/>
                <w:kern w:val="0"/>
                <w:szCs w:val="21"/>
              </w:rPr>
            </w:pPr>
            <w:r>
              <w:rPr>
                <w:rFonts w:hint="eastAsia" w:ascii="宋体" w:hAnsi="宋体" w:cs="宋体"/>
                <w:kern w:val="0"/>
                <w:szCs w:val="21"/>
              </w:rPr>
              <w:t xml:space="preserve">        公务用车运行维护费</w:t>
            </w:r>
          </w:p>
        </w:tc>
        <w:tc>
          <w:tcPr>
            <w:tcW w:w="2157" w:type="dxa"/>
            <w:tcBorders>
              <w:top w:val="nil"/>
              <w:left w:val="nil"/>
              <w:bottom w:val="single" w:color="auto" w:sz="4" w:space="0"/>
              <w:right w:val="single" w:color="auto" w:sz="4" w:space="0"/>
            </w:tcBorders>
            <w:vAlign w:val="bottom"/>
          </w:tcPr>
          <w:p w14:paraId="1DBB7D61">
            <w:pPr>
              <w:widowControl/>
              <w:jc w:val="center"/>
              <w:rPr>
                <w:rFonts w:hint="default" w:ascii="宋体" w:hAnsi="宋体" w:eastAsia="仿宋_GB2312" w:cs="宋体"/>
                <w:kern w:val="0"/>
                <w:szCs w:val="21"/>
                <w:lang w:val="en-US" w:eastAsia="zh-CN"/>
              </w:rPr>
            </w:pPr>
            <w:r>
              <w:rPr>
                <w:rFonts w:hint="eastAsia" w:ascii="宋体" w:hAnsi="宋体" w:cs="宋体"/>
                <w:kern w:val="0"/>
                <w:szCs w:val="21"/>
                <w:lang w:val="en-US" w:eastAsia="zh-CN"/>
              </w:rPr>
              <w:t>2.88</w:t>
            </w:r>
          </w:p>
        </w:tc>
        <w:tc>
          <w:tcPr>
            <w:tcW w:w="2220" w:type="dxa"/>
            <w:tcBorders>
              <w:top w:val="nil"/>
              <w:left w:val="nil"/>
              <w:bottom w:val="single" w:color="auto" w:sz="4" w:space="0"/>
              <w:right w:val="single" w:color="auto" w:sz="4" w:space="0"/>
            </w:tcBorders>
            <w:vAlign w:val="bottom"/>
          </w:tcPr>
          <w:p w14:paraId="27282F67">
            <w:pPr>
              <w:widowControl/>
              <w:jc w:val="center"/>
              <w:rPr>
                <w:rFonts w:ascii="宋体" w:hAnsi="宋体" w:cs="宋体"/>
                <w:kern w:val="0"/>
                <w:szCs w:val="21"/>
              </w:rPr>
            </w:pPr>
            <w:r>
              <w:t>2.24</w:t>
            </w:r>
          </w:p>
        </w:tc>
      </w:tr>
    </w:tbl>
    <w:p w14:paraId="016E1DB7">
      <w:pPr>
        <w:ind w:firstLine="560" w:firstLineChars="200"/>
        <w:rPr>
          <w:rFonts w:ascii="黑体" w:hAnsi="黑体" w:eastAsia="黑体"/>
          <w:szCs w:val="32"/>
        </w:rPr>
      </w:pPr>
      <w:r>
        <w:rPr>
          <w:rFonts w:hint="eastAsia" w:ascii="宋体" w:hAnsi="宋体" w:cs="宋体"/>
          <w:kern w:val="0"/>
          <w:sz w:val="28"/>
          <w:szCs w:val="28"/>
        </w:rPr>
        <w:t xml:space="preserve">注：本表反映部门本年度“三公”经费支出预决算情况。其中，预算数为“三公”经费年初预算数，决算数是包括当年一般公共预算财政拨款和以前年度结转资金安排的实际支出；本表金额单位转换成万元时，因四舍五入可能存在尾数误差。    </w:t>
      </w:r>
      <w:r>
        <w:rPr>
          <w:rFonts w:hint="eastAsia" w:ascii="黑体" w:hAnsi="黑体" w:eastAsia="黑体"/>
          <w:szCs w:val="32"/>
        </w:rPr>
        <w:t xml:space="preserve">                                  </w:t>
      </w:r>
    </w:p>
    <w:p w14:paraId="5C7B79D4">
      <w:pPr>
        <w:rPr>
          <w:rFonts w:ascii="黑体" w:hAnsi="黑体" w:eastAsia="黑体"/>
          <w:szCs w:val="32"/>
        </w:rPr>
      </w:pPr>
      <w:r>
        <w:rPr>
          <w:rFonts w:ascii="黑体" w:hAnsi="黑体" w:eastAsia="黑体"/>
          <w:szCs w:val="32"/>
        </w:rPr>
        <w:t xml:space="preserve">    </w:t>
      </w:r>
      <w:r>
        <w:rPr>
          <w:rFonts w:hint="eastAsia" w:ascii="黑体" w:hAnsi="黑体" w:eastAsia="黑体"/>
          <w:szCs w:val="32"/>
        </w:rPr>
        <w:t>二</w:t>
      </w:r>
      <w:r>
        <w:rPr>
          <w:rFonts w:ascii="黑体" w:hAnsi="黑体" w:eastAsia="黑体"/>
          <w:szCs w:val="32"/>
        </w:rPr>
        <w:t>、</w:t>
      </w:r>
      <w:r>
        <w:rPr>
          <w:rFonts w:hint="eastAsia" w:ascii="黑体" w:hAnsi="黑体" w:eastAsia="黑体"/>
          <w:szCs w:val="32"/>
        </w:rPr>
        <w:t>2022</w:t>
      </w:r>
      <w:r>
        <w:rPr>
          <w:rFonts w:ascii="黑体" w:hAnsi="黑体" w:eastAsia="黑体"/>
          <w:szCs w:val="32"/>
        </w:rPr>
        <w:t>年</w:t>
      </w:r>
      <w:r>
        <w:rPr>
          <w:rFonts w:hint="eastAsia" w:ascii="黑体" w:hAnsi="黑体" w:eastAsia="黑体"/>
          <w:szCs w:val="32"/>
        </w:rPr>
        <w:t>度一般公共预算财政拨款“三公”经费支出</w:t>
      </w:r>
      <w:r>
        <w:rPr>
          <w:rFonts w:ascii="黑体" w:hAnsi="黑体" w:eastAsia="黑体"/>
          <w:szCs w:val="32"/>
        </w:rPr>
        <w:t>情况说明</w:t>
      </w:r>
    </w:p>
    <w:p w14:paraId="2AED9A4B">
      <w:pPr>
        <w:ind w:firstLine="643" w:firstLineChars="200"/>
        <w:rPr>
          <w:rFonts w:ascii="仿宋_GB2312" w:hAnsi="仿宋"/>
          <w:b/>
          <w:szCs w:val="32"/>
        </w:rPr>
      </w:pPr>
      <w:r>
        <w:rPr>
          <w:rFonts w:hint="eastAsia" w:ascii="仿宋_GB2312" w:hAnsi="仿宋"/>
          <w:b/>
          <w:szCs w:val="32"/>
        </w:rPr>
        <w:t>（一）一般公共预算财政拨款“三公”经费支出决算总体情况说明。</w:t>
      </w:r>
    </w:p>
    <w:p w14:paraId="50A21B5C">
      <w:pPr>
        <w:ind w:firstLine="640" w:firstLineChars="200"/>
        <w:rPr>
          <w:rFonts w:hint="eastAsia" w:ascii="仿宋_GB2312" w:hAnsi="仿宋"/>
          <w:color w:val="auto"/>
          <w:szCs w:val="32"/>
          <w:lang w:eastAsia="zh-CN"/>
        </w:rPr>
      </w:pPr>
      <w:r>
        <w:rPr>
          <w:rFonts w:hint="eastAsia" w:ascii="仿宋_GB2312" w:hAnsi="仿宋"/>
          <w:szCs w:val="32"/>
        </w:rPr>
        <w:t>濉溪县融媒体中心2022年度一般公共预算财政拨款“三公”经费支出预算为</w:t>
      </w:r>
      <w:r>
        <w:rPr>
          <w:rFonts w:hint="eastAsia" w:ascii="仿宋_GB2312" w:hAnsi="仿宋"/>
          <w:szCs w:val="32"/>
          <w:lang w:val="en-US" w:eastAsia="zh-CN"/>
        </w:rPr>
        <w:t>3.88</w:t>
      </w:r>
      <w:r>
        <w:rPr>
          <w:rFonts w:hint="eastAsia" w:ascii="仿宋_GB2312" w:hAnsi="仿宋"/>
          <w:szCs w:val="32"/>
        </w:rPr>
        <w:t>万元，支出决算为</w:t>
      </w:r>
      <w:r>
        <w:rPr>
          <w:rFonts w:ascii="仿宋_GB2312" w:hAnsi="仿宋"/>
          <w:szCs w:val="32"/>
        </w:rPr>
        <w:t>2.76</w:t>
      </w:r>
      <w:r>
        <w:rPr>
          <w:rFonts w:hint="eastAsia" w:ascii="仿宋_GB2312" w:hAnsi="仿宋"/>
          <w:szCs w:val="32"/>
        </w:rPr>
        <w:t>万元，</w:t>
      </w:r>
      <w:r>
        <w:rPr>
          <w:rFonts w:hint="eastAsia" w:ascii="仿宋_GB2312" w:hAnsi="仿宋"/>
          <w:szCs w:val="32"/>
          <w:lang w:val="en-US" w:eastAsia="zh-CN"/>
        </w:rPr>
        <w:t>完成预算的71.13%，决算数小于预算数</w:t>
      </w:r>
      <w:r>
        <w:rPr>
          <w:rFonts w:hint="eastAsia" w:ascii="仿宋_GB2312" w:hAnsi="仿宋"/>
          <w:szCs w:val="32"/>
        </w:rPr>
        <w:t>的主要原因是决算数小于预算数的主要原因是</w:t>
      </w:r>
      <w:r>
        <w:rPr>
          <w:rFonts w:hint="eastAsia" w:ascii="仿宋_GB2312" w:hAnsi="仿宋" w:eastAsia="仿宋_GB2312" w:cs="仿宋_GB2312"/>
          <w:kern w:val="2"/>
          <w:sz w:val="32"/>
          <w:szCs w:val="32"/>
          <w:lang w:val="en-US" w:eastAsia="zh-CN" w:bidi="ar"/>
        </w:rPr>
        <w:t>严格按照要求，大力压减“三公”经费支出</w:t>
      </w:r>
      <w:r>
        <w:rPr>
          <w:rFonts w:hint="eastAsia" w:ascii="仿宋_GB2312" w:hAnsi="仿宋"/>
          <w:szCs w:val="32"/>
          <w:lang w:eastAsia="zh-CN"/>
        </w:rPr>
        <w:t>；</w:t>
      </w:r>
      <w:r>
        <w:rPr>
          <w:rFonts w:hint="eastAsia" w:ascii="仿宋_GB2312" w:hAnsi="仿宋"/>
          <w:color w:val="auto"/>
          <w:szCs w:val="32"/>
          <w:lang w:eastAsia="zh-CN"/>
        </w:rPr>
        <w:t>较上年减少</w:t>
      </w:r>
      <w:r>
        <w:rPr>
          <w:rFonts w:hint="eastAsia" w:ascii="仿宋_GB2312" w:hAnsi="仿宋"/>
          <w:color w:val="auto"/>
          <w:szCs w:val="32"/>
          <w:lang w:val="en-US" w:eastAsia="zh-CN"/>
        </w:rPr>
        <w:t>1.1万元，下降28.5%，</w:t>
      </w:r>
      <w:r>
        <w:rPr>
          <w:rFonts w:hint="eastAsia" w:ascii="仿宋_GB2312" w:hAnsi="仿宋"/>
          <w:color w:val="auto"/>
          <w:szCs w:val="32"/>
          <w:lang w:eastAsia="zh-CN"/>
        </w:rPr>
        <w:t>决算数较上年减少的主要原因是</w:t>
      </w:r>
      <w:r>
        <w:rPr>
          <w:rFonts w:hint="eastAsia" w:ascii="仿宋_GB2312" w:hAnsi="仿宋"/>
          <w:szCs w:val="32"/>
        </w:rPr>
        <w:t>严格执行《党政机关厉行节约反对浪费</w:t>
      </w:r>
      <w:r>
        <w:rPr>
          <w:rFonts w:hint="eastAsia" w:ascii="仿宋_GB2312" w:hAnsi="仿宋"/>
          <w:color w:val="000000" w:themeColor="text1"/>
          <w:szCs w:val="32"/>
          <w14:textFill>
            <w14:solidFill>
              <w14:schemeClr w14:val="tx1"/>
            </w14:solidFill>
          </w14:textFill>
        </w:rPr>
        <w:t>条例》</w:t>
      </w:r>
      <w:r>
        <w:rPr>
          <w:rFonts w:hint="eastAsia" w:ascii="仿宋_GB2312" w:hAnsi="仿宋"/>
          <w:color w:val="000000" w:themeColor="text1"/>
          <w:szCs w:val="32"/>
          <w:lang w:eastAsia="zh-CN"/>
          <w14:textFill>
            <w14:solidFill>
              <w14:schemeClr w14:val="tx1"/>
            </w14:solidFill>
          </w14:textFill>
        </w:rPr>
        <w:t>。</w:t>
      </w:r>
    </w:p>
    <w:p w14:paraId="4AEC7422">
      <w:pPr>
        <w:ind w:firstLine="643" w:firstLineChars="200"/>
        <w:rPr>
          <w:rFonts w:ascii="仿宋_GB2312" w:hAnsi="仿宋"/>
          <w:b/>
          <w:szCs w:val="32"/>
        </w:rPr>
      </w:pPr>
      <w:r>
        <w:rPr>
          <w:rFonts w:hint="eastAsia" w:ascii="仿宋_GB2312" w:hAnsi="仿宋"/>
          <w:b/>
          <w:bCs/>
          <w:szCs w:val="32"/>
        </w:rPr>
        <w:t>（二）</w:t>
      </w:r>
      <w:r>
        <w:rPr>
          <w:rFonts w:hint="eastAsia" w:ascii="仿宋_GB2312" w:hAnsi="仿宋"/>
          <w:b/>
          <w:szCs w:val="32"/>
        </w:rPr>
        <w:t>一般公共预算财政拨款“三公”经费支出决算具体情况说明。</w:t>
      </w:r>
    </w:p>
    <w:p w14:paraId="2C9F9197">
      <w:pPr>
        <w:ind w:firstLine="640" w:firstLineChars="200"/>
        <w:rPr>
          <w:rFonts w:ascii="仿宋_GB2312" w:hAnsi="仿宋"/>
          <w:szCs w:val="32"/>
        </w:rPr>
      </w:pPr>
      <w:r>
        <w:rPr>
          <w:rFonts w:hint="eastAsia" w:ascii="仿宋_GB2312" w:hAnsi="仿宋"/>
          <w:szCs w:val="32"/>
        </w:rPr>
        <w:t>濉溪县融媒体中心2022年度一般公共预算财政拨款“三公”经费支出决算中，因公出国（境）费支出决算0万元，占0%;公务接待费支出决算0</w:t>
      </w:r>
      <w:r>
        <w:rPr>
          <w:rFonts w:hint="eastAsia" w:ascii="仿宋_GB2312" w:hAnsi="仿宋"/>
          <w:szCs w:val="32"/>
          <w:lang w:val="en-US" w:eastAsia="zh-CN"/>
        </w:rPr>
        <w:t>.52</w:t>
      </w:r>
      <w:r>
        <w:rPr>
          <w:rFonts w:hint="eastAsia" w:ascii="仿宋_GB2312" w:hAnsi="仿宋"/>
          <w:szCs w:val="32"/>
        </w:rPr>
        <w:t>万元，占</w:t>
      </w:r>
      <w:r>
        <w:rPr>
          <w:rFonts w:hint="eastAsia" w:ascii="仿宋_GB2312" w:hAnsi="仿宋"/>
          <w:szCs w:val="32"/>
          <w:lang w:val="en-US" w:eastAsia="zh-CN"/>
        </w:rPr>
        <w:t>18.84</w:t>
      </w:r>
      <w:r>
        <w:rPr>
          <w:rFonts w:hint="eastAsia" w:ascii="仿宋_GB2312" w:hAnsi="仿宋"/>
          <w:szCs w:val="32"/>
        </w:rPr>
        <w:t>%；公务用车购置及运行维护费支出决算</w:t>
      </w:r>
      <w:r>
        <w:rPr>
          <w:rFonts w:hint="eastAsia" w:ascii="仿宋_GB2312" w:hAnsi="仿宋"/>
          <w:szCs w:val="32"/>
          <w:lang w:val="en-US" w:eastAsia="zh-CN"/>
        </w:rPr>
        <w:t>2.24</w:t>
      </w:r>
      <w:r>
        <w:rPr>
          <w:rFonts w:hint="eastAsia" w:ascii="仿宋_GB2312" w:hAnsi="仿宋"/>
          <w:szCs w:val="32"/>
        </w:rPr>
        <w:t>万元，占</w:t>
      </w:r>
      <w:r>
        <w:rPr>
          <w:rFonts w:hint="eastAsia" w:ascii="仿宋_GB2312" w:hAnsi="仿宋"/>
          <w:szCs w:val="32"/>
          <w:lang w:val="en-US" w:eastAsia="zh-CN"/>
        </w:rPr>
        <w:t>81.16</w:t>
      </w:r>
      <w:r>
        <w:rPr>
          <w:rFonts w:hint="eastAsia" w:ascii="仿宋_GB2312" w:hAnsi="仿宋"/>
          <w:szCs w:val="32"/>
        </w:rPr>
        <w:t>%。具体情况如下：</w:t>
      </w:r>
    </w:p>
    <w:p w14:paraId="7B8B1025">
      <w:pPr>
        <w:ind w:firstLine="640" w:firstLineChars="200"/>
        <w:rPr>
          <w:rFonts w:hint="eastAsia" w:ascii="仿宋_GB2312" w:hAnsi="仿宋"/>
          <w:szCs w:val="32"/>
        </w:rPr>
      </w:pPr>
      <w:r>
        <w:rPr>
          <w:rFonts w:hint="eastAsia" w:ascii="仿宋_GB2312" w:hAnsi="仿宋"/>
          <w:szCs w:val="32"/>
        </w:rPr>
        <w:t>1.</w:t>
      </w:r>
      <w:r>
        <w:rPr>
          <w:rFonts w:hint="eastAsia" w:ascii="仿宋_GB2312" w:hAnsi="仿宋"/>
          <w:b/>
          <w:bCs/>
          <w:szCs w:val="32"/>
        </w:rPr>
        <w:t>因公出国（境）费</w:t>
      </w:r>
      <w:r>
        <w:rPr>
          <w:rFonts w:hint="eastAsia" w:ascii="仿宋_GB2312" w:hAnsi="仿宋"/>
          <w:szCs w:val="32"/>
        </w:rPr>
        <w:t>预算为0万元，支出决算为0万元，完成预算的100%，决算数与预算数相同；较上年减少0万元，下降0%。原因是2021年度、2022年度均未安排因公出国（境）计划。故2022年</w:t>
      </w:r>
      <w:r>
        <w:rPr>
          <w:rFonts w:hint="eastAsia" w:ascii="仿宋_GB2312" w:hAnsi="仿宋"/>
          <w:szCs w:val="32"/>
          <w:lang w:val="en-US" w:eastAsia="zh-CN"/>
        </w:rPr>
        <w:t>濉溪县融媒体中心</w:t>
      </w:r>
      <w:r>
        <w:rPr>
          <w:rFonts w:hint="eastAsia" w:ascii="仿宋_GB2312" w:hAnsi="仿宋"/>
          <w:szCs w:val="32"/>
        </w:rPr>
        <w:t>因公出国（境）团组0次，出国（境）0人次。</w:t>
      </w:r>
    </w:p>
    <w:p w14:paraId="35F09458">
      <w:pPr>
        <w:ind w:firstLine="640" w:firstLineChars="200"/>
        <w:rPr>
          <w:rFonts w:hint="eastAsia" w:ascii="仿宋_GB2312" w:hAnsi="仿宋"/>
          <w:szCs w:val="32"/>
        </w:rPr>
      </w:pPr>
      <w:r>
        <w:rPr>
          <w:rFonts w:hint="eastAsia" w:ascii="仿宋_GB2312" w:hAnsi="仿宋"/>
          <w:szCs w:val="32"/>
        </w:rPr>
        <w:t>2.</w:t>
      </w:r>
      <w:r>
        <w:rPr>
          <w:rFonts w:hint="eastAsia" w:ascii="仿宋_GB2312" w:hAnsi="仿宋"/>
          <w:b/>
          <w:bCs/>
          <w:szCs w:val="32"/>
        </w:rPr>
        <w:t>公务接待费</w:t>
      </w:r>
      <w:r>
        <w:rPr>
          <w:rFonts w:hint="eastAsia" w:ascii="仿宋_GB2312" w:hAnsi="仿宋"/>
          <w:szCs w:val="32"/>
        </w:rPr>
        <w:t>预算为</w:t>
      </w:r>
      <w:r>
        <w:rPr>
          <w:rFonts w:hint="eastAsia" w:ascii="仿宋_GB2312" w:hAnsi="仿宋"/>
          <w:szCs w:val="32"/>
          <w:lang w:val="en-US" w:eastAsia="zh-CN"/>
        </w:rPr>
        <w:t>1</w:t>
      </w:r>
      <w:r>
        <w:rPr>
          <w:rFonts w:hint="eastAsia" w:ascii="仿宋_GB2312" w:hAnsi="仿宋"/>
          <w:szCs w:val="32"/>
        </w:rPr>
        <w:t>万元，支出决算为</w:t>
      </w:r>
      <w:r>
        <w:rPr>
          <w:rFonts w:hint="eastAsia" w:ascii="仿宋_GB2312" w:hAnsi="仿宋"/>
          <w:szCs w:val="32"/>
          <w:lang w:val="en-US" w:eastAsia="zh-CN"/>
        </w:rPr>
        <w:t>0.52</w:t>
      </w:r>
      <w:r>
        <w:rPr>
          <w:rFonts w:hint="eastAsia" w:ascii="仿宋_GB2312" w:hAnsi="仿宋"/>
          <w:szCs w:val="32"/>
        </w:rPr>
        <w:t>万元，完成预算的</w:t>
      </w:r>
      <w:r>
        <w:rPr>
          <w:rFonts w:hint="eastAsia" w:ascii="仿宋_GB2312" w:hAnsi="仿宋"/>
          <w:szCs w:val="32"/>
          <w:lang w:val="en-US" w:eastAsia="zh-CN"/>
        </w:rPr>
        <w:t>52</w:t>
      </w:r>
      <w:r>
        <w:rPr>
          <w:rFonts w:hint="eastAsia" w:ascii="仿宋_GB2312" w:hAnsi="仿宋"/>
          <w:szCs w:val="32"/>
        </w:rPr>
        <w:t>%；较上年减少</w:t>
      </w:r>
      <w:r>
        <w:rPr>
          <w:rFonts w:hint="eastAsia" w:ascii="仿宋_GB2312" w:hAnsi="仿宋"/>
          <w:szCs w:val="32"/>
          <w:lang w:val="en-US" w:eastAsia="zh-CN"/>
        </w:rPr>
        <w:t>0.56</w:t>
      </w:r>
      <w:r>
        <w:rPr>
          <w:rFonts w:hint="eastAsia" w:ascii="仿宋_GB2312" w:hAnsi="仿宋"/>
          <w:szCs w:val="32"/>
        </w:rPr>
        <w:t>万元，下降</w:t>
      </w:r>
      <w:r>
        <w:rPr>
          <w:rFonts w:hint="eastAsia" w:ascii="仿宋_GB2312" w:hAnsi="仿宋"/>
          <w:szCs w:val="32"/>
          <w:lang w:val="en-US" w:eastAsia="zh-CN"/>
        </w:rPr>
        <w:t>51.85</w:t>
      </w:r>
      <w:r>
        <w:rPr>
          <w:rFonts w:hint="eastAsia" w:ascii="仿宋_GB2312" w:hAnsi="仿宋"/>
          <w:szCs w:val="32"/>
        </w:rPr>
        <w:t>%。决算数小于预算数的主要原因是压减一般性支出特别是公务接待等支出的要求，减少公务接待支出。决算数较上年减少的主要原因是严格按照省委省政府30条有关要求，压减公务接待支出。2022年</w:t>
      </w:r>
      <w:r>
        <w:rPr>
          <w:rFonts w:hint="eastAsia" w:ascii="仿宋_GB2312" w:hAnsi="仿宋"/>
          <w:szCs w:val="32"/>
          <w:lang w:val="en-US" w:eastAsia="zh-CN"/>
        </w:rPr>
        <w:t>濉溪县融媒体中心</w:t>
      </w:r>
      <w:r>
        <w:rPr>
          <w:rFonts w:hint="eastAsia" w:ascii="仿宋_GB2312" w:hAnsi="仿宋"/>
          <w:szCs w:val="32"/>
        </w:rPr>
        <w:t>国内公务接待共2</w:t>
      </w:r>
      <w:r>
        <w:rPr>
          <w:rFonts w:hint="eastAsia" w:ascii="仿宋_GB2312" w:hAnsi="仿宋"/>
          <w:szCs w:val="32"/>
          <w:lang w:val="en-US" w:eastAsia="zh-CN"/>
        </w:rPr>
        <w:t>1</w:t>
      </w:r>
      <w:r>
        <w:rPr>
          <w:rFonts w:hint="eastAsia" w:ascii="仿宋_GB2312" w:hAnsi="仿宋"/>
          <w:szCs w:val="32"/>
        </w:rPr>
        <w:t>批次（其中外事接待0批次），144人次（其中外事接待0人次）。主要是用于招商引资等公务接待。经费使用贯彻市委实施</w:t>
      </w:r>
      <w:r>
        <w:rPr>
          <w:rFonts w:hint="eastAsia" w:ascii="仿宋_GB2312" w:hAnsi="宋体" w:cs="宋体"/>
          <w:kern w:val="0"/>
          <w:szCs w:val="32"/>
        </w:rPr>
        <w:t>细则</w:t>
      </w:r>
      <w:r>
        <w:rPr>
          <w:rFonts w:hint="eastAsia" w:ascii="仿宋_GB2312" w:hAnsi="仿宋"/>
          <w:szCs w:val="32"/>
        </w:rPr>
        <w:t>，严格执行《关于印发&lt;淮北市市直单位接待经费管理暂行办法&gt;的通知》（财行〔2013〕133号）、《淮北市财政局淮北市机关事务管理中心关于调整市直机关公务接待费用餐标准的通知》（财行〔2021〕85号）等相关规定。</w:t>
      </w:r>
    </w:p>
    <w:p w14:paraId="7B93F604">
      <w:pPr>
        <w:ind w:firstLine="640" w:firstLineChars="200"/>
        <w:rPr>
          <w:rFonts w:hint="eastAsia" w:ascii="仿宋_GB2312" w:hAnsi="仿宋"/>
          <w:szCs w:val="32"/>
          <w:lang w:val="en-US" w:eastAsia="zh-CN"/>
        </w:rPr>
      </w:pPr>
      <w:r>
        <w:rPr>
          <w:rFonts w:hint="eastAsia" w:ascii="仿宋_GB2312" w:hAnsi="仿宋"/>
          <w:szCs w:val="32"/>
        </w:rPr>
        <w:t>3.</w:t>
      </w:r>
      <w:r>
        <w:rPr>
          <w:rFonts w:hint="eastAsia" w:ascii="仿宋_GB2312" w:hAnsi="仿宋"/>
          <w:b/>
          <w:bCs/>
          <w:szCs w:val="32"/>
        </w:rPr>
        <w:t>公务用车购置及运行维护费</w:t>
      </w:r>
      <w:r>
        <w:rPr>
          <w:rFonts w:hint="eastAsia" w:ascii="仿宋_GB2312" w:hAnsi="仿宋"/>
          <w:szCs w:val="32"/>
        </w:rPr>
        <w:t>预算为0万元，支出决算为  0万元，完成预算的100%；决算数与预算数相同；较上年减少0万元，下降0%。原因是2021年度、2022年度均未安排公务用车购置及运行维护费。其中，公务用车购置费预算为0万元，支出决算为0万元，完成预算的100%；决算数与预算数相同；较上年减少0万元，下降0%。原因是2021年度、2022年度均未安排公务用车购置计划。公务用车运行维护费预算为</w:t>
      </w:r>
      <w:r>
        <w:rPr>
          <w:rFonts w:hint="eastAsia" w:ascii="仿宋_GB2312" w:hAnsi="仿宋"/>
          <w:szCs w:val="32"/>
          <w:lang w:val="en-US" w:eastAsia="zh-CN"/>
        </w:rPr>
        <w:t>2.88</w:t>
      </w:r>
      <w:r>
        <w:rPr>
          <w:rFonts w:hint="eastAsia" w:ascii="仿宋_GB2312" w:hAnsi="仿宋"/>
          <w:szCs w:val="32"/>
        </w:rPr>
        <w:t>万元，支出决算为</w:t>
      </w:r>
      <w:r>
        <w:rPr>
          <w:rFonts w:hint="eastAsia" w:ascii="仿宋_GB2312" w:hAnsi="仿宋"/>
          <w:szCs w:val="32"/>
          <w:lang w:val="en-US" w:eastAsia="zh-CN"/>
        </w:rPr>
        <w:t>2.24</w:t>
      </w:r>
      <w:r>
        <w:rPr>
          <w:rFonts w:hint="eastAsia" w:ascii="仿宋_GB2312" w:hAnsi="仿宋"/>
          <w:szCs w:val="32"/>
        </w:rPr>
        <w:t>万元，</w:t>
      </w:r>
      <w:r>
        <w:rPr>
          <w:rFonts w:hint="eastAsia" w:ascii="仿宋_GB2312" w:hAnsi="仿宋"/>
          <w:szCs w:val="32"/>
          <w:lang w:val="en-US" w:eastAsia="zh-CN"/>
        </w:rPr>
        <w:t>减少0.64万元，下降22.22%，下降的原因是：压减开支，</w:t>
      </w:r>
      <w:r>
        <w:rPr>
          <w:rFonts w:hint="eastAsia" w:ascii="仿宋_GB2312" w:hAnsi="仿宋"/>
          <w:szCs w:val="32"/>
        </w:rPr>
        <w:t>公务用车运行维护费、油费支出</w:t>
      </w:r>
      <w:r>
        <w:rPr>
          <w:rFonts w:hint="eastAsia" w:ascii="仿宋_GB2312" w:hAnsi="仿宋"/>
          <w:szCs w:val="32"/>
          <w:lang w:val="en-US" w:eastAsia="zh-CN"/>
        </w:rPr>
        <w:t>减少。较上年减少0.54万元，下降19.42</w:t>
      </w:r>
      <w:r>
        <w:rPr>
          <w:rFonts w:hint="eastAsia" w:ascii="仿宋_GB2312" w:hAnsi="仿宋"/>
          <w:szCs w:val="32"/>
        </w:rPr>
        <w:t>%</w:t>
      </w:r>
      <w:r>
        <w:rPr>
          <w:rFonts w:hint="eastAsia" w:ascii="仿宋_GB2312" w:hAnsi="仿宋"/>
          <w:szCs w:val="32"/>
          <w:lang w:eastAsia="zh-CN"/>
        </w:rPr>
        <w:t>，</w:t>
      </w:r>
      <w:r>
        <w:rPr>
          <w:rFonts w:hint="eastAsia" w:ascii="仿宋_GB2312" w:hAnsi="仿宋"/>
          <w:szCs w:val="32"/>
          <w:lang w:val="en-US" w:eastAsia="zh-CN"/>
        </w:rPr>
        <w:t>决算数较上年减少的主要原因是</w:t>
      </w:r>
      <w:r>
        <w:rPr>
          <w:rFonts w:hint="eastAsia" w:ascii="仿宋_GB2312" w:hAnsi="仿宋"/>
          <w:szCs w:val="32"/>
        </w:rPr>
        <w:t>运行维护费、油费支出</w:t>
      </w:r>
      <w:r>
        <w:rPr>
          <w:rFonts w:hint="eastAsia" w:ascii="仿宋_GB2312" w:hAnsi="仿宋"/>
          <w:szCs w:val="32"/>
          <w:lang w:val="en-US" w:eastAsia="zh-CN"/>
        </w:rPr>
        <w:t>减少。</w:t>
      </w:r>
    </w:p>
    <w:p w14:paraId="056B00D0">
      <w:pPr>
        <w:ind w:firstLine="640" w:firstLineChars="200"/>
        <w:rPr>
          <w:rFonts w:ascii="仿宋_GB2312" w:hAnsi="仿宋"/>
          <w:szCs w:val="32"/>
        </w:rPr>
      </w:pPr>
      <w:r>
        <w:rPr>
          <w:rFonts w:hint="eastAsia" w:ascii="仿宋_GB2312" w:hAnsi="仿宋"/>
          <w:szCs w:val="32"/>
        </w:rPr>
        <w:t>公务用车运行维护费，包括车辆燃料费、维修费、过路过桥费、保险费等支出，主要用于</w:t>
      </w:r>
      <w:r>
        <w:rPr>
          <w:rFonts w:hint="eastAsia" w:ascii="仿宋_GB2312" w:hAnsi="仿宋"/>
          <w:szCs w:val="32"/>
          <w:lang w:val="en-US" w:eastAsia="zh-CN"/>
        </w:rPr>
        <w:t>车辆燃油费、维修费、车辆保险等支出</w:t>
      </w:r>
      <w:r>
        <w:rPr>
          <w:rFonts w:hint="eastAsia" w:ascii="仿宋_GB2312" w:hAnsi="仿宋"/>
          <w:szCs w:val="32"/>
          <w:lang w:eastAsia="zh-CN"/>
        </w:rPr>
        <w:t>。</w:t>
      </w:r>
      <w:r>
        <w:rPr>
          <w:rFonts w:hint="eastAsia" w:ascii="仿宋_GB2312" w:hAnsi="仿宋"/>
          <w:szCs w:val="32"/>
        </w:rPr>
        <w:t>截至</w:t>
      </w:r>
      <w:r>
        <w:rPr>
          <w:rFonts w:hint="eastAsia" w:ascii="仿宋_GB2312" w:hAnsi="仿宋"/>
          <w:szCs w:val="32"/>
          <w:lang w:eastAsia="zh-CN"/>
        </w:rPr>
        <w:t>2022</w:t>
      </w:r>
      <w:r>
        <w:rPr>
          <w:rFonts w:hint="eastAsia" w:ascii="仿宋_GB2312" w:hAnsi="仿宋"/>
          <w:szCs w:val="32"/>
        </w:rPr>
        <w:t>年12月31日，濉溪县融媒体中心开支财政拨款的公务用车保有量为</w:t>
      </w:r>
      <w:r>
        <w:rPr>
          <w:rFonts w:ascii="仿宋_GB2312" w:hAnsi="仿宋"/>
          <w:szCs w:val="32"/>
        </w:rPr>
        <w:t>5</w:t>
      </w:r>
      <w:r>
        <w:rPr>
          <w:rFonts w:hint="eastAsia" w:ascii="仿宋_GB2312" w:hAnsi="仿宋"/>
          <w:szCs w:val="32"/>
        </w:rPr>
        <w:t>辆。</w:t>
      </w:r>
    </w:p>
    <w:p w14:paraId="465CA7BA"/>
    <w:sect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zZjA4YjJmYmIyMTM0YTIwMzEyMGVlY2NjNmE4N2UifQ=="/>
  </w:docVars>
  <w:rsids>
    <w:rsidRoot w:val="00D303BC"/>
    <w:rsid w:val="00093BD6"/>
    <w:rsid w:val="002F6DE8"/>
    <w:rsid w:val="00326726"/>
    <w:rsid w:val="003547B8"/>
    <w:rsid w:val="003671B4"/>
    <w:rsid w:val="003B6E2C"/>
    <w:rsid w:val="00497C22"/>
    <w:rsid w:val="004D6484"/>
    <w:rsid w:val="005318F6"/>
    <w:rsid w:val="00613D73"/>
    <w:rsid w:val="0062420E"/>
    <w:rsid w:val="00656EC6"/>
    <w:rsid w:val="006B3BF0"/>
    <w:rsid w:val="006B4FE2"/>
    <w:rsid w:val="006C57F5"/>
    <w:rsid w:val="007719A9"/>
    <w:rsid w:val="008A3C6F"/>
    <w:rsid w:val="009770F9"/>
    <w:rsid w:val="009D2B9A"/>
    <w:rsid w:val="00A00C09"/>
    <w:rsid w:val="00A41CEA"/>
    <w:rsid w:val="00A443EA"/>
    <w:rsid w:val="00A47ED1"/>
    <w:rsid w:val="00A92496"/>
    <w:rsid w:val="00AB0278"/>
    <w:rsid w:val="00AB6D14"/>
    <w:rsid w:val="00B14CD1"/>
    <w:rsid w:val="00B2159B"/>
    <w:rsid w:val="00B72524"/>
    <w:rsid w:val="00CE25D9"/>
    <w:rsid w:val="00D25068"/>
    <w:rsid w:val="00D2629D"/>
    <w:rsid w:val="00D303BC"/>
    <w:rsid w:val="00D70D45"/>
    <w:rsid w:val="00D9784E"/>
    <w:rsid w:val="00DB321D"/>
    <w:rsid w:val="00DD37CC"/>
    <w:rsid w:val="00E02B6D"/>
    <w:rsid w:val="00E11F10"/>
    <w:rsid w:val="00E15D4C"/>
    <w:rsid w:val="00FC29F2"/>
    <w:rsid w:val="01560D67"/>
    <w:rsid w:val="021A0C65"/>
    <w:rsid w:val="030A6D6E"/>
    <w:rsid w:val="18242EF9"/>
    <w:rsid w:val="1CF70DA6"/>
    <w:rsid w:val="1DA82F09"/>
    <w:rsid w:val="203824C3"/>
    <w:rsid w:val="2C4B65EB"/>
    <w:rsid w:val="3C610E24"/>
    <w:rsid w:val="3CE671B7"/>
    <w:rsid w:val="3CF35E08"/>
    <w:rsid w:val="3F281CA4"/>
    <w:rsid w:val="40E60BE1"/>
    <w:rsid w:val="41452329"/>
    <w:rsid w:val="425E2D45"/>
    <w:rsid w:val="44CC07A2"/>
    <w:rsid w:val="4751075C"/>
    <w:rsid w:val="4C05206B"/>
    <w:rsid w:val="52D75A47"/>
    <w:rsid w:val="54DE4E87"/>
    <w:rsid w:val="69AD796E"/>
    <w:rsid w:val="6A344253"/>
    <w:rsid w:val="6EF56045"/>
    <w:rsid w:val="73AB6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1361</Words>
  <Characters>1524</Characters>
  <Lines>8</Lines>
  <Paragraphs>2</Paragraphs>
  <TotalTime>16</TotalTime>
  <ScaleCrop>false</ScaleCrop>
  <LinksUpToDate>false</LinksUpToDate>
  <CharactersWithSpaces>1591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2021-07-16T00:55:00Z</dcterms:created>
  <dc:creator>丁配泉</dc:creator>
  <cp:lastModifiedBy>Administrator</cp:lastModifiedBy>
  <cp:lastPrinted>2020-09-14T08:17:00Z</cp:lastPrinted>
  <dcterms:modified xsi:type="dcterms:W3CDTF">2025-08-19T08:29:51Z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75914EB10AF242418AF77EA958F321BE_13</vt:lpwstr>
  </property>
  <property fmtid="{D5CDD505-2E9C-101B-9397-08002B2CF9AE}" pid="4" name="KSOTemplateDocerSaveRecord">
    <vt:lpwstr>eyJoZGlkIjoiYWEzZjA4YjJmYmIyMTM0YTIwMzEyMGVlY2NjNmE4N2UifQ==</vt:lpwstr>
  </property>
</Properties>
</file>