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F91E">
      <w:pPr>
        <w:ind w:firstLine="354"/>
        <w:jc w:val="both"/>
        <w:rPr>
          <w:rFonts w:ascii="宋体" w:hAnsi="宋体"/>
          <w:b/>
          <w:sz w:val="36"/>
          <w:szCs w:val="36"/>
        </w:rPr>
      </w:pPr>
      <w:r>
        <w:rPr>
          <w:rFonts w:ascii="宋体" w:hAnsi="宋体"/>
          <w:b/>
          <w:sz w:val="36"/>
          <w:szCs w:val="36"/>
        </w:rPr>
        <w:t>濉溪县疾病预防控制中心2023年度一般公共预算财政</w:t>
      </w:r>
    </w:p>
    <w:p w14:paraId="3050BFC5">
      <w:pPr>
        <w:jc w:val="center"/>
        <w:rPr>
          <w:rFonts w:ascii="宋体" w:hAnsi="宋体"/>
          <w:b/>
          <w:sz w:val="36"/>
          <w:szCs w:val="36"/>
        </w:rPr>
      </w:pPr>
      <w:r>
        <w:rPr>
          <w:rFonts w:ascii="宋体" w:hAnsi="宋体"/>
          <w:b/>
          <w:sz w:val="36"/>
          <w:szCs w:val="36"/>
        </w:rPr>
        <w:t>拨款“三公”经费支出决算情况说明</w:t>
      </w:r>
    </w:p>
    <w:p w14:paraId="14233572">
      <w:pPr>
        <w:jc w:val="center"/>
        <w:rPr>
          <w:rFonts w:ascii="楷体_GB2312"/>
          <w:szCs w:val="32"/>
        </w:rPr>
      </w:pPr>
    </w:p>
    <w:p w14:paraId="1EAE459D">
      <w:pPr>
        <w:spacing w:line="360" w:lineRule="auto"/>
        <w:jc w:val="center"/>
        <w:rPr>
          <w:rFonts w:ascii="宋体" w:hAnsi="宋体"/>
          <w:sz w:val="6"/>
          <w:szCs w:val="32"/>
        </w:rPr>
      </w:pPr>
    </w:p>
    <w:p w14:paraId="76B43E56">
      <w:pPr>
        <w:rPr>
          <w:rFonts w:ascii="黑体" w:hAnsi="黑体"/>
          <w:szCs w:val="32"/>
        </w:rPr>
      </w:pPr>
      <w:r>
        <w:rPr>
          <w:rFonts w:ascii="黑体" w:hAnsi="黑体"/>
          <w:szCs w:val="32"/>
        </w:rPr>
        <w:t xml:space="preserve">    一、2023年度一般公共预算财政拨款“三公”经费支出决算表</w:t>
      </w:r>
    </w:p>
    <w:p w14:paraId="4FD61A56">
      <w:pPr>
        <w:ind w:firstLine="6594"/>
        <w:rPr>
          <w:rFonts w:ascii="黑体" w:hAnsi="黑体"/>
          <w:szCs w:val="32"/>
        </w:rPr>
      </w:pPr>
      <w:r>
        <w:rPr>
          <w:rFonts w:ascii="仿宋_GB2312" w:hAnsi="仿宋_GB2312"/>
          <w:szCs w:val="32"/>
        </w:rPr>
        <w:t>单位：万元</w:t>
      </w:r>
    </w:p>
    <w:tbl>
      <w:tblPr>
        <w:tblStyle w:val="11"/>
        <w:tblW w:w="0" w:type="auto"/>
        <w:tblInd w:w="-108" w:type="dxa"/>
        <w:tblLayout w:type="autofit"/>
        <w:tblCellMar>
          <w:top w:w="0" w:type="dxa"/>
          <w:left w:w="108" w:type="dxa"/>
          <w:bottom w:w="0" w:type="dxa"/>
          <w:right w:w="108" w:type="dxa"/>
        </w:tblCellMar>
      </w:tblPr>
      <w:tblGrid>
        <w:gridCol w:w="4379"/>
        <w:gridCol w:w="2157"/>
        <w:gridCol w:w="2220"/>
      </w:tblGrid>
      <w:tr w14:paraId="1087FFF5">
        <w:tblPrEx>
          <w:tblCellMar>
            <w:top w:w="0" w:type="dxa"/>
            <w:left w:w="108" w:type="dxa"/>
            <w:bottom w:w="0" w:type="dxa"/>
            <w:right w:w="108" w:type="dxa"/>
          </w:tblCellMar>
        </w:tblPrEx>
        <w:trPr>
          <w:trHeight w:val="397" w:hRule="atLeast"/>
        </w:trPr>
        <w:tc>
          <w:tcPr>
            <w:tcW w:w="4379" w:type="dxa"/>
            <w:tcBorders>
              <w:top w:val="single" w:color="000000" w:sz="4" w:space="0"/>
              <w:left w:val="single" w:color="000000" w:sz="4" w:space="0"/>
              <w:bottom w:val="single" w:color="000000" w:sz="4" w:space="0"/>
              <w:right w:val="single" w:color="000000" w:sz="4" w:space="0"/>
            </w:tcBorders>
            <w:vAlign w:val="center"/>
          </w:tcPr>
          <w:p w14:paraId="647168B1">
            <w:pPr>
              <w:jc w:val="center"/>
            </w:pPr>
            <w:r>
              <w:rPr>
                <w:rFonts w:ascii="宋体" w:hAnsi="宋体"/>
                <w:b/>
                <w:szCs w:val="21"/>
              </w:rPr>
              <w:t>项  目</w:t>
            </w:r>
          </w:p>
        </w:tc>
        <w:tc>
          <w:tcPr>
            <w:tcW w:w="2157" w:type="dxa"/>
            <w:tcBorders>
              <w:top w:val="single" w:color="000000" w:sz="4" w:space="0"/>
              <w:left w:val="nil"/>
              <w:bottom w:val="single" w:color="000000" w:sz="4" w:space="0"/>
              <w:right w:val="single" w:color="000000" w:sz="4" w:space="0"/>
            </w:tcBorders>
            <w:vAlign w:val="center"/>
          </w:tcPr>
          <w:p w14:paraId="0B27B197">
            <w:pPr>
              <w:jc w:val="center"/>
            </w:pPr>
            <w:r>
              <w:rPr>
                <w:rFonts w:ascii="宋体" w:hAnsi="宋体"/>
                <w:b/>
                <w:szCs w:val="21"/>
              </w:rPr>
              <w:t>预 算 数</w:t>
            </w:r>
          </w:p>
        </w:tc>
        <w:tc>
          <w:tcPr>
            <w:tcW w:w="2220" w:type="dxa"/>
            <w:tcBorders>
              <w:top w:val="single" w:color="000000" w:sz="4" w:space="0"/>
              <w:left w:val="nil"/>
              <w:bottom w:val="single" w:color="000000" w:sz="4" w:space="0"/>
              <w:right w:val="single" w:color="000000" w:sz="4" w:space="0"/>
            </w:tcBorders>
            <w:vAlign w:val="center"/>
          </w:tcPr>
          <w:p w14:paraId="23514AA2">
            <w:pPr>
              <w:jc w:val="center"/>
            </w:pPr>
            <w:r>
              <w:rPr>
                <w:rFonts w:ascii="宋体" w:hAnsi="宋体"/>
                <w:b/>
                <w:szCs w:val="21"/>
              </w:rPr>
              <w:t>决 算 数</w:t>
            </w:r>
          </w:p>
        </w:tc>
      </w:tr>
      <w:tr w14:paraId="44E696AA">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19B98D75">
            <w:pPr>
              <w:jc w:val="center"/>
            </w:pPr>
            <w:r>
              <w:rPr>
                <w:rFonts w:ascii="宋体" w:hAnsi="宋体"/>
                <w:b/>
                <w:szCs w:val="21"/>
              </w:rPr>
              <w:t>合  计</w:t>
            </w:r>
          </w:p>
        </w:tc>
        <w:tc>
          <w:tcPr>
            <w:tcW w:w="2157" w:type="dxa"/>
            <w:tcBorders>
              <w:top w:val="nil"/>
              <w:left w:val="nil"/>
              <w:bottom w:val="single" w:color="000000" w:sz="4" w:space="0"/>
              <w:right w:val="single" w:color="000000" w:sz="4" w:space="0"/>
            </w:tcBorders>
            <w:vAlign w:val="center"/>
          </w:tcPr>
          <w:p w14:paraId="32CB8664">
            <w:pPr>
              <w:jc w:val="center"/>
            </w:pPr>
            <w:r>
              <w:rPr>
                <w:rFonts w:ascii="宋体" w:hAnsi="宋体"/>
                <w:b/>
                <w:szCs w:val="21"/>
              </w:rPr>
              <w:t>20　</w:t>
            </w:r>
          </w:p>
        </w:tc>
        <w:tc>
          <w:tcPr>
            <w:tcW w:w="2220" w:type="dxa"/>
            <w:tcBorders>
              <w:top w:val="nil"/>
              <w:left w:val="nil"/>
              <w:bottom w:val="single" w:color="000000" w:sz="4" w:space="0"/>
              <w:right w:val="single" w:color="000000" w:sz="4" w:space="0"/>
            </w:tcBorders>
            <w:vAlign w:val="center"/>
          </w:tcPr>
          <w:p w14:paraId="1DF0A725">
            <w:pPr>
              <w:jc w:val="center"/>
            </w:pPr>
            <w:r>
              <w:rPr>
                <w:rFonts w:ascii="宋体" w:hAnsi="宋体"/>
                <w:b/>
                <w:szCs w:val="21"/>
              </w:rPr>
              <w:t>1.99　</w:t>
            </w:r>
          </w:p>
        </w:tc>
      </w:tr>
      <w:tr w14:paraId="4FACF38E">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553218FB">
            <w:pPr>
              <w:jc w:val="left"/>
            </w:pPr>
            <w:r>
              <w:rPr>
                <w:rFonts w:ascii="宋体" w:hAnsi="宋体"/>
                <w:szCs w:val="21"/>
              </w:rPr>
              <w:t>因公出国（境）费</w:t>
            </w:r>
          </w:p>
        </w:tc>
        <w:tc>
          <w:tcPr>
            <w:tcW w:w="2157" w:type="dxa"/>
            <w:tcBorders>
              <w:top w:val="nil"/>
              <w:left w:val="nil"/>
              <w:bottom w:val="single" w:color="000000" w:sz="4" w:space="0"/>
              <w:right w:val="single" w:color="000000" w:sz="4" w:space="0"/>
            </w:tcBorders>
            <w:vAlign w:val="bottom"/>
          </w:tcPr>
          <w:p w14:paraId="2BA395D3">
            <w:pPr>
              <w:jc w:val="left"/>
            </w:pPr>
            <w:r>
              <w:rPr>
                <w:rFonts w:ascii="宋体" w:hAnsi="宋体"/>
                <w:szCs w:val="21"/>
              </w:rPr>
              <w:t>　</w:t>
            </w:r>
          </w:p>
        </w:tc>
        <w:tc>
          <w:tcPr>
            <w:tcW w:w="2220" w:type="dxa"/>
            <w:tcBorders>
              <w:top w:val="nil"/>
              <w:left w:val="nil"/>
              <w:bottom w:val="single" w:color="000000" w:sz="4" w:space="0"/>
              <w:right w:val="single" w:color="000000" w:sz="4" w:space="0"/>
            </w:tcBorders>
            <w:vAlign w:val="bottom"/>
          </w:tcPr>
          <w:p w14:paraId="5F210D25">
            <w:pPr>
              <w:jc w:val="left"/>
            </w:pPr>
            <w:r>
              <w:rPr>
                <w:rFonts w:ascii="宋体" w:hAnsi="宋体"/>
                <w:szCs w:val="21"/>
              </w:rPr>
              <w:t>　</w:t>
            </w:r>
          </w:p>
        </w:tc>
      </w:tr>
      <w:tr w14:paraId="3C868A55">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0A274D5B">
            <w:pPr>
              <w:jc w:val="left"/>
            </w:pPr>
            <w:r>
              <w:rPr>
                <w:rFonts w:ascii="宋体" w:hAnsi="宋体"/>
                <w:szCs w:val="21"/>
              </w:rPr>
              <w:t>公务接待费</w:t>
            </w:r>
          </w:p>
        </w:tc>
        <w:tc>
          <w:tcPr>
            <w:tcW w:w="2157" w:type="dxa"/>
            <w:tcBorders>
              <w:top w:val="nil"/>
              <w:left w:val="nil"/>
              <w:bottom w:val="single" w:color="000000" w:sz="4" w:space="0"/>
              <w:right w:val="single" w:color="000000" w:sz="4" w:space="0"/>
            </w:tcBorders>
            <w:vAlign w:val="bottom"/>
          </w:tcPr>
          <w:p w14:paraId="2CF7D020">
            <w:pPr>
              <w:jc w:val="left"/>
            </w:pPr>
            <w:r>
              <w:rPr>
                <w:rFonts w:ascii="宋体" w:hAnsi="宋体"/>
                <w:szCs w:val="21"/>
              </w:rPr>
              <w:t>　    8</w:t>
            </w:r>
          </w:p>
        </w:tc>
        <w:tc>
          <w:tcPr>
            <w:tcW w:w="2220" w:type="dxa"/>
            <w:tcBorders>
              <w:top w:val="nil"/>
              <w:left w:val="nil"/>
              <w:bottom w:val="single" w:color="000000" w:sz="4" w:space="0"/>
              <w:right w:val="single" w:color="000000" w:sz="4" w:space="0"/>
            </w:tcBorders>
            <w:vAlign w:val="bottom"/>
          </w:tcPr>
          <w:p w14:paraId="3C08684D">
            <w:pPr>
              <w:jc w:val="left"/>
            </w:pPr>
            <w:r>
              <w:rPr>
                <w:rFonts w:ascii="宋体" w:hAnsi="宋体"/>
                <w:szCs w:val="21"/>
              </w:rPr>
              <w:t>　  1.99</w:t>
            </w:r>
          </w:p>
        </w:tc>
      </w:tr>
      <w:tr w14:paraId="5D8D99D1">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6463A06B">
            <w:pPr>
              <w:jc w:val="left"/>
            </w:pPr>
            <w:r>
              <w:rPr>
                <w:rFonts w:ascii="宋体" w:hAnsi="宋体"/>
                <w:szCs w:val="21"/>
              </w:rPr>
              <w:t>公务用车购置及运行维护费</w:t>
            </w:r>
          </w:p>
        </w:tc>
        <w:tc>
          <w:tcPr>
            <w:tcW w:w="2157" w:type="dxa"/>
            <w:tcBorders>
              <w:top w:val="nil"/>
              <w:left w:val="nil"/>
              <w:bottom w:val="single" w:color="000000" w:sz="4" w:space="0"/>
              <w:right w:val="single" w:color="000000" w:sz="4" w:space="0"/>
            </w:tcBorders>
            <w:vAlign w:val="bottom"/>
          </w:tcPr>
          <w:p w14:paraId="0FE02BE3">
            <w:pPr>
              <w:jc w:val="left"/>
            </w:pPr>
            <w:r>
              <w:rPr>
                <w:rFonts w:ascii="宋体" w:hAnsi="宋体"/>
                <w:szCs w:val="21"/>
              </w:rPr>
              <w:t>　   12</w:t>
            </w:r>
          </w:p>
        </w:tc>
        <w:tc>
          <w:tcPr>
            <w:tcW w:w="2220" w:type="dxa"/>
            <w:tcBorders>
              <w:top w:val="nil"/>
              <w:left w:val="nil"/>
              <w:bottom w:val="single" w:color="000000" w:sz="4" w:space="0"/>
              <w:right w:val="single" w:color="000000" w:sz="4" w:space="0"/>
            </w:tcBorders>
            <w:vAlign w:val="bottom"/>
          </w:tcPr>
          <w:p w14:paraId="55E73709">
            <w:pPr>
              <w:jc w:val="left"/>
            </w:pPr>
            <w:r>
              <w:rPr>
                <w:rFonts w:ascii="宋体" w:hAnsi="宋体"/>
                <w:szCs w:val="21"/>
              </w:rPr>
              <w:t>　   0</w:t>
            </w:r>
          </w:p>
        </w:tc>
      </w:tr>
      <w:tr w14:paraId="6514001E">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62FA776E">
            <w:pPr>
              <w:jc w:val="left"/>
            </w:pPr>
            <w:r>
              <w:rPr>
                <w:rFonts w:ascii="宋体" w:hAnsi="宋体"/>
                <w:szCs w:val="21"/>
              </w:rPr>
              <w:t xml:space="preserve">  其中：公务用车购置费 </w:t>
            </w:r>
          </w:p>
        </w:tc>
        <w:tc>
          <w:tcPr>
            <w:tcW w:w="2157" w:type="dxa"/>
            <w:tcBorders>
              <w:top w:val="nil"/>
              <w:left w:val="nil"/>
              <w:bottom w:val="single" w:color="000000" w:sz="4" w:space="0"/>
              <w:right w:val="single" w:color="000000" w:sz="4" w:space="0"/>
            </w:tcBorders>
            <w:vAlign w:val="bottom"/>
          </w:tcPr>
          <w:p w14:paraId="2C0522F5">
            <w:pPr>
              <w:jc w:val="left"/>
            </w:pPr>
            <w:r>
              <w:rPr>
                <w:rFonts w:ascii="宋体" w:hAnsi="宋体"/>
                <w:szCs w:val="21"/>
              </w:rPr>
              <w:t>　</w:t>
            </w:r>
          </w:p>
        </w:tc>
        <w:tc>
          <w:tcPr>
            <w:tcW w:w="2220" w:type="dxa"/>
            <w:tcBorders>
              <w:top w:val="nil"/>
              <w:left w:val="nil"/>
              <w:bottom w:val="single" w:color="000000" w:sz="4" w:space="0"/>
              <w:right w:val="single" w:color="000000" w:sz="4" w:space="0"/>
            </w:tcBorders>
            <w:vAlign w:val="bottom"/>
          </w:tcPr>
          <w:p w14:paraId="66B8AC6C">
            <w:pPr>
              <w:jc w:val="left"/>
            </w:pPr>
            <w:r>
              <w:rPr>
                <w:rFonts w:ascii="宋体" w:hAnsi="宋体"/>
                <w:szCs w:val="21"/>
              </w:rPr>
              <w:t>　</w:t>
            </w:r>
          </w:p>
        </w:tc>
      </w:tr>
      <w:tr w14:paraId="3CCB2190">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vAlign w:val="center"/>
          </w:tcPr>
          <w:p w14:paraId="4EC5A90D">
            <w:pPr>
              <w:jc w:val="left"/>
            </w:pPr>
            <w:r>
              <w:rPr>
                <w:rFonts w:ascii="宋体" w:hAnsi="宋体"/>
                <w:szCs w:val="21"/>
              </w:rPr>
              <w:t xml:space="preserve">        公务用车运行维护费</w:t>
            </w:r>
          </w:p>
        </w:tc>
        <w:tc>
          <w:tcPr>
            <w:tcW w:w="2157" w:type="dxa"/>
            <w:tcBorders>
              <w:top w:val="nil"/>
              <w:left w:val="nil"/>
              <w:bottom w:val="single" w:color="000000" w:sz="4" w:space="0"/>
              <w:right w:val="single" w:color="000000" w:sz="4" w:space="0"/>
            </w:tcBorders>
            <w:vAlign w:val="bottom"/>
          </w:tcPr>
          <w:p w14:paraId="6E50C486">
            <w:pPr>
              <w:jc w:val="left"/>
            </w:pPr>
            <w:r>
              <w:rPr>
                <w:rFonts w:ascii="宋体" w:hAnsi="宋体"/>
                <w:szCs w:val="21"/>
              </w:rPr>
              <w:t>　   12</w:t>
            </w:r>
          </w:p>
        </w:tc>
        <w:tc>
          <w:tcPr>
            <w:tcW w:w="2220" w:type="dxa"/>
            <w:tcBorders>
              <w:top w:val="nil"/>
              <w:left w:val="nil"/>
              <w:bottom w:val="single" w:color="000000" w:sz="4" w:space="0"/>
              <w:right w:val="single" w:color="000000" w:sz="4" w:space="0"/>
            </w:tcBorders>
            <w:vAlign w:val="bottom"/>
          </w:tcPr>
          <w:p w14:paraId="5F89AAA6">
            <w:pPr>
              <w:jc w:val="left"/>
            </w:pPr>
            <w:r>
              <w:rPr>
                <w:rFonts w:ascii="宋体" w:hAnsi="宋体"/>
                <w:szCs w:val="21"/>
              </w:rPr>
              <w:t>　   0</w:t>
            </w:r>
          </w:p>
        </w:tc>
      </w:tr>
    </w:tbl>
    <w:p w14:paraId="16AF8B79">
      <w:pPr>
        <w:ind w:firstLine="628"/>
        <w:rPr>
          <w:rFonts w:ascii="黑体" w:hAnsi="黑体"/>
          <w:szCs w:val="32"/>
        </w:rPr>
      </w:pPr>
      <w:r>
        <w:rPr>
          <w:rFonts w:ascii="黑体" w:hAnsi="黑体"/>
          <w:szCs w:val="32"/>
        </w:rPr>
        <w:t xml:space="preserve">                                      </w:t>
      </w:r>
    </w:p>
    <w:p w14:paraId="383F0FBC">
      <w:pPr>
        <w:keepNext w:val="0"/>
        <w:keepLines w:val="0"/>
        <w:pageBreakBefore w:val="0"/>
        <w:widowControl/>
        <w:kinsoku/>
        <w:wordWrap/>
        <w:overflowPunct/>
        <w:topLinePunct w:val="0"/>
        <w:autoSpaceDE/>
        <w:autoSpaceDN/>
        <w:bidi w:val="0"/>
        <w:adjustRightInd/>
        <w:snapToGrid/>
        <w:spacing w:line="360" w:lineRule="auto"/>
        <w:textAlignment w:val="auto"/>
        <w:rPr>
          <w:rFonts w:ascii="黑体" w:hAnsi="黑体"/>
          <w:sz w:val="32"/>
          <w:szCs w:val="32"/>
        </w:rPr>
      </w:pPr>
      <w:r>
        <w:rPr>
          <w:rFonts w:ascii="黑体" w:hAnsi="黑体"/>
          <w:szCs w:val="32"/>
        </w:rPr>
        <w:t xml:space="preserve"> </w:t>
      </w:r>
      <w:r>
        <w:rPr>
          <w:rFonts w:ascii="黑体" w:hAnsi="黑体"/>
          <w:sz w:val="32"/>
          <w:szCs w:val="32"/>
        </w:rPr>
        <w:t xml:space="preserve">   二、2023年度一般公共预算财政拨款“三公”经费支出情况说明</w:t>
      </w:r>
    </w:p>
    <w:p w14:paraId="16470350">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b/>
          <w:sz w:val="32"/>
          <w:szCs w:val="32"/>
        </w:rPr>
      </w:pPr>
      <w:r>
        <w:rPr>
          <w:rFonts w:ascii="仿宋_GB2312" w:hAnsi="仿宋"/>
          <w:b/>
          <w:sz w:val="32"/>
          <w:szCs w:val="32"/>
        </w:rPr>
        <w:t>（一）一般公共预算财政拨款“三公”经费支出决算总体情况说明。</w:t>
      </w:r>
    </w:p>
    <w:p w14:paraId="4779163F">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color w:val="FF0000"/>
          <w:sz w:val="32"/>
          <w:szCs w:val="32"/>
        </w:rPr>
      </w:pPr>
      <w:r>
        <w:rPr>
          <w:rFonts w:ascii="仿宋_GB2312" w:hAnsi="仿宋"/>
          <w:sz w:val="32"/>
          <w:szCs w:val="32"/>
        </w:rPr>
        <w:t>濉溪县疾病预防控制中心2023年度一般公共预算财政拨款“三公”经费支出预算为20万元，支出决算为1.99万元，完成预算的9.95%，决算数小于预算数的主要原因是</w:t>
      </w:r>
      <w:r>
        <w:rPr>
          <w:rFonts w:hint="eastAsia" w:ascii="仿宋_GB2312" w:hAnsi="仿宋"/>
          <w:sz w:val="32"/>
          <w:szCs w:val="32"/>
          <w:lang w:val="en-US" w:eastAsia="zh-CN"/>
        </w:rPr>
        <w:t>厉行节约</w:t>
      </w:r>
      <w:r>
        <w:rPr>
          <w:rFonts w:ascii="仿宋_GB2312" w:hAnsi="仿宋"/>
          <w:sz w:val="32"/>
          <w:szCs w:val="32"/>
        </w:rPr>
        <w:t>；</w:t>
      </w:r>
      <w:r>
        <w:rPr>
          <w:rFonts w:ascii="仿宋_GB2312" w:hAnsi="仿宋"/>
          <w:color w:val="000000"/>
          <w:sz w:val="32"/>
          <w:szCs w:val="32"/>
        </w:rPr>
        <w:t>较上年减少0.97万元，下降33.44%，决算数较上年减少的主要原因是</w:t>
      </w:r>
      <w:r>
        <w:rPr>
          <w:rFonts w:hint="eastAsia" w:ascii="仿宋_GB2312" w:hAnsi="仿宋"/>
          <w:sz w:val="32"/>
          <w:szCs w:val="32"/>
          <w:lang w:val="en-US" w:eastAsia="zh-CN"/>
        </w:rPr>
        <w:t>厉行节约</w:t>
      </w:r>
      <w:r>
        <w:rPr>
          <w:rFonts w:ascii="仿宋_GB2312" w:hAnsi="仿宋"/>
          <w:color w:val="000000"/>
          <w:sz w:val="32"/>
          <w:szCs w:val="32"/>
        </w:rPr>
        <w:t>。</w:t>
      </w:r>
    </w:p>
    <w:p w14:paraId="5C401C29">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b/>
          <w:sz w:val="32"/>
          <w:szCs w:val="32"/>
        </w:rPr>
      </w:pPr>
      <w:r>
        <w:rPr>
          <w:rFonts w:ascii="仿宋_GB2312" w:hAnsi="仿宋"/>
          <w:b/>
          <w:sz w:val="32"/>
          <w:szCs w:val="32"/>
        </w:rPr>
        <w:t>（二）一般公共预算财政拨款“三公”经费支出决算具体情况说明。</w:t>
      </w:r>
    </w:p>
    <w:p w14:paraId="79C50F99">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sz w:val="32"/>
          <w:szCs w:val="32"/>
        </w:rPr>
      </w:pPr>
      <w:r>
        <w:rPr>
          <w:rFonts w:ascii="仿宋_GB2312" w:hAnsi="仿宋"/>
          <w:sz w:val="32"/>
          <w:szCs w:val="32"/>
        </w:rPr>
        <w:t>濉溪县疾病预防控制中心2023年度一般公共预算财政拨款“三公”经费支出决算中，因公出国（境）费支出决算0万元，占0%;公务接待费支出决算1.99万元，占100%；公务用车购置及运行维护费支出决算0万元，占0%。具体情况如下：</w:t>
      </w:r>
    </w:p>
    <w:p w14:paraId="7D986EF2">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b/>
          <w:color w:val="000000"/>
          <w:sz w:val="32"/>
          <w:szCs w:val="32"/>
        </w:rPr>
      </w:pPr>
      <w:r>
        <w:rPr>
          <w:rFonts w:ascii="仿宋_GB2312" w:hAnsi="仿宋"/>
          <w:b/>
          <w:color w:val="000000"/>
          <w:sz w:val="32"/>
          <w:szCs w:val="32"/>
        </w:rPr>
        <w:t>1.因公出国（境）费</w:t>
      </w:r>
      <w:r>
        <w:rPr>
          <w:rFonts w:ascii="仿宋_GB2312" w:hAnsi="仿宋"/>
          <w:color w:val="000000"/>
          <w:sz w:val="32"/>
          <w:szCs w:val="32"/>
        </w:rPr>
        <w:t>预算为0万元，支出决算为0万元，完成预算的100%，决算数与预算数相同；较上年减少0万元，下降0%。原因是2022年度、2023年度均未安排因公出国（境）计划。故2023年濉溪县疾病预防控制中心因公出国（境）团组0次，累计出国（境）0人次。</w:t>
      </w:r>
    </w:p>
    <w:p w14:paraId="78C34B3D">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sz w:val="32"/>
          <w:szCs w:val="32"/>
        </w:rPr>
      </w:pPr>
      <w:r>
        <w:rPr>
          <w:rFonts w:ascii="仿宋_GB2312" w:hAnsi="仿宋"/>
          <w:b/>
          <w:sz w:val="32"/>
          <w:szCs w:val="32"/>
        </w:rPr>
        <w:t>2.公务接待费</w:t>
      </w:r>
      <w:r>
        <w:rPr>
          <w:rFonts w:ascii="仿宋_GB2312" w:hAnsi="仿宋"/>
          <w:color w:val="000000"/>
          <w:sz w:val="32"/>
          <w:szCs w:val="32"/>
        </w:rPr>
        <w:t>预算为8万元，</w:t>
      </w:r>
      <w:r>
        <w:rPr>
          <w:rFonts w:ascii="仿宋_GB2312" w:hAnsi="仿宋"/>
          <w:sz w:val="32"/>
          <w:szCs w:val="32"/>
        </w:rPr>
        <w:t>支出决算为1.99万元, 完成预算的</w:t>
      </w:r>
      <w:r>
        <w:rPr>
          <w:rFonts w:ascii="仿宋_GB2312" w:hAnsi="仿宋"/>
          <w:color w:val="000000"/>
          <w:sz w:val="32"/>
          <w:szCs w:val="32"/>
        </w:rPr>
        <w:t>24.87%</w:t>
      </w:r>
      <w:r>
        <w:rPr>
          <w:rFonts w:ascii="仿宋_GB2312" w:hAnsi="仿宋"/>
          <w:sz w:val="32"/>
          <w:szCs w:val="32"/>
        </w:rPr>
        <w:t>，</w:t>
      </w:r>
      <w:r>
        <w:rPr>
          <w:rFonts w:ascii="仿宋_GB2312" w:hAnsi="仿宋"/>
          <w:color w:val="000000"/>
          <w:sz w:val="32"/>
          <w:szCs w:val="32"/>
        </w:rPr>
        <w:t>决算数小于预算数的主要原因是</w:t>
      </w:r>
      <w:r>
        <w:rPr>
          <w:rFonts w:hint="eastAsia" w:ascii="仿宋_GB2312" w:hAnsi="仿宋"/>
          <w:sz w:val="32"/>
          <w:szCs w:val="32"/>
          <w:lang w:val="en-US" w:eastAsia="zh-CN"/>
        </w:rPr>
        <w:t>厉行节约</w:t>
      </w:r>
      <w:r>
        <w:rPr>
          <w:rFonts w:ascii="仿宋_GB2312" w:hAnsi="仿宋"/>
          <w:color w:val="000000"/>
          <w:sz w:val="32"/>
          <w:szCs w:val="32"/>
        </w:rPr>
        <w:t>。决算数较上年增加1.37万元，增220.96%，决算数较上年增加的主要原因是较上年增加了线下工作监督和指导的次数。</w:t>
      </w:r>
      <w:r>
        <w:rPr>
          <w:rFonts w:ascii="仿宋_GB2312" w:hAnsi="仿宋"/>
          <w:sz w:val="32"/>
          <w:szCs w:val="32"/>
        </w:rPr>
        <w:t>2023年濉溪县疾病预防控制中心国内公务接待共23批次（其中外事接待0批次），123人次（其中外事接待0人次）。主要是用于</w:t>
      </w:r>
      <w:r>
        <w:rPr>
          <w:rFonts w:ascii="仿宋_GB2312" w:hAnsi="仿宋"/>
          <w:color w:val="000000"/>
          <w:sz w:val="32"/>
          <w:szCs w:val="32"/>
        </w:rPr>
        <w:t>招待省、市工作人员到本单位公卫项目的各项工作的监督和指导</w:t>
      </w:r>
      <w:r>
        <w:rPr>
          <w:rFonts w:ascii="仿宋_GB2312" w:hAnsi="仿宋"/>
          <w:sz w:val="32"/>
          <w:szCs w:val="32"/>
        </w:rPr>
        <w:t>。经费使用严格执行《党政机关厉行节约反对浪费条例》、濉溪县公务接待相关规定等。</w:t>
      </w:r>
    </w:p>
    <w:p w14:paraId="5B7123D9">
      <w:pPr>
        <w:keepNext w:val="0"/>
        <w:keepLines w:val="0"/>
        <w:pageBreakBefore w:val="0"/>
        <w:widowControl/>
        <w:kinsoku/>
        <w:wordWrap/>
        <w:overflowPunct/>
        <w:topLinePunct w:val="0"/>
        <w:autoSpaceDE/>
        <w:autoSpaceDN/>
        <w:bidi w:val="0"/>
        <w:adjustRightInd/>
        <w:snapToGrid/>
        <w:spacing w:line="360" w:lineRule="auto"/>
        <w:ind w:firstLine="628"/>
        <w:textAlignment w:val="auto"/>
        <w:rPr>
          <w:rFonts w:ascii="仿宋_GB2312" w:hAnsi="仿宋"/>
          <w:b/>
          <w:sz w:val="32"/>
          <w:szCs w:val="32"/>
        </w:rPr>
      </w:pPr>
      <w:r>
        <w:rPr>
          <w:rFonts w:ascii="仿宋_GB2312" w:hAnsi="仿宋"/>
          <w:b/>
          <w:sz w:val="32"/>
          <w:szCs w:val="32"/>
        </w:rPr>
        <w:t>3.公务用车购置及运行维护费</w:t>
      </w:r>
    </w:p>
    <w:p w14:paraId="37A77F9A">
      <w:pPr>
        <w:keepNext w:val="0"/>
        <w:keepLines w:val="0"/>
        <w:pageBreakBefore w:val="0"/>
        <w:widowControl/>
        <w:kinsoku/>
        <w:wordWrap/>
        <w:overflowPunct/>
        <w:topLinePunct w:val="0"/>
        <w:autoSpaceDE/>
        <w:autoSpaceDN/>
        <w:bidi w:val="0"/>
        <w:adjustRightInd/>
        <w:snapToGrid/>
        <w:spacing w:line="360" w:lineRule="auto"/>
        <w:ind w:firstLine="628"/>
        <w:textAlignment w:val="auto"/>
        <w:rPr>
          <w:color w:val="000000"/>
          <w:sz w:val="32"/>
          <w:szCs w:val="32"/>
        </w:rPr>
      </w:pPr>
      <w:r>
        <w:rPr>
          <w:rFonts w:ascii="仿宋_GB2312" w:hAnsi="仿宋"/>
          <w:sz w:val="32"/>
          <w:szCs w:val="32"/>
        </w:rPr>
        <w:t>2023年没有安排公务用车购置费</w:t>
      </w:r>
      <w:r>
        <w:rPr>
          <w:rFonts w:ascii="楷体_GB2312" w:hAnsi="仿宋"/>
          <w:sz w:val="32"/>
          <w:szCs w:val="32"/>
        </w:rPr>
        <w:t>。</w:t>
      </w:r>
      <w:r>
        <w:rPr>
          <w:rFonts w:ascii="仿宋_GB2312" w:hAnsi="仿宋"/>
          <w:sz w:val="32"/>
          <w:szCs w:val="32"/>
        </w:rPr>
        <w:t>公务用车运行维护费</w:t>
      </w:r>
      <w:r>
        <w:rPr>
          <w:rFonts w:ascii="仿宋_GB2312" w:hAnsi="仿宋"/>
          <w:color w:val="000000"/>
          <w:sz w:val="32"/>
          <w:szCs w:val="32"/>
        </w:rPr>
        <w:t>预算为12万元，支出决算为0万元，完成预算的0%，决算数小于预算数的主要原因是本年度未使用公务车运行维护费。较上年减少2.35万元，下降100%，决算数较上年减少的主要原因是本年度未使用公务车运行维护费。公务用车运行维护费，包</w:t>
      </w:r>
      <w:r>
        <w:rPr>
          <w:rFonts w:ascii="仿宋_GB2312" w:hAnsi="仿宋"/>
          <w:sz w:val="32"/>
          <w:szCs w:val="32"/>
        </w:rPr>
        <w:t>括车辆燃料费、维修费、过路过桥费、保险费等支出。截至2023年12月31日，濉溪县疾病预防控制中心开支财政拨款的公务用车保有量为13辆。</w:t>
      </w:r>
      <w:bookmarkStart w:id="0" w:name="_GoBack"/>
      <w:bookmarkEnd w:id="0"/>
    </w:p>
    <w:p w14:paraId="4507498F"/>
    <w:sectPr>
      <w:footerReference r:id="rId3" w:type="default"/>
      <w:pgSz w:w="11906" w:h="16838"/>
      <w:pgMar w:top="2155" w:right="1531" w:bottom="1588"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0C44"/>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seFELayout/>
    <w:splitPgBreakAndParaMark/>
    <w:compatSetting w:name="compatibilityMode" w:uri="http://schemas.microsoft.com/office/word" w:val="12"/>
  </w:compat>
  <w:rsids>
    <w:rsidRoot w:val="00000000"/>
    <w:rsid w:val="2ADB5CA0"/>
    <w:rsid w:val="40347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Times New Roman" w:hAnsi="Times New Roman" w:eastAsiaTheme="minorEastAsia" w:cstheme="minorBidi"/>
      <w:sz w:val="32"/>
    </w:rPr>
  </w:style>
  <w:style w:type="character" w:customStyle="1" w:styleId="10">
    <w:name w:val="默认段落字体1"/>
    <w:qFormat/>
    <w:uiPriority w:val="0"/>
  </w:style>
  <w:style w:type="table" w:customStyle="1" w:styleId="11">
    <w:name w:val="普通表格1"/>
    <w:qFormat/>
    <w:uiPriority w:val="0"/>
  </w:style>
  <w:style w:type="paragraph" w:customStyle="1" w:styleId="12">
    <w:name w:val="页脚1"/>
    <w:basedOn w:val="9"/>
    <w:qFormat/>
    <w:uiPriority w:val="0"/>
    <w:pPr>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1066</Characters>
  <Lines>0</Lines>
  <Paragraphs>0</Paragraphs>
  <TotalTime>2</TotalTime>
  <ScaleCrop>false</ScaleCrop>
  <LinksUpToDate>false</LinksUpToDate>
  <CharactersWithSpaces>1162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爱琴海</dc:creator>
  <cp:lastModifiedBy>爱琴海</cp:lastModifiedBy>
  <dcterms:modified xsi:type="dcterms:W3CDTF">2025-08-19T07:29:29Z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eyJoZGlkIjoiOGVjNDQzNjg4ZTcyMzkyNDRkYzUyZmZmNTI3NmZhODYiLCJ1c2VySWQiOiIxMzgzOTU4NzUifQ==</vt:lpwstr>
  </property>
  <property fmtid="{D5CDD505-2E9C-101B-9397-08002B2CF9AE}" pid="3" name="KSOProductBuildVer">
    <vt:lpwstr>2052-12.1.0.21915</vt:lpwstr>
  </property>
  <property fmtid="{D5CDD505-2E9C-101B-9397-08002B2CF9AE}" pid="4" name="ICV">
    <vt:lpwstr>6B2B91BD4D3B41F6A9A471C317FF087E_12</vt:lpwstr>
  </property>
</Properties>
</file>