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华文中宋" w:hAnsi="华文中宋" w:eastAsia="华文中宋" w:cs="华文中宋"/>
          <w:b/>
          <w:sz w:val="52"/>
          <w:szCs w:val="84"/>
        </w:rPr>
      </w:pPr>
    </w:p>
    <w:p>
      <w:pPr>
        <w:adjustRightInd w:val="0"/>
        <w:snapToGrid w:val="0"/>
        <w:spacing w:line="360" w:lineRule="auto"/>
        <w:jc w:val="center"/>
        <w:rPr>
          <w:rFonts w:ascii="华文中宋" w:hAnsi="华文中宋" w:eastAsia="华文中宋" w:cs="华文中宋"/>
          <w:b/>
          <w:sz w:val="48"/>
          <w:szCs w:val="48"/>
        </w:rPr>
      </w:pPr>
      <w:r>
        <w:rPr>
          <w:rFonts w:hint="eastAsia" w:ascii="华文中宋" w:hAnsi="华文中宋" w:eastAsia="华文中宋" w:cs="华文中宋"/>
          <w:b/>
          <w:sz w:val="48"/>
          <w:szCs w:val="48"/>
        </w:rPr>
        <w:t>濉溪县中医医院2022年度部门决算</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7"/>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rPr>
        <w:t>2023年8月</w:t>
      </w:r>
    </w:p>
    <w:p>
      <w:pPr>
        <w:pStyle w:val="7"/>
        <w:adjustRightInd w:val="0"/>
        <w:snapToGrid w:val="0"/>
        <w:spacing w:before="0" w:beforeAutospacing="0" w:after="0" w:afterAutospacing="0" w:line="360" w:lineRule="auto"/>
        <w:jc w:val="center"/>
        <w:rPr>
          <w:b/>
          <w:sz w:val="48"/>
          <w:szCs w:val="48"/>
        </w:rPr>
      </w:pPr>
    </w:p>
    <w:p>
      <w:pPr>
        <w:pStyle w:val="7"/>
        <w:adjustRightInd w:val="0"/>
        <w:snapToGrid w:val="0"/>
        <w:spacing w:before="0" w:beforeAutospacing="0" w:after="0" w:afterAutospacing="0" w:line="360" w:lineRule="auto"/>
        <w:jc w:val="center"/>
        <w:rPr>
          <w:rFonts w:ascii="黑体" w:hAnsi="黑体" w:eastAsia="黑体"/>
          <w:bCs/>
          <w:sz w:val="44"/>
          <w:szCs w:val="44"/>
        </w:rPr>
      </w:pPr>
      <w:r>
        <w:rPr>
          <w:rFonts w:hint="eastAsia"/>
          <w:b/>
          <w:sz w:val="48"/>
          <w:szCs w:val="48"/>
        </w:rPr>
        <w:t>2022年部门决算公开目录</w:t>
      </w:r>
    </w:p>
    <w:p>
      <w:pPr>
        <w:jc w:val="center"/>
        <w:rPr>
          <w:rFonts w:ascii="宋体" w:hAnsi="宋体" w:eastAsia="宋体"/>
          <w:b/>
          <w:sz w:val="36"/>
          <w:szCs w:val="36"/>
        </w:rPr>
      </w:pPr>
    </w:p>
    <w:p>
      <w:pPr>
        <w:rPr>
          <w:rFonts w:ascii="仿宋_GB2312" w:hAnsi="宋体"/>
          <w:b/>
          <w:szCs w:val="32"/>
        </w:rPr>
      </w:pPr>
      <w:r>
        <w:rPr>
          <w:rFonts w:hint="eastAsia" w:ascii="仿宋_GB2312" w:hAnsi="宋体"/>
          <w:b/>
          <w:szCs w:val="32"/>
        </w:rPr>
        <w:t>第一部分 濉溪县中医医院2022年部门决算情况说明</w:t>
      </w:r>
    </w:p>
    <w:p>
      <w:pPr>
        <w:spacing w:line="520" w:lineRule="exact"/>
        <w:rPr>
          <w:rFonts w:ascii="仿宋_GB2312" w:hAnsi="宋体"/>
          <w:bCs/>
          <w:szCs w:val="32"/>
        </w:rPr>
      </w:pPr>
      <w:r>
        <w:rPr>
          <w:rFonts w:hint="eastAsia" w:ascii="仿宋_GB2312" w:hAnsi="宋体"/>
          <w:bCs/>
          <w:szCs w:val="32"/>
        </w:rPr>
        <w:t>一、部门职责</w:t>
      </w:r>
    </w:p>
    <w:p>
      <w:pPr>
        <w:spacing w:line="520" w:lineRule="exact"/>
        <w:rPr>
          <w:rFonts w:ascii="仿宋_GB2312" w:hAnsi="宋体"/>
          <w:bCs/>
          <w:szCs w:val="32"/>
        </w:rPr>
      </w:pPr>
      <w:r>
        <w:rPr>
          <w:rFonts w:hint="eastAsia" w:ascii="仿宋_GB2312" w:hAnsi="宋体"/>
          <w:bCs/>
          <w:szCs w:val="32"/>
        </w:rPr>
        <w:t>二、机构设置</w:t>
      </w:r>
    </w:p>
    <w:p>
      <w:pPr>
        <w:spacing w:line="520" w:lineRule="exact"/>
        <w:rPr>
          <w:rFonts w:ascii="仿宋_GB2312" w:hAnsi="宋体"/>
          <w:bCs/>
          <w:szCs w:val="32"/>
        </w:rPr>
      </w:pPr>
      <w:r>
        <w:rPr>
          <w:rFonts w:hint="eastAsia" w:ascii="仿宋_GB2312" w:hAnsi="宋体"/>
          <w:bCs/>
          <w:szCs w:val="32"/>
        </w:rPr>
        <w:t>三、濉溪县中医医院2022年度部门决算说明</w:t>
      </w:r>
    </w:p>
    <w:p>
      <w:pPr>
        <w:spacing w:line="520" w:lineRule="exact"/>
        <w:rPr>
          <w:rFonts w:ascii="仿宋_GB2312" w:hAnsi="宋体"/>
          <w:bCs/>
          <w:szCs w:val="32"/>
        </w:rPr>
      </w:pPr>
      <w:r>
        <w:rPr>
          <w:rFonts w:hint="eastAsia" w:ascii="仿宋_GB2312" w:hAnsi="宋体"/>
          <w:bCs/>
          <w:szCs w:val="32"/>
        </w:rPr>
        <w:t>（一）收入支出决算总体情况说明</w:t>
      </w:r>
    </w:p>
    <w:p>
      <w:pPr>
        <w:spacing w:line="520" w:lineRule="exact"/>
        <w:rPr>
          <w:rFonts w:ascii="仿宋_GB2312" w:hAnsi="宋体"/>
          <w:bCs/>
          <w:szCs w:val="32"/>
        </w:rPr>
      </w:pPr>
      <w:r>
        <w:rPr>
          <w:rFonts w:hint="eastAsia" w:ascii="仿宋_GB2312" w:hAnsi="宋体"/>
          <w:bCs/>
          <w:szCs w:val="32"/>
        </w:rPr>
        <w:t>（二）收入决算情况说明</w:t>
      </w:r>
    </w:p>
    <w:p>
      <w:pPr>
        <w:spacing w:line="520" w:lineRule="exact"/>
        <w:rPr>
          <w:rFonts w:ascii="仿宋_GB2312" w:hAnsi="宋体"/>
          <w:bCs/>
          <w:szCs w:val="32"/>
        </w:rPr>
      </w:pPr>
      <w:r>
        <w:rPr>
          <w:rFonts w:hint="eastAsia" w:ascii="仿宋_GB2312" w:hAnsi="宋体"/>
          <w:bCs/>
          <w:szCs w:val="32"/>
        </w:rPr>
        <w:t>（三）支出决算情况说明</w:t>
      </w:r>
    </w:p>
    <w:p>
      <w:pPr>
        <w:spacing w:line="520" w:lineRule="exact"/>
        <w:rPr>
          <w:rFonts w:ascii="仿宋_GB2312" w:hAnsi="宋体"/>
          <w:bCs/>
          <w:szCs w:val="32"/>
        </w:rPr>
      </w:pPr>
      <w:r>
        <w:rPr>
          <w:rFonts w:hint="eastAsia" w:ascii="仿宋_GB2312" w:hAnsi="宋体"/>
          <w:bCs/>
          <w:szCs w:val="32"/>
        </w:rPr>
        <w:t>（四）财政拨款收入支出决算总体情况说明</w:t>
      </w:r>
    </w:p>
    <w:p>
      <w:pPr>
        <w:spacing w:line="520" w:lineRule="exact"/>
        <w:rPr>
          <w:rFonts w:ascii="仿宋_GB2312" w:hAnsi="宋体"/>
          <w:bCs/>
          <w:szCs w:val="32"/>
        </w:rPr>
      </w:pPr>
      <w:r>
        <w:rPr>
          <w:rFonts w:hint="eastAsia" w:ascii="仿宋_GB2312" w:hAnsi="宋体"/>
          <w:bCs/>
          <w:szCs w:val="32"/>
        </w:rPr>
        <w:t>（五）一般公共预算财政拨款支出决算情况说明</w:t>
      </w:r>
    </w:p>
    <w:p>
      <w:pPr>
        <w:spacing w:line="520" w:lineRule="exact"/>
        <w:rPr>
          <w:rFonts w:ascii="仿宋_GB2312" w:hAnsi="宋体"/>
          <w:bCs/>
          <w:szCs w:val="32"/>
        </w:rPr>
      </w:pPr>
      <w:r>
        <w:rPr>
          <w:rFonts w:hint="eastAsia" w:ascii="仿宋_GB2312" w:hAnsi="宋体"/>
          <w:bCs/>
          <w:szCs w:val="32"/>
        </w:rPr>
        <w:t>（六）一般公共预算财政拨款基本支出决算情况说明</w:t>
      </w:r>
    </w:p>
    <w:p>
      <w:pPr>
        <w:spacing w:line="520" w:lineRule="exact"/>
        <w:rPr>
          <w:rFonts w:ascii="仿宋_GB2312" w:hAnsi="宋体"/>
          <w:bCs/>
          <w:szCs w:val="32"/>
        </w:rPr>
      </w:pPr>
      <w:r>
        <w:rPr>
          <w:rFonts w:hint="eastAsia" w:ascii="仿宋_GB2312" w:hAnsi="宋体"/>
          <w:bCs/>
          <w:szCs w:val="32"/>
        </w:rPr>
        <w:t>（七）政府性基金预算财政拨款收入支出决算情况说明</w:t>
      </w:r>
    </w:p>
    <w:p>
      <w:pPr>
        <w:spacing w:line="520" w:lineRule="exact"/>
        <w:rPr>
          <w:rFonts w:ascii="仿宋_GB2312" w:hAnsi="宋体"/>
          <w:bCs/>
          <w:szCs w:val="32"/>
        </w:rPr>
      </w:pPr>
      <w:r>
        <w:rPr>
          <w:rFonts w:hint="eastAsia" w:ascii="仿宋_GB2312" w:hAnsi="宋体"/>
          <w:bCs/>
          <w:szCs w:val="32"/>
        </w:rPr>
        <w:t>（八）国有资本经营预算财政拨款支出决算情况说明</w:t>
      </w:r>
    </w:p>
    <w:p>
      <w:pPr>
        <w:spacing w:line="520" w:lineRule="exact"/>
        <w:rPr>
          <w:rFonts w:ascii="仿宋_GB2312" w:hAnsi="宋体"/>
          <w:bCs/>
          <w:szCs w:val="32"/>
        </w:rPr>
      </w:pPr>
      <w:r>
        <w:rPr>
          <w:rFonts w:hint="eastAsia" w:ascii="仿宋_GB2312" w:hAnsi="宋体"/>
          <w:bCs/>
          <w:szCs w:val="32"/>
        </w:rPr>
        <w:t>（九）其他重要事项情况说明</w:t>
      </w:r>
    </w:p>
    <w:p>
      <w:pPr>
        <w:spacing w:line="520" w:lineRule="exact"/>
        <w:rPr>
          <w:rFonts w:ascii="仿宋_GB2312" w:hAnsi="宋体"/>
          <w:bCs/>
          <w:szCs w:val="32"/>
        </w:rPr>
      </w:pPr>
      <w:r>
        <w:rPr>
          <w:rFonts w:hint="eastAsia" w:ascii="仿宋_GB2312" w:hAnsi="宋体"/>
          <w:bCs/>
          <w:szCs w:val="32"/>
        </w:rPr>
        <w:t>四、名词解释</w:t>
      </w:r>
    </w:p>
    <w:p>
      <w:pPr>
        <w:spacing w:line="520" w:lineRule="exact"/>
        <w:rPr>
          <w:rFonts w:ascii="仿宋_GB2312" w:hAnsi="宋体"/>
          <w:b/>
          <w:szCs w:val="32"/>
        </w:rPr>
      </w:pPr>
      <w:r>
        <w:rPr>
          <w:rFonts w:hint="eastAsia" w:ascii="仿宋_GB2312" w:hAnsi="宋体"/>
          <w:b/>
          <w:szCs w:val="32"/>
        </w:rPr>
        <w:t>第二部分 濉溪县中医医院2022年部门决算公开报表</w:t>
      </w:r>
    </w:p>
    <w:p>
      <w:pPr>
        <w:spacing w:line="520" w:lineRule="exact"/>
        <w:rPr>
          <w:rFonts w:ascii="仿宋_GB2312" w:hAnsi="宋体"/>
          <w:bCs/>
          <w:szCs w:val="32"/>
        </w:rPr>
      </w:pPr>
      <w:r>
        <w:rPr>
          <w:rFonts w:hint="eastAsia" w:ascii="仿宋_GB2312" w:hAnsi="宋体"/>
          <w:bCs/>
          <w:szCs w:val="32"/>
        </w:rPr>
        <w:t>一、收入支出决算总表</w:t>
      </w:r>
    </w:p>
    <w:p>
      <w:pPr>
        <w:spacing w:line="520" w:lineRule="exact"/>
        <w:rPr>
          <w:rFonts w:ascii="仿宋_GB2312" w:hAnsi="宋体"/>
          <w:bCs/>
          <w:szCs w:val="32"/>
        </w:rPr>
      </w:pPr>
      <w:r>
        <w:rPr>
          <w:rFonts w:hint="eastAsia" w:ascii="仿宋_GB2312" w:hAnsi="宋体"/>
          <w:bCs/>
          <w:szCs w:val="32"/>
        </w:rPr>
        <w:t>二、收入决算表</w:t>
      </w:r>
    </w:p>
    <w:p>
      <w:pPr>
        <w:spacing w:line="520" w:lineRule="exact"/>
        <w:rPr>
          <w:rFonts w:ascii="仿宋_GB2312" w:hAnsi="宋体"/>
          <w:bCs/>
          <w:szCs w:val="32"/>
        </w:rPr>
      </w:pPr>
      <w:r>
        <w:rPr>
          <w:rFonts w:hint="eastAsia" w:ascii="仿宋_GB2312" w:hAnsi="宋体"/>
          <w:bCs/>
          <w:szCs w:val="32"/>
        </w:rPr>
        <w:t>三、支出决算表</w:t>
      </w:r>
    </w:p>
    <w:p>
      <w:pPr>
        <w:spacing w:line="520" w:lineRule="exact"/>
        <w:rPr>
          <w:rFonts w:ascii="仿宋_GB2312" w:hAnsi="宋体"/>
          <w:bCs/>
          <w:szCs w:val="32"/>
        </w:rPr>
      </w:pPr>
      <w:r>
        <w:rPr>
          <w:rFonts w:hint="eastAsia" w:ascii="仿宋_GB2312" w:hAnsi="宋体"/>
          <w:bCs/>
          <w:szCs w:val="32"/>
        </w:rPr>
        <w:t>四、财政拨款收入支出决算总表</w:t>
      </w:r>
    </w:p>
    <w:p>
      <w:pPr>
        <w:spacing w:line="520" w:lineRule="exact"/>
        <w:rPr>
          <w:rFonts w:ascii="仿宋_GB2312" w:hAnsi="宋体"/>
          <w:bCs/>
          <w:szCs w:val="32"/>
        </w:rPr>
      </w:pPr>
      <w:r>
        <w:rPr>
          <w:rFonts w:hint="eastAsia" w:ascii="仿宋_GB2312" w:hAnsi="宋体"/>
          <w:bCs/>
          <w:szCs w:val="32"/>
        </w:rPr>
        <w:t>五、一般公共预算财政拨款支出决算表</w:t>
      </w:r>
    </w:p>
    <w:p>
      <w:pPr>
        <w:spacing w:line="520" w:lineRule="exact"/>
        <w:rPr>
          <w:rFonts w:ascii="仿宋_GB2312" w:hAnsi="宋体"/>
          <w:bCs/>
          <w:szCs w:val="32"/>
        </w:rPr>
      </w:pPr>
      <w:r>
        <w:rPr>
          <w:rFonts w:hint="eastAsia" w:ascii="仿宋_GB2312" w:hAnsi="宋体"/>
          <w:bCs/>
          <w:szCs w:val="32"/>
        </w:rPr>
        <w:t>六、一般公共预算财政拨款基本支出决算表</w:t>
      </w:r>
    </w:p>
    <w:p>
      <w:pPr>
        <w:spacing w:line="520" w:lineRule="exact"/>
        <w:rPr>
          <w:rFonts w:ascii="仿宋_GB2312" w:hAnsi="宋体"/>
          <w:bCs/>
          <w:szCs w:val="32"/>
        </w:rPr>
      </w:pPr>
      <w:r>
        <w:rPr>
          <w:rFonts w:hint="eastAsia" w:ascii="仿宋_GB2312" w:hAnsi="宋体"/>
          <w:bCs/>
          <w:szCs w:val="32"/>
        </w:rPr>
        <w:t>七、政府性基金预算财政拨款收入支出决算表</w:t>
      </w:r>
    </w:p>
    <w:p>
      <w:pPr>
        <w:spacing w:line="520" w:lineRule="exact"/>
        <w:rPr>
          <w:rFonts w:hint="eastAsia" w:ascii="仿宋_GB2312" w:hAnsi="宋体"/>
          <w:bCs/>
          <w:szCs w:val="32"/>
        </w:rPr>
      </w:pPr>
      <w:r>
        <w:rPr>
          <w:rFonts w:hint="eastAsia" w:ascii="仿宋_GB2312" w:hAnsi="宋体"/>
          <w:bCs/>
          <w:szCs w:val="32"/>
        </w:rPr>
        <w:t>八、国有资本经营预算财政拨款支出决算表</w:t>
      </w:r>
    </w:p>
    <w:p>
      <w:pPr>
        <w:spacing w:line="520" w:lineRule="exact"/>
        <w:rPr>
          <w:rFonts w:hint="eastAsia" w:ascii="仿宋_GB2312" w:hAnsi="宋体"/>
          <w:bCs/>
          <w:szCs w:val="32"/>
        </w:rPr>
      </w:pPr>
    </w:p>
    <w:p>
      <w:pPr>
        <w:spacing w:line="550" w:lineRule="exact"/>
        <w:ind w:firstLine="1062" w:firstLineChars="300"/>
        <w:rPr>
          <w:rFonts w:ascii="宋体" w:hAnsi="宋体"/>
          <w:b/>
          <w:sz w:val="36"/>
          <w:szCs w:val="36"/>
        </w:rPr>
      </w:pPr>
      <w:r>
        <w:rPr>
          <w:rFonts w:hint="eastAsia" w:ascii="宋体" w:hAnsi="宋体"/>
          <w:b/>
          <w:sz w:val="36"/>
          <w:szCs w:val="36"/>
        </w:rPr>
        <w:t>濉溪县中医医院2022</w:t>
      </w:r>
      <w:r>
        <w:rPr>
          <w:rFonts w:ascii="宋体" w:hAnsi="宋体"/>
          <w:b/>
          <w:sz w:val="36"/>
          <w:szCs w:val="36"/>
        </w:rPr>
        <w:t>年</w:t>
      </w:r>
      <w:r>
        <w:rPr>
          <w:rFonts w:hint="eastAsia" w:ascii="宋体" w:hAnsi="宋体"/>
          <w:b/>
          <w:sz w:val="36"/>
          <w:szCs w:val="36"/>
        </w:rPr>
        <w:t>度单位决算</w:t>
      </w:r>
      <w:r>
        <w:rPr>
          <w:rFonts w:ascii="宋体" w:hAnsi="宋体"/>
          <w:b/>
          <w:sz w:val="36"/>
          <w:szCs w:val="36"/>
        </w:rPr>
        <w:t>情况</w:t>
      </w:r>
    </w:p>
    <w:p>
      <w:pPr>
        <w:ind w:firstLine="628" w:firstLineChars="200"/>
        <w:rPr>
          <w:rFonts w:ascii="黑体" w:hAnsi="黑体" w:eastAsia="黑体"/>
          <w:szCs w:val="32"/>
        </w:rPr>
      </w:pPr>
      <w:r>
        <w:rPr>
          <w:rFonts w:hint="eastAsia" w:ascii="黑体" w:hAnsi="黑体" w:eastAsia="黑体"/>
          <w:szCs w:val="32"/>
        </w:rPr>
        <w:t>一、部门职责</w:t>
      </w:r>
    </w:p>
    <w:p>
      <w:pPr>
        <w:ind w:firstLine="628" w:firstLineChars="200"/>
        <w:rPr>
          <w:rFonts w:ascii="黑体" w:hAnsi="黑体" w:eastAsia="黑体"/>
          <w:szCs w:val="32"/>
        </w:rPr>
      </w:pPr>
      <w:r>
        <w:rPr>
          <w:rFonts w:hint="eastAsia" w:ascii="黑体" w:hAnsi="黑体" w:eastAsia="黑体"/>
          <w:szCs w:val="32"/>
        </w:rPr>
        <w:t>二、机构设置</w:t>
      </w:r>
    </w:p>
    <w:p>
      <w:pPr>
        <w:ind w:firstLine="628" w:firstLineChars="200"/>
        <w:rPr>
          <w:rFonts w:ascii="仿宋_GB2312" w:hAnsi="仿宋"/>
          <w:szCs w:val="32"/>
        </w:rPr>
      </w:pPr>
      <w:r>
        <w:rPr>
          <w:rFonts w:hint="eastAsia" w:ascii="仿宋_GB2312" w:hAnsi="仿宋"/>
          <w:szCs w:val="32"/>
        </w:rPr>
        <w:t>从决算单位构成看，濉溪县中医医院2022年度部门决算纳入濉溪县卫生健康委员会2022年度部门决算编制范围。</w:t>
      </w:r>
    </w:p>
    <w:p>
      <w:pPr>
        <w:keepNext w:val="0"/>
        <w:keepLines w:val="0"/>
        <w:pageBreakBefore w:val="0"/>
        <w:widowControl w:val="0"/>
        <w:kinsoku/>
        <w:wordWrap/>
        <w:overflowPunct/>
        <w:topLinePunct w:val="0"/>
        <w:autoSpaceDE/>
        <w:autoSpaceDN/>
        <w:bidi w:val="0"/>
        <w:adjustRightInd/>
        <w:snapToGrid/>
        <w:spacing w:line="360" w:lineRule="auto"/>
        <w:ind w:firstLine="628" w:firstLineChars="200"/>
        <w:textAlignment w:val="auto"/>
        <w:rPr>
          <w:rFonts w:ascii="黑体" w:hAnsi="黑体" w:eastAsia="黑体"/>
          <w:szCs w:val="32"/>
        </w:rPr>
      </w:pPr>
      <w:r>
        <w:rPr>
          <w:rFonts w:hint="eastAsia" w:ascii="黑体" w:hAnsi="黑体" w:eastAsia="黑体" w:cs="Times New Roman"/>
          <w:szCs w:val="32"/>
        </w:rPr>
        <w:t>三</w:t>
      </w:r>
      <w:r>
        <w:rPr>
          <w:rFonts w:hint="eastAsia" w:ascii="黑体" w:hAnsi="黑体" w:eastAsia="黑体" w:cs="Times New Roman"/>
          <w:szCs w:val="32"/>
          <w:lang w:eastAsia="zh-CN"/>
        </w:rPr>
        <w:t>、</w:t>
      </w:r>
      <w:r>
        <w:rPr>
          <w:rFonts w:hint="eastAsia" w:ascii="黑体" w:hAnsi="黑体" w:eastAsia="黑体" w:cs="Times New Roman"/>
          <w:szCs w:val="32"/>
          <w:lang w:val="en-US" w:eastAsia="zh-CN"/>
        </w:rPr>
        <w:t>濉溪县中医医院</w:t>
      </w:r>
      <w:r>
        <w:rPr>
          <w:rFonts w:hint="eastAsia" w:ascii="黑体" w:hAnsi="黑体" w:eastAsia="黑体" w:cs="Times New Roman"/>
          <w:szCs w:val="32"/>
          <w:lang w:eastAsia="zh-CN"/>
        </w:rPr>
        <w:t>2022</w:t>
      </w:r>
      <w:r>
        <w:rPr>
          <w:rFonts w:hint="eastAsia" w:ascii="黑体" w:hAnsi="黑体" w:eastAsia="黑体" w:cs="Times New Roman"/>
          <w:szCs w:val="32"/>
        </w:rPr>
        <w:t>年度部门决算情况说明</w:t>
      </w:r>
    </w:p>
    <w:p>
      <w:pPr>
        <w:ind w:firstLine="628" w:firstLineChars="200"/>
        <w:rPr>
          <w:rFonts w:ascii="黑体" w:hAnsi="黑体" w:eastAsia="黑体"/>
          <w:szCs w:val="32"/>
        </w:rPr>
      </w:pPr>
      <w:r>
        <w:rPr>
          <w:rFonts w:hint="eastAsia" w:ascii="黑体" w:hAnsi="黑体" w:eastAsia="黑体"/>
          <w:szCs w:val="32"/>
        </w:rPr>
        <w:t>（一）收入支出决算情况说明</w:t>
      </w:r>
    </w:p>
    <w:p>
      <w:pPr>
        <w:ind w:firstLine="628" w:firstLineChars="200"/>
        <w:rPr>
          <w:rFonts w:ascii="仿宋_GB2312" w:hAnsi="仿宋"/>
          <w:szCs w:val="32"/>
        </w:rPr>
      </w:pPr>
      <w:r>
        <w:rPr>
          <w:rFonts w:hint="eastAsia" w:ascii="仿宋_GB2312" w:hAnsi="仿宋"/>
          <w:szCs w:val="32"/>
        </w:rPr>
        <w:t>2022年度收入总计23758.9万元（含使用非财政拨款结转结余和年初结转结余）、支出总计23758.9万元（含结余分配和年末结转结余）。与2021年相比，收入总计增加1320万元，增长5.89%，主要原因是医疗收入增加。支出总计增加了2341.1万元，增长10.9%。主要原因是疫情防控支出增加。</w:t>
      </w:r>
    </w:p>
    <w:p>
      <w:pPr>
        <w:ind w:firstLine="628" w:firstLineChars="200"/>
        <w:rPr>
          <w:rFonts w:ascii="黑体" w:hAnsi="仿宋" w:eastAsia="黑体"/>
          <w:szCs w:val="32"/>
        </w:rPr>
      </w:pPr>
      <w:r>
        <w:rPr>
          <w:rFonts w:hint="eastAsia" w:ascii="黑体" w:hAnsi="仿宋" w:eastAsia="黑体"/>
          <w:szCs w:val="32"/>
        </w:rPr>
        <w:t>（二）收入决算情况说明</w:t>
      </w:r>
    </w:p>
    <w:p>
      <w:pPr>
        <w:ind w:firstLine="628" w:firstLineChars="200"/>
        <w:rPr>
          <w:rFonts w:hint="eastAsia" w:ascii="仿宋_GB2312" w:hAnsi="仿宋"/>
          <w:szCs w:val="32"/>
        </w:rPr>
      </w:pPr>
      <w:r>
        <w:rPr>
          <w:rFonts w:hint="eastAsia" w:ascii="仿宋_GB2312" w:hAnsi="仿宋"/>
          <w:szCs w:val="32"/>
        </w:rPr>
        <w:t>2022年度收入合计22737.9万元，其中：财政拨款收入947.1万元，占4.16%；事业收入21790.8万元，占95.83%</w:t>
      </w:r>
      <w:r>
        <w:rPr>
          <w:rFonts w:hint="eastAsia" w:ascii="仿宋_GB2312" w:hAnsi="仿宋"/>
          <w:szCs w:val="32"/>
          <w:lang w:eastAsia="zh-CN"/>
        </w:rPr>
        <w:t>；</w:t>
      </w:r>
      <w:r>
        <w:rPr>
          <w:rFonts w:hint="eastAsia" w:ascii="仿宋_GB2312" w:hAnsi="仿宋"/>
          <w:szCs w:val="32"/>
        </w:rPr>
        <w:t>经营收入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%；其他收入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p>
    <w:p>
      <w:pPr>
        <w:ind w:firstLine="628" w:firstLineChars="200"/>
        <w:rPr>
          <w:rFonts w:hint="eastAsia" w:ascii="仿宋_GB2312" w:hAnsi="仿宋" w:eastAsia="仿宋_GB2312"/>
          <w:szCs w:val="32"/>
          <w:lang w:eastAsia="zh-CN"/>
        </w:rPr>
      </w:pPr>
    </w:p>
    <w:p>
      <w:pPr>
        <w:ind w:firstLine="628" w:firstLineChars="200"/>
        <w:rPr>
          <w:rFonts w:ascii="黑体" w:hAnsi="仿宋" w:eastAsia="黑体"/>
          <w:szCs w:val="32"/>
        </w:rPr>
      </w:pPr>
      <w:r>
        <w:rPr>
          <w:rFonts w:hint="eastAsia" w:ascii="黑体" w:hAnsi="仿宋" w:eastAsia="黑体"/>
          <w:szCs w:val="32"/>
        </w:rPr>
        <w:t>（三）支出决算情况说明</w:t>
      </w:r>
    </w:p>
    <w:p>
      <w:pPr>
        <w:ind w:firstLine="628" w:firstLineChars="200"/>
        <w:rPr>
          <w:rFonts w:ascii="仿宋_GB2312" w:hAnsi="仿宋"/>
          <w:szCs w:val="32"/>
        </w:rPr>
      </w:pPr>
      <w:r>
        <w:rPr>
          <w:rFonts w:hint="eastAsia" w:ascii="仿宋_GB2312" w:hAnsi="仿宋"/>
          <w:szCs w:val="32"/>
        </w:rPr>
        <w:t>2022年度支出合计23758.9万元，其中：基本支出22818万元，占96.04%；项目支出940.9万元，占3.96%。</w:t>
      </w:r>
    </w:p>
    <w:p>
      <w:pPr>
        <w:ind w:firstLine="628" w:firstLineChars="200"/>
        <w:rPr>
          <w:rFonts w:ascii="黑体" w:hAnsi="仿宋" w:eastAsia="黑体"/>
          <w:szCs w:val="32"/>
        </w:rPr>
      </w:pPr>
      <w:r>
        <w:rPr>
          <w:rFonts w:hint="eastAsia" w:ascii="黑体" w:hAnsi="仿宋" w:eastAsia="黑体"/>
          <w:szCs w:val="32"/>
        </w:rPr>
        <w:t>（四）</w:t>
      </w:r>
      <w:r>
        <w:rPr>
          <w:rFonts w:hint="eastAsia" w:ascii="黑体" w:eastAsia="黑体"/>
          <w:szCs w:val="32"/>
        </w:rPr>
        <w:t>财政拨款收入支出决算总体情况说明</w:t>
      </w:r>
    </w:p>
    <w:p>
      <w:pPr>
        <w:ind w:firstLine="628" w:firstLineChars="200"/>
        <w:rPr>
          <w:rFonts w:ascii="仿宋_GB2312" w:hAnsi="仿宋"/>
          <w:szCs w:val="32"/>
        </w:rPr>
      </w:pPr>
      <w:r>
        <w:rPr>
          <w:rFonts w:hint="eastAsia" w:ascii="仿宋_GB2312" w:hAnsi="仿宋"/>
          <w:szCs w:val="32"/>
        </w:rPr>
        <w:t>2022年度财政拨款收入总计947.1万元（含年初财政拨款结转结余），支出总计947.1万元（含年末财政拨款结转结余）。与2021年相比，财政拨款收入减少3727.62万元，降低79.7%，</w:t>
      </w:r>
      <w:r>
        <w:rPr>
          <w:rFonts w:ascii="仿宋_GB2312" w:hAnsi="仿宋"/>
          <w:szCs w:val="32"/>
        </w:rPr>
        <w:t xml:space="preserve"> </w:t>
      </w:r>
    </w:p>
    <w:p>
      <w:pPr>
        <w:ind w:firstLine="628" w:firstLineChars="200"/>
        <w:rPr>
          <w:rFonts w:ascii="黑体" w:hAnsi="仿宋" w:eastAsia="黑体"/>
          <w:szCs w:val="32"/>
        </w:rPr>
      </w:pPr>
      <w:r>
        <w:rPr>
          <w:rFonts w:hint="eastAsia" w:ascii="黑体" w:hAnsi="仿宋" w:eastAsia="黑体"/>
          <w:szCs w:val="32"/>
        </w:rPr>
        <w:t>（五）一般公共预算财政拨款支出决算情况说明</w:t>
      </w:r>
    </w:p>
    <w:p>
      <w:pPr>
        <w:ind w:firstLine="628" w:firstLineChars="200"/>
        <w:rPr>
          <w:rFonts w:ascii="仿宋_GB2312" w:hAnsi="仿宋"/>
          <w:b/>
          <w:bCs/>
          <w:szCs w:val="32"/>
        </w:rPr>
      </w:pPr>
      <w:r>
        <w:rPr>
          <w:rFonts w:hint="eastAsia" w:ascii="仿宋_GB2312" w:hAnsi="仿宋"/>
          <w:b/>
          <w:bCs/>
          <w:szCs w:val="32"/>
        </w:rPr>
        <w:t>1、一般公共预算财政拨款支出决算总体情况。</w:t>
      </w:r>
    </w:p>
    <w:p>
      <w:pPr>
        <w:ind w:firstLine="628" w:firstLineChars="200"/>
        <w:rPr>
          <w:rFonts w:hint="eastAsia" w:ascii="仿宋_GB2312" w:hAnsi="仿宋" w:eastAsia="仿宋_GB2312"/>
          <w:szCs w:val="32"/>
          <w:lang w:eastAsia="zh-CN"/>
        </w:rPr>
      </w:pPr>
      <w:r>
        <w:rPr>
          <w:rFonts w:hint="eastAsia" w:ascii="仿宋_GB2312" w:hAnsi="仿宋"/>
          <w:szCs w:val="32"/>
        </w:rPr>
        <w:t>2022年度一般公共预算财政拨款支出484.2万元，占本年支出的2.03%</w:t>
      </w:r>
      <w:r>
        <w:rPr>
          <w:rFonts w:hint="eastAsia" w:ascii="仿宋_GB2312" w:hAnsi="仿宋"/>
          <w:szCs w:val="32"/>
          <w:lang w:eastAsia="zh-CN"/>
        </w:rPr>
        <w:t>。</w:t>
      </w:r>
      <w:r>
        <w:rPr>
          <w:rFonts w:hint="eastAsia" w:ascii="仿宋_GB2312" w:hAnsi="仿宋"/>
          <w:szCs w:val="32"/>
        </w:rPr>
        <w:t>与</w:t>
      </w:r>
      <w:r>
        <w:rPr>
          <w:rFonts w:hint="eastAsia" w:ascii="仿宋_GB2312" w:hAnsi="仿宋"/>
          <w:szCs w:val="32"/>
          <w:lang w:eastAsia="zh-CN"/>
        </w:rPr>
        <w:t>2021</w:t>
      </w:r>
      <w:r>
        <w:rPr>
          <w:rFonts w:hint="eastAsia" w:ascii="仿宋_GB2312" w:hAnsi="仿宋"/>
          <w:szCs w:val="32"/>
        </w:rPr>
        <w:t>年相比，一般公共预算财政拨款支出减少</w:t>
      </w:r>
      <w:r>
        <w:rPr>
          <w:rFonts w:hint="eastAsia" w:ascii="仿宋_GB2312" w:hAnsi="仿宋"/>
          <w:szCs w:val="32"/>
          <w:lang w:val="en-US" w:eastAsia="zh-CN"/>
        </w:rPr>
        <w:t>646.1</w:t>
      </w:r>
      <w:r>
        <w:rPr>
          <w:rFonts w:hint="eastAsia" w:ascii="仿宋_GB2312" w:hAnsi="仿宋"/>
          <w:szCs w:val="32"/>
        </w:rPr>
        <w:t>万元，下降</w:t>
      </w:r>
      <w:r>
        <w:rPr>
          <w:rFonts w:hint="eastAsia" w:ascii="仿宋_GB2312" w:hAnsi="仿宋"/>
          <w:szCs w:val="32"/>
          <w:lang w:val="en-US" w:eastAsia="zh-CN"/>
        </w:rPr>
        <w:t>57.16</w:t>
      </w:r>
      <w:r>
        <w:rPr>
          <w:rFonts w:hint="eastAsia" w:ascii="仿宋_GB2312" w:hAnsi="仿宋"/>
          <w:szCs w:val="32"/>
        </w:rPr>
        <w:t>%。主要原因</w:t>
      </w:r>
      <w:r>
        <w:rPr>
          <w:rFonts w:hint="eastAsia" w:ascii="仿宋_GB2312" w:hAnsi="仿宋"/>
          <w:szCs w:val="32"/>
          <w:lang w:val="en-US" w:eastAsia="zh-CN"/>
        </w:rPr>
        <w:t>是2021年项目资金较多，2022年度项目资金减少</w:t>
      </w:r>
      <w:r>
        <w:rPr>
          <w:rFonts w:hint="eastAsia" w:ascii="仿宋_GB2312" w:hAnsi="仿宋"/>
          <w:szCs w:val="32"/>
        </w:rPr>
        <w:t>。</w:t>
      </w:r>
    </w:p>
    <w:p>
      <w:pPr>
        <w:ind w:firstLine="628" w:firstLineChars="200"/>
        <w:rPr>
          <w:rFonts w:ascii="仿宋_GB2312" w:hAnsi="仿宋"/>
          <w:b/>
          <w:szCs w:val="32"/>
        </w:rPr>
      </w:pPr>
      <w:r>
        <w:rPr>
          <w:rFonts w:hint="eastAsia" w:ascii="仿宋_GB2312" w:hAnsi="仿宋"/>
          <w:b/>
          <w:szCs w:val="32"/>
        </w:rPr>
        <w:t>2、一般公共预算财政拨款支出决算结构情况。</w:t>
      </w:r>
    </w:p>
    <w:p>
      <w:pPr>
        <w:ind w:firstLine="628" w:firstLineChars="200"/>
        <w:rPr>
          <w:rFonts w:hint="eastAsia" w:ascii="仿宋_GB2312" w:hAnsi="仿宋" w:eastAsia="仿宋_GB2312"/>
          <w:szCs w:val="32"/>
          <w:lang w:val="en-US" w:eastAsia="zh-CN"/>
        </w:rPr>
      </w:pPr>
      <w:r>
        <w:rPr>
          <w:rFonts w:hint="eastAsia" w:ascii="仿宋_GB2312" w:hAnsi="仿宋"/>
          <w:szCs w:val="32"/>
        </w:rPr>
        <w:t>2022年度一般公共预算财政拨款支出484.2万元，主要用于以下方面：</w:t>
      </w:r>
      <w:r>
        <w:rPr>
          <w:rFonts w:hint="eastAsia" w:ascii="仿宋_GB2312" w:hAnsi="仿宋"/>
          <w:b/>
          <w:szCs w:val="32"/>
        </w:rPr>
        <w:t>卫生健康</w:t>
      </w:r>
      <w:r>
        <w:rPr>
          <w:rFonts w:hint="eastAsia" w:ascii="仿宋_GB2312" w:hAnsi="仿宋"/>
          <w:szCs w:val="32"/>
        </w:rPr>
        <w:t>支出481.2万元</w:t>
      </w:r>
      <w:r>
        <w:rPr>
          <w:rFonts w:hint="eastAsia" w:ascii="仿宋_GB2312" w:hAnsi="仿宋"/>
          <w:szCs w:val="32"/>
          <w:lang w:eastAsia="zh-CN"/>
        </w:rPr>
        <w:t>。</w:t>
      </w:r>
    </w:p>
    <w:p>
      <w:pPr>
        <w:ind w:firstLine="628" w:firstLineChars="200"/>
        <w:rPr>
          <w:rFonts w:ascii="仿宋_GB2312" w:hAnsi="仿宋"/>
          <w:b/>
          <w:bCs/>
          <w:szCs w:val="32"/>
        </w:rPr>
      </w:pPr>
      <w:r>
        <w:rPr>
          <w:rFonts w:hint="eastAsia" w:ascii="仿宋_GB2312" w:hAnsi="仿宋"/>
          <w:b/>
          <w:bCs/>
          <w:szCs w:val="32"/>
        </w:rPr>
        <w:t>3、一般公共预算财政拨款支出决算具体情况。</w:t>
      </w:r>
    </w:p>
    <w:p>
      <w:pPr>
        <w:ind w:firstLine="628" w:firstLineChars="200"/>
        <w:rPr>
          <w:rFonts w:ascii="仿宋_GB2312" w:hAnsi="仿宋"/>
          <w:szCs w:val="32"/>
        </w:rPr>
      </w:pPr>
      <w:r>
        <w:rPr>
          <w:rFonts w:hint="eastAsia" w:ascii="仿宋_GB2312" w:hAnsi="仿宋"/>
          <w:szCs w:val="32"/>
        </w:rPr>
        <w:t>2022年度一般公共预算财政拨款支出年初预算为484.25万元，支出决算为484.25万元，完成年初预算的100%。其中:基本支出6.23万元，占1.28%，项目支出478.02万元，占98.7%。具体情况如下：</w:t>
      </w:r>
    </w:p>
    <w:p>
      <w:pPr>
        <w:ind w:firstLine="628" w:firstLineChars="200"/>
        <w:rPr>
          <w:rFonts w:ascii="仿宋_GB2312" w:hAnsi="仿宋"/>
          <w:szCs w:val="32"/>
        </w:rPr>
      </w:pPr>
      <w:r>
        <w:rPr>
          <w:rFonts w:hint="eastAsia" w:ascii="仿宋_GB2312" w:hAnsi="仿宋"/>
          <w:b/>
          <w:szCs w:val="32"/>
        </w:rPr>
        <w:t>卫生健康支出</w:t>
      </w:r>
      <w:r>
        <w:rPr>
          <w:rFonts w:hint="eastAsia" w:ascii="仿宋_GB2312" w:hAnsi="仿宋"/>
          <w:szCs w:val="32"/>
        </w:rPr>
        <w:t>。2022年支出决算为478.02万元，完成年初预算的100%。</w:t>
      </w:r>
    </w:p>
    <w:p>
      <w:pPr>
        <w:ind w:firstLine="628" w:firstLineChars="200"/>
        <w:rPr>
          <w:rFonts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ascii="仿宋_GB2312" w:hAnsi="仿宋"/>
          <w:szCs w:val="32"/>
        </w:rPr>
      </w:pPr>
      <w:r>
        <w:rPr>
          <w:rFonts w:hint="eastAsia" w:ascii="仿宋_GB2312" w:hAnsi="仿宋"/>
          <w:szCs w:val="32"/>
        </w:rPr>
        <w:t>2022年度财政拨款基本支出6.23万元，占本年收入的100%，主要包括：人员经费支出。</w:t>
      </w:r>
    </w:p>
    <w:p>
      <w:pPr>
        <w:ind w:firstLine="628" w:firstLineChars="200"/>
        <w:rPr>
          <w:rFonts w:ascii="黑体" w:hAnsi="黑体" w:eastAsia="黑体"/>
          <w:szCs w:val="32"/>
        </w:rPr>
      </w:pPr>
      <w:r>
        <w:rPr>
          <w:rFonts w:hint="eastAsia" w:ascii="黑体" w:hAnsi="仿宋" w:eastAsia="黑体"/>
          <w:szCs w:val="32"/>
        </w:rPr>
        <w:t>（七）</w:t>
      </w:r>
      <w:r>
        <w:rPr>
          <w:rFonts w:hint="eastAsia" w:ascii="黑体" w:hAnsi="黑体" w:eastAsia="黑体"/>
          <w:szCs w:val="32"/>
        </w:rPr>
        <w:t>政府性基金财政拨款收入支出决算情况说明</w:t>
      </w:r>
    </w:p>
    <w:p>
      <w:pPr>
        <w:ind w:firstLine="628" w:firstLineChars="200"/>
        <w:rPr>
          <w:rFonts w:hint="eastAsia" w:ascii="仿宋_GB2312" w:hAnsi="仿宋"/>
          <w:szCs w:val="32"/>
        </w:rPr>
      </w:pPr>
      <w:r>
        <w:rPr>
          <w:rFonts w:hint="eastAsia" w:ascii="仿宋_GB2312" w:hAnsi="仿宋"/>
          <w:szCs w:val="32"/>
        </w:rPr>
        <w:t>2021年度政府性基金预算财政拨款年初结转和结余0万元，本年收入462.89万元，本年支出462.89万元，年末结转和结余0万元。</w:t>
      </w:r>
    </w:p>
    <w:p>
      <w:pPr>
        <w:ind w:firstLine="628" w:firstLineChars="200"/>
        <w:rPr>
          <w:rFonts w:hint="default" w:ascii="仿宋_GB2312" w:hAnsi="仿宋" w:eastAsia="仿宋_GB2312"/>
          <w:szCs w:val="32"/>
          <w:lang w:val="en-US" w:eastAsia="zh-CN"/>
        </w:rPr>
      </w:pPr>
      <w:r>
        <w:rPr>
          <w:rFonts w:hint="eastAsia" w:ascii="仿宋_GB2312" w:hAnsi="仿宋"/>
          <w:szCs w:val="32"/>
          <w:lang w:val="en-US" w:eastAsia="zh-CN"/>
        </w:rPr>
        <w:t>1、抗疫特别国债安排的支出462.89万元，年初预算为462.89万元，支出决算462.89万元，完成年初预算的100%。</w:t>
      </w:r>
      <w:bookmarkStart w:id="0" w:name="_GoBack"/>
      <w:bookmarkEnd w:id="0"/>
    </w:p>
    <w:p>
      <w:pPr>
        <w:ind w:firstLine="628" w:firstLineChars="200"/>
        <w:rPr>
          <w:rFonts w:ascii="黑体" w:hAnsi="仿宋" w:eastAsia="黑体"/>
          <w:szCs w:val="32"/>
        </w:rPr>
      </w:pPr>
      <w:r>
        <w:rPr>
          <w:rFonts w:hint="eastAsia" w:ascii="黑体" w:hAnsi="仿宋" w:eastAsia="黑体"/>
          <w:szCs w:val="32"/>
        </w:rPr>
        <w:t>（八）国有资本经营预算财政拨款支出情况说明</w:t>
      </w:r>
    </w:p>
    <w:p>
      <w:pPr>
        <w:ind w:firstLine="628" w:firstLineChars="200"/>
        <w:rPr>
          <w:rFonts w:ascii="楷体_GB2312" w:hAnsi="仿宋" w:eastAsia="楷体_GB2312"/>
          <w:szCs w:val="32"/>
        </w:rPr>
      </w:pPr>
      <w:r>
        <w:rPr>
          <w:rFonts w:hint="eastAsia" w:ascii="仿宋_GB2312" w:hAnsi="仿宋" w:eastAsia="楷体_GB2312"/>
          <w:szCs w:val="32"/>
        </w:rPr>
        <w:t>本单位</w:t>
      </w:r>
      <w:r>
        <w:rPr>
          <w:rFonts w:hint="eastAsia" w:ascii="楷体_GB2312" w:hAnsi="仿宋" w:eastAsia="楷体_GB2312"/>
          <w:szCs w:val="32"/>
        </w:rPr>
        <w:t>没有国有资本经营预算财政拨款收入，也没有使用国有资本经营预算财政拨款安排的支出。</w:t>
      </w:r>
    </w:p>
    <w:p>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（九）其他重要事项情况说明</w:t>
      </w: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1、政府采购支出情况。</w:t>
      </w:r>
    </w:p>
    <w:p>
      <w:pPr>
        <w:adjustRightInd w:val="0"/>
        <w:snapToGrid w:val="0"/>
        <w:spacing w:line="600" w:lineRule="exact"/>
        <w:ind w:firstLine="628" w:firstLineChars="200"/>
        <w:rPr>
          <w:rFonts w:hint="eastAsia" w:ascii="仿宋_GB2312" w:hAnsi="仿宋"/>
          <w:szCs w:val="32"/>
        </w:rPr>
      </w:pPr>
      <w:r>
        <w:rPr>
          <w:rFonts w:hint="eastAsia" w:ascii="仿宋_GB2312" w:hAnsi="仿宋"/>
          <w:szCs w:val="32"/>
        </w:rPr>
        <w:t>2022年度，濉溪县中医医院政府采购支出总额</w:t>
      </w:r>
      <w:r>
        <w:rPr>
          <w:rFonts w:hint="eastAsia" w:ascii="仿宋_GB2312" w:hAnsi="仿宋"/>
          <w:szCs w:val="32"/>
          <w:lang w:val="en-US" w:eastAsia="zh-CN"/>
        </w:rPr>
        <w:t>1112</w:t>
      </w:r>
      <w:r>
        <w:rPr>
          <w:rFonts w:hint="eastAsia" w:ascii="仿宋_GB2312" w:hAnsi="仿宋"/>
          <w:szCs w:val="32"/>
        </w:rPr>
        <w:t>万元。其中：政府采购货物支出</w:t>
      </w:r>
      <w:r>
        <w:rPr>
          <w:rFonts w:hint="eastAsia" w:ascii="仿宋_GB2312" w:hAnsi="仿宋"/>
          <w:szCs w:val="32"/>
          <w:lang w:val="en-US" w:eastAsia="zh-CN"/>
        </w:rPr>
        <w:t>1112</w:t>
      </w:r>
      <w:r>
        <w:rPr>
          <w:rFonts w:hint="eastAsia" w:ascii="仿宋_GB2312" w:hAnsi="仿宋"/>
          <w:szCs w:val="32"/>
        </w:rPr>
        <w:t>万元、政府采购工程支出</w:t>
      </w:r>
      <w:r>
        <w:rPr>
          <w:rFonts w:hint="eastAsia" w:ascii="仿宋_GB2312" w:hAnsi="仿宋"/>
          <w:szCs w:val="32"/>
          <w:lang w:val="en-US" w:eastAsia="zh-CN"/>
        </w:rPr>
        <w:t>0</w:t>
      </w:r>
      <w:r>
        <w:rPr>
          <w:rFonts w:hint="eastAsia" w:ascii="仿宋_GB2312" w:hAnsi="仿宋"/>
          <w:szCs w:val="32"/>
        </w:rPr>
        <w:t>万元、政府采购服务支出</w:t>
      </w:r>
      <w:r>
        <w:rPr>
          <w:rFonts w:hint="eastAsia" w:ascii="仿宋_GB2312" w:hAnsi="仿宋"/>
          <w:szCs w:val="32"/>
          <w:lang w:val="en-US" w:eastAsia="zh-CN"/>
        </w:rPr>
        <w:t>0</w:t>
      </w:r>
      <w:r>
        <w:rPr>
          <w:rFonts w:hint="eastAsia" w:ascii="仿宋_GB2312" w:hAnsi="仿宋"/>
          <w:szCs w:val="32"/>
        </w:rPr>
        <w:t>万元。授予中小企业合同金额</w:t>
      </w:r>
      <w:r>
        <w:rPr>
          <w:rFonts w:hint="eastAsia" w:ascii="仿宋_GB2312" w:hAnsi="仿宋"/>
          <w:szCs w:val="32"/>
          <w:lang w:val="en-US" w:eastAsia="zh-CN"/>
        </w:rPr>
        <w:t>1112</w:t>
      </w:r>
      <w:r>
        <w:rPr>
          <w:rFonts w:hint="eastAsia" w:ascii="仿宋_GB2312" w:hAnsi="仿宋"/>
          <w:szCs w:val="32"/>
        </w:rPr>
        <w:t>万元，占政府采购支出总额的</w:t>
      </w:r>
      <w:r>
        <w:rPr>
          <w:rFonts w:hint="eastAsia" w:ascii="仿宋_GB2312" w:hAnsi="仿宋"/>
          <w:szCs w:val="32"/>
          <w:lang w:val="en-US" w:eastAsia="zh-CN"/>
        </w:rPr>
        <w:t>100</w:t>
      </w:r>
      <w:r>
        <w:rPr>
          <w:rFonts w:hint="eastAsia" w:ascii="仿宋_GB2312" w:hAnsi="仿宋"/>
          <w:szCs w:val="32"/>
        </w:rPr>
        <w:t>%，其中：授予小微企业合同金额</w:t>
      </w:r>
      <w:r>
        <w:rPr>
          <w:rFonts w:hint="eastAsia" w:ascii="仿宋_GB2312" w:hAnsi="仿宋"/>
          <w:szCs w:val="32"/>
          <w:lang w:val="en-US" w:eastAsia="zh-CN"/>
        </w:rPr>
        <w:t>0</w:t>
      </w:r>
      <w:r>
        <w:rPr>
          <w:rFonts w:hint="eastAsia" w:ascii="仿宋_GB2312" w:hAnsi="仿宋"/>
          <w:szCs w:val="32"/>
        </w:rPr>
        <w:t>万元，占政府采购支出总额的</w:t>
      </w:r>
      <w:r>
        <w:rPr>
          <w:rFonts w:hint="eastAsia" w:ascii="仿宋_GB2312" w:hAnsi="仿宋"/>
          <w:szCs w:val="32"/>
          <w:lang w:val="en-US" w:eastAsia="zh-CN"/>
        </w:rPr>
        <w:t>0</w:t>
      </w:r>
      <w:r>
        <w:rPr>
          <w:rFonts w:hint="eastAsia" w:ascii="仿宋_GB2312" w:hAnsi="仿宋"/>
          <w:szCs w:val="32"/>
        </w:rPr>
        <w:t>%。</w:t>
      </w:r>
    </w:p>
    <w:p>
      <w:pPr>
        <w:adjustRightInd w:val="0"/>
        <w:snapToGrid w:val="0"/>
        <w:spacing w:line="600" w:lineRule="exact"/>
        <w:ind w:firstLine="628" w:firstLineChars="200"/>
        <w:rPr>
          <w:rFonts w:ascii="仿宋_GB2312" w:hAnsi="仿宋"/>
          <w:szCs w:val="32"/>
        </w:rPr>
      </w:pPr>
    </w:p>
    <w:p>
      <w:pPr>
        <w:adjustRightInd w:val="0"/>
        <w:snapToGrid w:val="0"/>
        <w:spacing w:line="600" w:lineRule="exact"/>
        <w:ind w:firstLine="628" w:firstLineChars="200"/>
        <w:rPr>
          <w:rFonts w:ascii="仿宋_GB2312" w:hAnsi="楷体"/>
          <w:b/>
          <w:szCs w:val="32"/>
        </w:rPr>
      </w:pPr>
      <w:r>
        <w:rPr>
          <w:rFonts w:hint="eastAsia" w:ascii="仿宋_GB2312" w:hAnsi="楷体"/>
          <w:b/>
          <w:szCs w:val="32"/>
        </w:rPr>
        <w:t>2、国有资产占有使用情况。</w:t>
      </w:r>
    </w:p>
    <w:p>
      <w:pPr>
        <w:adjustRightInd w:val="0"/>
        <w:snapToGrid w:val="0"/>
        <w:spacing w:line="600" w:lineRule="exact"/>
        <w:ind w:firstLine="628" w:firstLineChars="200"/>
        <w:rPr>
          <w:rFonts w:ascii="仿宋_GB2312" w:hAnsi="仿宋"/>
          <w:szCs w:val="32"/>
        </w:rPr>
      </w:pPr>
      <w:r>
        <w:rPr>
          <w:rFonts w:hint="eastAsia" w:ascii="仿宋_GB2312" w:hAnsi="楷体"/>
          <w:szCs w:val="32"/>
        </w:rPr>
        <w:t>截至2022年12月31日，</w:t>
      </w:r>
      <w:r>
        <w:rPr>
          <w:rFonts w:hint="eastAsia" w:ascii="仿宋_GB2312" w:hAnsi="仿宋"/>
          <w:szCs w:val="32"/>
        </w:rPr>
        <w:t>濉溪县中医医院共有车辆20辆，单价100万元以上专用设备33台（套）。</w:t>
      </w:r>
    </w:p>
    <w:p>
      <w:pPr>
        <w:adjustRightInd w:val="0"/>
        <w:snapToGrid w:val="0"/>
        <w:spacing w:line="600" w:lineRule="exact"/>
        <w:ind w:firstLine="628" w:firstLineChars="200"/>
        <w:rPr>
          <w:rFonts w:ascii="仿宋_GB2312" w:hAnsi="仿宋"/>
          <w:b/>
          <w:bCs/>
          <w:szCs w:val="32"/>
        </w:rPr>
      </w:pPr>
      <w:r>
        <w:rPr>
          <w:rFonts w:hint="eastAsia" w:ascii="仿宋_GB2312" w:hAnsi="仿宋"/>
          <w:szCs w:val="32"/>
        </w:rPr>
        <w:t xml:space="preserve"> </w:t>
      </w:r>
      <w:r>
        <w:rPr>
          <w:rFonts w:hint="eastAsia" w:ascii="仿宋_GB2312" w:hAnsi="仿宋"/>
          <w:b/>
          <w:bCs/>
          <w:i/>
          <w:iCs/>
          <w:szCs w:val="32"/>
        </w:rPr>
        <w:t xml:space="preserve"> </w:t>
      </w:r>
      <w:r>
        <w:rPr>
          <w:rFonts w:hint="eastAsia" w:ascii="仿宋_GB2312" w:hAnsi="仿宋"/>
          <w:szCs w:val="32"/>
        </w:rPr>
        <w:t>3</w:t>
      </w:r>
      <w:r>
        <w:rPr>
          <w:rFonts w:hint="eastAsia" w:ascii="仿宋_GB2312" w:hAnsi="仿宋"/>
          <w:b/>
          <w:bCs/>
          <w:szCs w:val="32"/>
        </w:rPr>
        <w:t>、关于2022年度预算绩效情况说明</w:t>
      </w:r>
    </w:p>
    <w:p>
      <w:pPr>
        <w:ind w:firstLine="314" w:firstLineChars="100"/>
        <w:rPr>
          <w:rFonts w:ascii="仿宋_GB2312" w:hAnsi="仿宋_GB2312" w:cs="仿宋_GB2312"/>
          <w:b/>
          <w:bCs/>
          <w:szCs w:val="32"/>
        </w:rPr>
      </w:pPr>
      <w:r>
        <w:rPr>
          <w:rFonts w:hint="eastAsia" w:ascii="仿宋_GB2312" w:hAnsi="仿宋_GB2312" w:cs="仿宋_GB2312"/>
          <w:b/>
          <w:bCs/>
          <w:szCs w:val="32"/>
        </w:rPr>
        <w:t>（1）预算绩效管理工作开展情况</w:t>
      </w:r>
    </w:p>
    <w:p>
      <w:pPr>
        <w:ind w:firstLine="628" w:firstLineChars="200"/>
        <w:rPr>
          <w:rFonts w:ascii="仿宋_GB2312" w:hAnsi="仿宋_GB2312" w:cs="仿宋_GB2312"/>
          <w:szCs w:val="32"/>
        </w:rPr>
      </w:pPr>
      <w:r>
        <w:rPr>
          <w:rFonts w:hint="eastAsia" w:ascii="仿宋_GB2312" w:hAnsi="仿宋_GB2312" w:cs="仿宋_GB2312"/>
          <w:szCs w:val="32"/>
        </w:rPr>
        <w:t>根据预算绩效管理要求，本部门组织对2022年度纳入部门预算的项目支出全面开展了绩效自评，共4个项目，涉及资金486万元，占项目预算总额的100%。</w:t>
      </w:r>
    </w:p>
    <w:p>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第四部分 名词解释</w:t>
      </w:r>
    </w:p>
    <w:p>
      <w:pPr>
        <w:adjustRightInd w:val="0"/>
        <w:snapToGrid w:val="0"/>
        <w:spacing w:line="600" w:lineRule="exact"/>
        <w:ind w:left="425" w:firstLine="201" w:firstLineChars="64"/>
        <w:rPr>
          <w:rFonts w:ascii="仿宋_GB2312" w:hAnsi="仿宋"/>
          <w:szCs w:val="32"/>
        </w:rPr>
      </w:pPr>
      <w:r>
        <w:rPr>
          <w:rFonts w:hint="eastAsia" w:ascii="仿宋_GB2312" w:hAnsi="仿宋"/>
          <w:b/>
          <w:szCs w:val="32"/>
        </w:rPr>
        <w:t>一、财政拨款收入：</w:t>
      </w:r>
      <w:r>
        <w:rPr>
          <w:rFonts w:hint="eastAsia" w:ascii="仿宋_GB2312" w:hAnsi="仿宋"/>
          <w:szCs w:val="32"/>
        </w:rPr>
        <w:t>指单位从同级财政部门取得的财政预算资金。</w:t>
      </w:r>
    </w:p>
    <w:p>
      <w:pPr>
        <w:adjustRightInd w:val="0"/>
        <w:snapToGrid w:val="0"/>
        <w:spacing w:line="600" w:lineRule="exact"/>
        <w:ind w:firstLine="628" w:firstLineChars="200"/>
        <w:rPr>
          <w:rFonts w:ascii="仿宋_GB2312" w:hAnsi="仿宋"/>
          <w:szCs w:val="32"/>
        </w:rPr>
      </w:pPr>
      <w:r>
        <w:rPr>
          <w:rFonts w:hint="eastAsia" w:ascii="仿宋_GB2312" w:hAnsi="仿宋"/>
          <w:b/>
          <w:bCs/>
          <w:szCs w:val="32"/>
        </w:rPr>
        <w:t>二、事业收入：</w:t>
      </w:r>
      <w:r>
        <w:rPr>
          <w:rFonts w:hint="eastAsia" w:ascii="仿宋_GB2312" w:hAnsi="仿宋"/>
          <w:szCs w:val="32"/>
        </w:rPr>
        <w:t>指事业单位开展专业业务活动及辅助活动所取得的收入。</w:t>
      </w:r>
    </w:p>
    <w:p>
      <w:pPr>
        <w:pStyle w:val="7"/>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pPr>
        <w:pStyle w:val="7"/>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7"/>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rPr>
        <w:t>：</w:t>
      </w:r>
      <w:r>
        <w:rPr>
          <w:rFonts w:hint="eastAsia" w:ascii="仿宋_GB2312" w:hAnsi="黑体" w:eastAsia="仿宋_GB2312"/>
          <w:bCs/>
          <w:sz w:val="32"/>
          <w:szCs w:val="32"/>
        </w:rPr>
        <w:t>指事业单位在专业业务活动及其辅助活动之外开展非独立核算经营活动取得的收入。</w:t>
      </w:r>
    </w:p>
    <w:p>
      <w:pPr>
        <w:pStyle w:val="7"/>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指除财政拨款收入、事业收入、上级补助收入、附属单位上缴收入、经营收入以外的各项收入。</w:t>
      </w:r>
    </w:p>
    <w:p>
      <w:pPr>
        <w:pStyle w:val="7"/>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七、年初结转和结余：</w:t>
      </w:r>
      <w:r>
        <w:rPr>
          <w:rFonts w:hint="eastAsia" w:ascii="仿宋_GB2312" w:hAnsi="黑体" w:eastAsia="仿宋_GB2312"/>
          <w:bCs/>
          <w:sz w:val="32"/>
          <w:szCs w:val="32"/>
        </w:rPr>
        <w:t>指以前年度安排、结转到本年仍按原规定用途继续使用的资金。</w:t>
      </w:r>
    </w:p>
    <w:p>
      <w:pPr>
        <w:pStyle w:val="7"/>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八、结余分配：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pPr>
        <w:pStyle w:val="7"/>
        <w:adjustRightInd w:val="0"/>
        <w:snapToGrid w:val="0"/>
        <w:spacing w:before="0" w:beforeAutospacing="0" w:after="0" w:afterAutospacing="0" w:line="600" w:lineRule="exact"/>
        <w:ind w:firstLine="616" w:firstLineChars="196"/>
        <w:rPr>
          <w:rFonts w:ascii="仿宋_GB2312" w:hAnsi="黑体" w:eastAsia="仿宋_GB2312"/>
          <w:b/>
          <w:sz w:val="32"/>
          <w:szCs w:val="32"/>
        </w:rPr>
      </w:pPr>
      <w:r>
        <w:rPr>
          <w:rFonts w:hint="eastAsia" w:ascii="仿宋_GB2312" w:hAnsi="黑体" w:eastAsia="仿宋_GB2312"/>
          <w:b/>
          <w:bCs/>
          <w:sz w:val="32"/>
          <w:szCs w:val="32"/>
        </w:rPr>
        <w:t>九、年末结转和结余：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7"/>
        <w:adjustRightInd w:val="0"/>
        <w:snapToGrid w:val="0"/>
        <w:spacing w:before="0" w:beforeAutospacing="0" w:after="0" w:afterAutospacing="0" w:line="600" w:lineRule="exact"/>
        <w:ind w:firstLine="616" w:firstLineChars="196"/>
        <w:rPr>
          <w:rFonts w:ascii="仿宋_GB2312" w:hAnsi="黑体" w:eastAsia="仿宋_GB2312"/>
          <w:sz w:val="32"/>
          <w:szCs w:val="32"/>
        </w:rPr>
      </w:pPr>
      <w:r>
        <w:rPr>
          <w:rFonts w:hint="eastAsia" w:ascii="仿宋_GB2312" w:hAnsi="黑体" w:eastAsia="仿宋_GB2312"/>
          <w:b/>
          <w:sz w:val="32"/>
          <w:szCs w:val="32"/>
        </w:rPr>
        <w:t>十、基本支出：</w:t>
      </w:r>
      <w:r>
        <w:rPr>
          <w:rFonts w:hint="eastAsia" w:ascii="仿宋_GB2312" w:hAnsi="黑体" w:eastAsia="仿宋_GB2312"/>
          <w:sz w:val="32"/>
          <w:szCs w:val="32"/>
        </w:rPr>
        <w:t>指单位为保障其机构正常运转、完成日常工作任务而发生的人员支出和公用支出。</w:t>
      </w:r>
    </w:p>
    <w:p>
      <w:pPr>
        <w:pStyle w:val="7"/>
        <w:spacing w:before="0" w:beforeAutospacing="0" w:after="0" w:afterAutospacing="0" w:line="600" w:lineRule="exact"/>
        <w:ind w:firstLine="616" w:firstLineChars="196"/>
        <w:jc w:val="both"/>
        <w:rPr>
          <w:rFonts w:ascii="仿宋_GB2312" w:hAnsi="黑体" w:eastAsia="仿宋_GB2312"/>
          <w:sz w:val="32"/>
          <w:szCs w:val="32"/>
        </w:rPr>
      </w:pPr>
      <w:r>
        <w:rPr>
          <w:rFonts w:hint="eastAsia" w:ascii="仿宋_GB2312" w:hAnsi="黑体" w:eastAsia="仿宋_GB2312"/>
          <w:b/>
          <w:sz w:val="32"/>
          <w:szCs w:val="32"/>
        </w:rPr>
        <w:t>十一、项目支出：</w:t>
      </w:r>
      <w:r>
        <w:rPr>
          <w:rFonts w:hint="eastAsia" w:ascii="仿宋_GB2312" w:hAnsi="黑体" w:eastAsia="仿宋_GB2312"/>
          <w:sz w:val="32"/>
          <w:szCs w:val="32"/>
        </w:rPr>
        <w:t>指单位为完成特定行政任务和事业发展目标在基本支出之外所发生的支出。</w:t>
      </w:r>
    </w:p>
    <w:p>
      <w:pPr>
        <w:pStyle w:val="7"/>
        <w:spacing w:before="0" w:beforeAutospacing="0" w:after="0" w:afterAutospacing="0" w:line="600" w:lineRule="exact"/>
        <w:ind w:firstLine="314" w:firstLineChars="100"/>
        <w:jc w:val="both"/>
        <w:rPr>
          <w:rFonts w:ascii="仿宋_GB2312" w:hAnsi="黑体" w:eastAsia="仿宋_GB2312"/>
          <w:sz w:val="32"/>
          <w:szCs w:val="32"/>
        </w:rPr>
      </w:pPr>
      <w:r>
        <w:rPr>
          <w:rFonts w:hint="eastAsia" w:ascii="仿宋_GB2312" w:hAnsi="黑体" w:eastAsia="仿宋_GB2312"/>
          <w:sz w:val="32"/>
          <w:szCs w:val="32"/>
        </w:rPr>
        <w:t xml:space="preserve">  </w:t>
      </w:r>
      <w:r>
        <w:rPr>
          <w:rFonts w:hint="eastAsia" w:ascii="仿宋_GB2312" w:hAnsi="黑体" w:eastAsia="仿宋_GB2312"/>
          <w:b/>
          <w:sz w:val="32"/>
          <w:szCs w:val="32"/>
        </w:rPr>
        <w:t>十二、经营支出：</w:t>
      </w:r>
      <w:r>
        <w:rPr>
          <w:rFonts w:hint="eastAsia" w:ascii="仿宋_GB2312" w:hAnsi="黑体" w:eastAsia="仿宋_GB2312"/>
          <w:sz w:val="32"/>
          <w:szCs w:val="32"/>
        </w:rPr>
        <w:t>指事业单位在专业业务活动及其辅助活动之外开展非独立核算经营活动发生的支出。</w:t>
      </w:r>
    </w:p>
    <w:p>
      <w:pPr>
        <w:pStyle w:val="7"/>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十三、“三公”经费：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7"/>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十四、机关运行经费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pStyle w:val="7"/>
        <w:spacing w:before="0" w:beforeAutospacing="0" w:after="0" w:afterAutospacing="0" w:line="600" w:lineRule="exact"/>
        <w:jc w:val="center"/>
        <w:rPr>
          <w:rFonts w:hint="eastAsia" w:ascii="楷体_GB2312" w:hAnsi="Times New Roman" w:eastAsia="楷体_GB2312"/>
          <w:kern w:val="2"/>
          <w:sz w:val="32"/>
          <w:szCs w:val="32"/>
        </w:rPr>
      </w:pPr>
      <w:r>
        <w:rPr>
          <w:rFonts w:hint="eastAsia" w:ascii="楷体_GB2312" w:hAnsi="Times New Roman" w:eastAsia="楷体_GB2312"/>
          <w:kern w:val="2"/>
          <w:sz w:val="32"/>
          <w:szCs w:val="32"/>
        </w:rPr>
        <w:t>（可根据本部门预算实际情况增加或减少相关名词解释）</w:t>
      </w:r>
    </w:p>
    <w:p>
      <w:pPr>
        <w:tabs>
          <w:tab w:val="left" w:pos="2198"/>
        </w:tabs>
        <w:rPr>
          <w:rFonts w:hint="eastAsia"/>
        </w:rPr>
      </w:pPr>
    </w:p>
    <w:p>
      <w:pPr>
        <w:tabs>
          <w:tab w:val="left" w:pos="2198"/>
        </w:tabs>
      </w:pP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Fonts w:ascii="仿宋_GB2312"/>
        <w:sz w:val="28"/>
      </w:rPr>
    </w:pPr>
    <w:r>
      <w:rPr>
        <w:rStyle w:val="12"/>
        <w:rFonts w:hint="eastAsia" w:ascii="仿宋_GB2312"/>
        <w:sz w:val="28"/>
      </w:rPr>
      <w:t>-</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rPr>
      <w:t>4</w:t>
    </w:r>
    <w:r>
      <w:rPr>
        <w:rFonts w:hint="eastAsia" w:ascii="仿宋_GB2312"/>
        <w:sz w:val="28"/>
        <w:szCs w:val="28"/>
      </w:rPr>
      <w:fldChar w:fldCharType="end"/>
    </w:r>
    <w:r>
      <w:rPr>
        <w:rStyle w:val="12"/>
        <w:rFonts w:hint="eastAsia" w:ascii="仿宋_GB2312"/>
        <w:sz w:val="28"/>
        <w:szCs w:val="28"/>
      </w:rPr>
      <w:t>-</w:t>
    </w:r>
  </w:p>
  <w:p>
    <w:pPr>
      <w:pStyle w:val="5"/>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313"/>
  <w:drawingGridVerticalSpacing w:val="56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MTUxNDc3M2FiYmEyOWM3MTk0MTE1ZmYwZWIxOGIifQ=="/>
  </w:docVars>
  <w:rsids>
    <w:rsidRoot w:val="00645DD0"/>
    <w:rsid w:val="00007CAB"/>
    <w:rsid w:val="00007F53"/>
    <w:rsid w:val="0001202C"/>
    <w:rsid w:val="000217E6"/>
    <w:rsid w:val="000223C6"/>
    <w:rsid w:val="00023587"/>
    <w:rsid w:val="00024795"/>
    <w:rsid w:val="00024B05"/>
    <w:rsid w:val="00026B4F"/>
    <w:rsid w:val="00033489"/>
    <w:rsid w:val="00035AC6"/>
    <w:rsid w:val="000412BB"/>
    <w:rsid w:val="000418E0"/>
    <w:rsid w:val="00046B65"/>
    <w:rsid w:val="00055FBD"/>
    <w:rsid w:val="000618F5"/>
    <w:rsid w:val="00061C67"/>
    <w:rsid w:val="00062D67"/>
    <w:rsid w:val="000646BF"/>
    <w:rsid w:val="00067C61"/>
    <w:rsid w:val="00075F50"/>
    <w:rsid w:val="00076DFE"/>
    <w:rsid w:val="00085DE8"/>
    <w:rsid w:val="00086FBE"/>
    <w:rsid w:val="00091BFC"/>
    <w:rsid w:val="00094E4D"/>
    <w:rsid w:val="000A1494"/>
    <w:rsid w:val="000A51EF"/>
    <w:rsid w:val="000A6E7C"/>
    <w:rsid w:val="000A7AB6"/>
    <w:rsid w:val="000B2178"/>
    <w:rsid w:val="000B4329"/>
    <w:rsid w:val="000B53BD"/>
    <w:rsid w:val="000B5C36"/>
    <w:rsid w:val="000C6876"/>
    <w:rsid w:val="000C7346"/>
    <w:rsid w:val="000D066A"/>
    <w:rsid w:val="000D3459"/>
    <w:rsid w:val="000E0598"/>
    <w:rsid w:val="000E0A36"/>
    <w:rsid w:val="000E6047"/>
    <w:rsid w:val="000E6C24"/>
    <w:rsid w:val="000F6748"/>
    <w:rsid w:val="000F7666"/>
    <w:rsid w:val="000F787A"/>
    <w:rsid w:val="00101A25"/>
    <w:rsid w:val="00105BA4"/>
    <w:rsid w:val="00105EFB"/>
    <w:rsid w:val="00110B80"/>
    <w:rsid w:val="00111777"/>
    <w:rsid w:val="00111D90"/>
    <w:rsid w:val="00112AF4"/>
    <w:rsid w:val="001133DC"/>
    <w:rsid w:val="00114EA8"/>
    <w:rsid w:val="00120290"/>
    <w:rsid w:val="001214CF"/>
    <w:rsid w:val="00126ADB"/>
    <w:rsid w:val="00134307"/>
    <w:rsid w:val="00134FC3"/>
    <w:rsid w:val="00136ABF"/>
    <w:rsid w:val="00140D29"/>
    <w:rsid w:val="0014138E"/>
    <w:rsid w:val="0014166B"/>
    <w:rsid w:val="0014773B"/>
    <w:rsid w:val="00147E48"/>
    <w:rsid w:val="001514CB"/>
    <w:rsid w:val="00155D52"/>
    <w:rsid w:val="00156013"/>
    <w:rsid w:val="00160909"/>
    <w:rsid w:val="00161301"/>
    <w:rsid w:val="00171095"/>
    <w:rsid w:val="00173146"/>
    <w:rsid w:val="0018606D"/>
    <w:rsid w:val="001A3555"/>
    <w:rsid w:val="001A4987"/>
    <w:rsid w:val="001B7894"/>
    <w:rsid w:val="001C0AFA"/>
    <w:rsid w:val="001C4EC9"/>
    <w:rsid w:val="001C5D04"/>
    <w:rsid w:val="001C74A7"/>
    <w:rsid w:val="001D3779"/>
    <w:rsid w:val="001D7DC1"/>
    <w:rsid w:val="001E4EE1"/>
    <w:rsid w:val="001F43ED"/>
    <w:rsid w:val="001F5D31"/>
    <w:rsid w:val="001F6DDD"/>
    <w:rsid w:val="002028F1"/>
    <w:rsid w:val="00213D49"/>
    <w:rsid w:val="00217EFA"/>
    <w:rsid w:val="002215BA"/>
    <w:rsid w:val="0022189D"/>
    <w:rsid w:val="00221929"/>
    <w:rsid w:val="00222101"/>
    <w:rsid w:val="002231DA"/>
    <w:rsid w:val="00223236"/>
    <w:rsid w:val="00227888"/>
    <w:rsid w:val="00234AB7"/>
    <w:rsid w:val="002361DC"/>
    <w:rsid w:val="00236C78"/>
    <w:rsid w:val="002371EA"/>
    <w:rsid w:val="00242678"/>
    <w:rsid w:val="00242DA4"/>
    <w:rsid w:val="00244066"/>
    <w:rsid w:val="002478A7"/>
    <w:rsid w:val="00247D26"/>
    <w:rsid w:val="002509E4"/>
    <w:rsid w:val="00250F29"/>
    <w:rsid w:val="00251545"/>
    <w:rsid w:val="002522F5"/>
    <w:rsid w:val="00260BCD"/>
    <w:rsid w:val="002636D0"/>
    <w:rsid w:val="00263B6F"/>
    <w:rsid w:val="002647AB"/>
    <w:rsid w:val="00266C66"/>
    <w:rsid w:val="00273C29"/>
    <w:rsid w:val="002741C2"/>
    <w:rsid w:val="002766EC"/>
    <w:rsid w:val="00276ABD"/>
    <w:rsid w:val="00292278"/>
    <w:rsid w:val="00296AEF"/>
    <w:rsid w:val="002A4352"/>
    <w:rsid w:val="002A66C3"/>
    <w:rsid w:val="002A7568"/>
    <w:rsid w:val="002A7702"/>
    <w:rsid w:val="002B1AB5"/>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1A91"/>
    <w:rsid w:val="002F220B"/>
    <w:rsid w:val="002F49D3"/>
    <w:rsid w:val="002F6D0F"/>
    <w:rsid w:val="00301D9F"/>
    <w:rsid w:val="00302FD4"/>
    <w:rsid w:val="003033F7"/>
    <w:rsid w:val="003041BD"/>
    <w:rsid w:val="00304930"/>
    <w:rsid w:val="00310B3E"/>
    <w:rsid w:val="0031401D"/>
    <w:rsid w:val="003151F1"/>
    <w:rsid w:val="00315336"/>
    <w:rsid w:val="00321DF9"/>
    <w:rsid w:val="00321FD3"/>
    <w:rsid w:val="0033036C"/>
    <w:rsid w:val="00337480"/>
    <w:rsid w:val="00341BE5"/>
    <w:rsid w:val="00341E06"/>
    <w:rsid w:val="00343A85"/>
    <w:rsid w:val="00343B78"/>
    <w:rsid w:val="00347220"/>
    <w:rsid w:val="00347777"/>
    <w:rsid w:val="00352854"/>
    <w:rsid w:val="00354EE1"/>
    <w:rsid w:val="00355121"/>
    <w:rsid w:val="00356313"/>
    <w:rsid w:val="00356881"/>
    <w:rsid w:val="00361010"/>
    <w:rsid w:val="0036440F"/>
    <w:rsid w:val="0036457F"/>
    <w:rsid w:val="00364CEB"/>
    <w:rsid w:val="003700A1"/>
    <w:rsid w:val="00381D7D"/>
    <w:rsid w:val="00382B7C"/>
    <w:rsid w:val="00384352"/>
    <w:rsid w:val="00390275"/>
    <w:rsid w:val="00390FB0"/>
    <w:rsid w:val="00392922"/>
    <w:rsid w:val="0039439B"/>
    <w:rsid w:val="003968F7"/>
    <w:rsid w:val="003A1AC7"/>
    <w:rsid w:val="003B4D0D"/>
    <w:rsid w:val="003B746B"/>
    <w:rsid w:val="003C1BA2"/>
    <w:rsid w:val="003C1DAF"/>
    <w:rsid w:val="003D505D"/>
    <w:rsid w:val="003D6DA5"/>
    <w:rsid w:val="003E1A6C"/>
    <w:rsid w:val="003E1F6A"/>
    <w:rsid w:val="003E6A48"/>
    <w:rsid w:val="003F6681"/>
    <w:rsid w:val="004011E8"/>
    <w:rsid w:val="00406E83"/>
    <w:rsid w:val="004118F8"/>
    <w:rsid w:val="00415DC3"/>
    <w:rsid w:val="0041748D"/>
    <w:rsid w:val="00420F3B"/>
    <w:rsid w:val="004229C4"/>
    <w:rsid w:val="004248D2"/>
    <w:rsid w:val="004275D6"/>
    <w:rsid w:val="0043062C"/>
    <w:rsid w:val="00434763"/>
    <w:rsid w:val="00435ACD"/>
    <w:rsid w:val="00435C45"/>
    <w:rsid w:val="00451991"/>
    <w:rsid w:val="004525FA"/>
    <w:rsid w:val="00456CB7"/>
    <w:rsid w:val="004679E9"/>
    <w:rsid w:val="00470E42"/>
    <w:rsid w:val="00471239"/>
    <w:rsid w:val="00472658"/>
    <w:rsid w:val="00480204"/>
    <w:rsid w:val="00482114"/>
    <w:rsid w:val="00487316"/>
    <w:rsid w:val="00487F6C"/>
    <w:rsid w:val="004940DE"/>
    <w:rsid w:val="004947E3"/>
    <w:rsid w:val="004A3D4D"/>
    <w:rsid w:val="004B3598"/>
    <w:rsid w:val="004B7422"/>
    <w:rsid w:val="004C0F3B"/>
    <w:rsid w:val="004C28F9"/>
    <w:rsid w:val="004C2C03"/>
    <w:rsid w:val="004C5C25"/>
    <w:rsid w:val="004C640E"/>
    <w:rsid w:val="004D0A64"/>
    <w:rsid w:val="004D2875"/>
    <w:rsid w:val="004D354A"/>
    <w:rsid w:val="004D4EC1"/>
    <w:rsid w:val="004D72B4"/>
    <w:rsid w:val="004D7640"/>
    <w:rsid w:val="004D7A7A"/>
    <w:rsid w:val="004E5096"/>
    <w:rsid w:val="004E7B45"/>
    <w:rsid w:val="004F5DC7"/>
    <w:rsid w:val="00500806"/>
    <w:rsid w:val="00501AB0"/>
    <w:rsid w:val="00502CDE"/>
    <w:rsid w:val="005032C3"/>
    <w:rsid w:val="005100F0"/>
    <w:rsid w:val="0051163B"/>
    <w:rsid w:val="00512596"/>
    <w:rsid w:val="005132AA"/>
    <w:rsid w:val="005140A0"/>
    <w:rsid w:val="00521E9E"/>
    <w:rsid w:val="00526F80"/>
    <w:rsid w:val="00527719"/>
    <w:rsid w:val="00527C04"/>
    <w:rsid w:val="00527FB1"/>
    <w:rsid w:val="005309B7"/>
    <w:rsid w:val="005363F6"/>
    <w:rsid w:val="0053674F"/>
    <w:rsid w:val="0054357A"/>
    <w:rsid w:val="00546339"/>
    <w:rsid w:val="00547A3E"/>
    <w:rsid w:val="00556DA0"/>
    <w:rsid w:val="00560768"/>
    <w:rsid w:val="00560D45"/>
    <w:rsid w:val="0056550E"/>
    <w:rsid w:val="0057054B"/>
    <w:rsid w:val="00570584"/>
    <w:rsid w:val="0057538F"/>
    <w:rsid w:val="00576F6C"/>
    <w:rsid w:val="005817CE"/>
    <w:rsid w:val="00590364"/>
    <w:rsid w:val="005906E5"/>
    <w:rsid w:val="005917C6"/>
    <w:rsid w:val="00591CA2"/>
    <w:rsid w:val="00592AD9"/>
    <w:rsid w:val="005A4CEE"/>
    <w:rsid w:val="005A61E1"/>
    <w:rsid w:val="005A6F99"/>
    <w:rsid w:val="005B073C"/>
    <w:rsid w:val="005B4491"/>
    <w:rsid w:val="005B6779"/>
    <w:rsid w:val="005B7312"/>
    <w:rsid w:val="005C0655"/>
    <w:rsid w:val="005C7003"/>
    <w:rsid w:val="005D137A"/>
    <w:rsid w:val="005D4DA5"/>
    <w:rsid w:val="005D7391"/>
    <w:rsid w:val="005E3D16"/>
    <w:rsid w:val="005E3D67"/>
    <w:rsid w:val="005E617E"/>
    <w:rsid w:val="005F21C2"/>
    <w:rsid w:val="005F45F5"/>
    <w:rsid w:val="005F4CB1"/>
    <w:rsid w:val="00600FB6"/>
    <w:rsid w:val="00601BD3"/>
    <w:rsid w:val="00602648"/>
    <w:rsid w:val="006060D7"/>
    <w:rsid w:val="00614054"/>
    <w:rsid w:val="00614362"/>
    <w:rsid w:val="0061436A"/>
    <w:rsid w:val="0061485A"/>
    <w:rsid w:val="006176B7"/>
    <w:rsid w:val="00620DF2"/>
    <w:rsid w:val="006256B0"/>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B1D46"/>
    <w:rsid w:val="006C1837"/>
    <w:rsid w:val="006C4058"/>
    <w:rsid w:val="006C5A1E"/>
    <w:rsid w:val="006C7AD8"/>
    <w:rsid w:val="006D7347"/>
    <w:rsid w:val="006E2802"/>
    <w:rsid w:val="006E5645"/>
    <w:rsid w:val="006F074D"/>
    <w:rsid w:val="006F1614"/>
    <w:rsid w:val="006F381B"/>
    <w:rsid w:val="006F4BF2"/>
    <w:rsid w:val="006F5B5C"/>
    <w:rsid w:val="007021E1"/>
    <w:rsid w:val="0070718B"/>
    <w:rsid w:val="00711FA0"/>
    <w:rsid w:val="007172EB"/>
    <w:rsid w:val="007211B0"/>
    <w:rsid w:val="0073091F"/>
    <w:rsid w:val="00731666"/>
    <w:rsid w:val="00736B19"/>
    <w:rsid w:val="00741930"/>
    <w:rsid w:val="00741BAB"/>
    <w:rsid w:val="0074779F"/>
    <w:rsid w:val="00747E33"/>
    <w:rsid w:val="00747E76"/>
    <w:rsid w:val="00753AC3"/>
    <w:rsid w:val="007554F7"/>
    <w:rsid w:val="00760F11"/>
    <w:rsid w:val="00761F4E"/>
    <w:rsid w:val="007669BA"/>
    <w:rsid w:val="0077243A"/>
    <w:rsid w:val="00775C05"/>
    <w:rsid w:val="00776A37"/>
    <w:rsid w:val="00776C00"/>
    <w:rsid w:val="00777E68"/>
    <w:rsid w:val="00784039"/>
    <w:rsid w:val="0078442E"/>
    <w:rsid w:val="00786257"/>
    <w:rsid w:val="00787780"/>
    <w:rsid w:val="00797048"/>
    <w:rsid w:val="00797AF5"/>
    <w:rsid w:val="007A10CD"/>
    <w:rsid w:val="007A1865"/>
    <w:rsid w:val="007A2997"/>
    <w:rsid w:val="007A34D0"/>
    <w:rsid w:val="007A3F30"/>
    <w:rsid w:val="007B2C83"/>
    <w:rsid w:val="007B4650"/>
    <w:rsid w:val="007C438E"/>
    <w:rsid w:val="007C5DE9"/>
    <w:rsid w:val="007D02C3"/>
    <w:rsid w:val="007D07B9"/>
    <w:rsid w:val="007F144E"/>
    <w:rsid w:val="007F1E7D"/>
    <w:rsid w:val="007F3A23"/>
    <w:rsid w:val="007F667C"/>
    <w:rsid w:val="008076E2"/>
    <w:rsid w:val="00810659"/>
    <w:rsid w:val="008106FC"/>
    <w:rsid w:val="00811B92"/>
    <w:rsid w:val="00816244"/>
    <w:rsid w:val="0081786D"/>
    <w:rsid w:val="00820F0B"/>
    <w:rsid w:val="00831936"/>
    <w:rsid w:val="008338D0"/>
    <w:rsid w:val="00834BDD"/>
    <w:rsid w:val="00836B82"/>
    <w:rsid w:val="0083728B"/>
    <w:rsid w:val="0084011C"/>
    <w:rsid w:val="00840EDC"/>
    <w:rsid w:val="00843AF7"/>
    <w:rsid w:val="00844B1D"/>
    <w:rsid w:val="00844DA4"/>
    <w:rsid w:val="00845AFB"/>
    <w:rsid w:val="00846E9D"/>
    <w:rsid w:val="00854155"/>
    <w:rsid w:val="00857A86"/>
    <w:rsid w:val="00860EE8"/>
    <w:rsid w:val="00862BDF"/>
    <w:rsid w:val="00864E5F"/>
    <w:rsid w:val="00866E18"/>
    <w:rsid w:val="008702BF"/>
    <w:rsid w:val="00871778"/>
    <w:rsid w:val="00872013"/>
    <w:rsid w:val="00872770"/>
    <w:rsid w:val="00874FF5"/>
    <w:rsid w:val="0088664E"/>
    <w:rsid w:val="00887266"/>
    <w:rsid w:val="00894016"/>
    <w:rsid w:val="00894C9B"/>
    <w:rsid w:val="008A20F0"/>
    <w:rsid w:val="008A2A87"/>
    <w:rsid w:val="008A7EA8"/>
    <w:rsid w:val="008B0F90"/>
    <w:rsid w:val="008B1DB6"/>
    <w:rsid w:val="008B2184"/>
    <w:rsid w:val="008B2795"/>
    <w:rsid w:val="008B3C62"/>
    <w:rsid w:val="008D0195"/>
    <w:rsid w:val="008D25FD"/>
    <w:rsid w:val="008D5067"/>
    <w:rsid w:val="008E3755"/>
    <w:rsid w:val="008F7006"/>
    <w:rsid w:val="008F74E4"/>
    <w:rsid w:val="00901A3B"/>
    <w:rsid w:val="009038F2"/>
    <w:rsid w:val="00905A78"/>
    <w:rsid w:val="00907509"/>
    <w:rsid w:val="0091224B"/>
    <w:rsid w:val="00912781"/>
    <w:rsid w:val="00916E37"/>
    <w:rsid w:val="0092215B"/>
    <w:rsid w:val="00926221"/>
    <w:rsid w:val="009315EA"/>
    <w:rsid w:val="00933F38"/>
    <w:rsid w:val="00934597"/>
    <w:rsid w:val="00941F18"/>
    <w:rsid w:val="00943DD8"/>
    <w:rsid w:val="0095084D"/>
    <w:rsid w:val="00953828"/>
    <w:rsid w:val="009556B1"/>
    <w:rsid w:val="00956F33"/>
    <w:rsid w:val="00961396"/>
    <w:rsid w:val="009642BA"/>
    <w:rsid w:val="00964ABD"/>
    <w:rsid w:val="009702FD"/>
    <w:rsid w:val="00974FEC"/>
    <w:rsid w:val="009757C4"/>
    <w:rsid w:val="00977C9C"/>
    <w:rsid w:val="00983299"/>
    <w:rsid w:val="00994607"/>
    <w:rsid w:val="009A0C1C"/>
    <w:rsid w:val="009A204F"/>
    <w:rsid w:val="009A5DBE"/>
    <w:rsid w:val="009A6713"/>
    <w:rsid w:val="009B2D42"/>
    <w:rsid w:val="009C0491"/>
    <w:rsid w:val="009C2717"/>
    <w:rsid w:val="009C74FF"/>
    <w:rsid w:val="009D0223"/>
    <w:rsid w:val="009D2BE8"/>
    <w:rsid w:val="009D5445"/>
    <w:rsid w:val="009D59FD"/>
    <w:rsid w:val="009D6B2D"/>
    <w:rsid w:val="009E0B35"/>
    <w:rsid w:val="009E25AF"/>
    <w:rsid w:val="009E3FC2"/>
    <w:rsid w:val="009E48B8"/>
    <w:rsid w:val="009F08A3"/>
    <w:rsid w:val="009F6F2B"/>
    <w:rsid w:val="00A00858"/>
    <w:rsid w:val="00A00F89"/>
    <w:rsid w:val="00A03702"/>
    <w:rsid w:val="00A05D2F"/>
    <w:rsid w:val="00A124D9"/>
    <w:rsid w:val="00A13765"/>
    <w:rsid w:val="00A16C0B"/>
    <w:rsid w:val="00A16C31"/>
    <w:rsid w:val="00A17D46"/>
    <w:rsid w:val="00A20417"/>
    <w:rsid w:val="00A21D92"/>
    <w:rsid w:val="00A23227"/>
    <w:rsid w:val="00A239D2"/>
    <w:rsid w:val="00A2430F"/>
    <w:rsid w:val="00A277EB"/>
    <w:rsid w:val="00A31050"/>
    <w:rsid w:val="00A326EC"/>
    <w:rsid w:val="00A34AB2"/>
    <w:rsid w:val="00A41E3D"/>
    <w:rsid w:val="00A508F3"/>
    <w:rsid w:val="00A61016"/>
    <w:rsid w:val="00A64DBD"/>
    <w:rsid w:val="00A66DF5"/>
    <w:rsid w:val="00A6746C"/>
    <w:rsid w:val="00A677CC"/>
    <w:rsid w:val="00A71B59"/>
    <w:rsid w:val="00A73AC3"/>
    <w:rsid w:val="00A76D03"/>
    <w:rsid w:val="00A825D1"/>
    <w:rsid w:val="00A85EA6"/>
    <w:rsid w:val="00A86564"/>
    <w:rsid w:val="00A8768C"/>
    <w:rsid w:val="00A9074F"/>
    <w:rsid w:val="00A93304"/>
    <w:rsid w:val="00A93C3F"/>
    <w:rsid w:val="00A93D7D"/>
    <w:rsid w:val="00A965F1"/>
    <w:rsid w:val="00A96F3C"/>
    <w:rsid w:val="00A978ED"/>
    <w:rsid w:val="00AA478D"/>
    <w:rsid w:val="00AA65BB"/>
    <w:rsid w:val="00AB1271"/>
    <w:rsid w:val="00AB209D"/>
    <w:rsid w:val="00AB2C05"/>
    <w:rsid w:val="00AB79DF"/>
    <w:rsid w:val="00AC0F45"/>
    <w:rsid w:val="00AC2024"/>
    <w:rsid w:val="00AC2E25"/>
    <w:rsid w:val="00AC43D3"/>
    <w:rsid w:val="00AC64A2"/>
    <w:rsid w:val="00AC7D9C"/>
    <w:rsid w:val="00AD4CA4"/>
    <w:rsid w:val="00AD57BB"/>
    <w:rsid w:val="00AE39C4"/>
    <w:rsid w:val="00AF6122"/>
    <w:rsid w:val="00B061F5"/>
    <w:rsid w:val="00B07BDC"/>
    <w:rsid w:val="00B10434"/>
    <w:rsid w:val="00B203FD"/>
    <w:rsid w:val="00B21512"/>
    <w:rsid w:val="00B22236"/>
    <w:rsid w:val="00B226BE"/>
    <w:rsid w:val="00B26488"/>
    <w:rsid w:val="00B30E7F"/>
    <w:rsid w:val="00B3615E"/>
    <w:rsid w:val="00B40DEE"/>
    <w:rsid w:val="00B45BF9"/>
    <w:rsid w:val="00B45FF5"/>
    <w:rsid w:val="00B4688C"/>
    <w:rsid w:val="00B479B2"/>
    <w:rsid w:val="00B53020"/>
    <w:rsid w:val="00B533D5"/>
    <w:rsid w:val="00B55039"/>
    <w:rsid w:val="00B55771"/>
    <w:rsid w:val="00B67018"/>
    <w:rsid w:val="00B67DAB"/>
    <w:rsid w:val="00B73557"/>
    <w:rsid w:val="00B75F99"/>
    <w:rsid w:val="00B7762C"/>
    <w:rsid w:val="00B77B0D"/>
    <w:rsid w:val="00B8032E"/>
    <w:rsid w:val="00B810C1"/>
    <w:rsid w:val="00B81279"/>
    <w:rsid w:val="00B85C02"/>
    <w:rsid w:val="00B86418"/>
    <w:rsid w:val="00B86B07"/>
    <w:rsid w:val="00B87C96"/>
    <w:rsid w:val="00B95DBD"/>
    <w:rsid w:val="00BA0B79"/>
    <w:rsid w:val="00BA0E08"/>
    <w:rsid w:val="00BA2CC6"/>
    <w:rsid w:val="00BA41E8"/>
    <w:rsid w:val="00BA58C3"/>
    <w:rsid w:val="00BB0EF3"/>
    <w:rsid w:val="00BB1C8F"/>
    <w:rsid w:val="00BB2FE4"/>
    <w:rsid w:val="00BC6F43"/>
    <w:rsid w:val="00BD1FD1"/>
    <w:rsid w:val="00BD4C9C"/>
    <w:rsid w:val="00BD4EF8"/>
    <w:rsid w:val="00BD6D69"/>
    <w:rsid w:val="00BE16EC"/>
    <w:rsid w:val="00BE4188"/>
    <w:rsid w:val="00BE6E01"/>
    <w:rsid w:val="00BF057F"/>
    <w:rsid w:val="00BF58FE"/>
    <w:rsid w:val="00BF7747"/>
    <w:rsid w:val="00C01E3C"/>
    <w:rsid w:val="00C05039"/>
    <w:rsid w:val="00C050A3"/>
    <w:rsid w:val="00C06BFF"/>
    <w:rsid w:val="00C2059A"/>
    <w:rsid w:val="00C2277B"/>
    <w:rsid w:val="00C2312B"/>
    <w:rsid w:val="00C24394"/>
    <w:rsid w:val="00C251ED"/>
    <w:rsid w:val="00C256D2"/>
    <w:rsid w:val="00C27145"/>
    <w:rsid w:val="00C32EF3"/>
    <w:rsid w:val="00C34464"/>
    <w:rsid w:val="00C3474A"/>
    <w:rsid w:val="00C406BE"/>
    <w:rsid w:val="00C42D53"/>
    <w:rsid w:val="00C43AEF"/>
    <w:rsid w:val="00C44841"/>
    <w:rsid w:val="00C44A68"/>
    <w:rsid w:val="00C5213D"/>
    <w:rsid w:val="00C541A1"/>
    <w:rsid w:val="00C54CDF"/>
    <w:rsid w:val="00C54DBC"/>
    <w:rsid w:val="00C54F6F"/>
    <w:rsid w:val="00C55BA5"/>
    <w:rsid w:val="00C5797B"/>
    <w:rsid w:val="00C610CA"/>
    <w:rsid w:val="00C64E89"/>
    <w:rsid w:val="00C66C71"/>
    <w:rsid w:val="00C671FE"/>
    <w:rsid w:val="00C7277B"/>
    <w:rsid w:val="00C727C0"/>
    <w:rsid w:val="00C73CE7"/>
    <w:rsid w:val="00C75ADA"/>
    <w:rsid w:val="00C75CC2"/>
    <w:rsid w:val="00C762E8"/>
    <w:rsid w:val="00C77DE2"/>
    <w:rsid w:val="00C83026"/>
    <w:rsid w:val="00C83B60"/>
    <w:rsid w:val="00C86F11"/>
    <w:rsid w:val="00C9341E"/>
    <w:rsid w:val="00C9433E"/>
    <w:rsid w:val="00CB1F31"/>
    <w:rsid w:val="00CB41FF"/>
    <w:rsid w:val="00CB4740"/>
    <w:rsid w:val="00CB7DA4"/>
    <w:rsid w:val="00CC0A79"/>
    <w:rsid w:val="00CC3AE1"/>
    <w:rsid w:val="00CC4A14"/>
    <w:rsid w:val="00CC5DDE"/>
    <w:rsid w:val="00CD1386"/>
    <w:rsid w:val="00CE0752"/>
    <w:rsid w:val="00CE0B8F"/>
    <w:rsid w:val="00CE0E8F"/>
    <w:rsid w:val="00CE7E37"/>
    <w:rsid w:val="00CF5474"/>
    <w:rsid w:val="00CF579F"/>
    <w:rsid w:val="00D056DB"/>
    <w:rsid w:val="00D05DC0"/>
    <w:rsid w:val="00D1232A"/>
    <w:rsid w:val="00D14812"/>
    <w:rsid w:val="00D17262"/>
    <w:rsid w:val="00D2288B"/>
    <w:rsid w:val="00D2790A"/>
    <w:rsid w:val="00D421C8"/>
    <w:rsid w:val="00D424D8"/>
    <w:rsid w:val="00D47CC7"/>
    <w:rsid w:val="00D51AE3"/>
    <w:rsid w:val="00D52E12"/>
    <w:rsid w:val="00D5372E"/>
    <w:rsid w:val="00D5756E"/>
    <w:rsid w:val="00D62944"/>
    <w:rsid w:val="00D66266"/>
    <w:rsid w:val="00D720E7"/>
    <w:rsid w:val="00D72B7F"/>
    <w:rsid w:val="00D740F6"/>
    <w:rsid w:val="00D747ED"/>
    <w:rsid w:val="00D76AA3"/>
    <w:rsid w:val="00D82431"/>
    <w:rsid w:val="00DA7F62"/>
    <w:rsid w:val="00DB189F"/>
    <w:rsid w:val="00DB46A2"/>
    <w:rsid w:val="00DB68AE"/>
    <w:rsid w:val="00DB7340"/>
    <w:rsid w:val="00DB7376"/>
    <w:rsid w:val="00DB7B62"/>
    <w:rsid w:val="00DC391E"/>
    <w:rsid w:val="00DC6771"/>
    <w:rsid w:val="00DD3AFD"/>
    <w:rsid w:val="00DD42E2"/>
    <w:rsid w:val="00DD68C5"/>
    <w:rsid w:val="00DD775E"/>
    <w:rsid w:val="00DE18CE"/>
    <w:rsid w:val="00DE6159"/>
    <w:rsid w:val="00DE6A50"/>
    <w:rsid w:val="00DE6F02"/>
    <w:rsid w:val="00DF156B"/>
    <w:rsid w:val="00DF2702"/>
    <w:rsid w:val="00DF30AE"/>
    <w:rsid w:val="00E01744"/>
    <w:rsid w:val="00E036DB"/>
    <w:rsid w:val="00E1156A"/>
    <w:rsid w:val="00E12924"/>
    <w:rsid w:val="00E202B3"/>
    <w:rsid w:val="00E23EE7"/>
    <w:rsid w:val="00E25ABF"/>
    <w:rsid w:val="00E27AEB"/>
    <w:rsid w:val="00E30102"/>
    <w:rsid w:val="00E32E67"/>
    <w:rsid w:val="00E33EA6"/>
    <w:rsid w:val="00E367B6"/>
    <w:rsid w:val="00E37703"/>
    <w:rsid w:val="00E41868"/>
    <w:rsid w:val="00E428C3"/>
    <w:rsid w:val="00E4355A"/>
    <w:rsid w:val="00E44992"/>
    <w:rsid w:val="00E46869"/>
    <w:rsid w:val="00E515ED"/>
    <w:rsid w:val="00E54E1E"/>
    <w:rsid w:val="00E551F0"/>
    <w:rsid w:val="00E552A3"/>
    <w:rsid w:val="00E5593A"/>
    <w:rsid w:val="00E55E45"/>
    <w:rsid w:val="00E577D9"/>
    <w:rsid w:val="00E60B63"/>
    <w:rsid w:val="00E6145F"/>
    <w:rsid w:val="00E72BCB"/>
    <w:rsid w:val="00E73176"/>
    <w:rsid w:val="00EA02D7"/>
    <w:rsid w:val="00EA1AA5"/>
    <w:rsid w:val="00EA370A"/>
    <w:rsid w:val="00EA58AD"/>
    <w:rsid w:val="00EA5C3B"/>
    <w:rsid w:val="00EB2A07"/>
    <w:rsid w:val="00EB3053"/>
    <w:rsid w:val="00EB4A01"/>
    <w:rsid w:val="00EB5555"/>
    <w:rsid w:val="00EB557F"/>
    <w:rsid w:val="00EB6D61"/>
    <w:rsid w:val="00EB7A14"/>
    <w:rsid w:val="00EC1363"/>
    <w:rsid w:val="00ED1E3C"/>
    <w:rsid w:val="00ED3E06"/>
    <w:rsid w:val="00EE0020"/>
    <w:rsid w:val="00EE4172"/>
    <w:rsid w:val="00EE72F6"/>
    <w:rsid w:val="00EF3B3E"/>
    <w:rsid w:val="00EF4B63"/>
    <w:rsid w:val="00EF4B7F"/>
    <w:rsid w:val="00EF5617"/>
    <w:rsid w:val="00EF7FC7"/>
    <w:rsid w:val="00EF7FE3"/>
    <w:rsid w:val="00F00DB1"/>
    <w:rsid w:val="00F02139"/>
    <w:rsid w:val="00F10F7C"/>
    <w:rsid w:val="00F12AC4"/>
    <w:rsid w:val="00F12BD9"/>
    <w:rsid w:val="00F13A12"/>
    <w:rsid w:val="00F1523B"/>
    <w:rsid w:val="00F25727"/>
    <w:rsid w:val="00F25C57"/>
    <w:rsid w:val="00F31AF5"/>
    <w:rsid w:val="00F31FE3"/>
    <w:rsid w:val="00F32974"/>
    <w:rsid w:val="00F36309"/>
    <w:rsid w:val="00F50D7E"/>
    <w:rsid w:val="00F51412"/>
    <w:rsid w:val="00F51CB8"/>
    <w:rsid w:val="00F541A1"/>
    <w:rsid w:val="00F54DF4"/>
    <w:rsid w:val="00F550DD"/>
    <w:rsid w:val="00F6040D"/>
    <w:rsid w:val="00F6358F"/>
    <w:rsid w:val="00F63A32"/>
    <w:rsid w:val="00F707B4"/>
    <w:rsid w:val="00F73F1A"/>
    <w:rsid w:val="00F77498"/>
    <w:rsid w:val="00F869C1"/>
    <w:rsid w:val="00FA2319"/>
    <w:rsid w:val="00FA601C"/>
    <w:rsid w:val="00FA7B06"/>
    <w:rsid w:val="00FB0251"/>
    <w:rsid w:val="00FB3EE8"/>
    <w:rsid w:val="00FB3F7C"/>
    <w:rsid w:val="00FB62CF"/>
    <w:rsid w:val="00FC2853"/>
    <w:rsid w:val="00FC78CD"/>
    <w:rsid w:val="00FD4EB0"/>
    <w:rsid w:val="00FD6A94"/>
    <w:rsid w:val="00FE1814"/>
    <w:rsid w:val="00FE7737"/>
    <w:rsid w:val="00FF46D6"/>
    <w:rsid w:val="00FF5E8D"/>
    <w:rsid w:val="00FF6ACD"/>
    <w:rsid w:val="01735DA2"/>
    <w:rsid w:val="04066B1A"/>
    <w:rsid w:val="177B42C0"/>
    <w:rsid w:val="19062B2E"/>
    <w:rsid w:val="1A6C68D0"/>
    <w:rsid w:val="1B3E3C04"/>
    <w:rsid w:val="1C8328DB"/>
    <w:rsid w:val="22110F0B"/>
    <w:rsid w:val="28026729"/>
    <w:rsid w:val="289C1F82"/>
    <w:rsid w:val="28FB4343"/>
    <w:rsid w:val="2CB20492"/>
    <w:rsid w:val="2CE00C6B"/>
    <w:rsid w:val="2FE40D78"/>
    <w:rsid w:val="30BA0631"/>
    <w:rsid w:val="353B5DF8"/>
    <w:rsid w:val="365C63D1"/>
    <w:rsid w:val="37F52655"/>
    <w:rsid w:val="382A650A"/>
    <w:rsid w:val="39A71860"/>
    <w:rsid w:val="3ADF56FB"/>
    <w:rsid w:val="3B9D0BF6"/>
    <w:rsid w:val="3DE36561"/>
    <w:rsid w:val="41DC5F52"/>
    <w:rsid w:val="42D707AF"/>
    <w:rsid w:val="471269E3"/>
    <w:rsid w:val="4A9816CD"/>
    <w:rsid w:val="4AB73EEE"/>
    <w:rsid w:val="4B0F33F1"/>
    <w:rsid w:val="4ED36FD8"/>
    <w:rsid w:val="4FDC25BC"/>
    <w:rsid w:val="509C604E"/>
    <w:rsid w:val="527C26D4"/>
    <w:rsid w:val="55BA0FC1"/>
    <w:rsid w:val="568C79B1"/>
    <w:rsid w:val="57DB53EB"/>
    <w:rsid w:val="5A4531FB"/>
    <w:rsid w:val="5D50269A"/>
    <w:rsid w:val="617A3FF0"/>
    <w:rsid w:val="624B16D1"/>
    <w:rsid w:val="63A616EE"/>
    <w:rsid w:val="6CE448A1"/>
    <w:rsid w:val="6E125AE1"/>
    <w:rsid w:val="738D361A"/>
    <w:rsid w:val="73BE7955"/>
    <w:rsid w:val="740742C5"/>
    <w:rsid w:val="761F7357"/>
    <w:rsid w:val="778F3CF8"/>
    <w:rsid w:val="79CF54C3"/>
    <w:rsid w:val="7A1F136E"/>
    <w:rsid w:val="7D781589"/>
    <w:rsid w:val="7DC0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jc w:val="center"/>
    </w:pPr>
    <w:rPr>
      <w:rFonts w:eastAsia="黑体"/>
      <w:sz w:val="36"/>
    </w:rPr>
  </w:style>
  <w:style w:type="paragraph" w:styleId="3">
    <w:name w:val="Date"/>
    <w:basedOn w:val="1"/>
    <w:next w:val="1"/>
    <w:link w:val="13"/>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uiPriority w:val="0"/>
  </w:style>
  <w:style w:type="character" w:customStyle="1" w:styleId="13">
    <w:name w:val="日期 Char"/>
    <w:basedOn w:val="10"/>
    <w:link w:val="3"/>
    <w:uiPriority w:val="0"/>
    <w:rPr>
      <w:rFonts w:eastAsia="仿宋_GB2312"/>
      <w:kern w:val="2"/>
      <w:sz w:val="32"/>
    </w:rPr>
  </w:style>
  <w:style w:type="character" w:customStyle="1" w:styleId="14">
    <w:name w:val="15"/>
    <w:basedOn w:val="10"/>
    <w:qFormat/>
    <w:uiPriority w:val="0"/>
    <w:rPr>
      <w:rFonts w:hint="default" w:ascii="Calibri" w:hAnsi="Calibri"/>
      <w:color w:val="0000FF"/>
      <w:u w:val="single"/>
    </w:rPr>
  </w:style>
  <w:style w:type="paragraph" w:customStyle="1" w:styleId="15">
    <w:name w:val="列出段落1"/>
    <w:basedOn w:val="1"/>
    <w:qFormat/>
    <w:uiPriority w:val="0"/>
    <w:pPr>
      <w:ind w:firstLine="420" w:firstLineChars="200"/>
    </w:pPr>
    <w:rPr>
      <w:rFonts w:ascii="Calibri" w:hAnsi="Calibri"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2F32D099-8FC9-4E3C-B9FF-FCEC81D09123}">
  <ds:schemaRefs/>
</ds:datastoreItem>
</file>

<file path=customXml/itemProps2.xml><?xml version="1.0" encoding="utf-8"?>
<ds:datastoreItem xmlns:ds="http://schemas.openxmlformats.org/officeDocument/2006/customXml" ds:itemID="{784E1988-48AB-4027-8D61-03C9BA032383}">
  <ds:schemaRefs/>
</ds:datastoreItem>
</file>

<file path=docProps/app.xml><?xml version="1.0" encoding="utf-8"?>
<Properties xmlns="http://schemas.openxmlformats.org/officeDocument/2006/extended-properties" xmlns:vt="http://schemas.openxmlformats.org/officeDocument/2006/docPropsVTypes">
  <Template>Normal</Template>
  <Pages>7</Pages>
  <Words>406</Words>
  <Characters>2319</Characters>
  <Lines>19</Lines>
  <Paragraphs>5</Paragraphs>
  <TotalTime>66</TotalTime>
  <ScaleCrop>false</ScaleCrop>
  <LinksUpToDate>false</LinksUpToDate>
  <CharactersWithSpaces>2720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2023-02-20T03:18:00Z</dcterms:created>
  <dc:creator>杨丽</dc:creator>
  <cp:lastModifiedBy>凉爽爽</cp:lastModifiedBy>
  <cp:lastPrinted>2023-11-27T07:49:00Z</cp:lastPrinted>
  <dcterms:modified xsi:type="dcterms:W3CDTF">2023-11-29T00:23:51Z</dcterms:modified>
  <dc:title>财〔2002〕号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2897B05FCC1D43629EC26481850140E5_13</vt:lpwstr>
  </property>
</Properties>
</file>