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BDE06">
      <w:pPr>
        <w:jc w:val="center"/>
        <w:rPr>
          <w:rFonts w:hint="eastAsia" w:ascii="宋体" w:hAnsi="宋体"/>
          <w:b/>
          <w:sz w:val="36"/>
          <w:szCs w:val="36"/>
        </w:rPr>
      </w:pPr>
      <w:r>
        <w:rPr>
          <w:rFonts w:hint="eastAsia" w:ascii="宋体" w:hAnsi="宋体"/>
          <w:b/>
          <w:sz w:val="36"/>
          <w:szCs w:val="36"/>
          <w:lang w:eastAsia="zh-CN"/>
        </w:rPr>
        <w:t>濉溪县</w:t>
      </w:r>
      <w:r>
        <w:rPr>
          <w:rFonts w:hint="eastAsia" w:ascii="宋体" w:hAnsi="宋体" w:cs="Times New Roman"/>
          <w:b/>
          <w:sz w:val="36"/>
          <w:szCs w:val="36"/>
          <w:lang w:val="en-US" w:eastAsia="zh-CN"/>
        </w:rPr>
        <w:t>城管局</w:t>
      </w:r>
      <w:r>
        <w:rPr>
          <w:rFonts w:hint="eastAsia" w:ascii="宋体" w:hAnsi="宋体"/>
          <w:b/>
          <w:sz w:val="36"/>
          <w:szCs w:val="36"/>
          <w:lang w:eastAsia="zh-CN"/>
        </w:rPr>
        <w:t>202</w:t>
      </w:r>
      <w:r>
        <w:rPr>
          <w:rFonts w:hint="eastAsia" w:ascii="宋体" w:hAnsi="宋体"/>
          <w:b/>
          <w:sz w:val="36"/>
          <w:szCs w:val="36"/>
          <w:lang w:val="en-US" w:eastAsia="zh-CN"/>
        </w:rPr>
        <w:t>2</w:t>
      </w:r>
      <w:r>
        <w:rPr>
          <w:rFonts w:ascii="宋体" w:hAnsi="宋体"/>
          <w:b/>
          <w:sz w:val="36"/>
          <w:szCs w:val="36"/>
        </w:rPr>
        <w:t>年</w:t>
      </w:r>
      <w:r>
        <w:rPr>
          <w:rFonts w:hint="eastAsia" w:ascii="宋体" w:hAnsi="宋体"/>
          <w:b/>
          <w:sz w:val="36"/>
          <w:szCs w:val="36"/>
        </w:rPr>
        <w:t>度一般公共预算财政</w:t>
      </w:r>
    </w:p>
    <w:p w14:paraId="3FB545E1">
      <w:pPr>
        <w:jc w:val="center"/>
        <w:rPr>
          <w:rFonts w:ascii="宋体" w:hAnsi="宋体"/>
          <w:b/>
          <w:sz w:val="36"/>
          <w:szCs w:val="36"/>
        </w:rPr>
      </w:pPr>
      <w:r>
        <w:rPr>
          <w:rFonts w:hint="eastAsia" w:ascii="宋体" w:hAnsi="宋体"/>
          <w:b/>
          <w:sz w:val="36"/>
          <w:szCs w:val="36"/>
        </w:rPr>
        <w:t>拨款</w:t>
      </w:r>
      <w:r>
        <w:rPr>
          <w:rFonts w:ascii="宋体" w:hAnsi="宋体"/>
          <w:b/>
          <w:sz w:val="36"/>
          <w:szCs w:val="36"/>
        </w:rPr>
        <w:t>“三公</w:t>
      </w:r>
      <w:r>
        <w:rPr>
          <w:rFonts w:hint="eastAsia" w:ascii="宋体" w:hAnsi="宋体"/>
          <w:b/>
          <w:sz w:val="36"/>
          <w:szCs w:val="36"/>
        </w:rPr>
        <w:t>”</w:t>
      </w:r>
      <w:r>
        <w:rPr>
          <w:rFonts w:ascii="宋体" w:hAnsi="宋体"/>
          <w:b/>
          <w:sz w:val="36"/>
          <w:szCs w:val="36"/>
        </w:rPr>
        <w:t>经费</w:t>
      </w:r>
      <w:r>
        <w:rPr>
          <w:rFonts w:hint="eastAsia" w:ascii="宋体" w:hAnsi="宋体"/>
          <w:b/>
          <w:sz w:val="36"/>
          <w:szCs w:val="36"/>
        </w:rPr>
        <w:t>支出决算情况说明</w:t>
      </w:r>
    </w:p>
    <w:p w14:paraId="75192364">
      <w:pPr>
        <w:jc w:val="center"/>
        <w:rPr>
          <w:rFonts w:ascii="楷体_GB2312" w:eastAsia="楷体_GB2312"/>
          <w:szCs w:val="32"/>
        </w:rPr>
      </w:pPr>
    </w:p>
    <w:p w14:paraId="1D267158">
      <w:pPr>
        <w:pStyle w:val="2"/>
      </w:pPr>
    </w:p>
    <w:p w14:paraId="6780438A">
      <w:pPr>
        <w:adjustRightInd w:val="0"/>
        <w:snapToGrid w:val="0"/>
        <w:spacing w:line="360" w:lineRule="auto"/>
        <w:jc w:val="center"/>
        <w:rPr>
          <w:rFonts w:ascii="宋体" w:hAnsi="宋体"/>
          <w:sz w:val="6"/>
          <w:szCs w:val="32"/>
        </w:rPr>
      </w:pPr>
    </w:p>
    <w:p w14:paraId="0DFF45B9">
      <w:pPr>
        <w:rPr>
          <w:rFonts w:ascii="黑体" w:hAnsi="黑体" w:eastAsia="黑体"/>
          <w:szCs w:val="32"/>
        </w:rPr>
      </w:pPr>
      <w:r>
        <w:rPr>
          <w:rFonts w:ascii="黑体" w:hAnsi="黑体" w:eastAsia="黑体"/>
          <w:szCs w:val="32"/>
        </w:rPr>
        <w:t xml:space="preserve">    </w:t>
      </w:r>
      <w:r>
        <w:rPr>
          <w:rFonts w:hint="eastAsia" w:ascii="黑体" w:hAnsi="黑体" w:eastAsia="黑体"/>
          <w:szCs w:val="32"/>
        </w:rPr>
        <w:t>一、</w:t>
      </w:r>
      <w:r>
        <w:rPr>
          <w:rFonts w:hint="eastAsia" w:ascii="黑体" w:hAnsi="黑体" w:eastAsia="黑体"/>
          <w:szCs w:val="32"/>
          <w:lang w:eastAsia="zh-CN"/>
        </w:rPr>
        <w:t>202</w:t>
      </w:r>
      <w:r>
        <w:rPr>
          <w:rFonts w:hint="eastAsia" w:ascii="黑体" w:hAnsi="黑体" w:eastAsia="黑体"/>
          <w:szCs w:val="32"/>
          <w:lang w:val="en-US" w:eastAsia="zh-CN"/>
        </w:rPr>
        <w:t>2</w:t>
      </w:r>
      <w:r>
        <w:rPr>
          <w:rFonts w:hint="eastAsia" w:ascii="黑体" w:hAnsi="黑体" w:eastAsia="黑体"/>
          <w:szCs w:val="32"/>
        </w:rPr>
        <w:t>年度一般公共预算财政拨款“三公”经费支出决算表</w:t>
      </w:r>
    </w:p>
    <w:p w14:paraId="29DBAA64">
      <w:pPr>
        <w:ind w:firstLine="6594" w:firstLineChars="2100"/>
        <w:rPr>
          <w:rFonts w:ascii="黑体" w:hAnsi="黑体" w:eastAsia="黑体"/>
          <w:szCs w:val="32"/>
        </w:rPr>
      </w:pPr>
      <w:r>
        <w:rPr>
          <w:rFonts w:hint="eastAsia" w:ascii="仿宋_GB2312" w:hAnsi="仿宋_GB2312" w:cs="仿宋_GB2312"/>
          <w:szCs w:val="32"/>
        </w:rPr>
        <w:t>单位：万元</w:t>
      </w:r>
    </w:p>
    <w:tbl>
      <w:tblPr>
        <w:tblStyle w:val="5"/>
        <w:tblpPr w:leftFromText="180" w:rightFromText="180" w:vertAnchor="text" w:horzAnchor="margin" w:tblpY="454"/>
        <w:tblOverlap w:val="never"/>
        <w:tblW w:w="0" w:type="auto"/>
        <w:tblInd w:w="0" w:type="dxa"/>
        <w:tblLayout w:type="fixed"/>
        <w:tblCellMar>
          <w:top w:w="0" w:type="dxa"/>
          <w:left w:w="108" w:type="dxa"/>
          <w:bottom w:w="0" w:type="dxa"/>
          <w:right w:w="108" w:type="dxa"/>
        </w:tblCellMar>
      </w:tblPr>
      <w:tblGrid>
        <w:gridCol w:w="4379"/>
        <w:gridCol w:w="2157"/>
        <w:gridCol w:w="2220"/>
      </w:tblGrid>
      <w:tr w14:paraId="0B7C4442">
        <w:tblPrEx>
          <w:tblCellMar>
            <w:top w:w="0" w:type="dxa"/>
            <w:left w:w="108" w:type="dxa"/>
            <w:bottom w:w="0" w:type="dxa"/>
            <w:right w:w="108" w:type="dxa"/>
          </w:tblCellMar>
        </w:tblPrEx>
        <w:trPr>
          <w:trHeight w:val="397" w:hRule="atLeast"/>
        </w:trPr>
        <w:tc>
          <w:tcPr>
            <w:tcW w:w="4379" w:type="dxa"/>
            <w:tcBorders>
              <w:top w:val="single" w:color="auto" w:sz="4" w:space="0"/>
              <w:left w:val="single" w:color="auto" w:sz="4" w:space="0"/>
              <w:bottom w:val="single" w:color="auto" w:sz="4" w:space="0"/>
              <w:right w:val="single" w:color="auto" w:sz="4" w:space="0"/>
            </w:tcBorders>
            <w:noWrap w:val="0"/>
            <w:vAlign w:val="center"/>
          </w:tcPr>
          <w:p w14:paraId="52722AB2">
            <w:pPr>
              <w:widowControl/>
              <w:jc w:val="center"/>
              <w:rPr>
                <w:rFonts w:ascii="宋体" w:hAnsi="宋体" w:cs="宋体"/>
                <w:b/>
                <w:bCs/>
                <w:kern w:val="0"/>
                <w:szCs w:val="21"/>
              </w:rPr>
            </w:pPr>
            <w:r>
              <w:rPr>
                <w:rFonts w:hint="eastAsia" w:ascii="宋体" w:hAnsi="宋体" w:cs="宋体"/>
                <w:b/>
                <w:bCs/>
                <w:kern w:val="0"/>
                <w:szCs w:val="21"/>
              </w:rPr>
              <w:t>项  目</w:t>
            </w:r>
          </w:p>
        </w:tc>
        <w:tc>
          <w:tcPr>
            <w:tcW w:w="2157" w:type="dxa"/>
            <w:tcBorders>
              <w:top w:val="single" w:color="auto" w:sz="4" w:space="0"/>
              <w:left w:val="nil"/>
              <w:bottom w:val="single" w:color="auto" w:sz="4" w:space="0"/>
              <w:right w:val="single" w:color="auto" w:sz="4" w:space="0"/>
            </w:tcBorders>
            <w:noWrap w:val="0"/>
            <w:vAlign w:val="center"/>
          </w:tcPr>
          <w:p w14:paraId="3BAF3DCD">
            <w:pPr>
              <w:widowControl/>
              <w:jc w:val="center"/>
              <w:rPr>
                <w:rFonts w:ascii="宋体" w:hAnsi="宋体" w:cs="宋体"/>
                <w:b/>
                <w:bCs/>
                <w:kern w:val="0"/>
                <w:szCs w:val="21"/>
              </w:rPr>
            </w:pPr>
            <w:r>
              <w:rPr>
                <w:rFonts w:hint="eastAsia" w:ascii="宋体" w:hAnsi="宋体" w:cs="宋体"/>
                <w:b/>
                <w:bCs/>
                <w:kern w:val="0"/>
                <w:szCs w:val="21"/>
              </w:rPr>
              <w:t>预 算 数</w:t>
            </w:r>
          </w:p>
        </w:tc>
        <w:tc>
          <w:tcPr>
            <w:tcW w:w="2220" w:type="dxa"/>
            <w:tcBorders>
              <w:top w:val="single" w:color="auto" w:sz="4" w:space="0"/>
              <w:left w:val="nil"/>
              <w:bottom w:val="single" w:color="auto" w:sz="4" w:space="0"/>
              <w:right w:val="single" w:color="auto" w:sz="4" w:space="0"/>
            </w:tcBorders>
            <w:noWrap w:val="0"/>
            <w:vAlign w:val="center"/>
          </w:tcPr>
          <w:p w14:paraId="6F6254DC">
            <w:pPr>
              <w:widowControl/>
              <w:jc w:val="center"/>
              <w:rPr>
                <w:rFonts w:ascii="宋体" w:hAnsi="宋体" w:cs="宋体"/>
                <w:b/>
                <w:bCs/>
                <w:kern w:val="0"/>
                <w:szCs w:val="21"/>
              </w:rPr>
            </w:pPr>
            <w:r>
              <w:rPr>
                <w:rFonts w:hint="eastAsia" w:ascii="宋体" w:hAnsi="宋体" w:cs="宋体"/>
                <w:b/>
                <w:bCs/>
                <w:kern w:val="0"/>
                <w:szCs w:val="21"/>
              </w:rPr>
              <w:t>决 算 数</w:t>
            </w:r>
          </w:p>
        </w:tc>
      </w:tr>
      <w:tr w14:paraId="677545FF">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42443E62">
            <w:pPr>
              <w:widowControl/>
              <w:jc w:val="center"/>
              <w:rPr>
                <w:rFonts w:ascii="宋体" w:hAnsi="宋体" w:cs="宋体"/>
                <w:b/>
                <w:bCs/>
                <w:kern w:val="0"/>
                <w:szCs w:val="21"/>
              </w:rPr>
            </w:pPr>
            <w:r>
              <w:rPr>
                <w:rFonts w:hint="eastAsia" w:ascii="宋体" w:hAnsi="宋体" w:cs="宋体"/>
                <w:b/>
                <w:bCs/>
                <w:kern w:val="0"/>
                <w:szCs w:val="21"/>
              </w:rPr>
              <w:t>合  计</w:t>
            </w:r>
          </w:p>
        </w:tc>
        <w:tc>
          <w:tcPr>
            <w:tcW w:w="2157" w:type="dxa"/>
            <w:tcBorders>
              <w:top w:val="nil"/>
              <w:left w:val="nil"/>
              <w:bottom w:val="single" w:color="auto" w:sz="4" w:space="0"/>
              <w:right w:val="single" w:color="auto" w:sz="4" w:space="0"/>
            </w:tcBorders>
            <w:noWrap w:val="0"/>
            <w:vAlign w:val="center"/>
          </w:tcPr>
          <w:p w14:paraId="648950B4">
            <w:pPr>
              <w:widowControl/>
              <w:jc w:val="center"/>
              <w:rPr>
                <w:rFonts w:ascii="宋体" w:hAnsi="宋体" w:cs="宋体"/>
                <w:b/>
                <w:bCs/>
                <w:kern w:val="0"/>
                <w:szCs w:val="21"/>
              </w:rPr>
            </w:pPr>
            <w:r>
              <w:rPr>
                <w:rFonts w:hint="eastAsia" w:ascii="宋体" w:hAnsi="宋体" w:cs="宋体"/>
                <w:b/>
                <w:bCs/>
                <w:kern w:val="0"/>
                <w:szCs w:val="21"/>
                <w:lang w:val="en-US" w:eastAsia="zh-CN"/>
              </w:rPr>
              <w:t>82.7</w:t>
            </w:r>
            <w:r>
              <w:rPr>
                <w:rFonts w:hint="eastAsia" w:ascii="宋体" w:hAnsi="宋体" w:cs="宋体"/>
                <w:b/>
                <w:bCs/>
                <w:kern w:val="0"/>
                <w:szCs w:val="21"/>
              </w:rPr>
              <w:t>　</w:t>
            </w:r>
          </w:p>
        </w:tc>
        <w:tc>
          <w:tcPr>
            <w:tcW w:w="2220" w:type="dxa"/>
            <w:tcBorders>
              <w:top w:val="nil"/>
              <w:left w:val="nil"/>
              <w:bottom w:val="single" w:color="auto" w:sz="4" w:space="0"/>
              <w:right w:val="single" w:color="auto" w:sz="4" w:space="0"/>
            </w:tcBorders>
            <w:noWrap w:val="0"/>
            <w:vAlign w:val="center"/>
          </w:tcPr>
          <w:p w14:paraId="28A8E15C">
            <w:pPr>
              <w:widowControl/>
              <w:jc w:val="center"/>
              <w:rPr>
                <w:rFonts w:ascii="宋体" w:hAnsi="宋体" w:cs="宋体"/>
                <w:b/>
                <w:bCs/>
                <w:kern w:val="0"/>
                <w:szCs w:val="21"/>
              </w:rPr>
            </w:pPr>
            <w:r>
              <w:rPr>
                <w:rFonts w:hint="eastAsia" w:ascii="宋体" w:hAnsi="宋体" w:cs="宋体"/>
                <w:b/>
                <w:bCs/>
                <w:kern w:val="0"/>
                <w:szCs w:val="21"/>
                <w:lang w:val="en-US" w:eastAsia="zh-CN"/>
              </w:rPr>
              <w:t>77.26</w:t>
            </w:r>
            <w:r>
              <w:rPr>
                <w:rFonts w:hint="eastAsia" w:ascii="宋体" w:hAnsi="宋体" w:cs="宋体"/>
                <w:b/>
                <w:bCs/>
                <w:kern w:val="0"/>
                <w:szCs w:val="21"/>
              </w:rPr>
              <w:t>　</w:t>
            </w:r>
          </w:p>
        </w:tc>
      </w:tr>
      <w:tr w14:paraId="04D6BD66">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227D1921">
            <w:pPr>
              <w:widowControl/>
              <w:jc w:val="left"/>
              <w:rPr>
                <w:rFonts w:ascii="宋体" w:hAnsi="宋体" w:cs="宋体"/>
                <w:kern w:val="0"/>
                <w:szCs w:val="21"/>
              </w:rPr>
            </w:pPr>
            <w:r>
              <w:rPr>
                <w:rFonts w:hint="eastAsia" w:ascii="宋体" w:hAnsi="宋体" w:cs="宋体"/>
                <w:kern w:val="0"/>
                <w:szCs w:val="21"/>
              </w:rPr>
              <w:t>因公出国（境）费</w:t>
            </w:r>
          </w:p>
        </w:tc>
        <w:tc>
          <w:tcPr>
            <w:tcW w:w="2157" w:type="dxa"/>
            <w:tcBorders>
              <w:top w:val="nil"/>
              <w:left w:val="nil"/>
              <w:bottom w:val="single" w:color="auto" w:sz="4" w:space="0"/>
              <w:right w:val="single" w:color="auto" w:sz="4" w:space="0"/>
            </w:tcBorders>
            <w:noWrap w:val="0"/>
            <w:vAlign w:val="bottom"/>
          </w:tcPr>
          <w:p w14:paraId="05765985">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0</w:t>
            </w:r>
          </w:p>
        </w:tc>
        <w:tc>
          <w:tcPr>
            <w:tcW w:w="2220" w:type="dxa"/>
            <w:tcBorders>
              <w:top w:val="nil"/>
              <w:left w:val="nil"/>
              <w:bottom w:val="single" w:color="auto" w:sz="4" w:space="0"/>
              <w:right w:val="single" w:color="auto" w:sz="4" w:space="0"/>
            </w:tcBorders>
            <w:noWrap w:val="0"/>
            <w:vAlign w:val="bottom"/>
          </w:tcPr>
          <w:p w14:paraId="6D5001B8">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0</w:t>
            </w:r>
          </w:p>
        </w:tc>
      </w:tr>
      <w:tr w14:paraId="54A694A6">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48388F80">
            <w:pPr>
              <w:widowControl/>
              <w:jc w:val="left"/>
              <w:rPr>
                <w:rFonts w:ascii="宋体" w:hAnsi="宋体" w:cs="宋体"/>
                <w:kern w:val="0"/>
                <w:szCs w:val="21"/>
              </w:rPr>
            </w:pPr>
            <w:r>
              <w:rPr>
                <w:rFonts w:hint="eastAsia" w:ascii="宋体" w:hAnsi="宋体" w:cs="宋体"/>
                <w:kern w:val="0"/>
                <w:szCs w:val="21"/>
              </w:rPr>
              <w:t>公务接待费</w:t>
            </w:r>
          </w:p>
        </w:tc>
        <w:tc>
          <w:tcPr>
            <w:tcW w:w="2157" w:type="dxa"/>
            <w:tcBorders>
              <w:top w:val="nil"/>
              <w:left w:val="nil"/>
              <w:bottom w:val="single" w:color="auto" w:sz="4" w:space="0"/>
              <w:right w:val="single" w:color="auto" w:sz="4" w:space="0"/>
            </w:tcBorders>
            <w:noWrap w:val="0"/>
            <w:vAlign w:val="bottom"/>
          </w:tcPr>
          <w:p w14:paraId="3D2B46CB">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6</w:t>
            </w:r>
          </w:p>
        </w:tc>
        <w:tc>
          <w:tcPr>
            <w:tcW w:w="2220" w:type="dxa"/>
            <w:tcBorders>
              <w:top w:val="nil"/>
              <w:left w:val="nil"/>
              <w:bottom w:val="single" w:color="auto" w:sz="4" w:space="0"/>
              <w:right w:val="single" w:color="auto" w:sz="4" w:space="0"/>
            </w:tcBorders>
            <w:noWrap w:val="0"/>
            <w:vAlign w:val="bottom"/>
          </w:tcPr>
          <w:p w14:paraId="5AE95F32">
            <w:pPr>
              <w:widowControl/>
              <w:jc w:val="left"/>
              <w:rPr>
                <w:rFonts w:hint="default"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1.17</w:t>
            </w:r>
          </w:p>
        </w:tc>
      </w:tr>
      <w:tr w14:paraId="6DBE393A">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36CC4820">
            <w:pPr>
              <w:widowControl/>
              <w:jc w:val="left"/>
              <w:rPr>
                <w:rFonts w:ascii="宋体" w:hAnsi="宋体" w:cs="宋体"/>
                <w:kern w:val="0"/>
                <w:szCs w:val="21"/>
              </w:rPr>
            </w:pPr>
            <w:r>
              <w:rPr>
                <w:rFonts w:hint="eastAsia" w:ascii="宋体" w:hAnsi="宋体" w:cs="宋体"/>
                <w:kern w:val="0"/>
                <w:szCs w:val="21"/>
              </w:rPr>
              <w:t>公务用车购置及运行维护费</w:t>
            </w:r>
          </w:p>
        </w:tc>
        <w:tc>
          <w:tcPr>
            <w:tcW w:w="2157" w:type="dxa"/>
            <w:tcBorders>
              <w:top w:val="nil"/>
              <w:left w:val="nil"/>
              <w:bottom w:val="single" w:color="auto" w:sz="4" w:space="0"/>
              <w:right w:val="single" w:color="auto" w:sz="4" w:space="0"/>
            </w:tcBorders>
            <w:noWrap w:val="0"/>
            <w:vAlign w:val="bottom"/>
          </w:tcPr>
          <w:p w14:paraId="15D9A77C">
            <w:pPr>
              <w:widowControl/>
              <w:jc w:val="left"/>
              <w:rPr>
                <w:rFonts w:hint="default"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76.7</w:t>
            </w:r>
          </w:p>
        </w:tc>
        <w:tc>
          <w:tcPr>
            <w:tcW w:w="2220" w:type="dxa"/>
            <w:tcBorders>
              <w:top w:val="nil"/>
              <w:left w:val="nil"/>
              <w:bottom w:val="single" w:color="auto" w:sz="4" w:space="0"/>
              <w:right w:val="single" w:color="auto" w:sz="4" w:space="0"/>
            </w:tcBorders>
            <w:noWrap w:val="0"/>
            <w:vAlign w:val="bottom"/>
          </w:tcPr>
          <w:p w14:paraId="713B29CF">
            <w:pPr>
              <w:widowControl/>
              <w:jc w:val="left"/>
              <w:rPr>
                <w:rFonts w:hint="default"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76.09</w:t>
            </w:r>
          </w:p>
        </w:tc>
      </w:tr>
      <w:tr w14:paraId="79A6FB93">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12AD09E2">
            <w:pPr>
              <w:widowControl/>
              <w:jc w:val="left"/>
              <w:rPr>
                <w:rFonts w:ascii="宋体" w:hAnsi="宋体" w:cs="宋体"/>
                <w:kern w:val="0"/>
                <w:szCs w:val="21"/>
              </w:rPr>
            </w:pPr>
            <w:r>
              <w:rPr>
                <w:rFonts w:hint="eastAsia" w:ascii="宋体" w:hAnsi="宋体" w:cs="宋体"/>
                <w:kern w:val="0"/>
                <w:szCs w:val="21"/>
              </w:rPr>
              <w:t xml:space="preserve">  其中：公务用车购置费 </w:t>
            </w:r>
          </w:p>
        </w:tc>
        <w:tc>
          <w:tcPr>
            <w:tcW w:w="2157" w:type="dxa"/>
            <w:tcBorders>
              <w:top w:val="nil"/>
              <w:left w:val="nil"/>
              <w:bottom w:val="single" w:color="auto" w:sz="4" w:space="0"/>
              <w:right w:val="single" w:color="auto" w:sz="4" w:space="0"/>
            </w:tcBorders>
            <w:noWrap w:val="0"/>
            <w:vAlign w:val="bottom"/>
          </w:tcPr>
          <w:p w14:paraId="1F9CD39F">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0</w:t>
            </w:r>
            <w:bookmarkStart w:id="0" w:name="_GoBack"/>
            <w:bookmarkEnd w:id="0"/>
          </w:p>
        </w:tc>
        <w:tc>
          <w:tcPr>
            <w:tcW w:w="2220" w:type="dxa"/>
            <w:tcBorders>
              <w:top w:val="nil"/>
              <w:left w:val="nil"/>
              <w:bottom w:val="single" w:color="auto" w:sz="4" w:space="0"/>
              <w:right w:val="single" w:color="auto" w:sz="4" w:space="0"/>
            </w:tcBorders>
            <w:noWrap w:val="0"/>
            <w:vAlign w:val="bottom"/>
          </w:tcPr>
          <w:p w14:paraId="6D13EE1C">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0</w:t>
            </w:r>
          </w:p>
        </w:tc>
      </w:tr>
      <w:tr w14:paraId="0A4479F2">
        <w:tblPrEx>
          <w:tblCellMar>
            <w:top w:w="0" w:type="dxa"/>
            <w:left w:w="108" w:type="dxa"/>
            <w:bottom w:w="0" w:type="dxa"/>
            <w:right w:w="108" w:type="dxa"/>
          </w:tblCellMar>
        </w:tblPrEx>
        <w:trPr>
          <w:trHeight w:val="397" w:hRule="atLeast"/>
        </w:trPr>
        <w:tc>
          <w:tcPr>
            <w:tcW w:w="4379" w:type="dxa"/>
            <w:tcBorders>
              <w:top w:val="nil"/>
              <w:left w:val="single" w:color="auto" w:sz="4" w:space="0"/>
              <w:bottom w:val="single" w:color="auto" w:sz="4" w:space="0"/>
              <w:right w:val="single" w:color="auto" w:sz="4" w:space="0"/>
            </w:tcBorders>
            <w:noWrap w:val="0"/>
            <w:vAlign w:val="center"/>
          </w:tcPr>
          <w:p w14:paraId="46BA9EC5">
            <w:pPr>
              <w:widowControl/>
              <w:jc w:val="left"/>
              <w:rPr>
                <w:rFonts w:ascii="宋体" w:hAnsi="宋体" w:cs="宋体"/>
                <w:kern w:val="0"/>
                <w:szCs w:val="21"/>
              </w:rPr>
            </w:pPr>
            <w:r>
              <w:rPr>
                <w:rFonts w:hint="eastAsia" w:ascii="宋体" w:hAnsi="宋体" w:cs="宋体"/>
                <w:kern w:val="0"/>
                <w:szCs w:val="21"/>
              </w:rPr>
              <w:t xml:space="preserve">        公务用车运行维护费</w:t>
            </w:r>
          </w:p>
        </w:tc>
        <w:tc>
          <w:tcPr>
            <w:tcW w:w="2157" w:type="dxa"/>
            <w:tcBorders>
              <w:top w:val="nil"/>
              <w:left w:val="nil"/>
              <w:bottom w:val="single" w:color="auto" w:sz="4" w:space="0"/>
              <w:right w:val="single" w:color="auto" w:sz="4" w:space="0"/>
            </w:tcBorders>
            <w:noWrap w:val="0"/>
            <w:vAlign w:val="bottom"/>
          </w:tcPr>
          <w:p w14:paraId="5F05BF9A">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76.7</w:t>
            </w:r>
          </w:p>
        </w:tc>
        <w:tc>
          <w:tcPr>
            <w:tcW w:w="2220" w:type="dxa"/>
            <w:tcBorders>
              <w:top w:val="nil"/>
              <w:left w:val="nil"/>
              <w:bottom w:val="single" w:color="auto" w:sz="4" w:space="0"/>
              <w:right w:val="single" w:color="auto" w:sz="4" w:space="0"/>
            </w:tcBorders>
            <w:noWrap w:val="0"/>
            <w:vAlign w:val="bottom"/>
          </w:tcPr>
          <w:p w14:paraId="148D02D7">
            <w:pPr>
              <w:widowControl/>
              <w:jc w:val="left"/>
              <w:rPr>
                <w:rFonts w:hint="eastAsia" w:ascii="宋体" w:hAnsi="宋体" w:eastAsia="仿宋_GB2312" w:cs="宋体"/>
                <w:kern w:val="0"/>
                <w:szCs w:val="21"/>
                <w:lang w:val="en-US" w:eastAsia="zh-CN"/>
              </w:rPr>
            </w:pPr>
            <w:r>
              <w:rPr>
                <w:rFonts w:hint="eastAsia" w:ascii="宋体" w:hAnsi="宋体" w:cs="宋体"/>
                <w:kern w:val="0"/>
                <w:szCs w:val="21"/>
              </w:rPr>
              <w:t>　</w:t>
            </w:r>
            <w:r>
              <w:rPr>
                <w:rFonts w:hint="eastAsia" w:ascii="宋体" w:hAnsi="宋体" w:cs="宋体"/>
                <w:kern w:val="0"/>
                <w:szCs w:val="21"/>
                <w:lang w:val="en-US" w:eastAsia="zh-CN"/>
              </w:rPr>
              <w:t>76.09</w:t>
            </w:r>
          </w:p>
        </w:tc>
      </w:tr>
    </w:tbl>
    <w:p w14:paraId="46A4557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 w:cs="Times New Roman"/>
          <w:kern w:val="21"/>
          <w:sz w:val="21"/>
          <w:szCs w:val="21"/>
          <w:lang w:val="en-US" w:eastAsia="zh-CN"/>
        </w:rPr>
      </w:pPr>
    </w:p>
    <w:p w14:paraId="3BD8764C">
      <w:pPr>
        <w:keepNext w:val="0"/>
        <w:keepLines w:val="0"/>
        <w:pageBreakBefore w:val="0"/>
        <w:widowControl w:val="0"/>
        <w:kinsoku/>
        <w:wordWrap/>
        <w:overflowPunct/>
        <w:topLinePunct w:val="0"/>
        <w:autoSpaceDE/>
        <w:autoSpaceDN/>
        <w:bidi w:val="0"/>
        <w:adjustRightInd/>
        <w:snapToGrid/>
        <w:spacing w:line="240" w:lineRule="exact"/>
        <w:textAlignment w:val="auto"/>
        <w:rPr>
          <w:rFonts w:ascii="黑体" w:hAnsi="黑体" w:eastAsia="黑体"/>
          <w:szCs w:val="32"/>
        </w:rPr>
      </w:pPr>
      <w:r>
        <w:rPr>
          <w:rFonts w:hint="eastAsia" w:ascii="仿宋_GB2312" w:hAnsi="仿宋" w:cs="Times New Roman"/>
          <w:kern w:val="21"/>
          <w:sz w:val="21"/>
          <w:szCs w:val="21"/>
          <w:highlight w:val="none"/>
          <w:lang w:val="en-US" w:eastAsia="zh-CN"/>
        </w:rPr>
        <w:t xml:space="preserve"> 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r>
        <w:rPr>
          <w:rFonts w:hint="eastAsia" w:ascii="仿宋_GB2312" w:hAnsi="仿宋" w:cs="Times New Roman"/>
          <w:kern w:val="21"/>
          <w:sz w:val="21"/>
          <w:szCs w:val="21"/>
          <w:lang w:val="en-US" w:eastAsia="zh-CN"/>
        </w:rPr>
        <w:t xml:space="preserve">  </w:t>
      </w:r>
      <w:r>
        <w:rPr>
          <w:rFonts w:hint="eastAsia" w:ascii="黑体" w:hAnsi="黑体" w:eastAsia="黑体"/>
          <w:kern w:val="21"/>
          <w:szCs w:val="32"/>
        </w:rPr>
        <w:t xml:space="preserve">  </w:t>
      </w:r>
      <w:r>
        <w:rPr>
          <w:rFonts w:hint="eastAsia" w:ascii="黑体" w:hAnsi="黑体" w:eastAsia="黑体"/>
          <w:szCs w:val="32"/>
        </w:rPr>
        <w:t xml:space="preserve">                                         </w:t>
      </w:r>
    </w:p>
    <w:p w14:paraId="3073EB2E">
      <w:pPr>
        <w:rPr>
          <w:rFonts w:ascii="黑体" w:hAnsi="黑体" w:eastAsia="黑体"/>
          <w:szCs w:val="32"/>
        </w:rPr>
      </w:pPr>
      <w:r>
        <w:rPr>
          <w:rFonts w:ascii="黑体" w:hAnsi="黑体" w:eastAsia="黑体"/>
          <w:szCs w:val="32"/>
        </w:rPr>
        <w:t xml:space="preserve">    </w:t>
      </w:r>
      <w:r>
        <w:rPr>
          <w:rFonts w:hint="eastAsia" w:ascii="黑体" w:hAnsi="黑体" w:eastAsia="黑体"/>
          <w:szCs w:val="32"/>
        </w:rPr>
        <w:t>二</w:t>
      </w:r>
      <w:r>
        <w:rPr>
          <w:rFonts w:ascii="黑体" w:hAnsi="黑体" w:eastAsia="黑体"/>
          <w:szCs w:val="32"/>
        </w:rPr>
        <w:t>、</w:t>
      </w:r>
      <w:r>
        <w:rPr>
          <w:rFonts w:hint="eastAsia" w:ascii="黑体" w:hAnsi="黑体" w:eastAsia="黑体"/>
          <w:szCs w:val="32"/>
          <w:lang w:eastAsia="zh-CN"/>
        </w:rPr>
        <w:t>202</w:t>
      </w:r>
      <w:r>
        <w:rPr>
          <w:rFonts w:hint="eastAsia" w:ascii="黑体" w:hAnsi="黑体" w:eastAsia="黑体"/>
          <w:szCs w:val="32"/>
          <w:lang w:val="en-US" w:eastAsia="zh-CN"/>
        </w:rPr>
        <w:t>2</w:t>
      </w:r>
      <w:r>
        <w:rPr>
          <w:rFonts w:ascii="黑体" w:hAnsi="黑体" w:eastAsia="黑体"/>
          <w:szCs w:val="32"/>
        </w:rPr>
        <w:t>年</w:t>
      </w:r>
      <w:r>
        <w:rPr>
          <w:rFonts w:hint="eastAsia" w:ascii="黑体" w:hAnsi="黑体" w:eastAsia="黑体"/>
          <w:szCs w:val="32"/>
        </w:rPr>
        <w:t>度一般公共预算财政拨款“三公”经费支出</w:t>
      </w:r>
      <w:r>
        <w:rPr>
          <w:rFonts w:ascii="黑体" w:hAnsi="黑体" w:eastAsia="黑体"/>
          <w:szCs w:val="32"/>
        </w:rPr>
        <w:t>情况说明</w:t>
      </w:r>
    </w:p>
    <w:p w14:paraId="161B6EFA">
      <w:pPr>
        <w:ind w:firstLine="628" w:firstLineChars="200"/>
        <w:rPr>
          <w:rFonts w:ascii="仿宋_GB2312" w:hAnsi="仿宋"/>
          <w:b/>
          <w:szCs w:val="32"/>
        </w:rPr>
      </w:pPr>
      <w:r>
        <w:rPr>
          <w:rFonts w:hint="eastAsia" w:ascii="仿宋_GB2312" w:hAnsi="仿宋"/>
          <w:b/>
          <w:szCs w:val="32"/>
        </w:rPr>
        <w:t>（一）一般公共预算财政拨款“三公”经费支出决算总体情况说明。</w:t>
      </w:r>
    </w:p>
    <w:p w14:paraId="61E1DB3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firstLine="640"/>
        <w:jc w:val="both"/>
        <w:rPr>
          <w:rFonts w:hint="eastAsia" w:ascii="仿宋_GB2312" w:hAnsi="仿宋" w:eastAsia="仿宋_GB2312"/>
          <w:color w:val="FF0000"/>
          <w:szCs w:val="32"/>
          <w:lang w:eastAsia="zh-CN"/>
        </w:rPr>
      </w:pPr>
      <w:r>
        <w:rPr>
          <w:rFonts w:ascii="仿宋_GB2312" w:hAnsi="仿宋" w:eastAsia="仿宋_GB2312" w:cs="仿宋_GB2312"/>
          <w:i w:val="0"/>
          <w:iCs w:val="0"/>
          <w:caps w:val="0"/>
          <w:color w:val="333333"/>
          <w:spacing w:val="0"/>
          <w:sz w:val="32"/>
          <w:szCs w:val="32"/>
          <w:shd w:val="clear" w:fill="FFFFFF"/>
        </w:rPr>
        <w:t>濉溪县城管</w:t>
      </w:r>
      <w:r>
        <w:rPr>
          <w:rFonts w:hint="default" w:ascii="仿宋_GB2312" w:hAnsi="仿宋" w:eastAsia="仿宋_GB2312" w:cs="仿宋_GB2312"/>
          <w:i w:val="0"/>
          <w:iCs w:val="0"/>
          <w:caps w:val="0"/>
          <w:color w:val="333333"/>
          <w:spacing w:val="0"/>
          <w:sz w:val="32"/>
          <w:szCs w:val="32"/>
          <w:shd w:val="clear" w:fill="FFFFFF"/>
        </w:rPr>
        <w:t>局2022年度一般公共预算财政拨款“三公”经费支出预算为82.7万元，支出决算为77.26万元，完成预算的93.4%，决算数小于预算数的主要原因是财政资金紧张，年末部门公务接待费用未支付成功</w:t>
      </w:r>
      <w:r>
        <w:rPr>
          <w:rFonts w:hint="eastAsia" w:ascii="仿宋_GB2312" w:hAnsi="仿宋"/>
          <w:szCs w:val="32"/>
          <w:lang w:eastAsia="zh-CN"/>
        </w:rPr>
        <w:t>；</w:t>
      </w:r>
      <w:r>
        <w:rPr>
          <w:rFonts w:hint="eastAsia" w:ascii="仿宋_GB2312" w:hAnsi="仿宋"/>
          <w:color w:val="auto"/>
          <w:szCs w:val="32"/>
          <w:lang w:eastAsia="zh-CN"/>
        </w:rPr>
        <w:t>较上年增加</w:t>
      </w:r>
      <w:r>
        <w:rPr>
          <w:rFonts w:hint="eastAsia" w:ascii="仿宋_GB2312" w:hAnsi="仿宋"/>
          <w:color w:val="auto"/>
          <w:szCs w:val="32"/>
          <w:lang w:val="en-US" w:eastAsia="zh-CN"/>
        </w:rPr>
        <w:t>10.51万元，增长15.75%，</w:t>
      </w:r>
      <w:r>
        <w:rPr>
          <w:rFonts w:hint="eastAsia" w:ascii="仿宋_GB2312" w:hAnsi="仿宋"/>
          <w:color w:val="auto"/>
          <w:szCs w:val="32"/>
          <w:lang w:eastAsia="zh-CN"/>
        </w:rPr>
        <w:t>决算数较上年增加的主要原因是</w:t>
      </w:r>
      <w:r>
        <w:rPr>
          <w:rFonts w:hint="eastAsia" w:ascii="仿宋_GB2312" w:hAnsi="仿宋"/>
          <w:color w:val="auto"/>
          <w:szCs w:val="32"/>
          <w:lang w:val="en-US" w:eastAsia="zh-CN"/>
        </w:rPr>
        <w:t>公务用车的油料使用及运行维护费用增长</w:t>
      </w:r>
      <w:r>
        <w:rPr>
          <w:rFonts w:hint="eastAsia" w:ascii="仿宋_GB2312" w:hAnsi="仿宋"/>
          <w:color w:val="auto"/>
          <w:szCs w:val="32"/>
          <w:lang w:eastAsia="zh-CN"/>
        </w:rPr>
        <w:t>。</w:t>
      </w:r>
      <w:r>
        <w:rPr>
          <w:rFonts w:hint="eastAsia" w:ascii="仿宋_GB2312" w:hAnsi="仿宋"/>
          <w:b/>
          <w:bCs/>
          <w:color w:val="auto"/>
          <w:szCs w:val="32"/>
        </w:rPr>
        <w:t>为全面反映“三公”经费支出，本次公布的“三公”经费决算为部门汇总数，包含单位本级和</w:t>
      </w:r>
      <w:r>
        <w:rPr>
          <w:rFonts w:hint="eastAsia" w:ascii="仿宋_GB2312" w:hAnsi="仿宋"/>
          <w:b/>
          <w:bCs/>
          <w:color w:val="auto"/>
          <w:szCs w:val="32"/>
          <w:lang w:eastAsia="zh-CN"/>
        </w:rPr>
        <w:t>所</w:t>
      </w:r>
      <w:r>
        <w:rPr>
          <w:rFonts w:hint="eastAsia" w:ascii="仿宋_GB2312" w:hAnsi="仿宋"/>
          <w:b/>
          <w:bCs/>
          <w:color w:val="auto"/>
          <w:szCs w:val="32"/>
        </w:rPr>
        <w:t>属单位。</w:t>
      </w:r>
    </w:p>
    <w:p w14:paraId="48D616F4">
      <w:pPr>
        <w:ind w:firstLine="628" w:firstLineChars="200"/>
        <w:rPr>
          <w:rFonts w:ascii="仿宋_GB2312" w:hAnsi="仿宋"/>
          <w:b/>
          <w:szCs w:val="32"/>
        </w:rPr>
      </w:pPr>
      <w:r>
        <w:rPr>
          <w:rFonts w:hint="eastAsia" w:ascii="仿宋_GB2312" w:hAnsi="仿宋"/>
          <w:b/>
          <w:bCs/>
          <w:szCs w:val="32"/>
        </w:rPr>
        <w:t>（二）</w:t>
      </w:r>
      <w:r>
        <w:rPr>
          <w:rFonts w:hint="eastAsia" w:ascii="仿宋_GB2312" w:hAnsi="仿宋"/>
          <w:b/>
          <w:szCs w:val="32"/>
        </w:rPr>
        <w:t>一般公共预算财政拨款“三公”经费支出决算具体情况说明。</w:t>
      </w:r>
    </w:p>
    <w:p w14:paraId="105C3544">
      <w:pPr>
        <w:ind w:firstLine="628"/>
        <w:rPr>
          <w:rFonts w:hint="default" w:ascii="仿宋_GB2312" w:hAnsi="仿宋" w:eastAsia="仿宋_GB2312" w:cs="仿宋_GB2312"/>
          <w:i w:val="0"/>
          <w:iCs w:val="0"/>
          <w:caps w:val="0"/>
          <w:color w:val="333333"/>
          <w:spacing w:val="0"/>
          <w:sz w:val="32"/>
          <w:szCs w:val="32"/>
          <w:shd w:val="clear" w:fill="FFFFFF"/>
        </w:rPr>
      </w:pPr>
      <w:r>
        <w:rPr>
          <w:rFonts w:hint="default" w:ascii="仿宋_GB2312" w:hAnsi="仿宋" w:eastAsia="仿宋_GB2312" w:cs="仿宋_GB2312"/>
          <w:i w:val="0"/>
          <w:iCs w:val="0"/>
          <w:caps w:val="0"/>
          <w:color w:val="333333"/>
          <w:spacing w:val="0"/>
          <w:sz w:val="32"/>
          <w:szCs w:val="32"/>
          <w:shd w:val="clear" w:fill="FFFFFF"/>
        </w:rPr>
        <w:t>濉溪县城管局2022年度一般公共预算财政拨款“三公”经费支出决算中，因公出国（境）费支出决算0万元，占0%;公务接待费支出决算76.09万元，占98%；公务用车购置及运行维护费支出决算0万元，占0%。具体情况如下：</w:t>
      </w:r>
    </w:p>
    <w:p w14:paraId="28F6C71D">
      <w:pPr>
        <w:numPr>
          <w:ilvl w:val="0"/>
          <w:numId w:val="1"/>
        </w:numPr>
        <w:ind w:firstLine="628" w:firstLineChars="200"/>
        <w:rPr>
          <w:rFonts w:hint="eastAsia" w:ascii="仿宋_GB2312" w:hAnsi="仿宋"/>
          <w:color w:val="auto"/>
          <w:sz w:val="32"/>
          <w:szCs w:val="32"/>
          <w:lang w:eastAsia="zh-CN"/>
        </w:rPr>
      </w:pPr>
      <w:r>
        <w:rPr>
          <w:rFonts w:hint="eastAsia" w:ascii="仿宋_GB2312" w:hAnsi="仿宋" w:cs="Times New Roman"/>
          <w:b/>
          <w:bCs/>
          <w:color w:val="auto"/>
          <w:szCs w:val="32"/>
        </w:rPr>
        <w:t>因公出国（境）费</w:t>
      </w:r>
      <w:r>
        <w:rPr>
          <w:rFonts w:hint="eastAsia" w:ascii="仿宋_GB2312" w:hAnsi="仿宋" w:eastAsia="仿宋_GB2312"/>
          <w:color w:val="auto"/>
          <w:sz w:val="32"/>
          <w:szCs w:val="32"/>
          <w:lang w:eastAsia="zh-CN"/>
        </w:rPr>
        <w:t>预算为</w:t>
      </w:r>
      <w:r>
        <w:rPr>
          <w:rFonts w:hint="eastAsia" w:ascii="仿宋_GB2312" w:hAnsi="仿宋" w:eastAsia="仿宋_GB2312"/>
          <w:color w:val="auto"/>
          <w:sz w:val="32"/>
          <w:szCs w:val="32"/>
        </w:rPr>
        <w:t>0万元，</w:t>
      </w:r>
      <w:r>
        <w:rPr>
          <w:rFonts w:hint="eastAsia" w:ascii="仿宋_GB2312" w:hAnsi="仿宋" w:eastAsia="仿宋_GB2312"/>
          <w:color w:val="auto"/>
          <w:sz w:val="32"/>
          <w:szCs w:val="32"/>
          <w:lang w:eastAsia="zh-CN"/>
        </w:rPr>
        <w:t>支出决算为</w:t>
      </w:r>
      <w:r>
        <w:rPr>
          <w:rFonts w:hint="eastAsia" w:ascii="仿宋_GB2312" w:hAnsi="仿宋" w:eastAsia="仿宋_GB2312"/>
          <w:color w:val="auto"/>
          <w:sz w:val="32"/>
          <w:szCs w:val="32"/>
        </w:rPr>
        <w:t>0万元，</w:t>
      </w:r>
      <w:r>
        <w:rPr>
          <w:rFonts w:hint="eastAsia" w:ascii="仿宋_GB2312" w:hAnsi="仿宋" w:eastAsia="仿宋_GB2312"/>
          <w:color w:val="auto"/>
          <w:sz w:val="32"/>
          <w:szCs w:val="32"/>
          <w:lang w:eastAsia="zh-CN"/>
        </w:rPr>
        <w:t>完成预算的</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rPr>
        <w:t>0%</w:t>
      </w:r>
      <w:r>
        <w:rPr>
          <w:rFonts w:hint="eastAsia" w:ascii="仿宋_GB2312" w:hAnsi="仿宋" w:eastAsia="仿宋_GB2312"/>
          <w:color w:val="auto"/>
          <w:sz w:val="32"/>
          <w:szCs w:val="32"/>
          <w:lang w:eastAsia="zh-CN"/>
        </w:rPr>
        <w:t>，决算数与预算数相同；较上年减少</w:t>
      </w:r>
      <w:r>
        <w:rPr>
          <w:rFonts w:hint="eastAsia" w:ascii="仿宋_GB2312" w:hAnsi="仿宋" w:eastAsia="仿宋_GB2312"/>
          <w:color w:val="auto"/>
          <w:sz w:val="32"/>
          <w:szCs w:val="32"/>
          <w:lang w:val="en-US" w:eastAsia="zh-CN"/>
        </w:rPr>
        <w:t>0</w:t>
      </w:r>
      <w:r>
        <w:rPr>
          <w:rFonts w:hint="eastAsia" w:ascii="仿宋_GB2312" w:hAnsi="仿宋" w:eastAsia="仿宋_GB2312"/>
          <w:color w:val="auto"/>
          <w:sz w:val="32"/>
          <w:szCs w:val="32"/>
          <w:lang w:eastAsia="zh-CN"/>
        </w:rPr>
        <w:t>万元，下降</w:t>
      </w:r>
      <w:r>
        <w:rPr>
          <w:rFonts w:hint="eastAsia" w:ascii="仿宋_GB2312" w:hAnsi="仿宋" w:eastAsia="仿宋_GB2312"/>
          <w:color w:val="auto"/>
          <w:sz w:val="32"/>
          <w:szCs w:val="32"/>
          <w:lang w:val="en-US" w:eastAsia="zh-CN"/>
        </w:rPr>
        <w:t>0%。</w:t>
      </w:r>
      <w:r>
        <w:rPr>
          <w:rFonts w:hint="eastAsia" w:ascii="仿宋_GB2312" w:hAnsi="仿宋" w:eastAsia="仿宋_GB2312"/>
          <w:color w:val="auto"/>
          <w:sz w:val="32"/>
          <w:szCs w:val="32"/>
        </w:rPr>
        <w:t>原因是</w:t>
      </w:r>
      <w:r>
        <w:rPr>
          <w:rFonts w:hint="eastAsia" w:ascii="仿宋_GB2312" w:hAnsi="仿宋"/>
          <w:color w:val="auto"/>
          <w:sz w:val="32"/>
          <w:szCs w:val="32"/>
          <w:lang w:val="en-US" w:eastAsia="zh-CN"/>
        </w:rPr>
        <w:t>2022</w:t>
      </w:r>
      <w:r>
        <w:rPr>
          <w:rFonts w:hint="eastAsia" w:ascii="仿宋_GB2312" w:hAnsi="仿宋" w:eastAsia="仿宋_GB2312"/>
          <w:color w:val="auto"/>
          <w:sz w:val="32"/>
          <w:szCs w:val="32"/>
          <w:lang w:val="en-US" w:eastAsia="zh-CN"/>
        </w:rPr>
        <w:t>年度、</w:t>
      </w:r>
      <w:r>
        <w:rPr>
          <w:rFonts w:hint="eastAsia" w:ascii="仿宋_GB2312" w:hAnsi="仿宋"/>
          <w:color w:val="auto"/>
          <w:sz w:val="32"/>
          <w:szCs w:val="32"/>
          <w:lang w:eastAsia="zh-CN"/>
        </w:rPr>
        <w:t>2023</w:t>
      </w:r>
      <w:r>
        <w:rPr>
          <w:rFonts w:hint="eastAsia" w:ascii="仿宋_GB2312" w:hAnsi="仿宋" w:eastAsia="仿宋_GB2312"/>
          <w:color w:val="auto"/>
          <w:sz w:val="32"/>
          <w:szCs w:val="32"/>
        </w:rPr>
        <w:t>年度</w:t>
      </w:r>
      <w:r>
        <w:rPr>
          <w:rFonts w:hint="eastAsia" w:ascii="仿宋_GB2312" w:hAnsi="仿宋" w:eastAsia="仿宋_GB2312"/>
          <w:color w:val="auto"/>
          <w:sz w:val="32"/>
          <w:szCs w:val="32"/>
          <w:lang w:eastAsia="zh-CN"/>
        </w:rPr>
        <w:t>均</w:t>
      </w:r>
      <w:r>
        <w:rPr>
          <w:rFonts w:hint="eastAsia" w:ascii="仿宋_GB2312" w:hAnsi="仿宋" w:eastAsia="仿宋_GB2312"/>
          <w:color w:val="auto"/>
          <w:sz w:val="32"/>
          <w:szCs w:val="32"/>
        </w:rPr>
        <w:t>未安排因公出国（境）计划。故</w:t>
      </w:r>
      <w:r>
        <w:rPr>
          <w:rFonts w:hint="eastAsia" w:ascii="仿宋_GB2312" w:hAnsi="仿宋"/>
          <w:color w:val="auto"/>
          <w:sz w:val="32"/>
          <w:szCs w:val="32"/>
          <w:lang w:eastAsia="zh-CN"/>
        </w:rPr>
        <w:t>2023</w:t>
      </w:r>
      <w:r>
        <w:rPr>
          <w:rFonts w:hint="eastAsia" w:ascii="仿宋_GB2312" w:hAnsi="仿宋" w:eastAsia="仿宋_GB2312"/>
          <w:color w:val="auto"/>
          <w:sz w:val="32"/>
          <w:szCs w:val="32"/>
        </w:rPr>
        <w:t>年</w:t>
      </w:r>
      <w:r>
        <w:rPr>
          <w:rFonts w:hint="eastAsia" w:ascii="仿宋_GB2312" w:hAnsi="仿宋"/>
          <w:color w:val="auto"/>
          <w:sz w:val="32"/>
          <w:szCs w:val="32"/>
          <w:lang w:eastAsia="zh-CN"/>
        </w:rPr>
        <w:t>濉溪县</w:t>
      </w:r>
      <w:r>
        <w:rPr>
          <w:rFonts w:hint="eastAsia" w:ascii="仿宋_GB2312" w:hAnsi="仿宋"/>
          <w:color w:val="auto"/>
          <w:sz w:val="32"/>
          <w:szCs w:val="32"/>
          <w:lang w:val="en-US" w:eastAsia="zh-CN"/>
        </w:rPr>
        <w:t>城管局</w:t>
      </w:r>
      <w:r>
        <w:rPr>
          <w:rFonts w:hint="eastAsia" w:ascii="仿宋_GB2312" w:hAnsi="仿宋" w:eastAsia="仿宋_GB2312"/>
          <w:color w:val="auto"/>
          <w:sz w:val="32"/>
          <w:szCs w:val="32"/>
        </w:rPr>
        <w:t>因公出国（境）团组0次，</w:t>
      </w:r>
      <w:r>
        <w:rPr>
          <w:rFonts w:hint="eastAsia" w:ascii="仿宋_GB2312" w:hAnsi="仿宋"/>
          <w:color w:val="auto"/>
          <w:sz w:val="32"/>
          <w:szCs w:val="32"/>
          <w:lang w:val="en-US" w:eastAsia="zh-CN"/>
        </w:rPr>
        <w:t>累计</w:t>
      </w:r>
      <w:r>
        <w:rPr>
          <w:rFonts w:hint="eastAsia" w:ascii="仿宋_GB2312" w:hAnsi="仿宋" w:eastAsia="仿宋_GB2312"/>
          <w:color w:val="auto"/>
          <w:sz w:val="32"/>
          <w:szCs w:val="32"/>
        </w:rPr>
        <w:t>出国（境）0人次</w:t>
      </w:r>
      <w:r>
        <w:rPr>
          <w:rFonts w:hint="eastAsia" w:ascii="仿宋_GB2312" w:hAnsi="仿宋"/>
          <w:color w:val="auto"/>
          <w:sz w:val="32"/>
          <w:szCs w:val="32"/>
          <w:lang w:eastAsia="zh-CN"/>
        </w:rPr>
        <w:t>。</w:t>
      </w:r>
    </w:p>
    <w:p w14:paraId="3C15C739">
      <w:pPr>
        <w:numPr>
          <w:ilvl w:val="0"/>
          <w:numId w:val="1"/>
        </w:numPr>
        <w:ind w:firstLine="628" w:firstLineChars="200"/>
        <w:rPr>
          <w:rFonts w:ascii="仿宋_GB2312" w:hAnsi="仿宋"/>
          <w:szCs w:val="32"/>
        </w:rPr>
      </w:pPr>
      <w:r>
        <w:rPr>
          <w:rFonts w:hint="eastAsia" w:ascii="仿宋_GB2312" w:hAnsi="仿宋"/>
          <w:b/>
          <w:bCs/>
          <w:szCs w:val="32"/>
        </w:rPr>
        <w:t>公务接待费</w:t>
      </w:r>
      <w:r>
        <w:rPr>
          <w:rFonts w:hint="eastAsia" w:ascii="仿宋_GB2312" w:hAnsi="仿宋"/>
          <w:color w:val="auto"/>
          <w:szCs w:val="32"/>
          <w:lang w:eastAsia="zh-CN"/>
        </w:rPr>
        <w:t>预算为</w:t>
      </w:r>
      <w:r>
        <w:rPr>
          <w:rFonts w:hint="eastAsia" w:ascii="仿宋_GB2312" w:hAnsi="仿宋"/>
          <w:color w:val="auto"/>
          <w:szCs w:val="32"/>
          <w:lang w:val="en-US" w:eastAsia="zh-CN"/>
        </w:rPr>
        <w:t>6</w:t>
      </w:r>
      <w:r>
        <w:rPr>
          <w:rFonts w:hint="eastAsia" w:ascii="仿宋_GB2312" w:hAnsi="仿宋"/>
          <w:color w:val="auto"/>
          <w:szCs w:val="32"/>
          <w:lang w:eastAsia="zh-CN"/>
        </w:rPr>
        <w:t>万元，</w:t>
      </w:r>
      <w:r>
        <w:rPr>
          <w:rFonts w:hint="eastAsia" w:ascii="仿宋_GB2312" w:hAnsi="仿宋"/>
          <w:b w:val="0"/>
          <w:bCs w:val="0"/>
          <w:szCs w:val="32"/>
        </w:rPr>
        <w:t>支出</w:t>
      </w:r>
      <w:r>
        <w:rPr>
          <w:rFonts w:hint="eastAsia" w:ascii="仿宋_GB2312" w:hAnsi="仿宋"/>
          <w:b w:val="0"/>
          <w:bCs w:val="0"/>
          <w:szCs w:val="32"/>
          <w:lang w:val="en-US" w:eastAsia="zh-CN"/>
        </w:rPr>
        <w:t>决算为</w:t>
      </w:r>
      <w:r>
        <w:rPr>
          <w:rFonts w:hint="eastAsia" w:ascii="仿宋_GB2312" w:hAnsi="仿宋"/>
          <w:szCs w:val="32"/>
          <w:lang w:val="en-US" w:eastAsia="zh-CN"/>
        </w:rPr>
        <w:t>1.17</w:t>
      </w:r>
      <w:r>
        <w:rPr>
          <w:rFonts w:hint="eastAsia" w:ascii="仿宋_GB2312" w:hAnsi="仿宋"/>
          <w:szCs w:val="32"/>
        </w:rPr>
        <w:t xml:space="preserve">万元, </w:t>
      </w:r>
      <w:r>
        <w:rPr>
          <w:rFonts w:hint="eastAsia" w:ascii="仿宋_GB2312" w:hAnsi="仿宋"/>
          <w:szCs w:val="32"/>
          <w:lang w:val="en-US" w:eastAsia="zh-CN"/>
        </w:rPr>
        <w:t>完成预算的</w:t>
      </w:r>
      <w:r>
        <w:rPr>
          <w:rFonts w:hint="eastAsia" w:ascii="仿宋_GB2312" w:hAnsi="仿宋"/>
          <w:color w:val="auto"/>
          <w:szCs w:val="32"/>
          <w:lang w:val="en-US" w:eastAsia="zh-CN"/>
        </w:rPr>
        <w:t>19.5</w:t>
      </w:r>
      <w:r>
        <w:rPr>
          <w:rFonts w:hint="eastAsia" w:ascii="仿宋_GB2312" w:hAnsi="仿宋"/>
          <w:color w:val="auto"/>
          <w:szCs w:val="32"/>
          <w:lang w:eastAsia="zh-CN"/>
        </w:rPr>
        <w:t>%</w:t>
      </w:r>
      <w:r>
        <w:rPr>
          <w:rFonts w:hint="eastAsia" w:ascii="仿宋_GB2312" w:hAnsi="仿宋"/>
          <w:szCs w:val="32"/>
        </w:rPr>
        <w:t>，</w:t>
      </w:r>
      <w:r>
        <w:rPr>
          <w:rFonts w:hint="eastAsia" w:ascii="仿宋_GB2312" w:hAnsi="仿宋"/>
          <w:color w:val="auto"/>
          <w:szCs w:val="32"/>
          <w:u w:val="none"/>
        </w:rPr>
        <w:t>决算数</w:t>
      </w:r>
      <w:r>
        <w:rPr>
          <w:rFonts w:hint="eastAsia" w:ascii="仿宋_GB2312" w:hAnsi="仿宋"/>
          <w:color w:val="auto"/>
          <w:szCs w:val="32"/>
          <w:u w:val="none"/>
          <w:lang w:eastAsia="zh-CN"/>
        </w:rPr>
        <w:t>小</w:t>
      </w:r>
      <w:r>
        <w:rPr>
          <w:rFonts w:hint="eastAsia" w:ascii="仿宋_GB2312" w:hAnsi="仿宋"/>
          <w:color w:val="auto"/>
          <w:szCs w:val="32"/>
          <w:u w:val="none"/>
        </w:rPr>
        <w:t>于预算数的主要原因是</w:t>
      </w:r>
      <w:r>
        <w:rPr>
          <w:rFonts w:hint="default" w:ascii="仿宋_GB2312" w:hAnsi="微软雅黑" w:eastAsia="仿宋_GB2312" w:cs="仿宋_GB2312"/>
          <w:i w:val="0"/>
          <w:iCs w:val="0"/>
          <w:caps w:val="0"/>
          <w:color w:val="333333"/>
          <w:spacing w:val="0"/>
          <w:sz w:val="32"/>
          <w:szCs w:val="32"/>
          <w:shd w:val="clear" w:fill="FFFFFF"/>
        </w:rPr>
        <w:t>财政资金紧张，年末部门公务接待费用未支付成功</w:t>
      </w:r>
      <w:r>
        <w:rPr>
          <w:rFonts w:hint="eastAsia" w:ascii="仿宋_GB2312" w:hAnsi="仿宋"/>
          <w:color w:val="auto"/>
          <w:szCs w:val="32"/>
          <w:u w:val="none"/>
          <w:lang w:eastAsia="zh-CN"/>
        </w:rPr>
        <w:t>。</w:t>
      </w:r>
      <w:r>
        <w:rPr>
          <w:rFonts w:hint="eastAsia" w:ascii="仿宋_GB2312" w:hAnsi="仿宋"/>
          <w:color w:val="auto"/>
          <w:szCs w:val="32"/>
          <w:u w:val="none"/>
          <w:lang w:val="en-US" w:eastAsia="zh-CN"/>
        </w:rPr>
        <w:t>决算数</w:t>
      </w:r>
      <w:r>
        <w:rPr>
          <w:rFonts w:hint="eastAsia" w:ascii="仿宋_GB2312" w:hAnsi="仿宋"/>
          <w:color w:val="auto"/>
          <w:szCs w:val="32"/>
          <w:lang w:eastAsia="zh-CN"/>
        </w:rPr>
        <w:t>较上年减少</w:t>
      </w:r>
      <w:r>
        <w:rPr>
          <w:rFonts w:hint="eastAsia" w:ascii="仿宋_GB2312" w:hAnsi="仿宋"/>
          <w:color w:val="auto"/>
          <w:szCs w:val="32"/>
          <w:lang w:val="en-US" w:eastAsia="zh-CN"/>
        </w:rPr>
        <w:t>0.58万元，下降33.14%，决算数较上年减少的主要原因是</w:t>
      </w:r>
      <w:r>
        <w:rPr>
          <w:rFonts w:hint="default" w:ascii="仿宋_GB2312" w:hAnsi="微软雅黑" w:eastAsia="仿宋_GB2312" w:cs="仿宋_GB2312"/>
          <w:i w:val="0"/>
          <w:iCs w:val="0"/>
          <w:caps w:val="0"/>
          <w:color w:val="333333"/>
          <w:spacing w:val="0"/>
          <w:sz w:val="32"/>
          <w:szCs w:val="32"/>
          <w:shd w:val="clear" w:fill="FFFFFF"/>
        </w:rPr>
        <w:t>财政资金紧张，年末部门公务接待费用未支付成功</w:t>
      </w:r>
      <w:r>
        <w:rPr>
          <w:rFonts w:hint="eastAsia" w:ascii="仿宋_GB2312" w:hAnsi="仿宋"/>
          <w:color w:val="auto"/>
          <w:szCs w:val="32"/>
          <w:lang w:eastAsia="zh-CN"/>
        </w:rPr>
        <w:t>。</w:t>
      </w:r>
      <w:r>
        <w:rPr>
          <w:rFonts w:hint="default" w:ascii="仿宋_GB2312" w:hAnsi="微软雅黑" w:eastAsia="仿宋_GB2312" w:cs="仿宋_GB2312"/>
          <w:i w:val="0"/>
          <w:iCs w:val="0"/>
          <w:caps w:val="0"/>
          <w:color w:val="333333"/>
          <w:spacing w:val="0"/>
          <w:sz w:val="32"/>
          <w:szCs w:val="32"/>
          <w:shd w:val="clear" w:fill="FFFFFF"/>
        </w:rPr>
        <w:t>2022年濉溪县城管局国内公务接待共5批次（其中外事接待0批次），35人次（其中外事接待0人次）</w:t>
      </w:r>
      <w:r>
        <w:rPr>
          <w:rFonts w:hint="eastAsia" w:ascii="仿宋_GB2312" w:hAnsi="仿宋"/>
          <w:szCs w:val="32"/>
        </w:rPr>
        <w:t>。主要是用于</w:t>
      </w:r>
      <w:r>
        <w:rPr>
          <w:rFonts w:hint="default" w:ascii="仿宋_GB2312" w:hAnsi="微软雅黑" w:eastAsia="仿宋_GB2312" w:cs="仿宋_GB2312"/>
          <w:i w:val="0"/>
          <w:iCs w:val="0"/>
          <w:caps w:val="0"/>
          <w:color w:val="333333"/>
          <w:spacing w:val="0"/>
          <w:sz w:val="32"/>
          <w:szCs w:val="32"/>
          <w:shd w:val="clear" w:fill="FFFFFF"/>
        </w:rPr>
        <w:t>招商引资和外地来濉考察等。</w:t>
      </w:r>
      <w:r>
        <w:rPr>
          <w:rFonts w:hint="eastAsia" w:ascii="仿宋_GB2312" w:hAnsi="仿宋"/>
          <w:szCs w:val="32"/>
        </w:rPr>
        <w:t>经费使用严格贯彻中央八项规定要求，严格执行《党政机关厉行节约反对浪费条例》、</w:t>
      </w:r>
      <w:r>
        <w:rPr>
          <w:rFonts w:hint="eastAsia" w:ascii="仿宋_GB2312" w:hAnsi="仿宋"/>
          <w:szCs w:val="32"/>
          <w:lang w:eastAsia="zh-CN"/>
        </w:rPr>
        <w:t>濉溪县</w:t>
      </w:r>
      <w:r>
        <w:rPr>
          <w:rFonts w:hint="eastAsia" w:ascii="仿宋_GB2312" w:hAnsi="仿宋"/>
          <w:szCs w:val="32"/>
        </w:rPr>
        <w:t>公务接待相关规定等。</w:t>
      </w:r>
    </w:p>
    <w:p w14:paraId="00BFACFA">
      <w:pPr>
        <w:ind w:firstLine="628" w:firstLineChars="200"/>
        <w:rPr>
          <w:rFonts w:hint="eastAsia" w:eastAsia="仿宋_GB2312"/>
          <w:color w:val="auto"/>
          <w:lang w:eastAsia="zh-CN"/>
        </w:rPr>
      </w:pPr>
      <w:r>
        <w:rPr>
          <w:rFonts w:hint="eastAsia" w:ascii="仿宋_GB2312" w:hAnsi="仿宋"/>
          <w:b/>
          <w:bCs/>
          <w:szCs w:val="32"/>
        </w:rPr>
        <w:t>3.公务用车购置及运行维护费</w:t>
      </w:r>
      <w:r>
        <w:rPr>
          <w:rFonts w:hint="eastAsia" w:ascii="仿宋_GB2312" w:hAnsi="仿宋"/>
          <w:color w:val="auto"/>
          <w:szCs w:val="32"/>
          <w:lang w:eastAsia="zh-CN"/>
        </w:rPr>
        <w:t>预算为</w:t>
      </w:r>
      <w:r>
        <w:rPr>
          <w:rFonts w:hint="eastAsia" w:ascii="仿宋_GB2312" w:hAnsi="仿宋"/>
          <w:color w:val="auto"/>
          <w:szCs w:val="32"/>
          <w:lang w:val="en-US" w:eastAsia="zh-CN"/>
        </w:rPr>
        <w:t>76.7</w:t>
      </w:r>
      <w:r>
        <w:rPr>
          <w:rFonts w:hint="eastAsia" w:ascii="仿宋_GB2312" w:hAnsi="仿宋"/>
          <w:color w:val="auto"/>
          <w:szCs w:val="32"/>
          <w:lang w:eastAsia="zh-CN"/>
        </w:rPr>
        <w:t>万元，支出决算</w:t>
      </w:r>
      <w:r>
        <w:rPr>
          <w:rFonts w:hint="eastAsia" w:ascii="仿宋_GB2312" w:hAnsi="仿宋"/>
          <w:color w:val="auto"/>
          <w:szCs w:val="32"/>
          <w:lang w:val="en-US" w:eastAsia="zh-CN"/>
        </w:rPr>
        <w:t>为76.09万元</w:t>
      </w:r>
      <w:r>
        <w:rPr>
          <w:rFonts w:hint="eastAsia" w:ascii="仿宋_GB2312" w:hAnsi="仿宋"/>
          <w:color w:val="auto"/>
          <w:szCs w:val="32"/>
          <w:lang w:eastAsia="zh-CN"/>
        </w:rPr>
        <w:t>，完成预算的</w:t>
      </w:r>
      <w:r>
        <w:rPr>
          <w:rFonts w:hint="eastAsia" w:ascii="仿宋_GB2312" w:hAnsi="仿宋"/>
          <w:color w:val="auto"/>
          <w:szCs w:val="32"/>
          <w:lang w:val="en-US" w:eastAsia="zh-CN"/>
        </w:rPr>
        <w:t>99.2</w:t>
      </w:r>
      <w:r>
        <w:rPr>
          <w:rFonts w:hint="eastAsia" w:ascii="仿宋_GB2312" w:hAnsi="仿宋"/>
          <w:color w:val="auto"/>
          <w:szCs w:val="32"/>
          <w:lang w:eastAsia="zh-CN"/>
        </w:rPr>
        <w:t>%，</w:t>
      </w:r>
      <w:r>
        <w:rPr>
          <w:rFonts w:hint="eastAsia" w:ascii="仿宋_GB2312" w:hAnsi="仿宋"/>
          <w:color w:val="auto"/>
          <w:szCs w:val="32"/>
          <w:u w:val="none"/>
        </w:rPr>
        <w:t>决算数</w:t>
      </w:r>
      <w:r>
        <w:rPr>
          <w:rFonts w:hint="eastAsia" w:ascii="仿宋_GB2312" w:hAnsi="仿宋"/>
          <w:color w:val="auto"/>
          <w:szCs w:val="32"/>
          <w:u w:val="none"/>
          <w:lang w:eastAsia="zh-CN"/>
        </w:rPr>
        <w:t>小</w:t>
      </w:r>
      <w:r>
        <w:rPr>
          <w:rFonts w:hint="eastAsia" w:ascii="仿宋_GB2312" w:hAnsi="仿宋"/>
          <w:color w:val="auto"/>
          <w:szCs w:val="32"/>
          <w:u w:val="none"/>
        </w:rPr>
        <w:t>于预算数的主要原因是</w:t>
      </w:r>
      <w:r>
        <w:rPr>
          <w:rFonts w:hint="eastAsia" w:ascii="仿宋_GB2312" w:hAnsi="仿宋"/>
          <w:color w:val="auto"/>
          <w:szCs w:val="32"/>
          <w:u w:val="none"/>
          <w:lang w:val="en-US" w:eastAsia="zh-CN"/>
        </w:rPr>
        <w:t>剩余部分款项未能及时拨付</w:t>
      </w:r>
      <w:r>
        <w:rPr>
          <w:rFonts w:hint="eastAsia" w:ascii="仿宋_GB2312" w:hAnsi="仿宋"/>
          <w:color w:val="auto"/>
          <w:szCs w:val="32"/>
          <w:u w:val="none"/>
          <w:lang w:eastAsia="zh-CN"/>
        </w:rPr>
        <w:t>。</w:t>
      </w:r>
      <w:r>
        <w:rPr>
          <w:rFonts w:hint="eastAsia" w:ascii="仿宋_GB2312" w:hAnsi="仿宋"/>
          <w:color w:val="auto"/>
          <w:szCs w:val="32"/>
          <w:lang w:eastAsia="zh-CN"/>
        </w:rPr>
        <w:t>较上年增加</w:t>
      </w:r>
      <w:r>
        <w:rPr>
          <w:rFonts w:hint="eastAsia" w:ascii="仿宋_GB2312" w:hAnsi="仿宋"/>
          <w:color w:val="auto"/>
          <w:szCs w:val="32"/>
          <w:lang w:val="en-US" w:eastAsia="zh-CN"/>
        </w:rPr>
        <w:t>11.09万元，增长17.06%，决算数较上年增加的主要原因是公务用车的油料使用及运行维护费用增长</w:t>
      </w:r>
      <w:r>
        <w:rPr>
          <w:rFonts w:hint="eastAsia" w:ascii="仿宋_GB2312" w:hAnsi="仿宋"/>
          <w:color w:val="auto"/>
          <w:szCs w:val="32"/>
          <w:lang w:eastAsia="zh-CN"/>
        </w:rPr>
        <w:t>。</w:t>
      </w:r>
      <w:r>
        <w:rPr>
          <w:rFonts w:hint="eastAsia" w:ascii="仿宋_GB2312" w:hAnsi="仿宋"/>
          <w:szCs w:val="32"/>
          <w:lang w:eastAsia="zh-CN"/>
        </w:rPr>
        <w:t>202</w:t>
      </w:r>
      <w:r>
        <w:rPr>
          <w:rFonts w:hint="eastAsia" w:ascii="仿宋_GB2312" w:hAnsi="仿宋"/>
          <w:szCs w:val="32"/>
          <w:lang w:val="en-US" w:eastAsia="zh-CN"/>
        </w:rPr>
        <w:t>2</w:t>
      </w:r>
      <w:r>
        <w:rPr>
          <w:rFonts w:hint="eastAsia" w:ascii="仿宋_GB2312" w:hAnsi="仿宋"/>
          <w:szCs w:val="32"/>
        </w:rPr>
        <w:t>年没有安排公务用车购置费</w:t>
      </w:r>
      <w:r>
        <w:rPr>
          <w:rFonts w:hint="eastAsia" w:ascii="楷体_GB2312" w:hAnsi="仿宋" w:eastAsia="楷体_GB2312"/>
          <w:szCs w:val="32"/>
        </w:rPr>
        <w:t>。</w:t>
      </w:r>
      <w:r>
        <w:rPr>
          <w:rFonts w:hint="eastAsia" w:ascii="仿宋_GB2312" w:hAnsi="仿宋"/>
          <w:szCs w:val="32"/>
        </w:rPr>
        <w:t>公务用车运行维护费</w:t>
      </w:r>
      <w:r>
        <w:rPr>
          <w:rFonts w:hint="eastAsia" w:ascii="仿宋_GB2312" w:hAnsi="仿宋"/>
          <w:color w:val="auto"/>
          <w:szCs w:val="32"/>
          <w:lang w:eastAsia="zh-CN"/>
        </w:rPr>
        <w:t>预算为</w:t>
      </w:r>
      <w:r>
        <w:rPr>
          <w:rFonts w:hint="eastAsia" w:ascii="仿宋_GB2312" w:hAnsi="仿宋"/>
          <w:color w:val="auto"/>
          <w:szCs w:val="32"/>
          <w:lang w:val="en-US" w:eastAsia="zh-CN"/>
        </w:rPr>
        <w:t>76.7</w:t>
      </w:r>
      <w:r>
        <w:rPr>
          <w:rFonts w:hint="eastAsia" w:ascii="仿宋_GB2312" w:hAnsi="仿宋"/>
          <w:color w:val="auto"/>
          <w:szCs w:val="32"/>
          <w:lang w:eastAsia="zh-CN"/>
        </w:rPr>
        <w:t>万元，支出决算</w:t>
      </w:r>
      <w:r>
        <w:rPr>
          <w:rFonts w:hint="eastAsia" w:ascii="仿宋_GB2312" w:hAnsi="仿宋"/>
          <w:color w:val="auto"/>
          <w:szCs w:val="32"/>
          <w:lang w:val="en-US" w:eastAsia="zh-CN"/>
        </w:rPr>
        <w:t>为76.09万元</w:t>
      </w:r>
      <w:r>
        <w:rPr>
          <w:rFonts w:hint="eastAsia" w:ascii="仿宋_GB2312" w:hAnsi="仿宋"/>
          <w:color w:val="auto"/>
          <w:szCs w:val="32"/>
          <w:lang w:eastAsia="zh-CN"/>
        </w:rPr>
        <w:t>，完成预算的</w:t>
      </w:r>
      <w:r>
        <w:rPr>
          <w:rFonts w:hint="eastAsia" w:ascii="仿宋_GB2312" w:hAnsi="仿宋"/>
          <w:color w:val="auto"/>
          <w:szCs w:val="32"/>
          <w:lang w:val="en-US" w:eastAsia="zh-CN"/>
        </w:rPr>
        <w:t>99.2</w:t>
      </w:r>
      <w:r>
        <w:rPr>
          <w:rFonts w:hint="eastAsia" w:ascii="仿宋_GB2312" w:hAnsi="仿宋"/>
          <w:color w:val="auto"/>
          <w:szCs w:val="32"/>
          <w:lang w:eastAsia="zh-CN"/>
        </w:rPr>
        <w:t>%，</w:t>
      </w:r>
      <w:r>
        <w:rPr>
          <w:rFonts w:hint="eastAsia" w:ascii="仿宋_GB2312" w:hAnsi="仿宋"/>
          <w:color w:val="auto"/>
          <w:szCs w:val="32"/>
          <w:u w:val="none"/>
        </w:rPr>
        <w:t>决算数</w:t>
      </w:r>
      <w:r>
        <w:rPr>
          <w:rFonts w:hint="eastAsia" w:ascii="仿宋_GB2312" w:hAnsi="仿宋"/>
          <w:color w:val="auto"/>
          <w:szCs w:val="32"/>
          <w:u w:val="none"/>
          <w:lang w:eastAsia="zh-CN"/>
        </w:rPr>
        <w:t>小</w:t>
      </w:r>
      <w:r>
        <w:rPr>
          <w:rFonts w:hint="eastAsia" w:ascii="仿宋_GB2312" w:hAnsi="仿宋"/>
          <w:color w:val="auto"/>
          <w:szCs w:val="32"/>
          <w:u w:val="none"/>
        </w:rPr>
        <w:t>于预算数的主要原因是</w:t>
      </w:r>
      <w:r>
        <w:rPr>
          <w:rFonts w:hint="eastAsia" w:ascii="仿宋_GB2312" w:hAnsi="仿宋"/>
          <w:color w:val="auto"/>
          <w:szCs w:val="32"/>
          <w:u w:val="none"/>
          <w:lang w:val="en-US" w:eastAsia="zh-CN"/>
        </w:rPr>
        <w:t>剩余部分款项未能及时拨付</w:t>
      </w:r>
      <w:r>
        <w:rPr>
          <w:rFonts w:hint="eastAsia" w:ascii="仿宋_GB2312" w:hAnsi="仿宋"/>
          <w:color w:val="auto"/>
          <w:szCs w:val="32"/>
          <w:u w:val="none"/>
          <w:lang w:eastAsia="zh-CN"/>
        </w:rPr>
        <w:t>。</w:t>
      </w:r>
      <w:r>
        <w:rPr>
          <w:rFonts w:hint="eastAsia" w:ascii="仿宋_GB2312" w:hAnsi="仿宋"/>
          <w:color w:val="auto"/>
          <w:szCs w:val="32"/>
          <w:lang w:eastAsia="zh-CN"/>
        </w:rPr>
        <w:t>较上年增加</w:t>
      </w:r>
      <w:r>
        <w:rPr>
          <w:rFonts w:hint="eastAsia" w:ascii="仿宋_GB2312" w:hAnsi="仿宋"/>
          <w:color w:val="auto"/>
          <w:szCs w:val="32"/>
          <w:lang w:val="en-US" w:eastAsia="zh-CN"/>
        </w:rPr>
        <w:t>11.09万元，增长17.06%，决算数较上年增加的主要原因是公务用车的油料使用及运行维护费用增长</w:t>
      </w:r>
      <w:r>
        <w:rPr>
          <w:rFonts w:hint="eastAsia" w:ascii="仿宋_GB2312" w:hAnsi="仿宋"/>
          <w:color w:val="auto"/>
          <w:szCs w:val="32"/>
          <w:lang w:eastAsia="zh-CN"/>
        </w:rPr>
        <w:t>。</w:t>
      </w:r>
      <w:r>
        <w:rPr>
          <w:rFonts w:hint="eastAsia" w:ascii="仿宋_GB2312" w:hAnsi="仿宋"/>
          <w:color w:val="auto"/>
          <w:szCs w:val="32"/>
        </w:rPr>
        <w:t>公务用车运行维护费，包</w:t>
      </w:r>
      <w:r>
        <w:rPr>
          <w:rFonts w:hint="eastAsia" w:ascii="仿宋_GB2312" w:hAnsi="仿宋"/>
          <w:szCs w:val="32"/>
        </w:rPr>
        <w:t>括车辆燃料费、维修费、过路过桥费、保险费等支出，主要用于</w:t>
      </w:r>
      <w:r>
        <w:rPr>
          <w:rFonts w:hint="default" w:ascii="仿宋_GB2312" w:hAnsi="仿宋" w:eastAsia="仿宋_GB2312" w:cs="仿宋_GB2312"/>
          <w:i w:val="0"/>
          <w:iCs w:val="0"/>
          <w:caps w:val="0"/>
          <w:color w:val="333333"/>
          <w:spacing w:val="0"/>
          <w:sz w:val="32"/>
          <w:szCs w:val="32"/>
          <w:shd w:val="clear" w:fill="FFFFFF"/>
        </w:rPr>
        <w:t>濉溪县城市管理监察大队车辆的运行维护</w:t>
      </w:r>
      <w:r>
        <w:rPr>
          <w:rFonts w:hint="eastAsia" w:ascii="仿宋_GB2312" w:hAnsi="仿宋"/>
          <w:szCs w:val="32"/>
          <w:lang w:eastAsia="zh-CN"/>
        </w:rPr>
        <w:t>。</w:t>
      </w:r>
      <w:r>
        <w:rPr>
          <w:rFonts w:hint="eastAsia" w:ascii="仿宋_GB2312" w:hAnsi="仿宋"/>
          <w:szCs w:val="32"/>
        </w:rPr>
        <w:t>截至</w:t>
      </w:r>
      <w:r>
        <w:rPr>
          <w:rFonts w:hint="eastAsia" w:ascii="仿宋_GB2312" w:hAnsi="仿宋"/>
          <w:szCs w:val="32"/>
          <w:lang w:eastAsia="zh-CN"/>
        </w:rPr>
        <w:t>202</w:t>
      </w:r>
      <w:r>
        <w:rPr>
          <w:rFonts w:hint="eastAsia" w:ascii="仿宋_GB2312" w:hAnsi="仿宋"/>
          <w:szCs w:val="32"/>
          <w:lang w:val="en-US" w:eastAsia="zh-CN"/>
        </w:rPr>
        <w:t>2</w:t>
      </w:r>
      <w:r>
        <w:rPr>
          <w:rFonts w:hint="eastAsia" w:ascii="仿宋_GB2312" w:hAnsi="仿宋"/>
          <w:szCs w:val="32"/>
        </w:rPr>
        <w:t>年12月31日，</w:t>
      </w:r>
      <w:r>
        <w:rPr>
          <w:rFonts w:hint="eastAsia" w:ascii="仿宋_GB2312" w:hAnsi="仿宋"/>
          <w:szCs w:val="32"/>
          <w:lang w:eastAsia="zh-CN"/>
        </w:rPr>
        <w:t>濉溪县</w:t>
      </w:r>
      <w:r>
        <w:rPr>
          <w:rFonts w:hint="eastAsia" w:ascii="仿宋_GB2312" w:hAnsi="仿宋"/>
          <w:szCs w:val="32"/>
          <w:lang w:val="en-US" w:eastAsia="zh-CN"/>
        </w:rPr>
        <w:t>城管局</w:t>
      </w:r>
      <w:r>
        <w:rPr>
          <w:rFonts w:hint="eastAsia" w:ascii="仿宋_GB2312" w:hAnsi="仿宋"/>
          <w:b w:val="0"/>
          <w:bCs w:val="0"/>
          <w:sz w:val="32"/>
          <w:szCs w:val="32"/>
          <w:lang w:val="en-US" w:eastAsia="zh-CN"/>
        </w:rPr>
        <w:t>机关及所属单位</w:t>
      </w:r>
      <w:r>
        <w:rPr>
          <w:rFonts w:hint="eastAsia" w:ascii="仿宋_GB2312" w:hAnsi="仿宋"/>
          <w:szCs w:val="32"/>
        </w:rPr>
        <w:t>开支财政拨款的公务用车保有量为</w:t>
      </w:r>
      <w:r>
        <w:rPr>
          <w:rFonts w:hint="eastAsia" w:ascii="仿宋_GB2312" w:hAnsi="仿宋"/>
          <w:szCs w:val="32"/>
          <w:lang w:val="en-US" w:eastAsia="zh-CN"/>
        </w:rPr>
        <w:t>0</w:t>
      </w:r>
      <w:r>
        <w:rPr>
          <w:rFonts w:hint="eastAsia" w:ascii="仿宋_GB2312" w:hAnsi="仿宋"/>
          <w:szCs w:val="32"/>
        </w:rPr>
        <w:t>辆</w:t>
      </w:r>
      <w:r>
        <w:rPr>
          <w:rFonts w:hint="eastAsia" w:ascii="仿宋_GB2312" w:hAnsi="仿宋"/>
          <w:szCs w:val="32"/>
          <w:lang w:eastAsia="zh-CN"/>
        </w:rPr>
        <w:t>。</w:t>
      </w:r>
      <w:r>
        <w:rPr>
          <w:rFonts w:hint="eastAsia" w:ascii="仿宋_GB2312" w:hAnsi="仿宋"/>
          <w:b/>
          <w:bCs/>
          <w:szCs w:val="32"/>
        </w:rPr>
        <w:t>部门决算车辆是</w:t>
      </w:r>
      <w:r>
        <w:rPr>
          <w:rFonts w:hint="eastAsia" w:ascii="仿宋_GB2312" w:hAnsi="仿宋"/>
          <w:b/>
          <w:bCs/>
          <w:szCs w:val="32"/>
          <w:lang w:val="en-US" w:eastAsia="zh-CN"/>
        </w:rPr>
        <w:t>0</w:t>
      </w:r>
      <w:r>
        <w:rPr>
          <w:rFonts w:hint="eastAsia" w:ascii="仿宋_GB2312" w:hAnsi="仿宋"/>
          <w:b/>
          <w:bCs/>
          <w:szCs w:val="32"/>
        </w:rPr>
        <w:t>辆，差异的原因是</w:t>
      </w:r>
      <w:r>
        <w:rPr>
          <w:rFonts w:hint="eastAsia" w:ascii="仿宋_GB2312" w:hAnsi="仿宋"/>
          <w:b/>
          <w:bCs/>
          <w:szCs w:val="32"/>
          <w:lang w:val="en-US" w:eastAsia="zh-CN"/>
        </w:rPr>
        <w:t>我单位公务用车为执法车辆，无车辆编制</w:t>
      </w:r>
      <w:r>
        <w:rPr>
          <w:rFonts w:hint="eastAsia" w:ascii="仿宋_GB2312" w:hAnsi="仿宋"/>
          <w:b/>
          <w:bCs/>
          <w:szCs w:val="32"/>
          <w:lang w:eastAsia="zh-CN"/>
        </w:rPr>
        <w:t>。</w:t>
      </w:r>
    </w:p>
    <w:p w14:paraId="1B889396"/>
    <w:sectPr>
      <w:footerReference r:id="rId3" w:type="default"/>
      <w:pgSz w:w="11906" w:h="16838"/>
      <w:pgMar w:top="2155" w:right="1531" w:bottom="1588" w:left="1588" w:header="0" w:footer="1588" w:gutter="0"/>
      <w:pgNumType w:fmt="decimal" w:start="1"/>
      <w:cols w:space="720" w:num="1"/>
      <w:docGrid w:type="linesAndChars" w:linePitch="569" w:charSpace="-12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48394">
    <w:pPr>
      <w:pStyle w:val="3"/>
      <w:ind w:right="360"/>
      <w:rPr>
        <w:rFonts w:hint="eastAsia" w:ascii="仿宋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45F9F">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CD45F9F">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A48050"/>
    <w:multiLevelType w:val="singleLevel"/>
    <w:tmpl w:val="E4A4805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xZjM0N2Q3YzYxMmIyOTJlOThlMzNhNmU5YWRkZDYifQ=="/>
  </w:docVars>
  <w:rsids>
    <w:rsidRoot w:val="156B3233"/>
    <w:rsid w:val="14D964F6"/>
    <w:rsid w:val="156B3233"/>
    <w:rsid w:val="407E7AB5"/>
    <w:rsid w:val="53B058FD"/>
    <w:rsid w:val="53E175DD"/>
    <w:rsid w:val="587C31DB"/>
    <w:rsid w:val="5E3C4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eastAsia="黑体"/>
      <w:sz w:val="36"/>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1298</Words>
  <Characters>1447</Characters>
  <Lines>0</Lines>
  <Paragraphs>0</Paragraphs>
  <TotalTime>2</TotalTime>
  <ScaleCrop>false</ScaleCrop>
  <LinksUpToDate>false</LinksUpToDate>
  <CharactersWithSpaces>1533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2024-10-13T06:19:00Z</dcterms:created>
  <dc:creator>AAAAA    </dc:creator>
  <cp:lastModifiedBy>？</cp:lastModifiedBy>
  <dcterms:modified xsi:type="dcterms:W3CDTF">2025-09-01T02:08:28Z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CFF9DC964E624457BF654B882030270C_13</vt:lpwstr>
  </property>
  <property fmtid="{D5CDD505-2E9C-101B-9397-08002B2CF9AE}" pid="4" name="KSOTemplateDocerSaveRecord">
    <vt:lpwstr>eyJoZGlkIjoiNzE1NDZlOTU1ZGJkMTk3MjcxY2ExODU2YzFiMWYyNTMiLCJ1c2VySWQiOiIxNjI1NDY4MTYxIn0=</vt:lpwstr>
  </property>
</Properties>
</file>