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134BB">
      <w:pPr>
        <w:pStyle w:val="28"/>
        <w:rPr>
          <w:color w:val="auto"/>
        </w:rPr>
      </w:pPr>
    </w:p>
    <w:p w14:paraId="73969F7F">
      <w:pPr>
        <w:pStyle w:val="28"/>
        <w:rPr>
          <w:color w:val="auto"/>
        </w:rPr>
      </w:pPr>
    </w:p>
    <w:p w14:paraId="2530B003">
      <w:pPr>
        <w:pStyle w:val="28"/>
        <w:rPr>
          <w:color w:val="auto"/>
        </w:rPr>
      </w:pPr>
    </w:p>
    <w:p w14:paraId="1B441128">
      <w:pPr>
        <w:pStyle w:val="28"/>
        <w:rPr>
          <w:color w:val="auto"/>
        </w:rPr>
      </w:pPr>
    </w:p>
    <w:p w14:paraId="594FA69E">
      <w:pPr>
        <w:adjustRightInd w:val="0"/>
        <w:snapToGrid w:val="0"/>
        <w:jc w:val="center"/>
        <w:outlineLvl w:val="0"/>
        <w:rPr>
          <w:rFonts w:ascii="宋体"/>
          <w:b/>
          <w:bCs/>
          <w:color w:val="auto"/>
          <w:sz w:val="72"/>
          <w:szCs w:val="72"/>
        </w:rPr>
      </w:pPr>
      <w:r>
        <w:rPr>
          <w:rFonts w:hint="eastAsia"/>
          <w:color w:val="auto"/>
        </w:rPr>
        <w:t xml:space="preserve">  </w:t>
      </w:r>
      <w:r>
        <w:rPr>
          <w:rFonts w:hint="eastAsia" w:ascii="宋体" w:hAnsi="宋体" w:cs="宋体"/>
          <w:b/>
          <w:bCs/>
          <w:color w:val="auto"/>
          <w:sz w:val="72"/>
          <w:szCs w:val="72"/>
        </w:rPr>
        <w:t>建设项目环境影响报告表</w:t>
      </w:r>
    </w:p>
    <w:p w14:paraId="56CCA6BD">
      <w:pPr>
        <w:adjustRightInd w:val="0"/>
        <w:snapToGrid w:val="0"/>
        <w:spacing w:line="480" w:lineRule="auto"/>
        <w:ind w:firstLine="172" w:firstLineChars="39"/>
        <w:jc w:val="center"/>
        <w:rPr>
          <w:rFonts w:ascii="楷体" w:hAnsi="楷体" w:eastAsia="楷体"/>
          <w:b/>
          <w:bCs/>
          <w:color w:val="auto"/>
          <w:sz w:val="44"/>
          <w:szCs w:val="44"/>
        </w:rPr>
      </w:pPr>
      <w:r>
        <w:rPr>
          <w:rFonts w:hint="eastAsia" w:ascii="楷体" w:hAnsi="楷体" w:eastAsia="楷体" w:cs="楷体"/>
          <w:b/>
          <w:bCs/>
          <w:color w:val="auto"/>
          <w:sz w:val="44"/>
          <w:szCs w:val="44"/>
        </w:rPr>
        <w:t>（污染影响类）</w:t>
      </w:r>
    </w:p>
    <w:p w14:paraId="5278C7E8">
      <w:pPr>
        <w:jc w:val="center"/>
        <w:rPr>
          <w:rFonts w:ascii="华文仿宋" w:hAnsi="华文仿宋" w:eastAsia="华文仿宋"/>
          <w:b/>
          <w:bCs/>
          <w:color w:val="auto"/>
          <w:kern w:val="44"/>
          <w:sz w:val="44"/>
          <w:szCs w:val="44"/>
        </w:rPr>
      </w:pPr>
    </w:p>
    <w:p w14:paraId="302917D7">
      <w:pPr>
        <w:jc w:val="center"/>
        <w:rPr>
          <w:rFonts w:eastAsia="仿宋"/>
          <w:b/>
          <w:bCs/>
          <w:color w:val="auto"/>
          <w:sz w:val="52"/>
          <w:szCs w:val="52"/>
        </w:rPr>
      </w:pPr>
      <w:r>
        <w:rPr>
          <w:rFonts w:hint="eastAsia" w:eastAsia="仿宋"/>
          <w:b/>
          <w:bCs/>
          <w:color w:val="auto"/>
          <w:sz w:val="52"/>
          <w:szCs w:val="52"/>
        </w:rPr>
        <w:t xml:space="preserve">                </w:t>
      </w:r>
    </w:p>
    <w:p w14:paraId="64BDAB36">
      <w:pPr>
        <w:ind w:firstLine="1040"/>
        <w:rPr>
          <w:rFonts w:eastAsia="仿宋"/>
          <w:b/>
          <w:bCs/>
          <w:color w:val="auto"/>
          <w:sz w:val="44"/>
          <w:szCs w:val="44"/>
        </w:rPr>
      </w:pPr>
    </w:p>
    <w:p w14:paraId="1148C325">
      <w:pPr>
        <w:ind w:firstLine="1040"/>
        <w:rPr>
          <w:rFonts w:eastAsia="仿宋"/>
          <w:b/>
          <w:bCs/>
          <w:color w:val="auto"/>
          <w:sz w:val="44"/>
          <w:szCs w:val="44"/>
        </w:rPr>
      </w:pPr>
    </w:p>
    <w:p w14:paraId="238745FB">
      <w:pPr>
        <w:ind w:firstLine="1040"/>
        <w:rPr>
          <w:rFonts w:eastAsia="仿宋"/>
          <w:b/>
          <w:bCs/>
          <w:color w:val="auto"/>
          <w:sz w:val="44"/>
          <w:szCs w:val="44"/>
        </w:rPr>
      </w:pPr>
    </w:p>
    <w:p w14:paraId="596B8672">
      <w:pPr>
        <w:ind w:firstLine="1040"/>
        <w:rPr>
          <w:rFonts w:eastAsia="仿宋"/>
          <w:b/>
          <w:bCs/>
          <w:color w:val="auto"/>
          <w:sz w:val="44"/>
          <w:szCs w:val="44"/>
        </w:rPr>
      </w:pPr>
    </w:p>
    <w:p w14:paraId="17F4E678">
      <w:pPr>
        <w:adjustRightInd w:val="0"/>
        <w:snapToGrid w:val="0"/>
        <w:spacing w:line="480" w:lineRule="auto"/>
        <w:ind w:left="2244" w:leftChars="304" w:hanging="1606" w:hangingChars="500"/>
        <w:rPr>
          <w:rFonts w:hint="eastAsia" w:eastAsia="楷体"/>
          <w:b/>
          <w:bCs/>
          <w:color w:val="auto"/>
          <w:sz w:val="32"/>
          <w:szCs w:val="32"/>
          <w:lang w:eastAsia="zh-CN"/>
        </w:rPr>
      </w:pPr>
      <w:bookmarkStart w:id="0" w:name="_Hlk57884087"/>
      <w:r>
        <w:rPr>
          <w:rFonts w:hint="eastAsia" w:ascii="楷体" w:hAnsi="楷体" w:eastAsia="楷体" w:cs="楷体"/>
          <w:b/>
          <w:bCs/>
          <w:color w:val="auto"/>
          <w:sz w:val="32"/>
          <w:szCs w:val="32"/>
        </w:rPr>
        <w:t>项目名称：</w:t>
      </w:r>
      <w:r>
        <w:rPr>
          <w:rFonts w:hint="eastAsia" w:ascii="楷体" w:hAnsi="楷体" w:eastAsia="楷体" w:cs="楷体"/>
          <w:b/>
          <w:bCs/>
          <w:color w:val="auto"/>
          <w:sz w:val="32"/>
          <w:szCs w:val="32"/>
          <w:u w:val="single"/>
          <w:lang w:eastAsia="zh-CN"/>
        </w:rPr>
        <w:t>年产9000万块煤矸石标砖生产线节能环保升级改造项目</w:t>
      </w:r>
    </w:p>
    <w:p w14:paraId="43DCAA55">
      <w:pPr>
        <w:adjustRightInd w:val="0"/>
        <w:snapToGrid w:val="0"/>
        <w:spacing w:line="480" w:lineRule="auto"/>
        <w:ind w:firstLine="643" w:firstLineChars="200"/>
        <w:rPr>
          <w:rFonts w:hint="default" w:ascii="楷体" w:hAnsi="楷体" w:eastAsia="楷体" w:cs="楷体"/>
          <w:b/>
          <w:bCs/>
          <w:color w:val="auto"/>
          <w:sz w:val="32"/>
          <w:szCs w:val="32"/>
          <w:u w:val="single"/>
          <w:lang w:val="en-US" w:eastAsia="zh-CN"/>
        </w:rPr>
      </w:pPr>
      <w:r>
        <w:rPr>
          <w:rFonts w:hint="eastAsia" w:ascii="楷体" w:hAnsi="楷体" w:eastAsia="楷体" w:cs="楷体"/>
          <w:b/>
          <w:bCs/>
          <w:color w:val="auto"/>
          <w:sz w:val="32"/>
          <w:szCs w:val="32"/>
        </w:rPr>
        <w:t>建设单位（盖章）：</w:t>
      </w:r>
      <w:r>
        <w:rPr>
          <w:rFonts w:hint="eastAsia" w:ascii="楷体" w:hAnsi="楷体" w:eastAsia="楷体" w:cs="楷体"/>
          <w:b/>
          <w:bCs/>
          <w:color w:val="auto"/>
          <w:sz w:val="32"/>
          <w:szCs w:val="32"/>
          <w:u w:val="single"/>
          <w:lang w:eastAsia="zh-CN"/>
        </w:rPr>
        <w:t>濉溪县国华新型建材有限公司</w:t>
      </w:r>
      <w:r>
        <w:rPr>
          <w:rFonts w:ascii="楷体" w:hAnsi="楷体" w:eastAsia="楷体" w:cs="楷体"/>
          <w:b/>
          <w:bCs/>
          <w:color w:val="auto"/>
          <w:sz w:val="32"/>
          <w:szCs w:val="32"/>
          <w:u w:val="single"/>
        </w:rPr>
        <w:t xml:space="preserve"> </w:t>
      </w:r>
      <w:r>
        <w:rPr>
          <w:rFonts w:hint="eastAsia" w:ascii="楷体" w:hAnsi="楷体" w:eastAsia="楷体" w:cs="楷体"/>
          <w:b/>
          <w:bCs/>
          <w:color w:val="auto"/>
          <w:sz w:val="32"/>
          <w:szCs w:val="32"/>
          <w:u w:val="single"/>
          <w:lang w:val="en-US" w:eastAsia="zh-CN"/>
        </w:rPr>
        <w:t xml:space="preserve">    </w:t>
      </w:r>
    </w:p>
    <w:p w14:paraId="2084ADFE">
      <w:pPr>
        <w:adjustRightInd w:val="0"/>
        <w:snapToGrid w:val="0"/>
        <w:spacing w:line="480" w:lineRule="auto"/>
        <w:ind w:firstLine="643" w:firstLineChars="200"/>
        <w:rPr>
          <w:rFonts w:ascii="仿宋_GB2312" w:eastAsia="楷体"/>
          <w:b/>
          <w:bCs/>
          <w:color w:val="auto"/>
          <w:sz w:val="32"/>
          <w:szCs w:val="32"/>
          <w:u w:val="single"/>
        </w:rPr>
      </w:pPr>
      <w:r>
        <w:rPr>
          <w:rFonts w:hint="eastAsia" w:ascii="楷体" w:hAnsi="楷体" w:eastAsia="楷体" w:cs="楷体"/>
          <w:b/>
          <w:bCs/>
          <w:color w:val="auto"/>
          <w:sz w:val="32"/>
          <w:szCs w:val="32"/>
        </w:rPr>
        <w:t>编制日期：</w:t>
      </w:r>
      <w:r>
        <w:rPr>
          <w:rFonts w:ascii="楷体" w:hAnsi="楷体" w:eastAsia="楷体" w:cs="楷体"/>
          <w:b/>
          <w:bCs/>
          <w:color w:val="auto"/>
          <w:sz w:val="32"/>
          <w:szCs w:val="32"/>
          <w:u w:val="single"/>
        </w:rPr>
        <w:t xml:space="preserve">          202</w:t>
      </w:r>
      <w:r>
        <w:rPr>
          <w:rFonts w:hint="eastAsia" w:ascii="楷体" w:hAnsi="楷体" w:eastAsia="楷体" w:cs="楷体"/>
          <w:b/>
          <w:bCs/>
          <w:color w:val="auto"/>
          <w:sz w:val="32"/>
          <w:szCs w:val="32"/>
          <w:u w:val="single"/>
          <w:lang w:val="en-US" w:eastAsia="zh-CN"/>
        </w:rPr>
        <w:t>5</w:t>
      </w:r>
      <w:r>
        <w:rPr>
          <w:rFonts w:hint="eastAsia" w:ascii="楷体" w:hAnsi="楷体" w:eastAsia="楷体" w:cs="楷体"/>
          <w:b/>
          <w:bCs/>
          <w:color w:val="auto"/>
          <w:sz w:val="32"/>
          <w:szCs w:val="32"/>
          <w:u w:val="single"/>
        </w:rPr>
        <w:t>年</w:t>
      </w:r>
      <w:r>
        <w:rPr>
          <w:rFonts w:hint="eastAsia" w:ascii="楷体" w:hAnsi="楷体" w:eastAsia="楷体" w:cs="楷体"/>
          <w:b/>
          <w:bCs/>
          <w:color w:val="auto"/>
          <w:sz w:val="32"/>
          <w:szCs w:val="32"/>
          <w:u w:val="single"/>
          <w:lang w:val="en-US" w:eastAsia="zh-CN"/>
        </w:rPr>
        <w:t>09</w:t>
      </w:r>
      <w:r>
        <w:rPr>
          <w:rFonts w:hint="eastAsia" w:ascii="楷体" w:hAnsi="楷体" w:eastAsia="楷体" w:cs="楷体"/>
          <w:b/>
          <w:bCs/>
          <w:color w:val="auto"/>
          <w:sz w:val="32"/>
          <w:szCs w:val="32"/>
          <w:u w:val="single"/>
        </w:rPr>
        <w:t>月</w:t>
      </w:r>
      <w:r>
        <w:rPr>
          <w:rFonts w:ascii="楷体" w:hAnsi="楷体" w:eastAsia="楷体" w:cs="楷体"/>
          <w:b/>
          <w:bCs/>
          <w:color w:val="auto"/>
          <w:sz w:val="32"/>
          <w:szCs w:val="32"/>
          <w:u w:val="single"/>
        </w:rPr>
        <w:t xml:space="preserve">             </w:t>
      </w:r>
      <w:r>
        <w:rPr>
          <w:rFonts w:hint="eastAsia" w:ascii="楷体" w:hAnsi="楷体" w:eastAsia="楷体" w:cs="楷体"/>
          <w:b/>
          <w:bCs/>
          <w:color w:val="auto"/>
          <w:sz w:val="32"/>
          <w:szCs w:val="32"/>
          <w:u w:val="single"/>
        </w:rPr>
        <w:t xml:space="preserve">   </w:t>
      </w:r>
      <w:r>
        <w:rPr>
          <w:rFonts w:ascii="楷体" w:hAnsi="楷体" w:eastAsia="楷体" w:cs="楷体"/>
          <w:b/>
          <w:bCs/>
          <w:color w:val="auto"/>
          <w:sz w:val="32"/>
          <w:szCs w:val="32"/>
          <w:u w:val="single"/>
        </w:rPr>
        <w:t xml:space="preserve"> </w:t>
      </w:r>
    </w:p>
    <w:p w14:paraId="264DE825">
      <w:pPr>
        <w:adjustRightInd w:val="0"/>
        <w:snapToGrid w:val="0"/>
        <w:spacing w:line="288" w:lineRule="auto"/>
        <w:ind w:firstLine="1040"/>
        <w:rPr>
          <w:rFonts w:ascii="楷体_GB2312" w:eastAsia="楷体_GB2312"/>
          <w:b/>
          <w:bCs/>
          <w:color w:val="auto"/>
          <w:sz w:val="36"/>
          <w:szCs w:val="36"/>
        </w:rPr>
      </w:pPr>
    </w:p>
    <w:p w14:paraId="218218D7">
      <w:pPr>
        <w:adjustRightInd w:val="0"/>
        <w:snapToGrid w:val="0"/>
        <w:spacing w:line="288" w:lineRule="auto"/>
        <w:ind w:firstLine="1040"/>
        <w:rPr>
          <w:rFonts w:ascii="楷体_GB2312" w:eastAsia="楷体_GB2312"/>
          <w:b/>
          <w:bCs/>
          <w:color w:val="auto"/>
          <w:sz w:val="36"/>
          <w:szCs w:val="36"/>
        </w:rPr>
      </w:pPr>
    </w:p>
    <w:p w14:paraId="70224159">
      <w:pPr>
        <w:rPr>
          <w:color w:val="auto"/>
        </w:rPr>
      </w:pPr>
    </w:p>
    <w:p w14:paraId="74CA0536">
      <w:pPr>
        <w:adjustRightInd w:val="0"/>
        <w:snapToGrid w:val="0"/>
        <w:spacing w:line="288" w:lineRule="auto"/>
        <w:jc w:val="center"/>
        <w:rPr>
          <w:rFonts w:ascii="楷体_GB2312" w:eastAsia="楷体_GB2312"/>
          <w:b/>
          <w:bCs/>
          <w:color w:val="auto"/>
          <w:sz w:val="32"/>
          <w:szCs w:val="32"/>
        </w:rPr>
      </w:pPr>
      <w:r>
        <w:rPr>
          <w:rFonts w:hint="eastAsia" w:ascii="楷体_GB2312" w:eastAsia="楷体_GB2312" w:cs="楷体_GB2312"/>
          <w:b/>
          <w:bCs/>
          <w:color w:val="auto"/>
          <w:sz w:val="32"/>
          <w:szCs w:val="32"/>
        </w:rPr>
        <w:t>中华人民共和国生态环境部制</w:t>
      </w:r>
    </w:p>
    <w:p w14:paraId="0DD8EAB5">
      <w:pPr>
        <w:adjustRightInd w:val="0"/>
        <w:snapToGrid w:val="0"/>
        <w:spacing w:line="288" w:lineRule="auto"/>
        <w:ind w:firstLine="1040"/>
        <w:jc w:val="center"/>
        <w:rPr>
          <w:rFonts w:ascii="仿宋_GB2312" w:eastAsia="仿宋_GB2312"/>
          <w:color w:val="auto"/>
          <w:sz w:val="36"/>
          <w:szCs w:val="36"/>
          <w:u w:val="single"/>
        </w:rPr>
      </w:pPr>
    </w:p>
    <w:p w14:paraId="3FD296D9">
      <w:pPr>
        <w:pStyle w:val="33"/>
        <w:rPr>
          <w:rFonts w:ascii="仿宋_GB2312" w:eastAsia="仿宋_GB2312"/>
          <w:color w:val="auto"/>
          <w:sz w:val="36"/>
          <w:szCs w:val="36"/>
          <w:u w:val="single"/>
        </w:rPr>
      </w:pPr>
    </w:p>
    <w:p w14:paraId="1FED73DE">
      <w:pPr>
        <w:rPr>
          <w:color w:val="auto"/>
        </w:rPr>
        <w:sectPr>
          <w:footerReference r:id="rId3" w:type="default"/>
          <w:pgSz w:w="11906" w:h="16838"/>
          <w:pgMar w:top="1701" w:right="1531" w:bottom="1701" w:left="1531" w:header="851" w:footer="1077" w:gutter="0"/>
          <w:cols w:space="720" w:num="1"/>
          <w:docGrid w:linePitch="312" w:charSpace="0"/>
        </w:sectPr>
      </w:pPr>
    </w:p>
    <w:bookmarkEnd w:id="0"/>
    <w:p w14:paraId="6C0BC556">
      <w:pPr>
        <w:pStyle w:val="34"/>
        <w:jc w:val="center"/>
        <w:outlineLvl w:val="0"/>
        <w:rPr>
          <w:rFonts w:ascii="黑体" w:hAnsi="黑体" w:eastAsia="黑体" w:cs="Times New Roman"/>
          <w:snapToGrid w:val="0"/>
          <w:color w:val="auto"/>
          <w:sz w:val="30"/>
          <w:szCs w:val="30"/>
        </w:rPr>
      </w:pPr>
      <w:r>
        <w:rPr>
          <w:rFonts w:hint="eastAsia" w:ascii="黑体" w:hAnsi="黑体" w:eastAsia="黑体" w:cs="黑体"/>
          <w:snapToGrid w:val="0"/>
          <w:color w:val="auto"/>
          <w:sz w:val="30"/>
          <w:szCs w:val="30"/>
        </w:rPr>
        <w:t>一、建设项目基本情况</w:t>
      </w:r>
    </w:p>
    <w:tbl>
      <w:tblPr>
        <w:tblStyle w:val="37"/>
        <w:tblW w:w="89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002"/>
        <w:gridCol w:w="1841"/>
        <w:gridCol w:w="1877"/>
        <w:gridCol w:w="3257"/>
      </w:tblGrid>
      <w:tr w14:paraId="43C691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2002" w:type="dxa"/>
            <w:tcBorders>
              <w:top w:val="single" w:color="auto" w:sz="8" w:space="0"/>
            </w:tcBorders>
            <w:tcMar>
              <w:top w:w="16" w:type="dxa"/>
              <w:left w:w="16" w:type="dxa"/>
              <w:right w:w="16" w:type="dxa"/>
            </w:tcMar>
            <w:vAlign w:val="center"/>
          </w:tcPr>
          <w:p w14:paraId="4B1180BC">
            <w:pPr>
              <w:adjustRightInd w:val="0"/>
              <w:snapToGrid w:val="0"/>
              <w:jc w:val="center"/>
              <w:rPr>
                <w:rFonts w:ascii="宋体"/>
                <w:color w:val="auto"/>
                <w:sz w:val="24"/>
                <w:szCs w:val="24"/>
              </w:rPr>
            </w:pPr>
            <w:r>
              <w:rPr>
                <w:rFonts w:hint="eastAsia" w:ascii="宋体" w:hAnsi="宋体" w:cs="宋体"/>
                <w:color w:val="auto"/>
                <w:sz w:val="24"/>
                <w:szCs w:val="24"/>
              </w:rPr>
              <w:t>建设项目名称</w:t>
            </w:r>
          </w:p>
        </w:tc>
        <w:tc>
          <w:tcPr>
            <w:tcW w:w="6975" w:type="dxa"/>
            <w:gridSpan w:val="3"/>
            <w:tcBorders>
              <w:top w:val="single" w:color="auto" w:sz="8" w:space="0"/>
            </w:tcBorders>
            <w:vAlign w:val="center"/>
          </w:tcPr>
          <w:p w14:paraId="30C8A7E6">
            <w:pPr>
              <w:adjustRightInd w:val="0"/>
              <w:snapToGrid w:val="0"/>
              <w:jc w:val="center"/>
              <w:rPr>
                <w:rFonts w:hint="eastAsia" w:ascii="宋体" w:eastAsia="宋体"/>
                <w:color w:val="auto"/>
                <w:sz w:val="24"/>
                <w:szCs w:val="24"/>
                <w:lang w:eastAsia="zh-CN"/>
              </w:rPr>
            </w:pPr>
            <w:r>
              <w:rPr>
                <w:rFonts w:hint="eastAsia" w:ascii="宋体" w:hAnsi="宋体" w:cs="宋体"/>
                <w:color w:val="auto"/>
                <w:sz w:val="24"/>
                <w:szCs w:val="24"/>
                <w:lang w:eastAsia="zh-CN"/>
              </w:rPr>
              <w:t>年产9000万块煤矸石标砖生产线节能环保升级改造项目</w:t>
            </w:r>
          </w:p>
        </w:tc>
      </w:tr>
      <w:tr w14:paraId="684A30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02" w:type="dxa"/>
            <w:tcMar>
              <w:top w:w="16" w:type="dxa"/>
              <w:left w:w="16" w:type="dxa"/>
              <w:right w:w="16" w:type="dxa"/>
            </w:tcMar>
            <w:vAlign w:val="center"/>
          </w:tcPr>
          <w:p w14:paraId="40B60DC9">
            <w:pPr>
              <w:adjustRightInd w:val="0"/>
              <w:snapToGrid w:val="0"/>
              <w:jc w:val="center"/>
              <w:rPr>
                <w:rFonts w:ascii="宋体"/>
                <w:color w:val="auto"/>
                <w:sz w:val="24"/>
                <w:szCs w:val="24"/>
              </w:rPr>
            </w:pPr>
            <w:r>
              <w:rPr>
                <w:rFonts w:hint="eastAsia" w:ascii="宋体" w:hAnsi="宋体" w:cs="宋体"/>
                <w:color w:val="auto"/>
                <w:sz w:val="24"/>
                <w:szCs w:val="24"/>
              </w:rPr>
              <w:t>项目代码</w:t>
            </w:r>
          </w:p>
        </w:tc>
        <w:tc>
          <w:tcPr>
            <w:tcW w:w="6975" w:type="dxa"/>
            <w:gridSpan w:val="3"/>
            <w:vAlign w:val="center"/>
          </w:tcPr>
          <w:p w14:paraId="0429F420">
            <w:pPr>
              <w:widowControl/>
              <w:jc w:val="center"/>
              <w:rPr>
                <w:rFonts w:hint="eastAsia" w:ascii="宋体" w:eastAsia="新宋体"/>
                <w:color w:val="auto"/>
                <w:sz w:val="24"/>
                <w:szCs w:val="24"/>
                <w:lang w:val="en-US" w:eastAsia="zh-CN"/>
              </w:rPr>
            </w:pPr>
            <w:r>
              <w:rPr>
                <w:rFonts w:hint="eastAsia" w:ascii="新宋体" w:hAnsi="新宋体" w:eastAsia="新宋体" w:cs="新宋体"/>
                <w:color w:val="auto"/>
                <w:kern w:val="0"/>
                <w:sz w:val="24"/>
                <w:szCs w:val="24"/>
                <w:lang w:val="en-US" w:eastAsia="zh-CN" w:bidi="ar"/>
              </w:rPr>
              <w:t>/</w:t>
            </w:r>
          </w:p>
        </w:tc>
      </w:tr>
      <w:tr w14:paraId="76C97C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02" w:type="dxa"/>
            <w:tcMar>
              <w:top w:w="16" w:type="dxa"/>
              <w:left w:w="16" w:type="dxa"/>
              <w:right w:w="16" w:type="dxa"/>
            </w:tcMar>
            <w:vAlign w:val="center"/>
          </w:tcPr>
          <w:p w14:paraId="7BCDA235">
            <w:pPr>
              <w:adjustRightInd w:val="0"/>
              <w:snapToGrid w:val="0"/>
              <w:jc w:val="center"/>
              <w:rPr>
                <w:rFonts w:ascii="宋体"/>
                <w:color w:val="auto"/>
                <w:sz w:val="24"/>
                <w:szCs w:val="24"/>
              </w:rPr>
            </w:pPr>
            <w:r>
              <w:rPr>
                <w:rFonts w:hint="eastAsia" w:ascii="宋体" w:hAnsi="宋体" w:cs="宋体"/>
                <w:color w:val="auto"/>
                <w:sz w:val="24"/>
                <w:szCs w:val="24"/>
              </w:rPr>
              <w:t>建设单位联系人</w:t>
            </w:r>
          </w:p>
        </w:tc>
        <w:tc>
          <w:tcPr>
            <w:tcW w:w="1841" w:type="dxa"/>
            <w:vAlign w:val="center"/>
          </w:tcPr>
          <w:p w14:paraId="57B00FCC">
            <w:pPr>
              <w:adjustRightInd w:val="0"/>
              <w:snapToGrid w:val="0"/>
              <w:jc w:val="center"/>
              <w:rPr>
                <w:rFonts w:hint="eastAsia" w:ascii="宋体" w:eastAsia="宋体"/>
                <w:color w:val="auto"/>
                <w:sz w:val="24"/>
                <w:szCs w:val="24"/>
                <w:lang w:eastAsia="zh-CN"/>
              </w:rPr>
            </w:pPr>
          </w:p>
        </w:tc>
        <w:tc>
          <w:tcPr>
            <w:tcW w:w="1877" w:type="dxa"/>
            <w:vAlign w:val="center"/>
          </w:tcPr>
          <w:p w14:paraId="5C904457">
            <w:pPr>
              <w:adjustRightInd w:val="0"/>
              <w:snapToGrid w:val="0"/>
              <w:jc w:val="center"/>
              <w:rPr>
                <w:rFonts w:ascii="宋体"/>
                <w:color w:val="auto"/>
                <w:sz w:val="24"/>
                <w:szCs w:val="24"/>
              </w:rPr>
            </w:pPr>
            <w:r>
              <w:rPr>
                <w:rFonts w:hint="eastAsia" w:ascii="宋体" w:hAnsi="宋体" w:cs="宋体"/>
                <w:color w:val="auto"/>
                <w:sz w:val="24"/>
                <w:szCs w:val="24"/>
              </w:rPr>
              <w:t>联系方式</w:t>
            </w:r>
          </w:p>
        </w:tc>
        <w:tc>
          <w:tcPr>
            <w:tcW w:w="3257" w:type="dxa"/>
            <w:vAlign w:val="center"/>
          </w:tcPr>
          <w:p w14:paraId="369DBF3A">
            <w:pPr>
              <w:adjustRightInd w:val="0"/>
              <w:snapToGrid w:val="0"/>
              <w:jc w:val="center"/>
              <w:rPr>
                <w:rFonts w:hint="default" w:ascii="宋体" w:eastAsia="宋体"/>
                <w:color w:val="auto"/>
                <w:sz w:val="24"/>
                <w:szCs w:val="24"/>
                <w:lang w:val="en-US" w:eastAsia="zh-CN"/>
              </w:rPr>
            </w:pPr>
          </w:p>
        </w:tc>
      </w:tr>
      <w:tr w14:paraId="5C07E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02" w:type="dxa"/>
            <w:tcMar>
              <w:top w:w="16" w:type="dxa"/>
              <w:left w:w="16" w:type="dxa"/>
              <w:right w:w="16" w:type="dxa"/>
            </w:tcMar>
            <w:vAlign w:val="center"/>
          </w:tcPr>
          <w:p w14:paraId="3BCCC845">
            <w:pPr>
              <w:adjustRightInd w:val="0"/>
              <w:snapToGrid w:val="0"/>
              <w:jc w:val="center"/>
              <w:rPr>
                <w:rFonts w:ascii="宋体"/>
                <w:color w:val="auto"/>
                <w:sz w:val="24"/>
                <w:szCs w:val="24"/>
              </w:rPr>
            </w:pPr>
            <w:r>
              <w:rPr>
                <w:rFonts w:hint="eastAsia" w:ascii="宋体" w:hAnsi="宋体" w:cs="宋体"/>
                <w:color w:val="auto"/>
                <w:sz w:val="24"/>
                <w:szCs w:val="24"/>
              </w:rPr>
              <w:t>建设地点</w:t>
            </w:r>
          </w:p>
        </w:tc>
        <w:tc>
          <w:tcPr>
            <w:tcW w:w="6975" w:type="dxa"/>
            <w:gridSpan w:val="3"/>
            <w:vAlign w:val="center"/>
          </w:tcPr>
          <w:p w14:paraId="26406CA1">
            <w:pPr>
              <w:widowControl/>
              <w:jc w:val="center"/>
              <w:rPr>
                <w:rFonts w:hint="eastAsia" w:ascii="宋体" w:eastAsia="宋体"/>
                <w:color w:val="auto"/>
                <w:sz w:val="24"/>
                <w:szCs w:val="24"/>
                <w:lang w:eastAsia="zh-CN"/>
              </w:rPr>
            </w:pPr>
            <w:r>
              <w:rPr>
                <w:rFonts w:hint="eastAsia" w:ascii="新宋体" w:hAnsi="新宋体" w:eastAsia="新宋体" w:cs="新宋体"/>
                <w:color w:val="auto"/>
                <w:kern w:val="0"/>
                <w:sz w:val="24"/>
                <w:szCs w:val="24"/>
                <w:lang w:eastAsia="zh-CN" w:bidi="ar"/>
              </w:rPr>
              <w:t>安徽省淮北市濉溪县刘桥二矿南500米</w:t>
            </w:r>
          </w:p>
        </w:tc>
      </w:tr>
      <w:tr w14:paraId="0AFD07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02" w:type="dxa"/>
            <w:tcMar>
              <w:top w:w="16" w:type="dxa"/>
              <w:left w:w="16" w:type="dxa"/>
              <w:right w:w="16" w:type="dxa"/>
            </w:tcMar>
            <w:vAlign w:val="center"/>
          </w:tcPr>
          <w:p w14:paraId="5730EAE4">
            <w:pPr>
              <w:adjustRightInd w:val="0"/>
              <w:snapToGrid w:val="0"/>
              <w:jc w:val="center"/>
              <w:rPr>
                <w:rFonts w:ascii="宋体"/>
                <w:color w:val="auto"/>
                <w:sz w:val="24"/>
                <w:szCs w:val="24"/>
              </w:rPr>
            </w:pPr>
            <w:r>
              <w:rPr>
                <w:rFonts w:hint="eastAsia" w:ascii="宋体" w:hAnsi="宋体" w:cs="宋体"/>
                <w:color w:val="auto"/>
                <w:sz w:val="24"/>
                <w:szCs w:val="24"/>
              </w:rPr>
              <w:t>地理坐标</w:t>
            </w:r>
          </w:p>
        </w:tc>
        <w:tc>
          <w:tcPr>
            <w:tcW w:w="6975" w:type="dxa"/>
            <w:gridSpan w:val="3"/>
            <w:vAlign w:val="center"/>
          </w:tcPr>
          <w:p w14:paraId="391265D8">
            <w:pPr>
              <w:adjustRightInd w:val="0"/>
              <w:snapToGrid w:val="0"/>
              <w:jc w:val="center"/>
              <w:rPr>
                <w:rFonts w:ascii="宋体"/>
                <w:color w:val="auto"/>
                <w:sz w:val="24"/>
                <w:szCs w:val="24"/>
              </w:rPr>
            </w:pPr>
            <w:r>
              <w:rPr>
                <w:rFonts w:ascii="Times New Roman" w:hAnsi="Times New Roman" w:cs="Times New Roman"/>
                <w:color w:val="auto"/>
                <w:sz w:val="24"/>
              </w:rPr>
              <w:t>东经：</w:t>
            </w:r>
            <w:r>
              <w:rPr>
                <w:rFonts w:hint="eastAsia" w:ascii="Times New Roman" w:hAnsi="Times New Roman" w:cs="Times New Roman"/>
                <w:color w:val="auto"/>
                <w:sz w:val="24"/>
                <w:u w:val="single"/>
                <w:lang w:val="en-US" w:eastAsia="zh-CN"/>
              </w:rPr>
              <w:t xml:space="preserve"> </w:t>
            </w:r>
            <w:r>
              <w:rPr>
                <w:rFonts w:hint="eastAsia" w:cs="Times New Roman"/>
                <w:color w:val="auto"/>
                <w:sz w:val="24"/>
                <w:u w:val="single"/>
                <w:lang w:val="en-US" w:eastAsia="zh-CN"/>
              </w:rPr>
              <w:t>116</w:t>
            </w:r>
            <w:r>
              <w:rPr>
                <w:rFonts w:ascii="Times New Roman" w:hAnsi="Times New Roman" w:cs="Times New Roman"/>
                <w:color w:val="auto"/>
                <w:sz w:val="24"/>
                <w:u w:val="single"/>
              </w:rPr>
              <w:t xml:space="preserve"> </w:t>
            </w:r>
            <w:r>
              <w:rPr>
                <w:rFonts w:ascii="Times New Roman" w:hAnsi="Times New Roman" w:cs="Times New Roman"/>
                <w:color w:val="auto"/>
                <w:sz w:val="24"/>
              </w:rPr>
              <w:t>度</w:t>
            </w:r>
            <w:r>
              <w:rPr>
                <w:rFonts w:ascii="Times New Roman" w:hAnsi="Times New Roman" w:cs="Times New Roman"/>
                <w:color w:val="auto"/>
                <w:sz w:val="24"/>
                <w:u w:val="single"/>
              </w:rPr>
              <w:t xml:space="preserve"> </w:t>
            </w:r>
            <w:r>
              <w:rPr>
                <w:rFonts w:hint="eastAsia" w:cs="Times New Roman"/>
                <w:color w:val="auto"/>
                <w:sz w:val="24"/>
                <w:u w:val="single"/>
                <w:lang w:val="en-US" w:eastAsia="zh-CN"/>
              </w:rPr>
              <w:t xml:space="preserve">39 </w:t>
            </w:r>
            <w:r>
              <w:rPr>
                <w:rFonts w:ascii="Times New Roman" w:hAnsi="Times New Roman" w:cs="Times New Roman"/>
                <w:color w:val="auto"/>
                <w:sz w:val="24"/>
              </w:rPr>
              <w:t>分</w:t>
            </w:r>
            <w:r>
              <w:rPr>
                <w:rFonts w:ascii="Times New Roman" w:hAnsi="Times New Roman" w:cs="Times New Roman"/>
                <w:color w:val="auto"/>
                <w:sz w:val="24"/>
                <w:u w:val="single"/>
              </w:rPr>
              <w:t xml:space="preserve"> </w:t>
            </w:r>
            <w:r>
              <w:rPr>
                <w:rFonts w:hint="eastAsia" w:cs="Times New Roman"/>
                <w:color w:val="auto"/>
                <w:sz w:val="24"/>
                <w:u w:val="single"/>
                <w:lang w:val="en-US" w:eastAsia="zh-CN"/>
              </w:rPr>
              <w:t>35.061</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秒，北纬：</w:t>
            </w:r>
            <w:r>
              <w:rPr>
                <w:rFonts w:ascii="Times New Roman" w:hAnsi="Times New Roman" w:cs="Times New Roman"/>
                <w:color w:val="auto"/>
                <w:sz w:val="24"/>
                <w:u w:val="single"/>
              </w:rPr>
              <w:t xml:space="preserve"> </w:t>
            </w:r>
            <w:r>
              <w:rPr>
                <w:rFonts w:hint="eastAsia" w:cs="Times New Roman"/>
                <w:color w:val="auto"/>
                <w:sz w:val="24"/>
                <w:u w:val="single"/>
                <w:lang w:val="en-US" w:eastAsia="zh-CN"/>
              </w:rPr>
              <w:t>33</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度</w:t>
            </w:r>
            <w:r>
              <w:rPr>
                <w:rFonts w:ascii="Times New Roman" w:hAnsi="Times New Roman" w:cs="Times New Roman"/>
                <w:color w:val="auto"/>
                <w:sz w:val="24"/>
                <w:u w:val="single"/>
              </w:rPr>
              <w:t xml:space="preserve"> </w:t>
            </w:r>
            <w:r>
              <w:rPr>
                <w:rFonts w:hint="eastAsia" w:cs="Times New Roman"/>
                <w:color w:val="auto"/>
                <w:sz w:val="24"/>
                <w:u w:val="single"/>
                <w:lang w:val="en-US" w:eastAsia="zh-CN"/>
              </w:rPr>
              <w:t>55</w:t>
            </w:r>
            <w:r>
              <w:rPr>
                <w:rFonts w:ascii="Times New Roman" w:hAnsi="Times New Roman" w:cs="Times New Roman"/>
                <w:color w:val="auto"/>
                <w:sz w:val="24"/>
                <w:u w:val="single"/>
              </w:rPr>
              <w:t xml:space="preserve"> </w:t>
            </w:r>
            <w:r>
              <w:rPr>
                <w:rFonts w:ascii="Times New Roman" w:hAnsi="Times New Roman" w:cs="Times New Roman"/>
                <w:color w:val="auto"/>
                <w:sz w:val="24"/>
              </w:rPr>
              <w:t>分</w:t>
            </w:r>
            <w:r>
              <w:rPr>
                <w:rFonts w:ascii="Times New Roman" w:hAnsi="Times New Roman" w:cs="Times New Roman"/>
                <w:color w:val="auto"/>
                <w:sz w:val="24"/>
                <w:u w:val="single"/>
              </w:rPr>
              <w:t xml:space="preserve"> </w:t>
            </w:r>
            <w:r>
              <w:rPr>
                <w:rFonts w:hint="eastAsia" w:cs="Times New Roman"/>
                <w:color w:val="auto"/>
                <w:sz w:val="24"/>
                <w:u w:val="single"/>
                <w:lang w:val="en-US" w:eastAsia="zh-CN"/>
              </w:rPr>
              <w:t>30.175</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秒</w:t>
            </w:r>
          </w:p>
        </w:tc>
      </w:tr>
      <w:tr w14:paraId="2FCB24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2002" w:type="dxa"/>
            <w:tcMar>
              <w:top w:w="16" w:type="dxa"/>
              <w:left w:w="16" w:type="dxa"/>
              <w:right w:w="16" w:type="dxa"/>
            </w:tcMar>
            <w:vAlign w:val="center"/>
          </w:tcPr>
          <w:p w14:paraId="4E3BD874">
            <w:pPr>
              <w:adjustRightInd w:val="0"/>
              <w:snapToGrid w:val="0"/>
              <w:jc w:val="center"/>
              <w:rPr>
                <w:rFonts w:ascii="宋体"/>
                <w:color w:val="auto"/>
                <w:sz w:val="24"/>
                <w:szCs w:val="24"/>
              </w:rPr>
            </w:pPr>
            <w:r>
              <w:rPr>
                <w:rFonts w:hint="eastAsia" w:ascii="宋体" w:hAnsi="宋体" w:cs="宋体"/>
                <w:color w:val="auto"/>
                <w:sz w:val="24"/>
                <w:szCs w:val="24"/>
              </w:rPr>
              <w:t>国民经济</w:t>
            </w:r>
          </w:p>
          <w:p w14:paraId="00994849">
            <w:pPr>
              <w:adjustRightInd w:val="0"/>
              <w:snapToGrid w:val="0"/>
              <w:jc w:val="center"/>
              <w:rPr>
                <w:rFonts w:ascii="宋体"/>
                <w:color w:val="auto"/>
                <w:sz w:val="24"/>
                <w:szCs w:val="24"/>
              </w:rPr>
            </w:pPr>
            <w:r>
              <w:rPr>
                <w:rFonts w:hint="eastAsia" w:ascii="宋体" w:hAnsi="宋体" w:cs="宋体"/>
                <w:color w:val="auto"/>
                <w:sz w:val="24"/>
                <w:szCs w:val="24"/>
              </w:rPr>
              <w:t>行业类别</w:t>
            </w:r>
          </w:p>
        </w:tc>
        <w:tc>
          <w:tcPr>
            <w:tcW w:w="1841" w:type="dxa"/>
            <w:vAlign w:val="center"/>
          </w:tcPr>
          <w:p w14:paraId="38049357">
            <w:pPr>
              <w:adjustRightInd w:val="0"/>
              <w:snapToGrid w:val="0"/>
              <w:jc w:val="center"/>
              <w:rPr>
                <w:rFonts w:hint="default" w:ascii="宋体" w:eastAsia="宋体"/>
                <w:color w:val="auto"/>
                <w:sz w:val="24"/>
                <w:szCs w:val="24"/>
                <w:lang w:val="en-US" w:eastAsia="zh-CN"/>
              </w:rPr>
            </w:pPr>
            <w:r>
              <w:rPr>
                <w:rFonts w:hint="eastAsia" w:ascii="宋体"/>
                <w:color w:val="auto"/>
                <w:sz w:val="24"/>
                <w:szCs w:val="24"/>
                <w:lang w:val="en-US" w:eastAsia="zh-CN"/>
              </w:rPr>
              <w:t>C3031粘土砖瓦及建筑砌块制造</w:t>
            </w:r>
          </w:p>
        </w:tc>
        <w:tc>
          <w:tcPr>
            <w:tcW w:w="1877" w:type="dxa"/>
            <w:vAlign w:val="center"/>
          </w:tcPr>
          <w:p w14:paraId="2B75FE96">
            <w:pPr>
              <w:adjustRightInd w:val="0"/>
              <w:snapToGrid w:val="0"/>
              <w:jc w:val="center"/>
              <w:rPr>
                <w:rFonts w:ascii="宋体"/>
                <w:color w:val="auto"/>
                <w:sz w:val="24"/>
                <w:szCs w:val="24"/>
              </w:rPr>
            </w:pPr>
            <w:bookmarkStart w:id="1" w:name="_Hlk49843745"/>
            <w:r>
              <w:rPr>
                <w:rFonts w:hint="eastAsia" w:ascii="宋体" w:hAnsi="宋体" w:cs="宋体"/>
                <w:color w:val="auto"/>
                <w:sz w:val="24"/>
                <w:szCs w:val="24"/>
              </w:rPr>
              <w:t>建设项目</w:t>
            </w:r>
          </w:p>
          <w:p w14:paraId="41A1A023">
            <w:pPr>
              <w:adjustRightInd w:val="0"/>
              <w:snapToGrid w:val="0"/>
              <w:jc w:val="center"/>
              <w:rPr>
                <w:rFonts w:ascii="宋体"/>
                <w:color w:val="auto"/>
                <w:sz w:val="24"/>
                <w:szCs w:val="24"/>
              </w:rPr>
            </w:pPr>
            <w:r>
              <w:rPr>
                <w:rFonts w:hint="eastAsia" w:ascii="宋体" w:hAnsi="宋体" w:cs="宋体"/>
                <w:color w:val="auto"/>
                <w:sz w:val="24"/>
                <w:szCs w:val="24"/>
              </w:rPr>
              <w:t>行业类别</w:t>
            </w:r>
            <w:bookmarkEnd w:id="1"/>
          </w:p>
        </w:tc>
        <w:tc>
          <w:tcPr>
            <w:tcW w:w="3257" w:type="dxa"/>
            <w:vAlign w:val="center"/>
          </w:tcPr>
          <w:p w14:paraId="7246EE37">
            <w:pPr>
              <w:widowControl/>
              <w:jc w:val="center"/>
              <w:rPr>
                <w:rFonts w:hint="default" w:ascii="宋体"/>
                <w:color w:val="auto"/>
                <w:sz w:val="24"/>
                <w:szCs w:val="24"/>
                <w:lang w:val="en-US"/>
              </w:rPr>
            </w:pPr>
            <w:r>
              <w:rPr>
                <w:rFonts w:hint="eastAsia" w:ascii="宋体" w:hAnsi="宋体" w:cs="宋体"/>
                <w:color w:val="auto"/>
                <w:sz w:val="24"/>
                <w:szCs w:val="24"/>
              </w:rPr>
              <w:t>二十</w:t>
            </w:r>
            <w:r>
              <w:rPr>
                <w:rFonts w:hint="eastAsia" w:ascii="宋体" w:hAnsi="宋体" w:cs="宋体"/>
                <w:color w:val="auto"/>
                <w:sz w:val="24"/>
                <w:szCs w:val="24"/>
                <w:lang w:eastAsia="zh-CN"/>
              </w:rPr>
              <w:t>七</w:t>
            </w:r>
            <w:r>
              <w:rPr>
                <w:rFonts w:hint="eastAsia" w:ascii="宋体" w:hAnsi="宋体" w:cs="宋体"/>
                <w:color w:val="auto"/>
                <w:sz w:val="24"/>
                <w:szCs w:val="24"/>
              </w:rPr>
              <w:t>、</w:t>
            </w:r>
            <w:r>
              <w:rPr>
                <w:rFonts w:hint="eastAsia" w:ascii="宋体" w:hAnsi="宋体" w:cs="宋体"/>
                <w:color w:val="auto"/>
                <w:sz w:val="24"/>
                <w:szCs w:val="24"/>
                <w:lang w:eastAsia="zh-CN"/>
              </w:rPr>
              <w:t>非金属矿物制品业</w:t>
            </w:r>
            <w:r>
              <w:rPr>
                <w:rFonts w:hint="eastAsia" w:ascii="宋体" w:hAnsi="宋体" w:cs="宋体"/>
                <w:color w:val="auto"/>
                <w:sz w:val="24"/>
                <w:szCs w:val="24"/>
                <w:lang w:val="en-US" w:eastAsia="zh-CN"/>
              </w:rPr>
              <w:t>30 56.砖瓦、石材等建筑材料制造303</w:t>
            </w:r>
          </w:p>
        </w:tc>
      </w:tr>
      <w:tr w14:paraId="0A39BB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92" w:hRule="atLeast"/>
          <w:jc w:val="center"/>
        </w:trPr>
        <w:tc>
          <w:tcPr>
            <w:tcW w:w="2002" w:type="dxa"/>
            <w:tcMar>
              <w:top w:w="16" w:type="dxa"/>
              <w:left w:w="16" w:type="dxa"/>
              <w:right w:w="16" w:type="dxa"/>
            </w:tcMar>
            <w:vAlign w:val="center"/>
          </w:tcPr>
          <w:p w14:paraId="075F4B87">
            <w:pPr>
              <w:adjustRightInd w:val="0"/>
              <w:snapToGrid w:val="0"/>
              <w:jc w:val="center"/>
              <w:rPr>
                <w:rFonts w:ascii="宋体"/>
                <w:color w:val="auto"/>
                <w:sz w:val="24"/>
                <w:szCs w:val="24"/>
              </w:rPr>
            </w:pPr>
            <w:r>
              <w:rPr>
                <w:rFonts w:hint="eastAsia" w:ascii="宋体" w:hAnsi="宋体" w:cs="宋体"/>
                <w:color w:val="auto"/>
                <w:sz w:val="24"/>
                <w:szCs w:val="24"/>
              </w:rPr>
              <w:t>建设性质</w:t>
            </w:r>
          </w:p>
        </w:tc>
        <w:tc>
          <w:tcPr>
            <w:tcW w:w="1841" w:type="dxa"/>
            <w:vAlign w:val="center"/>
          </w:tcPr>
          <w:p w14:paraId="2F040A5A">
            <w:pPr>
              <w:adjustRightInd w:val="0"/>
              <w:snapToGrid w:val="0"/>
              <w:ind w:left="210" w:leftChars="100"/>
              <w:jc w:val="left"/>
              <w:rPr>
                <w:rFonts w:ascii="宋体"/>
                <w:color w:val="auto"/>
                <w:sz w:val="24"/>
                <w:szCs w:val="24"/>
              </w:rPr>
            </w:pPr>
            <w:r>
              <w:rPr>
                <w:rFonts w:hint="eastAsia" w:ascii="MS Mincho" w:hAnsi="MS Mincho" w:cs="MS Mincho"/>
                <w:color w:val="auto"/>
                <w:sz w:val="24"/>
                <w:szCs w:val="24"/>
                <w:lang w:eastAsia="zh-CN"/>
              </w:rPr>
              <w:t>□</w:t>
            </w:r>
            <w:r>
              <w:rPr>
                <w:rFonts w:hint="eastAsia" w:ascii="宋体" w:hAnsi="宋体" w:cs="宋体"/>
                <w:color w:val="auto"/>
                <w:sz w:val="24"/>
                <w:szCs w:val="24"/>
              </w:rPr>
              <w:t>新建</w:t>
            </w:r>
          </w:p>
          <w:p w14:paraId="7846EF8E">
            <w:pPr>
              <w:adjustRightInd w:val="0"/>
              <w:snapToGrid w:val="0"/>
              <w:ind w:left="210" w:leftChars="100"/>
              <w:jc w:val="left"/>
              <w:rPr>
                <w:rFonts w:hint="eastAsia" w:ascii="宋体" w:eastAsia="宋体"/>
                <w:color w:val="auto"/>
                <w:sz w:val="24"/>
                <w:szCs w:val="24"/>
                <w:lang w:eastAsia="zh-CN"/>
              </w:rPr>
            </w:pPr>
            <w:r>
              <w:rPr>
                <w:rFonts w:hint="eastAsia" w:ascii="宋体" w:hAnsi="宋体" w:cs="宋体"/>
                <w:color w:val="auto"/>
                <w:sz w:val="24"/>
                <w:szCs w:val="24"/>
                <w:lang w:eastAsia="zh-CN"/>
              </w:rPr>
              <w:t>□技改</w:t>
            </w:r>
          </w:p>
          <w:p w14:paraId="2041292D">
            <w:pPr>
              <w:adjustRightInd w:val="0"/>
              <w:snapToGrid w:val="0"/>
              <w:ind w:left="210" w:leftChars="100"/>
              <w:jc w:val="left"/>
              <w:rPr>
                <w:rFonts w:ascii="宋体"/>
                <w:color w:val="auto"/>
                <w:sz w:val="24"/>
                <w:szCs w:val="24"/>
              </w:rPr>
            </w:pPr>
            <w:r>
              <w:rPr>
                <w:rFonts w:ascii="宋体" w:hAnsi="宋体" w:cs="宋体"/>
                <w:color w:val="auto"/>
                <w:sz w:val="24"/>
                <w:szCs w:val="24"/>
              </w:rPr>
              <w:fldChar w:fldCharType="begin"/>
            </w:r>
            <w:r>
              <w:rPr>
                <w:rFonts w:ascii="宋体" w:hAnsi="宋体" w:cs="宋体"/>
                <w:color w:val="auto"/>
                <w:sz w:val="24"/>
                <w:szCs w:val="24"/>
              </w:rPr>
              <w:instrText xml:space="preserve">eq \o\ac(</w:instrText>
            </w:r>
            <w:r>
              <w:rPr>
                <w:rFonts w:hint="eastAsia" w:ascii="宋体" w:hAnsi="宋体" w:cs="宋体"/>
                <w:color w:val="auto"/>
                <w:sz w:val="24"/>
                <w:szCs w:val="24"/>
              </w:rPr>
              <w:instrText xml:space="preserve">□</w:instrText>
            </w:r>
            <w:r>
              <w:rPr>
                <w:rFonts w:ascii="宋体" w:hAnsi="宋体" w:cs="宋体"/>
                <w:color w:val="auto"/>
                <w:sz w:val="24"/>
                <w:szCs w:val="24"/>
              </w:rPr>
              <w:instrText xml:space="preserve">)</w:instrText>
            </w:r>
            <w:r>
              <w:rPr>
                <w:rFonts w:ascii="宋体" w:hAnsi="宋体" w:cs="宋体"/>
                <w:color w:val="auto"/>
                <w:sz w:val="24"/>
                <w:szCs w:val="24"/>
              </w:rPr>
              <w:fldChar w:fldCharType="end"/>
            </w:r>
            <w:r>
              <w:rPr>
                <w:rFonts w:hint="eastAsia" w:ascii="宋体" w:hAnsi="宋体" w:cs="宋体"/>
                <w:color w:val="auto"/>
                <w:sz w:val="24"/>
                <w:szCs w:val="24"/>
              </w:rPr>
              <w:t>扩建</w:t>
            </w:r>
          </w:p>
          <w:p w14:paraId="50B4EC3E">
            <w:pPr>
              <w:adjustRightInd w:val="0"/>
              <w:snapToGrid w:val="0"/>
              <w:ind w:left="210" w:leftChars="100"/>
              <w:jc w:val="left"/>
              <w:rPr>
                <w:rFonts w:ascii="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rPr>
              <w:t>技术改造</w:t>
            </w:r>
          </w:p>
        </w:tc>
        <w:tc>
          <w:tcPr>
            <w:tcW w:w="1877" w:type="dxa"/>
            <w:vAlign w:val="center"/>
          </w:tcPr>
          <w:p w14:paraId="30EA5C9C">
            <w:pPr>
              <w:adjustRightInd w:val="0"/>
              <w:snapToGrid w:val="0"/>
              <w:jc w:val="center"/>
              <w:rPr>
                <w:rFonts w:ascii="宋体"/>
                <w:color w:val="auto"/>
                <w:sz w:val="24"/>
                <w:szCs w:val="24"/>
              </w:rPr>
            </w:pPr>
            <w:r>
              <w:rPr>
                <w:rFonts w:hint="eastAsia" w:ascii="宋体" w:hAnsi="宋体" w:cs="宋体"/>
                <w:color w:val="auto"/>
                <w:sz w:val="24"/>
                <w:szCs w:val="24"/>
              </w:rPr>
              <w:t>建设项目</w:t>
            </w:r>
          </w:p>
          <w:p w14:paraId="1D395C09">
            <w:pPr>
              <w:adjustRightInd w:val="0"/>
              <w:snapToGrid w:val="0"/>
              <w:jc w:val="center"/>
              <w:rPr>
                <w:rFonts w:ascii="宋体"/>
                <w:color w:val="auto"/>
                <w:sz w:val="24"/>
                <w:szCs w:val="24"/>
              </w:rPr>
            </w:pPr>
            <w:r>
              <w:rPr>
                <w:rFonts w:hint="eastAsia" w:ascii="宋体" w:hAnsi="宋体" w:cs="宋体"/>
                <w:color w:val="auto"/>
                <w:sz w:val="24"/>
                <w:szCs w:val="24"/>
              </w:rPr>
              <w:t>申报情形</w:t>
            </w:r>
          </w:p>
        </w:tc>
        <w:tc>
          <w:tcPr>
            <w:tcW w:w="3257" w:type="dxa"/>
            <w:vAlign w:val="center"/>
          </w:tcPr>
          <w:p w14:paraId="6E62239A">
            <w:pPr>
              <w:adjustRightInd w:val="0"/>
              <w:snapToGrid w:val="0"/>
              <w:ind w:left="210" w:leftChars="100"/>
              <w:jc w:val="left"/>
              <w:rPr>
                <w:rFonts w:ascii="宋体"/>
                <w:color w:val="auto"/>
                <w:sz w:val="24"/>
                <w:szCs w:val="24"/>
              </w:rPr>
            </w:pPr>
            <w:r>
              <w:rPr>
                <w:rFonts w:hint="eastAsia" w:ascii="MS Mincho" w:hAnsi="MS Mincho" w:cs="MS Mincho"/>
                <w:color w:val="auto"/>
                <w:sz w:val="24"/>
                <w:szCs w:val="24"/>
              </w:rPr>
              <w:t>☑</w:t>
            </w:r>
            <w:r>
              <w:rPr>
                <w:rFonts w:hint="eastAsia" w:ascii="宋体" w:hAnsi="宋体" w:cs="宋体"/>
                <w:color w:val="auto"/>
                <w:sz w:val="24"/>
                <w:szCs w:val="24"/>
              </w:rPr>
              <w:t>首次申报项目</w:t>
            </w:r>
          </w:p>
          <w:p w14:paraId="3EE453A6">
            <w:pPr>
              <w:adjustRightInd w:val="0"/>
              <w:snapToGrid w:val="0"/>
              <w:ind w:left="210" w:leftChars="100"/>
              <w:jc w:val="left"/>
              <w:rPr>
                <w:rFonts w:ascii="宋体"/>
                <w:color w:val="auto"/>
                <w:sz w:val="24"/>
                <w:szCs w:val="24"/>
              </w:rPr>
            </w:pPr>
            <w:r>
              <w:rPr>
                <w:rFonts w:hint="eastAsia" w:ascii="宋体" w:hAnsi="宋体" w:cs="宋体"/>
                <w:color w:val="auto"/>
                <w:sz w:val="24"/>
                <w:szCs w:val="24"/>
              </w:rPr>
              <w:t>□不予批准后再次申报项目</w:t>
            </w:r>
          </w:p>
          <w:p w14:paraId="21967744">
            <w:pPr>
              <w:adjustRightInd w:val="0"/>
              <w:snapToGrid w:val="0"/>
              <w:ind w:left="210" w:leftChars="100"/>
              <w:jc w:val="left"/>
              <w:rPr>
                <w:rFonts w:ascii="宋体"/>
                <w:color w:val="auto"/>
                <w:sz w:val="24"/>
                <w:szCs w:val="24"/>
              </w:rPr>
            </w:pPr>
            <w:r>
              <w:rPr>
                <w:rFonts w:hint="eastAsia" w:ascii="宋体" w:hAnsi="宋体" w:cs="宋体"/>
                <w:color w:val="auto"/>
                <w:sz w:val="24"/>
                <w:szCs w:val="24"/>
              </w:rPr>
              <w:t>□超五年重新审核项目</w:t>
            </w:r>
          </w:p>
          <w:p w14:paraId="36556E5D">
            <w:pPr>
              <w:adjustRightInd w:val="0"/>
              <w:snapToGrid w:val="0"/>
              <w:ind w:left="210" w:leftChars="100"/>
              <w:jc w:val="left"/>
              <w:rPr>
                <w:rFonts w:ascii="宋体"/>
                <w:color w:val="auto"/>
                <w:sz w:val="24"/>
                <w:szCs w:val="24"/>
              </w:rPr>
            </w:pPr>
            <w:r>
              <w:rPr>
                <w:rFonts w:hint="eastAsia" w:ascii="宋体" w:hAnsi="宋体" w:cs="宋体"/>
                <w:color w:val="auto"/>
                <w:sz w:val="24"/>
                <w:szCs w:val="24"/>
              </w:rPr>
              <w:t>□重大变动重新报批项目</w:t>
            </w:r>
          </w:p>
        </w:tc>
      </w:tr>
      <w:tr w14:paraId="298A8E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09" w:hRule="atLeast"/>
          <w:jc w:val="center"/>
        </w:trPr>
        <w:tc>
          <w:tcPr>
            <w:tcW w:w="2002" w:type="dxa"/>
            <w:tcMar>
              <w:top w:w="16" w:type="dxa"/>
              <w:left w:w="16" w:type="dxa"/>
              <w:right w:w="16" w:type="dxa"/>
            </w:tcMar>
            <w:vAlign w:val="center"/>
          </w:tcPr>
          <w:p w14:paraId="68D1AA3D">
            <w:pPr>
              <w:adjustRightInd w:val="0"/>
              <w:snapToGrid w:val="0"/>
              <w:jc w:val="center"/>
              <w:rPr>
                <w:rFonts w:ascii="宋体"/>
                <w:color w:val="auto"/>
                <w:sz w:val="24"/>
                <w:szCs w:val="24"/>
              </w:rPr>
            </w:pPr>
            <w:r>
              <w:rPr>
                <w:rFonts w:hint="eastAsia" w:ascii="宋体" w:hAnsi="宋体" w:cs="宋体"/>
                <w:color w:val="auto"/>
                <w:sz w:val="24"/>
                <w:szCs w:val="24"/>
              </w:rPr>
              <w:t>项目审批（核准</w:t>
            </w:r>
            <w:r>
              <w:rPr>
                <w:rFonts w:ascii="宋体" w:hAnsi="宋体" w:cs="宋体"/>
                <w:color w:val="auto"/>
                <w:sz w:val="24"/>
                <w:szCs w:val="24"/>
              </w:rPr>
              <w:t>/</w:t>
            </w:r>
          </w:p>
          <w:p w14:paraId="4AEDC083">
            <w:pPr>
              <w:adjustRightInd w:val="0"/>
              <w:snapToGrid w:val="0"/>
              <w:jc w:val="center"/>
              <w:rPr>
                <w:rFonts w:ascii="宋体"/>
                <w:color w:val="auto"/>
                <w:sz w:val="24"/>
                <w:szCs w:val="24"/>
              </w:rPr>
            </w:pPr>
            <w:r>
              <w:rPr>
                <w:rFonts w:hint="eastAsia" w:ascii="宋体" w:hAnsi="宋体" w:cs="宋体"/>
                <w:color w:val="auto"/>
                <w:sz w:val="24"/>
                <w:szCs w:val="24"/>
              </w:rPr>
              <w:t>备案）部门（选填）</w:t>
            </w:r>
          </w:p>
        </w:tc>
        <w:tc>
          <w:tcPr>
            <w:tcW w:w="1841" w:type="dxa"/>
            <w:vAlign w:val="center"/>
          </w:tcPr>
          <w:p w14:paraId="318D2371">
            <w:pPr>
              <w:adjustRightInd w:val="0"/>
              <w:snapToGrid w:val="0"/>
              <w:jc w:val="center"/>
              <w:rPr>
                <w:rFonts w:hint="eastAsia" w:ascii="宋体" w:eastAsia="宋体"/>
                <w:color w:val="auto"/>
                <w:sz w:val="24"/>
                <w:szCs w:val="24"/>
                <w:lang w:eastAsia="zh-CN"/>
              </w:rPr>
            </w:pPr>
            <w:r>
              <w:rPr>
                <w:rFonts w:hint="eastAsia" w:ascii="宋体" w:hAnsi="宋体" w:cs="宋体"/>
                <w:color w:val="auto"/>
                <w:sz w:val="24"/>
                <w:szCs w:val="24"/>
                <w:lang w:eastAsia="zh-CN"/>
              </w:rPr>
              <w:t>濉溪县工业和信息化局</w:t>
            </w:r>
          </w:p>
        </w:tc>
        <w:tc>
          <w:tcPr>
            <w:tcW w:w="1877" w:type="dxa"/>
            <w:vAlign w:val="center"/>
          </w:tcPr>
          <w:p w14:paraId="5E467E99">
            <w:pPr>
              <w:adjustRightInd w:val="0"/>
              <w:snapToGrid w:val="0"/>
              <w:jc w:val="center"/>
              <w:rPr>
                <w:rFonts w:ascii="宋体"/>
                <w:color w:val="auto"/>
                <w:sz w:val="24"/>
                <w:szCs w:val="24"/>
              </w:rPr>
            </w:pPr>
            <w:r>
              <w:rPr>
                <w:rFonts w:hint="eastAsia" w:ascii="宋体" w:hAnsi="宋体" w:cs="宋体"/>
                <w:color w:val="auto"/>
                <w:sz w:val="24"/>
                <w:szCs w:val="24"/>
              </w:rPr>
              <w:t>项目审批（核准</w:t>
            </w:r>
            <w:r>
              <w:rPr>
                <w:rFonts w:ascii="宋体" w:hAnsi="宋体" w:cs="宋体"/>
                <w:color w:val="auto"/>
                <w:sz w:val="24"/>
                <w:szCs w:val="24"/>
              </w:rPr>
              <w:t>/</w:t>
            </w:r>
          </w:p>
          <w:p w14:paraId="2E468FBE">
            <w:pPr>
              <w:adjustRightInd w:val="0"/>
              <w:snapToGrid w:val="0"/>
              <w:jc w:val="center"/>
              <w:rPr>
                <w:rFonts w:ascii="宋体"/>
                <w:color w:val="auto"/>
                <w:sz w:val="24"/>
                <w:szCs w:val="24"/>
              </w:rPr>
            </w:pPr>
            <w:r>
              <w:rPr>
                <w:rFonts w:hint="eastAsia" w:ascii="宋体" w:hAnsi="宋体" w:cs="宋体"/>
                <w:color w:val="auto"/>
                <w:sz w:val="24"/>
                <w:szCs w:val="24"/>
              </w:rPr>
              <w:t>备案）文号（选填）</w:t>
            </w:r>
          </w:p>
        </w:tc>
        <w:tc>
          <w:tcPr>
            <w:tcW w:w="3257" w:type="dxa"/>
            <w:vAlign w:val="center"/>
          </w:tcPr>
          <w:p w14:paraId="28F1D4E6">
            <w:pPr>
              <w:adjustRightInd w:val="0"/>
              <w:snapToGrid w:val="0"/>
              <w:jc w:val="center"/>
              <w:rPr>
                <w:rFonts w:hint="default" w:ascii="宋体" w:eastAsia="宋体"/>
                <w:color w:val="auto"/>
                <w:sz w:val="24"/>
                <w:szCs w:val="24"/>
                <w:lang w:val="en-US" w:eastAsia="zh-CN"/>
              </w:rPr>
            </w:pPr>
            <w:r>
              <w:rPr>
                <w:rFonts w:hint="eastAsia" w:ascii="宋体" w:hAnsi="宋体" w:cs="宋体"/>
                <w:color w:val="auto"/>
                <w:sz w:val="24"/>
                <w:szCs w:val="24"/>
                <w:lang w:eastAsia="zh-CN"/>
              </w:rPr>
              <w:t>濉节能备字（</w:t>
            </w:r>
            <w:r>
              <w:rPr>
                <w:rFonts w:hint="eastAsia" w:ascii="宋体" w:hAnsi="宋体" w:cs="宋体"/>
                <w:color w:val="auto"/>
                <w:sz w:val="24"/>
                <w:szCs w:val="24"/>
                <w:lang w:val="en-US" w:eastAsia="zh-CN"/>
              </w:rPr>
              <w:t>2025</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9号</w:t>
            </w:r>
          </w:p>
        </w:tc>
      </w:tr>
      <w:tr w14:paraId="610F0E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02" w:type="dxa"/>
            <w:tcMar>
              <w:top w:w="16" w:type="dxa"/>
              <w:left w:w="16" w:type="dxa"/>
              <w:right w:w="16" w:type="dxa"/>
            </w:tcMar>
            <w:vAlign w:val="center"/>
          </w:tcPr>
          <w:p w14:paraId="049CC323">
            <w:pPr>
              <w:adjustRightInd w:val="0"/>
              <w:snapToGrid w:val="0"/>
              <w:jc w:val="center"/>
              <w:rPr>
                <w:rFonts w:ascii="宋体"/>
                <w:color w:val="auto"/>
                <w:sz w:val="24"/>
                <w:szCs w:val="24"/>
              </w:rPr>
            </w:pPr>
            <w:r>
              <w:rPr>
                <w:rFonts w:hint="eastAsia" w:ascii="宋体" w:hAnsi="宋体" w:cs="宋体"/>
                <w:color w:val="auto"/>
                <w:sz w:val="24"/>
                <w:szCs w:val="24"/>
              </w:rPr>
              <w:t>总投资（万元）</w:t>
            </w:r>
          </w:p>
        </w:tc>
        <w:tc>
          <w:tcPr>
            <w:tcW w:w="1841" w:type="dxa"/>
            <w:vAlign w:val="center"/>
          </w:tcPr>
          <w:p w14:paraId="5FD94A26">
            <w:pPr>
              <w:adjustRightInd w:val="0"/>
              <w:snapToGrid w:val="0"/>
              <w:jc w:val="center"/>
              <w:rPr>
                <w:rFonts w:hint="default" w:ascii="宋体" w:eastAsia="宋体"/>
                <w:color w:val="auto"/>
                <w:sz w:val="24"/>
                <w:szCs w:val="24"/>
                <w:highlight w:val="none"/>
                <w:lang w:val="en-US" w:eastAsia="zh-CN"/>
              </w:rPr>
            </w:pPr>
            <w:r>
              <w:rPr>
                <w:rFonts w:hint="eastAsia" w:ascii="宋体" w:hAnsi="宋体" w:cs="宋体"/>
                <w:color w:val="auto"/>
                <w:sz w:val="24"/>
                <w:szCs w:val="24"/>
                <w:highlight w:val="none"/>
                <w:lang w:val="en-US" w:eastAsia="zh-CN"/>
              </w:rPr>
              <w:t>970</w:t>
            </w:r>
          </w:p>
        </w:tc>
        <w:tc>
          <w:tcPr>
            <w:tcW w:w="1877" w:type="dxa"/>
            <w:tcMar>
              <w:top w:w="16" w:type="dxa"/>
              <w:left w:w="16" w:type="dxa"/>
              <w:right w:w="16" w:type="dxa"/>
            </w:tcMar>
            <w:vAlign w:val="center"/>
          </w:tcPr>
          <w:p w14:paraId="70B977C7">
            <w:pPr>
              <w:adjustRightInd w:val="0"/>
              <w:snapToGrid w:val="0"/>
              <w:jc w:val="center"/>
              <w:rPr>
                <w:rFonts w:ascii="宋体"/>
                <w:color w:val="auto"/>
                <w:sz w:val="24"/>
                <w:szCs w:val="24"/>
                <w:highlight w:val="none"/>
              </w:rPr>
            </w:pPr>
            <w:r>
              <w:rPr>
                <w:rFonts w:hint="eastAsia" w:ascii="宋体" w:hAnsi="宋体" w:cs="宋体"/>
                <w:color w:val="auto"/>
                <w:sz w:val="24"/>
                <w:szCs w:val="24"/>
                <w:highlight w:val="none"/>
              </w:rPr>
              <w:t>环保投资（万元）</w:t>
            </w:r>
          </w:p>
        </w:tc>
        <w:tc>
          <w:tcPr>
            <w:tcW w:w="3257" w:type="dxa"/>
            <w:vAlign w:val="center"/>
          </w:tcPr>
          <w:p w14:paraId="741694F8">
            <w:pPr>
              <w:adjustRightInd w:val="0"/>
              <w:snapToGrid w:val="0"/>
              <w:jc w:val="center"/>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95</w:t>
            </w:r>
          </w:p>
        </w:tc>
      </w:tr>
      <w:tr w14:paraId="141067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8" w:hRule="atLeast"/>
          <w:jc w:val="center"/>
        </w:trPr>
        <w:tc>
          <w:tcPr>
            <w:tcW w:w="2002" w:type="dxa"/>
            <w:tcMar>
              <w:top w:w="16" w:type="dxa"/>
              <w:left w:w="16" w:type="dxa"/>
              <w:right w:w="16" w:type="dxa"/>
            </w:tcMar>
            <w:vAlign w:val="center"/>
          </w:tcPr>
          <w:p w14:paraId="544C20E7">
            <w:pPr>
              <w:adjustRightInd w:val="0"/>
              <w:snapToGrid w:val="0"/>
              <w:jc w:val="center"/>
              <w:rPr>
                <w:rFonts w:ascii="宋体"/>
                <w:color w:val="auto"/>
                <w:sz w:val="24"/>
                <w:szCs w:val="24"/>
              </w:rPr>
            </w:pPr>
            <w:r>
              <w:rPr>
                <w:rFonts w:hint="eastAsia" w:ascii="宋体" w:hAnsi="宋体" w:cs="宋体"/>
                <w:color w:val="auto"/>
                <w:sz w:val="24"/>
                <w:szCs w:val="24"/>
              </w:rPr>
              <w:t>环保投资占比（</w:t>
            </w:r>
            <w:r>
              <w:rPr>
                <w:rFonts w:ascii="宋体" w:hAnsi="宋体" w:cs="宋体"/>
                <w:color w:val="auto"/>
                <w:sz w:val="24"/>
                <w:szCs w:val="24"/>
              </w:rPr>
              <w:t>%</w:t>
            </w:r>
            <w:r>
              <w:rPr>
                <w:rFonts w:hint="eastAsia" w:ascii="宋体" w:hAnsi="宋体" w:cs="宋体"/>
                <w:color w:val="auto"/>
                <w:sz w:val="24"/>
                <w:szCs w:val="24"/>
              </w:rPr>
              <w:t>）</w:t>
            </w:r>
          </w:p>
        </w:tc>
        <w:tc>
          <w:tcPr>
            <w:tcW w:w="1841" w:type="dxa"/>
            <w:vAlign w:val="center"/>
          </w:tcPr>
          <w:p w14:paraId="3EAD6633">
            <w:pPr>
              <w:adjustRightInd w:val="0"/>
              <w:snapToGrid w:val="0"/>
              <w:jc w:val="center"/>
              <w:rPr>
                <w:rFonts w:ascii="宋体"/>
                <w:color w:val="auto"/>
                <w:sz w:val="24"/>
                <w:szCs w:val="24"/>
                <w:highlight w:val="none"/>
              </w:rPr>
            </w:pPr>
            <w:r>
              <w:rPr>
                <w:rFonts w:hint="eastAsia" w:ascii="宋体" w:hAnsi="宋体" w:cs="宋体"/>
                <w:color w:val="auto"/>
                <w:sz w:val="24"/>
                <w:szCs w:val="24"/>
                <w:highlight w:val="none"/>
                <w:lang w:val="en-US" w:eastAsia="zh-CN"/>
              </w:rPr>
              <w:t>9.794</w:t>
            </w:r>
            <w:r>
              <w:rPr>
                <w:rFonts w:ascii="宋体" w:hAnsi="宋体" w:cs="宋体"/>
                <w:color w:val="auto"/>
                <w:sz w:val="24"/>
                <w:szCs w:val="24"/>
                <w:highlight w:val="none"/>
              </w:rPr>
              <w:t>%</w:t>
            </w:r>
          </w:p>
        </w:tc>
        <w:tc>
          <w:tcPr>
            <w:tcW w:w="1877" w:type="dxa"/>
            <w:tcMar>
              <w:top w:w="16" w:type="dxa"/>
              <w:left w:w="16" w:type="dxa"/>
              <w:right w:w="16" w:type="dxa"/>
            </w:tcMar>
            <w:vAlign w:val="center"/>
          </w:tcPr>
          <w:p w14:paraId="0D18A7F2">
            <w:pPr>
              <w:adjustRightInd w:val="0"/>
              <w:snapToGrid w:val="0"/>
              <w:jc w:val="center"/>
              <w:rPr>
                <w:rFonts w:ascii="宋体"/>
                <w:color w:val="auto"/>
                <w:sz w:val="24"/>
                <w:szCs w:val="24"/>
                <w:highlight w:val="none"/>
              </w:rPr>
            </w:pPr>
            <w:r>
              <w:rPr>
                <w:rFonts w:hint="eastAsia" w:ascii="宋体" w:hAnsi="宋体" w:cs="宋体"/>
                <w:color w:val="auto"/>
                <w:sz w:val="24"/>
                <w:szCs w:val="24"/>
                <w:highlight w:val="none"/>
              </w:rPr>
              <w:t>施工工期</w:t>
            </w:r>
          </w:p>
        </w:tc>
        <w:tc>
          <w:tcPr>
            <w:tcW w:w="3257" w:type="dxa"/>
            <w:vAlign w:val="center"/>
          </w:tcPr>
          <w:p w14:paraId="0AC580FF">
            <w:pPr>
              <w:adjustRightInd w:val="0"/>
              <w:snapToGrid w:val="0"/>
              <w:jc w:val="center"/>
              <w:rPr>
                <w:rFonts w:ascii="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个月</w:t>
            </w:r>
          </w:p>
        </w:tc>
      </w:tr>
      <w:tr w14:paraId="0F7D3D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64" w:hRule="atLeast"/>
          <w:jc w:val="center"/>
        </w:trPr>
        <w:tc>
          <w:tcPr>
            <w:tcW w:w="2002" w:type="dxa"/>
            <w:tcMar>
              <w:top w:w="16" w:type="dxa"/>
              <w:left w:w="16" w:type="dxa"/>
              <w:right w:w="16" w:type="dxa"/>
            </w:tcMar>
            <w:vAlign w:val="center"/>
          </w:tcPr>
          <w:p w14:paraId="627B48AF">
            <w:pPr>
              <w:adjustRightInd w:val="0"/>
              <w:snapToGrid w:val="0"/>
              <w:jc w:val="center"/>
              <w:rPr>
                <w:rFonts w:ascii="宋体"/>
                <w:color w:val="auto"/>
                <w:sz w:val="24"/>
                <w:szCs w:val="24"/>
              </w:rPr>
            </w:pPr>
            <w:r>
              <w:rPr>
                <w:rFonts w:hint="eastAsia" w:ascii="宋体" w:hAnsi="宋体" w:cs="宋体"/>
                <w:color w:val="auto"/>
                <w:sz w:val="24"/>
                <w:szCs w:val="24"/>
              </w:rPr>
              <w:t>是否开工建设</w:t>
            </w:r>
          </w:p>
        </w:tc>
        <w:tc>
          <w:tcPr>
            <w:tcW w:w="1841" w:type="dxa"/>
            <w:vAlign w:val="center"/>
          </w:tcPr>
          <w:p w14:paraId="6A9E4189">
            <w:pPr>
              <w:adjustRightInd w:val="0"/>
              <w:snapToGrid w:val="0"/>
              <w:ind w:left="210" w:leftChars="100"/>
              <w:jc w:val="left"/>
              <w:rPr>
                <w:rFonts w:ascii="宋体"/>
                <w:color w:val="auto"/>
                <w:sz w:val="24"/>
                <w:szCs w:val="24"/>
              </w:rPr>
            </w:pPr>
            <w:r>
              <w:rPr>
                <w:rFonts w:hint="eastAsia" w:ascii="MS Mincho" w:hAnsi="MS Mincho" w:cs="MS Mincho"/>
                <w:color w:val="auto"/>
                <w:sz w:val="24"/>
                <w:szCs w:val="24"/>
              </w:rPr>
              <w:t>☑</w:t>
            </w:r>
            <w:r>
              <w:rPr>
                <w:rFonts w:hint="eastAsia" w:ascii="宋体" w:hAnsi="宋体" w:cs="宋体"/>
                <w:color w:val="auto"/>
                <w:sz w:val="24"/>
                <w:szCs w:val="24"/>
              </w:rPr>
              <w:t>否</w:t>
            </w:r>
          </w:p>
          <w:p w14:paraId="4E601605">
            <w:pPr>
              <w:adjustRightInd w:val="0"/>
              <w:snapToGrid w:val="0"/>
              <w:ind w:left="210" w:leftChars="100"/>
              <w:rPr>
                <w:rFonts w:ascii="宋体"/>
                <w:color w:val="auto"/>
                <w:sz w:val="24"/>
                <w:szCs w:val="24"/>
                <w:u w:val="single"/>
              </w:rPr>
            </w:pPr>
            <w:r>
              <w:rPr>
                <w:rFonts w:hint="eastAsia" w:ascii="MS Mincho" w:hAnsi="MS Mincho" w:cs="MS Mincho"/>
                <w:color w:val="auto"/>
                <w:sz w:val="24"/>
                <w:szCs w:val="24"/>
              </w:rPr>
              <w:t>□</w:t>
            </w:r>
            <w:r>
              <w:rPr>
                <w:rFonts w:hint="eastAsia" w:ascii="宋体" w:hAnsi="宋体" w:cs="宋体"/>
                <w:color w:val="auto"/>
                <w:sz w:val="24"/>
                <w:szCs w:val="24"/>
              </w:rPr>
              <w:t>是</w:t>
            </w:r>
          </w:p>
        </w:tc>
        <w:tc>
          <w:tcPr>
            <w:tcW w:w="1877" w:type="dxa"/>
            <w:tcMar>
              <w:top w:w="16" w:type="dxa"/>
              <w:left w:w="16" w:type="dxa"/>
              <w:right w:w="16" w:type="dxa"/>
            </w:tcMar>
            <w:vAlign w:val="center"/>
          </w:tcPr>
          <w:p w14:paraId="7C5A0ED2">
            <w:pPr>
              <w:adjustRightInd w:val="0"/>
              <w:snapToGrid w:val="0"/>
              <w:jc w:val="center"/>
              <w:rPr>
                <w:rFonts w:ascii="宋体"/>
                <w:color w:val="auto"/>
                <w:sz w:val="24"/>
                <w:szCs w:val="24"/>
              </w:rPr>
            </w:pPr>
            <w:r>
              <w:rPr>
                <w:rFonts w:hint="eastAsia" w:ascii="宋体" w:hAnsi="宋体" w:cs="宋体"/>
                <w:color w:val="auto"/>
                <w:sz w:val="24"/>
                <w:szCs w:val="24"/>
              </w:rPr>
              <w:t>用地（用海）</w:t>
            </w:r>
          </w:p>
          <w:p w14:paraId="326A9B90">
            <w:pPr>
              <w:adjustRightInd w:val="0"/>
              <w:snapToGrid w:val="0"/>
              <w:jc w:val="center"/>
              <w:rPr>
                <w:rFonts w:ascii="宋体"/>
                <w:color w:val="auto"/>
                <w:sz w:val="24"/>
                <w:szCs w:val="24"/>
              </w:rPr>
            </w:pPr>
            <w:r>
              <w:rPr>
                <w:rFonts w:hint="eastAsia" w:ascii="宋体" w:hAnsi="宋体" w:cs="宋体"/>
                <w:color w:val="auto"/>
                <w:sz w:val="24"/>
                <w:szCs w:val="24"/>
              </w:rPr>
              <w:t>面积（</w:t>
            </w:r>
            <w:r>
              <w:rPr>
                <w:rFonts w:ascii="宋体" w:hAnsi="宋体" w:cs="宋体"/>
                <w:color w:val="auto"/>
                <w:sz w:val="24"/>
                <w:szCs w:val="24"/>
              </w:rPr>
              <w:t>m</w:t>
            </w:r>
            <w:r>
              <w:rPr>
                <w:rFonts w:ascii="宋体" w:hAnsi="宋体" w:cs="宋体"/>
                <w:color w:val="auto"/>
                <w:sz w:val="24"/>
                <w:szCs w:val="24"/>
                <w:vertAlign w:val="superscript"/>
              </w:rPr>
              <w:t>2</w:t>
            </w:r>
            <w:r>
              <w:rPr>
                <w:rFonts w:hint="eastAsia" w:ascii="宋体" w:hAnsi="宋体" w:cs="宋体"/>
                <w:color w:val="auto"/>
                <w:sz w:val="24"/>
                <w:szCs w:val="24"/>
              </w:rPr>
              <w:t>）</w:t>
            </w:r>
          </w:p>
        </w:tc>
        <w:tc>
          <w:tcPr>
            <w:tcW w:w="3257" w:type="dxa"/>
            <w:vAlign w:val="center"/>
          </w:tcPr>
          <w:p w14:paraId="68A4A431">
            <w:pPr>
              <w:adjustRightInd w:val="0"/>
              <w:snapToGrid w:val="0"/>
              <w:jc w:val="center"/>
              <w:rPr>
                <w:rFonts w:hint="default"/>
                <w:color w:val="auto"/>
                <w:lang w:val="en-US" w:eastAsia="zh-CN"/>
              </w:rPr>
            </w:pPr>
            <w:r>
              <w:rPr>
                <w:rFonts w:hint="eastAsia" w:ascii="宋体" w:hAnsi="宋体" w:cs="宋体"/>
                <w:color w:val="auto"/>
                <w:sz w:val="24"/>
                <w:szCs w:val="24"/>
              </w:rPr>
              <w:t>约</w:t>
            </w:r>
            <w:r>
              <w:rPr>
                <w:rFonts w:hint="eastAsia" w:ascii="宋体" w:hAnsi="宋体" w:cs="宋体"/>
                <w:color w:val="auto"/>
                <w:sz w:val="24"/>
                <w:szCs w:val="24"/>
                <w:lang w:val="en-US" w:eastAsia="zh-CN"/>
              </w:rPr>
              <w:t>44622</w:t>
            </w:r>
          </w:p>
        </w:tc>
      </w:tr>
      <w:tr w14:paraId="2FC584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002" w:type="dxa"/>
            <w:vAlign w:val="center"/>
          </w:tcPr>
          <w:p w14:paraId="7145CB21">
            <w:pPr>
              <w:adjustRightInd w:val="0"/>
              <w:snapToGrid w:val="0"/>
              <w:jc w:val="center"/>
              <w:rPr>
                <w:rFonts w:ascii="宋体"/>
                <w:color w:val="auto"/>
                <w:sz w:val="24"/>
                <w:szCs w:val="24"/>
              </w:rPr>
            </w:pPr>
            <w:r>
              <w:rPr>
                <w:rFonts w:hint="eastAsia" w:ascii="宋体" w:hAnsi="宋体" w:cs="宋体"/>
                <w:color w:val="auto"/>
                <w:sz w:val="24"/>
                <w:szCs w:val="24"/>
              </w:rPr>
              <w:t>专项评价设置情况</w:t>
            </w:r>
          </w:p>
        </w:tc>
        <w:tc>
          <w:tcPr>
            <w:tcW w:w="6975" w:type="dxa"/>
            <w:gridSpan w:val="3"/>
            <w:vAlign w:val="center"/>
          </w:tcPr>
          <w:p w14:paraId="5C6E0366">
            <w:pPr>
              <w:adjustRightInd w:val="0"/>
              <w:snapToGrid w:val="0"/>
              <w:jc w:val="center"/>
              <w:rPr>
                <w:rFonts w:ascii="宋体"/>
                <w:color w:val="auto"/>
                <w:sz w:val="24"/>
                <w:szCs w:val="24"/>
              </w:rPr>
            </w:pPr>
            <w:r>
              <w:rPr>
                <w:rFonts w:hint="eastAsia" w:ascii="宋体" w:hAnsi="宋体" w:cs="宋体"/>
                <w:color w:val="auto"/>
                <w:sz w:val="24"/>
                <w:szCs w:val="24"/>
              </w:rPr>
              <w:t>无</w:t>
            </w:r>
          </w:p>
        </w:tc>
      </w:tr>
      <w:tr w14:paraId="2B0754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02" w:type="dxa"/>
            <w:vAlign w:val="center"/>
          </w:tcPr>
          <w:p w14:paraId="0C446420">
            <w:pPr>
              <w:adjustRightInd w:val="0"/>
              <w:snapToGrid w:val="0"/>
              <w:jc w:val="center"/>
              <w:rPr>
                <w:rFonts w:ascii="宋体"/>
                <w:color w:val="auto"/>
                <w:sz w:val="24"/>
                <w:szCs w:val="24"/>
              </w:rPr>
            </w:pPr>
            <w:r>
              <w:rPr>
                <w:rFonts w:hint="eastAsia" w:ascii="宋体" w:hAnsi="宋体" w:cs="宋体"/>
                <w:color w:val="auto"/>
                <w:sz w:val="24"/>
                <w:szCs w:val="24"/>
              </w:rPr>
              <w:t>规划情况</w:t>
            </w:r>
          </w:p>
        </w:tc>
        <w:tc>
          <w:tcPr>
            <w:tcW w:w="6975" w:type="dxa"/>
            <w:gridSpan w:val="3"/>
            <w:vAlign w:val="center"/>
          </w:tcPr>
          <w:p w14:paraId="7BDA3A49">
            <w:pPr>
              <w:spacing w:line="240" w:lineRule="auto"/>
              <w:jc w:val="center"/>
              <w:rPr>
                <w:rFonts w:ascii="宋体"/>
                <w:color w:val="auto"/>
                <w:sz w:val="24"/>
                <w:szCs w:val="24"/>
              </w:rPr>
            </w:pPr>
            <w:r>
              <w:rPr>
                <w:rFonts w:hint="eastAsia" w:ascii="宋体" w:hAnsi="宋体" w:cs="宋体"/>
                <w:color w:val="auto"/>
                <w:sz w:val="24"/>
                <w:szCs w:val="24"/>
              </w:rPr>
              <w:t>无</w:t>
            </w:r>
          </w:p>
        </w:tc>
      </w:tr>
      <w:tr w14:paraId="564F64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002" w:type="dxa"/>
            <w:vAlign w:val="center"/>
          </w:tcPr>
          <w:p w14:paraId="29092CFC">
            <w:pPr>
              <w:adjustRightInd w:val="0"/>
              <w:snapToGrid w:val="0"/>
              <w:jc w:val="center"/>
              <w:rPr>
                <w:rFonts w:ascii="宋体"/>
                <w:color w:val="auto"/>
                <w:sz w:val="24"/>
                <w:szCs w:val="24"/>
              </w:rPr>
            </w:pPr>
            <w:r>
              <w:rPr>
                <w:rFonts w:hint="eastAsia" w:ascii="宋体" w:hAnsi="宋体" w:cs="宋体"/>
                <w:color w:val="auto"/>
                <w:sz w:val="24"/>
                <w:szCs w:val="24"/>
              </w:rPr>
              <w:t>规划环境影响评价情况</w:t>
            </w:r>
          </w:p>
        </w:tc>
        <w:tc>
          <w:tcPr>
            <w:tcW w:w="6975" w:type="dxa"/>
            <w:gridSpan w:val="3"/>
            <w:vAlign w:val="center"/>
          </w:tcPr>
          <w:p w14:paraId="78DD3DD0">
            <w:pPr>
              <w:spacing w:line="240" w:lineRule="auto"/>
              <w:jc w:val="center"/>
              <w:rPr>
                <w:rFonts w:ascii="宋体"/>
                <w:color w:val="auto"/>
                <w:sz w:val="24"/>
                <w:szCs w:val="24"/>
              </w:rPr>
            </w:pPr>
            <w:r>
              <w:rPr>
                <w:rFonts w:hint="eastAsia" w:ascii="宋体" w:hAnsi="宋体" w:cs="宋体"/>
                <w:color w:val="auto"/>
                <w:sz w:val="24"/>
                <w:szCs w:val="24"/>
              </w:rPr>
              <w:t>无</w:t>
            </w:r>
          </w:p>
        </w:tc>
      </w:tr>
      <w:tr w14:paraId="77BAB3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2002" w:type="dxa"/>
            <w:vAlign w:val="center"/>
          </w:tcPr>
          <w:p w14:paraId="747AE2B6">
            <w:pPr>
              <w:adjustRightInd w:val="0"/>
              <w:snapToGrid w:val="0"/>
              <w:jc w:val="center"/>
              <w:rPr>
                <w:rFonts w:ascii="宋体"/>
                <w:color w:val="auto"/>
                <w:sz w:val="24"/>
                <w:szCs w:val="24"/>
              </w:rPr>
            </w:pPr>
            <w:r>
              <w:rPr>
                <w:rFonts w:hint="eastAsia" w:ascii="宋体" w:hAnsi="宋体" w:cs="宋体"/>
                <w:color w:val="auto"/>
                <w:sz w:val="24"/>
                <w:szCs w:val="24"/>
              </w:rPr>
              <w:t>规划及规划环境影响评价符合性分析</w:t>
            </w:r>
          </w:p>
        </w:tc>
        <w:tc>
          <w:tcPr>
            <w:tcW w:w="6975" w:type="dxa"/>
            <w:gridSpan w:val="3"/>
            <w:vAlign w:val="center"/>
          </w:tcPr>
          <w:p w14:paraId="306CD580">
            <w:pPr>
              <w:jc w:val="center"/>
              <w:rPr>
                <w:color w:val="auto"/>
              </w:rPr>
            </w:pPr>
            <w:r>
              <w:rPr>
                <w:rFonts w:hint="eastAsia" w:ascii="宋体" w:hAnsi="宋体" w:cs="宋体"/>
                <w:color w:val="auto"/>
                <w:sz w:val="24"/>
                <w:szCs w:val="24"/>
              </w:rPr>
              <w:t>无</w:t>
            </w:r>
          </w:p>
        </w:tc>
      </w:tr>
      <w:tr w14:paraId="3E7F11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74" w:hRule="atLeast"/>
          <w:jc w:val="center"/>
        </w:trPr>
        <w:tc>
          <w:tcPr>
            <w:tcW w:w="2002" w:type="dxa"/>
            <w:tcBorders>
              <w:bottom w:val="single" w:color="auto" w:sz="8" w:space="0"/>
            </w:tcBorders>
            <w:vAlign w:val="center"/>
          </w:tcPr>
          <w:p w14:paraId="0D305212">
            <w:pPr>
              <w:adjustRightInd w:val="0"/>
              <w:snapToGrid w:val="0"/>
              <w:jc w:val="center"/>
              <w:rPr>
                <w:rFonts w:ascii="宋体"/>
                <w:color w:val="auto"/>
                <w:sz w:val="24"/>
                <w:szCs w:val="24"/>
              </w:rPr>
            </w:pPr>
            <w:r>
              <w:rPr>
                <w:rFonts w:hint="eastAsia" w:ascii="宋体" w:hAnsi="宋体" w:cs="宋体"/>
                <w:color w:val="auto"/>
                <w:sz w:val="24"/>
                <w:szCs w:val="24"/>
              </w:rPr>
              <w:t>其他符合性分析</w:t>
            </w:r>
          </w:p>
        </w:tc>
        <w:tc>
          <w:tcPr>
            <w:tcW w:w="6975" w:type="dxa"/>
            <w:gridSpan w:val="3"/>
            <w:tcBorders>
              <w:bottom w:val="single" w:color="auto" w:sz="8" w:space="0"/>
            </w:tcBorders>
            <w:vAlign w:val="center"/>
          </w:tcPr>
          <w:p w14:paraId="70F93E8E">
            <w:pPr>
              <w:adjustRightInd w:val="0"/>
              <w:snapToGrid w:val="0"/>
              <w:spacing w:before="240" w:beforeLines="100" w:line="360" w:lineRule="auto"/>
              <w:ind w:firstLine="482" w:firstLineChars="200"/>
              <w:jc w:val="left"/>
              <w:rPr>
                <w:rFonts w:hint="eastAsia" w:ascii="宋体" w:eastAsia="宋体"/>
                <w:b/>
                <w:bCs/>
                <w:color w:val="auto"/>
                <w:sz w:val="24"/>
                <w:szCs w:val="24"/>
                <w:lang w:eastAsia="zh-CN"/>
              </w:rPr>
            </w:pPr>
            <w:r>
              <w:rPr>
                <w:rFonts w:ascii="宋体" w:hAnsi="宋体" w:cs="宋体"/>
                <w:b/>
                <w:bCs/>
                <w:color w:val="auto"/>
                <w:sz w:val="24"/>
                <w:szCs w:val="24"/>
              </w:rPr>
              <w:t>1</w:t>
            </w:r>
            <w:r>
              <w:rPr>
                <w:rFonts w:hint="eastAsia" w:ascii="宋体" w:hAnsi="宋体" w:cs="宋体"/>
                <w:b/>
                <w:bCs/>
                <w:color w:val="auto"/>
                <w:sz w:val="24"/>
                <w:szCs w:val="24"/>
              </w:rPr>
              <w:t>、</w:t>
            </w:r>
            <w:r>
              <w:rPr>
                <w:rFonts w:hint="eastAsia" w:ascii="Times New Roman" w:hAnsi="Times New Roman" w:eastAsia="宋体" w:cs="Times New Roman"/>
                <w:b/>
                <w:bCs/>
                <w:color w:val="auto"/>
                <w:kern w:val="0"/>
                <w:sz w:val="24"/>
                <w:szCs w:val="24"/>
                <w:lang w:val="en-US" w:eastAsia="zh-CN" w:bidi="ar-SA"/>
              </w:rPr>
              <w:t>产业政策符合性分析</w:t>
            </w:r>
          </w:p>
          <w:p w14:paraId="29699D51">
            <w:pPr>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cs="宋体"/>
                <w:color w:val="auto"/>
                <w:sz w:val="24"/>
                <w:szCs w:val="24"/>
              </w:rPr>
              <w:t>对照《产业结构调整指导目录（2024年本》，本项目</w:t>
            </w:r>
            <w:r>
              <w:rPr>
                <w:rFonts w:hint="eastAsia" w:ascii="宋体" w:hAnsi="宋体" w:cs="宋体"/>
                <w:color w:val="auto"/>
                <w:sz w:val="24"/>
                <w:szCs w:val="24"/>
                <w:lang w:eastAsia="zh-CN"/>
              </w:rPr>
              <w:t>属于</w:t>
            </w:r>
            <w:r>
              <w:rPr>
                <w:rFonts w:hint="eastAsia" w:ascii="宋体" w:hAnsi="宋体" w:cs="宋体"/>
                <w:color w:val="auto"/>
                <w:sz w:val="24"/>
                <w:szCs w:val="24"/>
              </w:rPr>
              <w:t>鼓励类</w:t>
            </w:r>
            <w:r>
              <w:rPr>
                <w:rFonts w:hint="eastAsia" w:ascii="宋体" w:hAnsi="宋体" w:cs="宋体"/>
                <w:color w:val="auto"/>
                <w:sz w:val="24"/>
                <w:szCs w:val="24"/>
                <w:lang w:eastAsia="zh-CN"/>
              </w:rPr>
              <w:t>中“十二、建材，第</w:t>
            </w:r>
            <w:r>
              <w:rPr>
                <w:rFonts w:hint="eastAsia" w:ascii="宋体" w:hAnsi="宋体" w:cs="宋体"/>
                <w:color w:val="auto"/>
                <w:sz w:val="24"/>
                <w:szCs w:val="24"/>
                <w:lang w:val="en-US" w:eastAsia="zh-CN"/>
              </w:rPr>
              <w:t>9款，不低于20万块/日（含）新型烧结砖瓦生产线协同处置大宗废弃物工艺技术及产品的研发与应用</w:t>
            </w:r>
            <w:r>
              <w:rPr>
                <w:rFonts w:hint="eastAsia" w:ascii="宋体" w:hAnsi="宋体" w:cs="宋体"/>
                <w:color w:val="auto"/>
                <w:sz w:val="24"/>
                <w:szCs w:val="24"/>
                <w:lang w:eastAsia="zh-CN"/>
              </w:rPr>
              <w:t>”。</w:t>
            </w:r>
            <w:r>
              <w:rPr>
                <w:rFonts w:hint="eastAsia" w:ascii="宋体" w:hAnsi="宋体" w:eastAsia="宋体" w:cs="宋体"/>
                <w:color w:val="auto"/>
                <w:sz w:val="24"/>
                <w:szCs w:val="24"/>
              </w:rPr>
              <w:t>根据《安徽省“两高”项目管理目录（试行）》可知，本项目不属于“两高”项目。</w:t>
            </w:r>
          </w:p>
          <w:p w14:paraId="072A798E">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rPr>
              <w:t>本项目</w:t>
            </w:r>
            <w:r>
              <w:rPr>
                <w:rFonts w:hint="eastAsia" w:ascii="宋体" w:hAnsi="宋体" w:cs="宋体"/>
                <w:color w:val="auto"/>
                <w:sz w:val="24"/>
                <w:szCs w:val="24"/>
                <w:lang w:eastAsia="zh-CN"/>
              </w:rPr>
              <w:t>属于技术改造项目，</w:t>
            </w:r>
            <w:r>
              <w:rPr>
                <w:rFonts w:hint="eastAsia" w:ascii="宋体" w:hAnsi="宋体" w:cs="宋体"/>
                <w:color w:val="auto"/>
                <w:sz w:val="24"/>
                <w:szCs w:val="24"/>
              </w:rPr>
              <w:t>已于</w:t>
            </w:r>
            <w:r>
              <w:rPr>
                <w:rFonts w:hint="eastAsia" w:ascii="宋体" w:hAnsi="宋体" w:cs="宋体"/>
                <w:color w:val="auto"/>
                <w:sz w:val="24"/>
                <w:szCs w:val="24"/>
                <w:lang w:eastAsia="zh-CN"/>
              </w:rPr>
              <w:t>2025年</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月</w:t>
            </w:r>
            <w:r>
              <w:rPr>
                <w:rFonts w:hint="eastAsia" w:ascii="宋体" w:hAnsi="宋体" w:cs="宋体"/>
                <w:color w:val="auto"/>
                <w:sz w:val="24"/>
                <w:szCs w:val="24"/>
                <w:lang w:val="en-US" w:eastAsia="zh-CN"/>
              </w:rPr>
              <w:t>12</w:t>
            </w:r>
            <w:r>
              <w:rPr>
                <w:rFonts w:hint="eastAsia" w:ascii="宋体" w:hAnsi="宋体" w:cs="宋体"/>
                <w:color w:val="auto"/>
                <w:sz w:val="24"/>
                <w:szCs w:val="24"/>
                <w:lang w:eastAsia="zh-CN"/>
              </w:rPr>
              <w:t>日</w:t>
            </w:r>
            <w:r>
              <w:rPr>
                <w:rFonts w:hint="eastAsia" w:ascii="宋体" w:hAnsi="宋体" w:cs="宋体"/>
                <w:color w:val="auto"/>
                <w:sz w:val="24"/>
                <w:szCs w:val="24"/>
                <w:highlight w:val="none"/>
              </w:rPr>
              <w:t>取得了</w:t>
            </w:r>
            <w:r>
              <w:rPr>
                <w:rFonts w:hint="eastAsia" w:ascii="宋体" w:hAnsi="宋体" w:cs="宋体"/>
                <w:color w:val="auto"/>
                <w:sz w:val="24"/>
                <w:szCs w:val="24"/>
                <w:highlight w:val="none"/>
                <w:lang w:eastAsia="zh-CN"/>
              </w:rPr>
              <w:t>濉溪县工业和信息化局</w:t>
            </w:r>
            <w:r>
              <w:rPr>
                <w:rFonts w:hint="eastAsia" w:ascii="宋体" w:hAnsi="宋体" w:cs="宋体"/>
                <w:color w:val="auto"/>
                <w:sz w:val="24"/>
                <w:szCs w:val="24"/>
                <w:highlight w:val="none"/>
              </w:rPr>
              <w:t>备案</w:t>
            </w:r>
            <w:r>
              <w:rPr>
                <w:rFonts w:hint="eastAsia" w:ascii="宋体" w:hAnsi="宋体" w:cs="宋体"/>
                <w:color w:val="auto"/>
                <w:sz w:val="24"/>
                <w:szCs w:val="24"/>
                <w:highlight w:val="none"/>
                <w:lang w:eastAsia="zh-CN"/>
              </w:rPr>
              <w:t>证</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编号：濉节能备字（2025）9号</w:t>
            </w:r>
            <w:r>
              <w:rPr>
                <w:rFonts w:hint="eastAsia" w:ascii="宋体" w:hAnsi="宋体" w:cs="宋体"/>
                <w:color w:val="auto"/>
                <w:sz w:val="24"/>
                <w:szCs w:val="24"/>
                <w:highlight w:val="none"/>
              </w:rPr>
              <w:t>。</w:t>
            </w:r>
          </w:p>
          <w:p w14:paraId="0830A794">
            <w:pPr>
              <w:adjustRightInd w:val="0"/>
              <w:snapToGri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因此</w:t>
            </w:r>
            <w:r>
              <w:rPr>
                <w:rFonts w:hint="eastAsia" w:ascii="宋体" w:hAnsi="宋体" w:cs="宋体"/>
                <w:color w:val="auto"/>
                <w:sz w:val="24"/>
                <w:szCs w:val="24"/>
                <w:lang w:eastAsia="zh-CN"/>
              </w:rPr>
              <w:t>，</w:t>
            </w:r>
            <w:r>
              <w:rPr>
                <w:rFonts w:hint="eastAsia" w:ascii="宋体" w:hAnsi="宋体" w:cs="宋体"/>
                <w:color w:val="auto"/>
                <w:sz w:val="24"/>
                <w:szCs w:val="24"/>
              </w:rPr>
              <w:t>本项目建设符合产业政策要求。</w:t>
            </w:r>
          </w:p>
          <w:p w14:paraId="239B7EE7">
            <w:pPr>
              <w:numPr>
                <w:ilvl w:val="0"/>
                <w:numId w:val="0"/>
              </w:numPr>
              <w:adjustRightInd w:val="0"/>
              <w:snapToGrid w:val="0"/>
              <w:spacing w:line="360" w:lineRule="auto"/>
              <w:ind w:firstLine="482" w:firstLineChars="200"/>
              <w:jc w:val="both"/>
              <w:rPr>
                <w:rFonts w:hint="eastAsia" w:ascii="宋体" w:hAnsi="宋体" w:cs="宋体"/>
                <w:color w:val="auto"/>
                <w:sz w:val="24"/>
                <w:szCs w:val="24"/>
                <w:highlight w:val="none"/>
                <w:lang w:val="en-US" w:eastAsia="zh-CN"/>
              </w:rPr>
            </w:pPr>
            <w:r>
              <w:rPr>
                <w:rFonts w:hint="eastAsia" w:ascii="Times New Roman" w:hAnsi="Times New Roman" w:eastAsia="宋体" w:cs="Times New Roman"/>
                <w:b/>
                <w:bCs/>
                <w:color w:val="auto"/>
                <w:kern w:val="0"/>
                <w:sz w:val="24"/>
                <w:szCs w:val="24"/>
                <w:lang w:val="en-US" w:eastAsia="zh-CN" w:bidi="ar-SA"/>
              </w:rPr>
              <w:t>2、项目选址符合性分析</w:t>
            </w:r>
          </w:p>
          <w:p w14:paraId="02F29E52">
            <w:pPr>
              <w:numPr>
                <w:ilvl w:val="0"/>
                <w:numId w:val="2"/>
              </w:numPr>
              <w:adjustRightInd w:val="0"/>
              <w:snapToGri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用地符合性</w:t>
            </w:r>
          </w:p>
          <w:p w14:paraId="0B2442B2">
            <w:pPr>
              <w:adjustRightInd w:val="0"/>
              <w:snapToGrid w:val="0"/>
              <w:spacing w:line="360" w:lineRule="auto"/>
              <w:ind w:firstLine="480" w:firstLineChars="200"/>
              <w:jc w:val="left"/>
              <w:rPr>
                <w:rFonts w:hint="eastAsia" w:ascii="宋体"/>
                <w:color w:val="auto"/>
                <w:sz w:val="24"/>
                <w:szCs w:val="24"/>
              </w:rPr>
            </w:pPr>
            <w:r>
              <w:rPr>
                <w:rFonts w:hint="eastAsia" w:ascii="宋体"/>
                <w:color w:val="auto"/>
                <w:sz w:val="24"/>
                <w:szCs w:val="24"/>
              </w:rPr>
              <w:t>本项目位于</w:t>
            </w:r>
            <w:r>
              <w:rPr>
                <w:rFonts w:hint="eastAsia" w:ascii="宋体"/>
                <w:color w:val="auto"/>
                <w:sz w:val="24"/>
                <w:szCs w:val="24"/>
                <w:lang w:eastAsia="zh-CN"/>
              </w:rPr>
              <w:t>安徽省淮北市濉溪县刘桥二矿南500米</w:t>
            </w:r>
            <w:r>
              <w:rPr>
                <w:rFonts w:hint="eastAsia" w:ascii="宋体"/>
                <w:color w:val="auto"/>
                <w:sz w:val="24"/>
                <w:szCs w:val="24"/>
              </w:rPr>
              <w:t>，根据</w:t>
            </w:r>
            <w:r>
              <w:rPr>
                <w:rFonts w:hint="eastAsia" w:ascii="宋体"/>
                <w:color w:val="auto"/>
                <w:sz w:val="24"/>
                <w:szCs w:val="24"/>
                <w:lang w:val="en-US" w:eastAsia="zh-CN"/>
              </w:rPr>
              <w:t>2016年10月27日濉溪县城乡建设委员会出具的“关于濉溪县国华新型建材厂项目规划初审意见”（见附件）显示</w:t>
            </w:r>
            <w:r>
              <w:rPr>
                <w:rFonts w:hint="eastAsia" w:ascii="宋体"/>
                <w:color w:val="auto"/>
                <w:sz w:val="24"/>
                <w:szCs w:val="24"/>
              </w:rPr>
              <w:t>，本项目</w:t>
            </w:r>
            <w:r>
              <w:rPr>
                <w:rFonts w:hint="eastAsia" w:ascii="宋体"/>
                <w:color w:val="auto"/>
                <w:sz w:val="24"/>
                <w:szCs w:val="24"/>
                <w:lang w:eastAsia="zh-CN"/>
              </w:rPr>
              <w:t>选址刘桥镇总体规划。</w:t>
            </w:r>
            <w:r>
              <w:rPr>
                <w:rFonts w:hint="eastAsia" w:ascii="宋体"/>
                <w:color w:val="auto"/>
                <w:sz w:val="24"/>
                <w:szCs w:val="24"/>
              </w:rPr>
              <w:t>厂区布局合理，交通方便，水电等供应可靠，因此项目选址合理。</w:t>
            </w:r>
          </w:p>
          <w:p w14:paraId="4386F355">
            <w:pPr>
              <w:adjustRightInd w:val="0"/>
              <w:snapToGrid w:val="0"/>
              <w:spacing w:line="360" w:lineRule="auto"/>
              <w:ind w:firstLine="480" w:firstLineChars="200"/>
              <w:jc w:val="left"/>
              <w:rPr>
                <w:rFonts w:hint="eastAsia" w:ascii="宋体"/>
                <w:color w:val="auto"/>
                <w:sz w:val="24"/>
                <w:szCs w:val="24"/>
              </w:rPr>
            </w:pPr>
            <w:r>
              <w:rPr>
                <w:rFonts w:hint="eastAsia" w:ascii="宋体"/>
                <w:color w:val="auto"/>
                <w:sz w:val="24"/>
                <w:szCs w:val="24"/>
              </w:rPr>
              <w:t>（2）环境承载能力</w:t>
            </w:r>
          </w:p>
          <w:p w14:paraId="73A7CA34">
            <w:pPr>
              <w:adjustRightInd w:val="0"/>
              <w:snapToGrid w:val="0"/>
              <w:spacing w:line="360" w:lineRule="auto"/>
              <w:ind w:firstLine="480" w:firstLineChars="200"/>
              <w:jc w:val="left"/>
              <w:rPr>
                <w:rFonts w:hint="eastAsia" w:ascii="宋体"/>
                <w:color w:val="auto"/>
                <w:sz w:val="24"/>
                <w:szCs w:val="24"/>
              </w:rPr>
            </w:pPr>
            <w:r>
              <w:rPr>
                <w:rFonts w:hint="eastAsia" w:ascii="宋体"/>
                <w:color w:val="auto"/>
                <w:sz w:val="24"/>
                <w:szCs w:val="24"/>
              </w:rPr>
              <w:t>本项目周边500m范围内无自然保护区、风景旅游景点和文物古迹等需要特殊保护的环境敏感对象；项目所在地交通方便，水电供应可靠；本项目在做好废气治理和废水处理措施的前提下，对环境质量的影响较小，建成后不会造成环境质量下降。因此，项目在环境承载能力内。</w:t>
            </w:r>
          </w:p>
          <w:p w14:paraId="3B5BC5E8">
            <w:pPr>
              <w:adjustRightInd w:val="0"/>
              <w:snapToGrid w:val="0"/>
              <w:spacing w:line="360" w:lineRule="auto"/>
              <w:ind w:firstLine="480" w:firstLineChars="200"/>
              <w:jc w:val="left"/>
              <w:rPr>
                <w:rFonts w:hint="eastAsia" w:ascii="宋体"/>
                <w:color w:val="auto"/>
                <w:sz w:val="24"/>
                <w:szCs w:val="24"/>
              </w:rPr>
            </w:pPr>
            <w:r>
              <w:rPr>
                <w:rFonts w:hint="eastAsia" w:ascii="宋体"/>
                <w:color w:val="auto"/>
                <w:sz w:val="24"/>
                <w:szCs w:val="24"/>
              </w:rPr>
              <w:t>（3）选址环境相容性</w:t>
            </w:r>
          </w:p>
          <w:p w14:paraId="02EBD67E">
            <w:pPr>
              <w:adjustRightInd w:val="0"/>
              <w:snapToGrid w:val="0"/>
              <w:spacing w:line="360" w:lineRule="auto"/>
              <w:ind w:firstLine="480" w:firstLineChars="200"/>
              <w:jc w:val="left"/>
              <w:rPr>
                <w:rFonts w:ascii="宋体"/>
                <w:color w:val="auto"/>
                <w:sz w:val="24"/>
                <w:szCs w:val="24"/>
              </w:rPr>
            </w:pPr>
            <w:r>
              <w:rPr>
                <w:rFonts w:hint="eastAsia" w:ascii="宋体"/>
                <w:color w:val="auto"/>
                <w:sz w:val="24"/>
                <w:szCs w:val="24"/>
              </w:rPr>
              <w:t>本项目</w:t>
            </w:r>
            <w:r>
              <w:rPr>
                <w:rFonts w:hint="eastAsia" w:ascii="宋体"/>
                <w:color w:val="auto"/>
                <w:sz w:val="24"/>
                <w:szCs w:val="24"/>
                <w:lang w:eastAsia="zh-CN"/>
              </w:rPr>
              <w:t>为技改</w:t>
            </w:r>
            <w:r>
              <w:rPr>
                <w:rFonts w:hint="eastAsia" w:ascii="宋体"/>
                <w:color w:val="auto"/>
                <w:sz w:val="24"/>
                <w:szCs w:val="24"/>
              </w:rPr>
              <w:t>，项目厂区东侧为</w:t>
            </w:r>
            <w:r>
              <w:rPr>
                <w:rFonts w:hint="eastAsia" w:ascii="宋体"/>
                <w:color w:val="auto"/>
                <w:sz w:val="24"/>
                <w:szCs w:val="24"/>
                <w:lang w:eastAsia="zh-CN"/>
              </w:rPr>
              <w:t>空地</w:t>
            </w:r>
            <w:r>
              <w:rPr>
                <w:rFonts w:hint="eastAsia" w:ascii="宋体"/>
                <w:color w:val="auto"/>
                <w:sz w:val="24"/>
                <w:szCs w:val="24"/>
              </w:rPr>
              <w:t>、西侧为</w:t>
            </w:r>
            <w:r>
              <w:rPr>
                <w:rFonts w:hint="eastAsia" w:ascii="宋体"/>
                <w:color w:val="auto"/>
                <w:sz w:val="24"/>
                <w:szCs w:val="24"/>
                <w:lang w:eastAsia="zh-CN"/>
              </w:rPr>
              <w:t>道路</w:t>
            </w:r>
            <w:r>
              <w:rPr>
                <w:rFonts w:hint="eastAsia" w:ascii="宋体"/>
                <w:color w:val="auto"/>
                <w:sz w:val="24"/>
                <w:szCs w:val="24"/>
              </w:rPr>
              <w:t>，北侧为</w:t>
            </w:r>
            <w:r>
              <w:rPr>
                <w:rFonts w:hint="eastAsia" w:ascii="宋体"/>
                <w:color w:val="auto"/>
                <w:sz w:val="24"/>
                <w:szCs w:val="24"/>
                <w:lang w:eastAsia="zh-CN"/>
              </w:rPr>
              <w:t>濉溪县伟业再生资源综合利用有限公司</w:t>
            </w:r>
            <w:r>
              <w:rPr>
                <w:rFonts w:hint="eastAsia" w:ascii="宋体"/>
                <w:color w:val="auto"/>
                <w:sz w:val="24"/>
                <w:szCs w:val="24"/>
              </w:rPr>
              <w:t>，南侧为</w:t>
            </w:r>
            <w:r>
              <w:rPr>
                <w:rFonts w:hint="eastAsia" w:ascii="宋体"/>
                <w:color w:val="auto"/>
                <w:sz w:val="24"/>
                <w:szCs w:val="24"/>
                <w:lang w:eastAsia="zh-CN"/>
              </w:rPr>
              <w:t>田地</w:t>
            </w:r>
            <w:r>
              <w:rPr>
                <w:rFonts w:hint="eastAsia" w:ascii="宋体"/>
                <w:color w:val="auto"/>
                <w:sz w:val="24"/>
                <w:szCs w:val="24"/>
              </w:rPr>
              <w:t>。本项目周边 500m范围内无自然保护区、风景旅游景点和文物古迹等需要特殊保护的环境敏感对象；项目所在地交通方便，水电供应可靠；本项目各项污染物在各项处理措施建设实施后，能够达标排放。因此，项目与周边环境相容。</w:t>
            </w:r>
          </w:p>
          <w:p w14:paraId="1338CDDD">
            <w:pPr>
              <w:adjustRightInd w:val="0"/>
              <w:snapToGrid w:val="0"/>
              <w:spacing w:line="360" w:lineRule="auto"/>
              <w:ind w:firstLine="480" w:firstLineChars="200"/>
              <w:jc w:val="left"/>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、“三线一单”相符性分析</w:t>
            </w:r>
          </w:p>
          <w:p w14:paraId="501D51F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根据安徽省生态环境厅发布的《安徽省</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三线一单</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生态环境分区管控管理办法（暂行）》（皖环发[2022]5号）（以下简称《办法》）</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《办法》要求</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在建设项目环评中</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做好与</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三线一单</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生态环境分区管控相符性分析</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充分论证是否符合生态环境准入清单要求</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。本项目与《安徽省</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三线一单</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生态环境分区管控管理办法（暂行）》符合性如下：</w:t>
            </w:r>
          </w:p>
          <w:p w14:paraId="7EF893E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建设项目符合淮北市</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三线一单</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生态环境分区管控方案的要求</w:t>
            </w:r>
          </w:p>
          <w:p w14:paraId="62D0A447">
            <w:pPr>
              <w:pageBreakBefore w:val="0"/>
              <w:kinsoku/>
              <w:wordWrap/>
              <w:topLinePunct w:val="0"/>
              <w:bidi w:val="0"/>
              <w:spacing w:line="360" w:lineRule="auto"/>
              <w:ind w:firstLine="720" w:firstLineChars="3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lang w:val="en-US" w:eastAsia="zh-CN"/>
              </w:rPr>
              <w:t>①</w:t>
            </w:r>
            <w:r>
              <w:rPr>
                <w:rFonts w:hint="default" w:ascii="Times New Roman" w:hAnsi="Times New Roman" w:eastAsia="宋体" w:cs="Times New Roman"/>
                <w:color w:val="auto"/>
                <w:kern w:val="0"/>
                <w:sz w:val="24"/>
                <w:szCs w:val="24"/>
                <w:highlight w:val="none"/>
              </w:rPr>
              <w:t>大气环境质量底线及分区管控</w:t>
            </w:r>
          </w:p>
          <w:p w14:paraId="34568E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根据淮北市生态环境局</w:t>
            </w:r>
            <w:r>
              <w:rPr>
                <w:rFonts w:hint="default" w:ascii="Times New Roman" w:hAnsi="Times New Roman" w:eastAsia="宋体" w:cs="Times New Roman"/>
                <w:color w:val="auto"/>
                <w:sz w:val="24"/>
                <w:szCs w:val="24"/>
                <w:highlight w:val="none"/>
                <w:lang w:val="en-US" w:eastAsia="zh-CN"/>
              </w:rPr>
              <w:t>发布的</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淮北市202</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年度生态环境状况公报</w:t>
            </w:r>
            <w:r>
              <w:rPr>
                <w:rFonts w:hint="default"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本项目评价</w:t>
            </w:r>
            <w:r>
              <w:rPr>
                <w:rFonts w:hint="default" w:ascii="Times New Roman" w:hAnsi="Times New Roman" w:eastAsia="宋体" w:cs="Times New Roman"/>
                <w:color w:val="auto"/>
                <w:sz w:val="24"/>
                <w:szCs w:val="24"/>
                <w:highlight w:val="none"/>
                <w:lang w:val="en-US" w:eastAsia="zh-CN"/>
              </w:rPr>
              <w:t>所在</w:t>
            </w:r>
            <w:r>
              <w:rPr>
                <w:rFonts w:hint="default" w:ascii="Times New Roman" w:hAnsi="Times New Roman" w:eastAsia="宋体" w:cs="Times New Roman"/>
                <w:color w:val="auto"/>
                <w:sz w:val="24"/>
                <w:szCs w:val="24"/>
                <w:highlight w:val="none"/>
              </w:rPr>
              <w:t>区域SO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、NO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kern w:val="0"/>
                <w:sz w:val="24"/>
                <w:szCs w:val="24"/>
                <w:shd w:val="clear" w:fill="FFFFFF"/>
                <w:lang w:val="en-US" w:eastAsia="zh-CN" w:bidi="ar"/>
              </w:rPr>
              <w:t>扣除沙尘影响后的</w:t>
            </w:r>
            <w:r>
              <w:rPr>
                <w:rFonts w:hint="default" w:ascii="Times New Roman" w:hAnsi="Times New Roman" w:eastAsia="宋体" w:cs="Times New Roman"/>
                <w:color w:val="auto"/>
                <w:sz w:val="24"/>
                <w:szCs w:val="24"/>
                <w:highlight w:val="none"/>
              </w:rPr>
              <w:t>PM</w:t>
            </w:r>
            <w:r>
              <w:rPr>
                <w:rFonts w:hint="default" w:ascii="Times New Roman" w:hAnsi="Times New Roman" w:eastAsia="宋体" w:cs="Times New Roman"/>
                <w:color w:val="auto"/>
                <w:sz w:val="24"/>
                <w:szCs w:val="24"/>
                <w:highlight w:val="none"/>
                <w:vertAlign w:val="subscript"/>
              </w:rPr>
              <w:t>10</w:t>
            </w:r>
            <w:r>
              <w:rPr>
                <w:rFonts w:hint="default" w:ascii="Times New Roman" w:hAnsi="Times New Roman" w:eastAsia="宋体" w:cs="Times New Roman"/>
                <w:color w:val="auto"/>
                <w:sz w:val="24"/>
                <w:szCs w:val="24"/>
                <w:highlight w:val="none"/>
                <w:vertAlign w:val="baseline"/>
                <w:lang w:val="en-US" w:eastAsia="zh-CN"/>
              </w:rPr>
              <w:t>年均</w:t>
            </w:r>
            <w:r>
              <w:rPr>
                <w:rFonts w:hint="default" w:ascii="Times New Roman" w:hAnsi="Times New Roman" w:eastAsia="宋体" w:cs="Times New Roman"/>
                <w:color w:val="auto"/>
                <w:sz w:val="24"/>
                <w:szCs w:val="24"/>
                <w:highlight w:val="none"/>
                <w:lang w:val="en-US" w:eastAsia="zh-CN"/>
              </w:rPr>
              <w:t>浓度</w:t>
            </w:r>
            <w:r>
              <w:rPr>
                <w:rFonts w:hint="default" w:ascii="Times New Roman" w:hAnsi="Times New Roman" w:eastAsia="宋体" w:cs="Times New Roman"/>
                <w:color w:val="auto"/>
                <w:sz w:val="24"/>
                <w:szCs w:val="24"/>
                <w:highlight w:val="none"/>
              </w:rPr>
              <w:t>均能</w:t>
            </w:r>
            <w:r>
              <w:rPr>
                <w:rFonts w:hint="default" w:ascii="Times New Roman" w:hAnsi="Times New Roman" w:eastAsia="宋体" w:cs="Times New Roman"/>
                <w:color w:val="auto"/>
                <w:sz w:val="24"/>
                <w:szCs w:val="24"/>
                <w:highlight w:val="none"/>
                <w:lang w:val="en-US" w:eastAsia="zh-CN"/>
              </w:rPr>
              <w:t>达到</w:t>
            </w:r>
            <w:r>
              <w:rPr>
                <w:rFonts w:hint="default" w:ascii="Times New Roman" w:hAnsi="Times New Roman" w:eastAsia="宋体" w:cs="Times New Roman"/>
                <w:color w:val="auto"/>
                <w:sz w:val="24"/>
                <w:szCs w:val="24"/>
                <w:highlight w:val="none"/>
              </w:rPr>
              <w:t>《环境空气质量标准</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含修改单</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》（GB3095-2012）中的二级标准</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CO日均值第95百分位数</w:t>
            </w:r>
            <w:r>
              <w:rPr>
                <w:rFonts w:hint="default" w:ascii="Times New Roman" w:hAnsi="Times New Roman" w:eastAsia="宋体" w:cs="Times New Roman"/>
                <w:color w:val="auto"/>
                <w:sz w:val="24"/>
                <w:szCs w:val="24"/>
                <w:highlight w:val="none"/>
                <w:lang w:val="en-US" w:eastAsia="zh-CN"/>
              </w:rPr>
              <w:t>达到</w:t>
            </w:r>
            <w:r>
              <w:rPr>
                <w:rFonts w:hint="default" w:ascii="Times New Roman" w:hAnsi="Times New Roman" w:eastAsia="宋体" w:cs="Times New Roman"/>
                <w:color w:val="auto"/>
                <w:sz w:val="24"/>
                <w:szCs w:val="24"/>
                <w:highlight w:val="none"/>
              </w:rPr>
              <w:t>《环境空气质量标准</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含修改单</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》（GB3095-2012）中的二级标准</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PM</w:t>
            </w:r>
            <w:r>
              <w:rPr>
                <w:rFonts w:hint="default" w:ascii="Times New Roman" w:hAnsi="Times New Roman" w:eastAsia="宋体" w:cs="Times New Roman"/>
                <w:color w:val="auto"/>
                <w:sz w:val="24"/>
                <w:szCs w:val="24"/>
                <w:highlight w:val="none"/>
                <w:vertAlign w:val="subscript"/>
              </w:rPr>
              <w:t>2.5</w:t>
            </w:r>
            <w:r>
              <w:rPr>
                <w:rFonts w:hint="default" w:ascii="Times New Roman" w:hAnsi="Times New Roman" w:eastAsia="宋体" w:cs="Times New Roman"/>
                <w:color w:val="auto"/>
                <w:sz w:val="24"/>
                <w:szCs w:val="24"/>
                <w:highlight w:val="none"/>
                <w:vertAlign w:val="baseline"/>
              </w:rPr>
              <w:t>年均浓度和臭氧日最大8小时平均值第90百分位数均超过</w:t>
            </w:r>
            <w:r>
              <w:rPr>
                <w:rFonts w:hint="default" w:ascii="Times New Roman" w:hAnsi="Times New Roman" w:eastAsia="宋体" w:cs="Times New Roman"/>
                <w:color w:val="auto"/>
                <w:sz w:val="24"/>
                <w:szCs w:val="24"/>
                <w:highlight w:val="none"/>
              </w:rPr>
              <w:t>《环境空气质量标准</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含修改单</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》（GB3095-2012）中二级标准</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因此淮北市为环境空气质量不达标区。</w:t>
            </w:r>
          </w:p>
          <w:p w14:paraId="426B74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对照淮北市大气环境分区管控图</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本项目位于</w:t>
            </w:r>
            <w:r>
              <w:rPr>
                <w:rFonts w:hint="default" w:ascii="Times New Roman" w:hAnsi="Times New Roman" w:eastAsia="宋体" w:cs="Times New Roman"/>
                <w:color w:val="auto"/>
                <w:sz w:val="24"/>
                <w:szCs w:val="24"/>
                <w:highlight w:val="none"/>
                <w:lang w:val="en-US" w:eastAsia="zh-CN"/>
              </w:rPr>
              <w:t>一般</w:t>
            </w:r>
            <w:r>
              <w:rPr>
                <w:rFonts w:hint="default" w:ascii="Times New Roman" w:hAnsi="Times New Roman" w:eastAsia="宋体" w:cs="Times New Roman"/>
                <w:b w:val="0"/>
                <w:bCs w:val="0"/>
                <w:color w:val="auto"/>
                <w:sz w:val="24"/>
                <w:szCs w:val="24"/>
                <w:highlight w:val="none"/>
              </w:rPr>
              <w:t>管控区</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本项目废气排放满足安徽省地方标准《砖瓦工业大气污染物排放标准》（DB34/ 4362-2023）</w:t>
            </w:r>
            <w:r>
              <w:rPr>
                <w:rFonts w:hint="eastAsia" w:ascii="Times New Roman" w:hAnsi="Times New Roman" w:eastAsia="宋体" w:cs="Times New Roman"/>
                <w:bCs/>
                <w:color w:val="auto"/>
                <w:kern w:val="0"/>
                <w:sz w:val="24"/>
                <w:szCs w:val="24"/>
                <w:lang w:val="en-US" w:eastAsia="zh-CN"/>
              </w:rPr>
              <w:t>，</w:t>
            </w:r>
            <w:r>
              <w:rPr>
                <w:rFonts w:hint="default" w:ascii="Times New Roman" w:hAnsi="Times New Roman" w:eastAsia="宋体" w:cs="Times New Roman"/>
                <w:color w:val="auto"/>
                <w:sz w:val="24"/>
                <w:szCs w:val="24"/>
                <w:highlight w:val="none"/>
                <w:lang w:eastAsia="zh-CN"/>
              </w:rPr>
              <w:t>对周边影响较小</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不会突破区域环境质量底线。</w:t>
            </w:r>
          </w:p>
          <w:p w14:paraId="39AF7FB6">
            <w:pPr>
              <w:pageBreakBefore w:val="0"/>
              <w:kinsoku/>
              <w:wordWrap/>
              <w:topLinePunct w:val="0"/>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lang w:val="en-US" w:eastAsia="zh-CN"/>
              </w:rPr>
              <w:t>②</w:t>
            </w:r>
            <w:r>
              <w:rPr>
                <w:rFonts w:hint="default" w:ascii="Times New Roman" w:hAnsi="Times New Roman" w:eastAsia="宋体" w:cs="Times New Roman"/>
                <w:color w:val="auto"/>
                <w:sz w:val="24"/>
                <w:szCs w:val="24"/>
                <w:highlight w:val="none"/>
              </w:rPr>
              <w:t>水环境质量底线及分区管控</w:t>
            </w:r>
          </w:p>
          <w:p w14:paraId="09E8A0AC">
            <w:pPr>
              <w:pageBreakBefore w:val="0"/>
              <w:kinsoku/>
              <w:wordWrap/>
              <w:topLinePunct w:val="0"/>
              <w:bidi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本项目评价区域内地表水</w:t>
            </w:r>
            <w:r>
              <w:rPr>
                <w:rFonts w:hint="eastAsia" w:ascii="Times New Roman" w:hAnsi="Times New Roman" w:eastAsia="宋体" w:cs="Times New Roman"/>
                <w:color w:val="auto"/>
                <w:sz w:val="24"/>
                <w:szCs w:val="24"/>
                <w:highlight w:val="none"/>
                <w:lang w:val="en-US" w:eastAsia="zh-CN"/>
              </w:rPr>
              <w:t>王引河</w:t>
            </w:r>
            <w:r>
              <w:rPr>
                <w:rFonts w:hint="default" w:ascii="Times New Roman" w:hAnsi="Times New Roman" w:eastAsia="宋体" w:cs="Times New Roman"/>
                <w:color w:val="auto"/>
                <w:sz w:val="24"/>
                <w:szCs w:val="24"/>
                <w:highlight w:val="none"/>
                <w:lang w:val="en-US" w:eastAsia="zh-CN"/>
              </w:rPr>
              <w:t>执行《地表水环境质量标准》（GB3838-2002）中Ⅳ类标准要求</w:t>
            </w:r>
            <w:r>
              <w:rPr>
                <w:rFonts w:hint="default" w:ascii="Times New Roman" w:hAnsi="Times New Roman" w:eastAsia="宋体" w:cs="Times New Roman"/>
                <w:color w:val="auto"/>
                <w:sz w:val="24"/>
                <w:szCs w:val="24"/>
                <w:highlight w:val="none"/>
                <w:lang w:eastAsia="zh-CN"/>
              </w:rPr>
              <w:t>。</w:t>
            </w:r>
          </w:p>
          <w:p w14:paraId="1A4A3F63">
            <w:pPr>
              <w:pageBreakBefore w:val="0"/>
              <w:kinsoku/>
              <w:wordWrap/>
              <w:topLinePunct w:val="0"/>
              <w:bidi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对照淮北市水环境分区管控图</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本项目位于</w:t>
            </w:r>
            <w:r>
              <w:rPr>
                <w:rFonts w:hint="default" w:ascii="Times New Roman" w:hAnsi="Times New Roman" w:eastAsia="宋体" w:cs="Times New Roman"/>
                <w:color w:val="auto"/>
                <w:sz w:val="24"/>
                <w:szCs w:val="24"/>
                <w:highlight w:val="none"/>
                <w:lang w:val="en-US" w:eastAsia="zh-CN"/>
              </w:rPr>
              <w:t>一般管控区</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项目车辆冲洗废水经沉淀池处理后回</w:t>
            </w:r>
            <w:r>
              <w:rPr>
                <w:rFonts w:hint="default" w:ascii="Times New Roman" w:hAnsi="Times New Roman" w:cs="Times New Roman"/>
                <w:color w:val="auto"/>
                <w:sz w:val="24"/>
                <w:szCs w:val="24"/>
                <w:highlight w:val="none"/>
                <w:lang w:val="en-US" w:eastAsia="zh-CN"/>
              </w:rPr>
              <w:t>用于</w:t>
            </w:r>
            <w:r>
              <w:rPr>
                <w:rFonts w:hint="eastAsia" w:ascii="Times New Roman" w:hAnsi="Times New Roman" w:cs="Times New Roman"/>
                <w:color w:val="auto"/>
                <w:sz w:val="24"/>
                <w:szCs w:val="24"/>
                <w:highlight w:val="none"/>
                <w:lang w:val="en-US" w:eastAsia="zh-CN"/>
              </w:rPr>
              <w:t>车辆冲洗，，</w:t>
            </w:r>
            <w:r>
              <w:rPr>
                <w:rFonts w:hint="default" w:ascii="Times New Roman" w:hAnsi="Times New Roman" w:cs="Times New Roman"/>
                <w:color w:val="auto"/>
                <w:sz w:val="24"/>
                <w:szCs w:val="24"/>
                <w:highlight w:val="none"/>
                <w:lang w:val="en-US" w:eastAsia="zh-CN"/>
              </w:rPr>
              <w:t>生活污水经化粪池处理后定期清掏</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不外排</w:t>
            </w:r>
            <w:r>
              <w:rPr>
                <w:rFonts w:hint="default" w:ascii="Times New Roman" w:hAnsi="Times New Roman" w:eastAsia="宋体" w:cs="Times New Roman"/>
                <w:color w:val="auto"/>
                <w:sz w:val="24"/>
                <w:szCs w:val="24"/>
                <w:highlight w:val="none"/>
                <w:lang w:val="en-US" w:eastAsia="zh-CN"/>
              </w:rPr>
              <w:t>。</w:t>
            </w:r>
          </w:p>
          <w:p w14:paraId="22A92C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rPr>
              <w:t>土壤环境风险防控底线及分区管控</w:t>
            </w:r>
          </w:p>
          <w:p w14:paraId="7FE3E3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淮北市生态环境分区管控成果动态更新情况说明</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要求</w:t>
            </w:r>
            <w:r>
              <w:rPr>
                <w:rFonts w:hint="default" w:ascii="Times New Roman" w:hAnsi="Times New Roman" w:eastAsia="宋体" w:cs="Times New Roman"/>
                <w:color w:val="auto"/>
                <w:sz w:val="24"/>
                <w:szCs w:val="24"/>
                <w:highlight w:val="none"/>
              </w:rPr>
              <w:t>到2025年</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淮北市土壤环境质量总体保持稳定</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局部稳中向好</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受污染地块安全利用水平得到巩固</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受污染耕地安全利用率93%。到2035年</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淮北市土壤环境质量持续向好</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农用地和建设用地土壤环境安全得到有效保障</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土壤环境风险得到全面管控</w:t>
            </w:r>
            <w:r>
              <w:rPr>
                <w:rFonts w:hint="default" w:ascii="Times New Roman" w:hAnsi="Times New Roman" w:eastAsia="宋体" w:cs="Times New Roman"/>
                <w:color w:val="auto"/>
                <w:sz w:val="24"/>
                <w:szCs w:val="24"/>
                <w:highlight w:val="none"/>
                <w:lang w:eastAsia="zh-CN"/>
              </w:rPr>
              <w:t>。</w:t>
            </w:r>
          </w:p>
          <w:p w14:paraId="6021FB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对照淮北市土壤环境风险分区管控图</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本项目位于一般管控区。一般管控区要求：依据《中华人民共和国土壤污染防治法》《土壤污染防治行动计划》《安徽省土壤污染防治工作方案》《安徽省</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十三五</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环境保护规划》等要求及各市土壤污染防治工作方案对一般管控区实施管控。</w:t>
            </w:r>
          </w:p>
          <w:p w14:paraId="495621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w:t>
            </w:r>
            <w:r>
              <w:rPr>
                <w:rFonts w:hint="eastAsia" w:ascii="Times New Roman" w:hAnsi="Times New Roman" w:cs="Times New Roman"/>
                <w:color w:val="auto"/>
                <w:sz w:val="24"/>
                <w:szCs w:val="24"/>
                <w:highlight w:val="none"/>
                <w:lang w:val="en-US" w:eastAsia="zh-CN"/>
              </w:rPr>
              <w:t>利用现有厂区土地资源进行技术改造，</w:t>
            </w:r>
            <w:r>
              <w:rPr>
                <w:rFonts w:hint="default" w:ascii="Times New Roman" w:hAnsi="Times New Roman" w:eastAsia="宋体" w:cs="Times New Roman"/>
                <w:color w:val="auto"/>
                <w:sz w:val="24"/>
                <w:szCs w:val="24"/>
                <w:highlight w:val="none"/>
              </w:rPr>
              <w:t>不占用永久基本农田；项目对可能产生地下水、土壤影响的各项途径均进行有效预防</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在确保各项防渗措施得以落实</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并加强维护和厂区环境管理的前提下</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可有效控制厂区内的废水污染物下渗现象</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避免污染土壤</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因此本项目不会对区域土壤环境产生明显影响。</w:t>
            </w:r>
          </w:p>
          <w:p w14:paraId="2DE274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④环境管控单元管控要求</w:t>
            </w:r>
          </w:p>
          <w:p w14:paraId="48AA3933">
            <w:pPr>
              <w:pStyle w:val="133"/>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bidi="ar"/>
              </w:rPr>
            </w:pPr>
            <w:r>
              <w:rPr>
                <w:rFonts w:hint="default" w:ascii="Times New Roman" w:hAnsi="Times New Roman" w:eastAsia="宋体" w:cs="Times New Roman"/>
                <w:b/>
                <w:bCs/>
                <w:color w:val="auto"/>
                <w:sz w:val="21"/>
                <w:szCs w:val="21"/>
                <w:lang w:val="en-US" w:eastAsia="zh-CN" w:bidi="ar"/>
              </w:rPr>
              <w:t>表1-1 与环境管控单元管控要求相符性分析</w:t>
            </w:r>
          </w:p>
          <w:tbl>
            <w:tblPr>
              <w:tblStyle w:val="143"/>
              <w:tblW w:w="67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
              <w:gridCol w:w="515"/>
              <w:gridCol w:w="550"/>
              <w:gridCol w:w="410"/>
              <w:gridCol w:w="537"/>
              <w:gridCol w:w="3504"/>
              <w:gridCol w:w="715"/>
            </w:tblGrid>
            <w:tr w14:paraId="2A649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jc w:val="center"/>
              </w:trPr>
              <w:tc>
                <w:tcPr>
                  <w:tcW w:w="401" w:type="pct"/>
                  <w:shd w:val="clear" w:color="auto" w:fill="auto"/>
                  <w:vAlign w:val="center"/>
                </w:tcPr>
                <w:p w14:paraId="59A6800E">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环境管控单元编码</w:t>
                  </w:r>
                </w:p>
              </w:tc>
              <w:tc>
                <w:tcPr>
                  <w:tcW w:w="380" w:type="pct"/>
                  <w:shd w:val="clear" w:color="auto" w:fill="auto"/>
                  <w:vAlign w:val="center"/>
                </w:tcPr>
                <w:p w14:paraId="23613A31">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环境管控单元名称</w:t>
                  </w:r>
                </w:p>
              </w:tc>
              <w:tc>
                <w:tcPr>
                  <w:tcW w:w="405" w:type="pct"/>
                  <w:shd w:val="clear" w:color="auto" w:fill="auto"/>
                  <w:vAlign w:val="center"/>
                </w:tcPr>
                <w:p w14:paraId="39FB3ECE">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环境管控单元分类</w:t>
                  </w:r>
                </w:p>
              </w:tc>
              <w:tc>
                <w:tcPr>
                  <w:tcW w:w="302" w:type="pct"/>
                  <w:shd w:val="clear" w:color="auto" w:fill="auto"/>
                  <w:vAlign w:val="center"/>
                </w:tcPr>
                <w:p w14:paraId="1076FF9E">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区域管控要求</w:t>
                  </w:r>
                </w:p>
              </w:tc>
              <w:tc>
                <w:tcPr>
                  <w:tcW w:w="396" w:type="pct"/>
                  <w:shd w:val="clear" w:color="auto" w:fill="auto"/>
                  <w:vAlign w:val="center"/>
                </w:tcPr>
                <w:p w14:paraId="56A4DA3F">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管控类别</w:t>
                  </w:r>
                </w:p>
              </w:tc>
              <w:tc>
                <w:tcPr>
                  <w:tcW w:w="2585" w:type="pct"/>
                  <w:shd w:val="clear" w:color="auto" w:fill="auto"/>
                  <w:vAlign w:val="center"/>
                </w:tcPr>
                <w:p w14:paraId="5DFE9D0E">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管控要求</w:t>
                  </w:r>
                </w:p>
              </w:tc>
              <w:tc>
                <w:tcPr>
                  <w:tcW w:w="527" w:type="pct"/>
                  <w:shd w:val="clear" w:color="auto" w:fill="auto"/>
                  <w:vAlign w:val="center"/>
                </w:tcPr>
                <w:p w14:paraId="6D827476">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lang w:val="en-US" w:eastAsia="zh-CN"/>
                    </w:rPr>
                  </w:pPr>
                  <w:r>
                    <w:rPr>
                      <w:rFonts w:hint="default" w:ascii="Times New Roman" w:hAnsi="Times New Roman" w:eastAsia="宋体" w:cs="Times New Roman"/>
                      <w:color w:val="auto"/>
                      <w:spacing w:val="0"/>
                      <w:position w:val="0"/>
                      <w:sz w:val="21"/>
                      <w:szCs w:val="21"/>
                      <w:lang w:val="en-US" w:eastAsia="zh-CN"/>
                    </w:rPr>
                    <w:t>符合性</w:t>
                  </w:r>
                </w:p>
              </w:tc>
            </w:tr>
            <w:tr w14:paraId="40D7F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8" w:hRule="atLeast"/>
                <w:jc w:val="center"/>
              </w:trPr>
              <w:tc>
                <w:tcPr>
                  <w:tcW w:w="401" w:type="pct"/>
                  <w:vMerge w:val="restart"/>
                  <w:vAlign w:val="center"/>
                </w:tcPr>
                <w:p w14:paraId="265DA317">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ZH34162230001</w:t>
                  </w:r>
                </w:p>
              </w:tc>
              <w:tc>
                <w:tcPr>
                  <w:tcW w:w="380" w:type="pct"/>
                  <w:vMerge w:val="restart"/>
                  <w:vAlign w:val="center"/>
                </w:tcPr>
                <w:p w14:paraId="29E738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spacing w:val="0"/>
                      <w:position w:val="0"/>
                      <w:sz w:val="21"/>
                      <w:szCs w:val="21"/>
                      <w:lang w:val="en-US" w:eastAsia="zh-CN"/>
                    </w:rPr>
                  </w:pPr>
                  <w:r>
                    <w:rPr>
                      <w:rFonts w:hint="default" w:ascii="Times New Roman" w:hAnsi="Times New Roman" w:eastAsia="宋体" w:cs="Times New Roman"/>
                      <w:color w:val="auto"/>
                      <w:spacing w:val="0"/>
                      <w:position w:val="0"/>
                      <w:sz w:val="21"/>
                      <w:szCs w:val="21"/>
                    </w:rPr>
                    <w:t>一般管控单元</w:t>
                  </w:r>
                  <w:r>
                    <w:rPr>
                      <w:rFonts w:hint="eastAsia" w:cs="Times New Roman"/>
                      <w:color w:val="auto"/>
                      <w:spacing w:val="0"/>
                      <w:position w:val="0"/>
                      <w:sz w:val="21"/>
                      <w:szCs w:val="21"/>
                      <w:lang w:val="en-US" w:eastAsia="zh-CN"/>
                    </w:rPr>
                    <w:t>4</w:t>
                  </w:r>
                </w:p>
              </w:tc>
              <w:tc>
                <w:tcPr>
                  <w:tcW w:w="405" w:type="pct"/>
                  <w:vMerge w:val="restart"/>
                  <w:vAlign w:val="center"/>
                </w:tcPr>
                <w:p w14:paraId="4C77E33E">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一般管控单元</w:t>
                  </w:r>
                </w:p>
              </w:tc>
              <w:tc>
                <w:tcPr>
                  <w:tcW w:w="302" w:type="pct"/>
                  <w:vMerge w:val="restart"/>
                  <w:vAlign w:val="center"/>
                </w:tcPr>
                <w:p w14:paraId="00BD72F7">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无</w:t>
                  </w:r>
                </w:p>
              </w:tc>
              <w:tc>
                <w:tcPr>
                  <w:tcW w:w="396" w:type="pct"/>
                  <w:vAlign w:val="center"/>
                </w:tcPr>
                <w:p w14:paraId="7E62E361">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空间布局约束</w:t>
                  </w:r>
                </w:p>
              </w:tc>
              <w:tc>
                <w:tcPr>
                  <w:tcW w:w="2585" w:type="pct"/>
                  <w:vAlign w:val="center"/>
                </w:tcPr>
                <w:p w14:paraId="44090A70">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1.禁止任何单位和个人在基本农田保护区内建窑、建房、建坟、挖砂、采石、采矿、取土、堆放固体废弃物或者进行其他破坏基本农田的活动。</w:t>
                  </w:r>
                </w:p>
                <w:p w14:paraId="78B7437E">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2.禁止任何单位和个人占用基本农田发展林果业和挖塘养鱼。</w:t>
                  </w:r>
                </w:p>
                <w:p w14:paraId="503B705F">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3.禁止生产、销售、使用国家明令禁止的农业投入品。农业投入品生产者、销售者和使用者应当及时回收农药、肥料等农业投入品的包装废弃物和农用薄膜</w:t>
                  </w:r>
                  <w:r>
                    <w:rPr>
                      <w:rFonts w:hint="eastAsia" w:ascii="Times New Roman" w:hAnsi="Times New Roman" w:eastAsia="宋体"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并将农药包装废弃物交由专门的机构或者组织进行无害化处理。</w:t>
                  </w:r>
                </w:p>
                <w:p w14:paraId="04FD7962">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4.在永久基本农田集中区域</w:t>
                  </w:r>
                  <w:r>
                    <w:rPr>
                      <w:rFonts w:hint="eastAsia" w:ascii="Times New Roman" w:hAnsi="Times New Roman" w:eastAsia="宋体"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不得规划新建可能造成土壤污染的建设项目。</w:t>
                  </w:r>
                </w:p>
                <w:p w14:paraId="168A7A4B">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5.基本农田保护区内禁止下列行为:</w:t>
                  </w:r>
                </w:p>
                <w:p w14:paraId="67DE373D">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一</w:t>
                  </w: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擅自将耕地改为非耕地;</w:t>
                  </w:r>
                </w:p>
                <w:p w14:paraId="55AB41B9">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二</w:t>
                  </w: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闲置、荒芜耕地;</w:t>
                  </w:r>
                </w:p>
                <w:p w14:paraId="1E482F37">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三</w:t>
                  </w: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建窑、建房、建坟;</w:t>
                  </w:r>
                </w:p>
                <w:p w14:paraId="3A4E873D">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四</w:t>
                  </w: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擅自挖沙、采石、采矿、取土;</w:t>
                  </w:r>
                </w:p>
                <w:p w14:paraId="79E3E969">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五</w:t>
                  </w: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排放污染性的废水、废气</w:t>
                  </w:r>
                  <w:r>
                    <w:rPr>
                      <w:rFonts w:hint="eastAsia" w:ascii="Times New Roman" w:hAnsi="Times New Roman" w:eastAsia="宋体"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堆放固体废弃物;</w:t>
                  </w:r>
                </w:p>
                <w:p w14:paraId="4E38A48E">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六</w:t>
                  </w: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向基本农田提供不符合国家有关标准的肥料、农药;</w:t>
                  </w:r>
                </w:p>
                <w:p w14:paraId="3D8674CE">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七</w:t>
                  </w: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毁坏水利排灌设施;</w:t>
                  </w:r>
                </w:p>
                <w:p w14:paraId="30172DE9">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八</w:t>
                  </w: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擅自砍伐农田防护林和水土保持林;</w:t>
                  </w:r>
                </w:p>
                <w:p w14:paraId="05840C19">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九</w:t>
                  </w: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破坏或擅自改变基本农田保护区标志;</w:t>
                  </w:r>
                </w:p>
                <w:p w14:paraId="5678B90F">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十</w:t>
                  </w:r>
                  <w:r>
                    <w:rPr>
                      <w:rFonts w:hint="eastAsia"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其他破坏基本农田的行为。</w:t>
                  </w:r>
                </w:p>
                <w:p w14:paraId="13053CD0">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6.在基本农田保护区内不得设立非农业开发区和工业小区。</w:t>
                  </w:r>
                </w:p>
                <w:p w14:paraId="5B1F9AD2">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7.各级人民政府应当采取措施对耕地实行特殊保护</w:t>
                  </w:r>
                  <w:r>
                    <w:rPr>
                      <w:rFonts w:hint="eastAsia" w:ascii="Times New Roman" w:hAnsi="Times New Roman" w:eastAsia="宋体"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禁止违法占用耕地从事非农业建设</w:t>
                  </w:r>
                  <w:r>
                    <w:rPr>
                      <w:rFonts w:hint="eastAsia" w:ascii="Times New Roman" w:hAnsi="Times New Roman" w:eastAsia="宋体"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严格控制耕地转为林地、草地、园地等其他农用地</w:t>
                  </w:r>
                  <w:r>
                    <w:rPr>
                      <w:rFonts w:hint="eastAsia" w:ascii="Times New Roman" w:hAnsi="Times New Roman" w:eastAsia="宋体"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确保耕地优先用于粮食和蔬菜、油、棉、糖等农产品生产。实行耕地保护补偿激励制度</w:t>
                  </w:r>
                  <w:r>
                    <w:rPr>
                      <w:rFonts w:hint="eastAsia" w:ascii="Times New Roman" w:hAnsi="Times New Roman" w:eastAsia="宋体"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具体按照国家和省有关规定执行。</w:t>
                  </w:r>
                </w:p>
                <w:p w14:paraId="2D7DA002">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8.加大优先保护类耕地保护力度</w:t>
                  </w:r>
                  <w:r>
                    <w:rPr>
                      <w:rFonts w:hint="eastAsia" w:ascii="Times New Roman" w:hAnsi="Times New Roman" w:eastAsia="宋体"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综合采取占补数量和质量平衡、高标准农田建设、周边污染企业搬迁整治等措施。</w:t>
                  </w:r>
                </w:p>
                <w:p w14:paraId="10A6D05C">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9.提倡和鼓励农业生产者对其经营的基本农田施用有机肥料</w:t>
                  </w:r>
                  <w:r>
                    <w:rPr>
                      <w:rFonts w:hint="eastAsia" w:ascii="Times New Roman" w:hAnsi="Times New Roman" w:eastAsia="宋体"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合理施用化肥和农药。利用基本农田从事农业生产的单位和个人应当保持和培肥地力。</w:t>
                  </w:r>
                </w:p>
                <w:p w14:paraId="74CA1215">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10.严格控制在优先保护类耕地集中区域新建有色金属冶炼、石油加工、化工、焦化、电镀、制革等行业企业</w:t>
                  </w:r>
                  <w:r>
                    <w:rPr>
                      <w:rFonts w:hint="eastAsia" w:ascii="Times New Roman" w:hAnsi="Times New Roman" w:eastAsia="宋体"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有关环境保护主管部门依法不予审批可能造成耕地土壤污染的建设项目环境影响报告书或者报告表。优先保护类耕地集中区域现有可能造成土壤污染的相关行业企业应当按照有关规定采取措施</w:t>
                  </w:r>
                  <w:r>
                    <w:rPr>
                      <w:rFonts w:hint="eastAsia" w:ascii="Times New Roman" w:hAnsi="Times New Roman" w:eastAsia="宋体"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防止对耕地造成污染。</w:t>
                  </w:r>
                </w:p>
                <w:p w14:paraId="7A89ABC2">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11.设施农业用地选址应当按照保护耕地、节约集约利用土地的原则</w:t>
                  </w:r>
                  <w:r>
                    <w:rPr>
                      <w:rFonts w:hint="eastAsia" w:ascii="Times New Roman" w:hAnsi="Times New Roman" w:eastAsia="宋体"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少占或者不占耕地。确需占用耕地的</w:t>
                  </w:r>
                  <w:r>
                    <w:rPr>
                      <w:rFonts w:hint="eastAsia" w:ascii="Times New Roman" w:hAnsi="Times New Roman" w:eastAsia="宋体"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应当采取措施加强对耕地耕作层的保护;设施农业用地不再使用的</w:t>
                  </w:r>
                  <w:r>
                    <w:rPr>
                      <w:rFonts w:hint="eastAsia" w:ascii="Times New Roman" w:hAnsi="Times New Roman" w:eastAsia="宋体"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应当及时组织恢复种植条件。</w:t>
                  </w:r>
                </w:p>
                <w:p w14:paraId="29385E6B">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12.在永久基本农田集中区域</w:t>
                  </w:r>
                  <w:r>
                    <w:rPr>
                      <w:rFonts w:hint="eastAsia" w:ascii="Times New Roman" w:hAnsi="Times New Roman" w:eastAsia="宋体"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已建成可能造成土壤污染的建设项目</w:t>
                  </w:r>
                  <w:r>
                    <w:rPr>
                      <w:rFonts w:hint="eastAsia" w:ascii="Times New Roman" w:hAnsi="Times New Roman" w:eastAsia="宋体" w:cs="Times New Roman"/>
                      <w:color w:val="auto"/>
                      <w:spacing w:val="0"/>
                      <w:position w:val="0"/>
                      <w:sz w:val="21"/>
                      <w:szCs w:val="21"/>
                      <w:lang w:eastAsia="zh-CN"/>
                    </w:rPr>
                    <w:t>，</w:t>
                  </w:r>
                  <w:r>
                    <w:rPr>
                      <w:rFonts w:hint="default" w:ascii="Times New Roman" w:hAnsi="Times New Roman" w:eastAsia="宋体" w:cs="Times New Roman"/>
                      <w:color w:val="auto"/>
                      <w:spacing w:val="0"/>
                      <w:position w:val="0"/>
                      <w:sz w:val="21"/>
                      <w:szCs w:val="21"/>
                    </w:rPr>
                    <w:t>应当限期关闭拆除。</w:t>
                  </w:r>
                </w:p>
                <w:p w14:paraId="4640119D">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13.禁止任何单位和个人闲置、荒芜基本农田。</w:t>
                  </w:r>
                </w:p>
              </w:tc>
              <w:tc>
                <w:tcPr>
                  <w:tcW w:w="527" w:type="pct"/>
                  <w:vAlign w:val="center"/>
                </w:tcPr>
                <w:p w14:paraId="00CBA3D8">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lang w:val="en-US" w:eastAsia="zh-CN"/>
                    </w:rPr>
                  </w:pPr>
                  <w:r>
                    <w:rPr>
                      <w:rFonts w:hint="default" w:ascii="Times New Roman" w:hAnsi="Times New Roman" w:eastAsia="宋体" w:cs="Times New Roman"/>
                      <w:color w:val="auto"/>
                      <w:spacing w:val="0"/>
                      <w:position w:val="0"/>
                      <w:sz w:val="21"/>
                      <w:szCs w:val="21"/>
                      <w:lang w:val="en-US" w:eastAsia="zh-CN"/>
                    </w:rPr>
                    <w:t>本项目不占用基本农田</w:t>
                  </w:r>
                  <w:r>
                    <w:rPr>
                      <w:rFonts w:hint="eastAsia" w:ascii="Times New Roman" w:hAnsi="Times New Roman" w:eastAsia="宋体" w:cs="Times New Roman"/>
                      <w:color w:val="auto"/>
                      <w:spacing w:val="0"/>
                      <w:position w:val="0"/>
                      <w:sz w:val="21"/>
                      <w:szCs w:val="21"/>
                      <w:lang w:val="en-US" w:eastAsia="zh-CN"/>
                    </w:rPr>
                    <w:t>，</w:t>
                  </w:r>
                  <w:r>
                    <w:rPr>
                      <w:rFonts w:hint="default" w:ascii="Times New Roman" w:hAnsi="Times New Roman" w:eastAsia="宋体" w:cs="Times New Roman"/>
                      <w:color w:val="auto"/>
                      <w:spacing w:val="0"/>
                      <w:position w:val="0"/>
                      <w:sz w:val="21"/>
                      <w:szCs w:val="21"/>
                      <w:lang w:val="en-US" w:eastAsia="zh-CN"/>
                    </w:rPr>
                    <w:t>利用</w:t>
                  </w:r>
                  <w:r>
                    <w:rPr>
                      <w:rFonts w:hint="eastAsia" w:ascii="Times New Roman" w:hAnsi="Times New Roman" w:eastAsia="宋体" w:cs="Times New Roman"/>
                      <w:color w:val="auto"/>
                      <w:spacing w:val="0"/>
                      <w:position w:val="0"/>
                      <w:sz w:val="21"/>
                      <w:szCs w:val="21"/>
                      <w:lang w:val="en-US" w:eastAsia="zh-CN"/>
                    </w:rPr>
                    <w:t>现有厂区进行改造，</w:t>
                  </w:r>
                  <w:r>
                    <w:rPr>
                      <w:rFonts w:hint="default" w:ascii="Times New Roman" w:hAnsi="Times New Roman" w:eastAsia="宋体" w:cs="Times New Roman"/>
                      <w:color w:val="auto"/>
                      <w:spacing w:val="0"/>
                      <w:position w:val="0"/>
                      <w:sz w:val="21"/>
                      <w:szCs w:val="21"/>
                      <w:lang w:val="en-US" w:eastAsia="zh-CN"/>
                    </w:rPr>
                    <w:t>符合要求</w:t>
                  </w:r>
                </w:p>
              </w:tc>
            </w:tr>
            <w:tr w14:paraId="086C0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jc w:val="center"/>
              </w:trPr>
              <w:tc>
                <w:tcPr>
                  <w:tcW w:w="401" w:type="pct"/>
                  <w:vMerge w:val="continue"/>
                  <w:vAlign w:val="center"/>
                </w:tcPr>
                <w:p w14:paraId="07F738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p>
              </w:tc>
              <w:tc>
                <w:tcPr>
                  <w:tcW w:w="380" w:type="pct"/>
                  <w:vMerge w:val="continue"/>
                  <w:vAlign w:val="center"/>
                </w:tcPr>
                <w:p w14:paraId="48A437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p>
              </w:tc>
              <w:tc>
                <w:tcPr>
                  <w:tcW w:w="405" w:type="pct"/>
                  <w:vMerge w:val="continue"/>
                  <w:vAlign w:val="center"/>
                </w:tcPr>
                <w:p w14:paraId="3F952F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p>
              </w:tc>
              <w:tc>
                <w:tcPr>
                  <w:tcW w:w="302" w:type="pct"/>
                  <w:vMerge w:val="continue"/>
                  <w:vAlign w:val="center"/>
                </w:tcPr>
                <w:p w14:paraId="7A1D5C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p>
              </w:tc>
              <w:tc>
                <w:tcPr>
                  <w:tcW w:w="396" w:type="pct"/>
                  <w:vAlign w:val="center"/>
                </w:tcPr>
                <w:p w14:paraId="030B5266">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污染物排放管控</w:t>
                  </w:r>
                </w:p>
              </w:tc>
              <w:tc>
                <w:tcPr>
                  <w:tcW w:w="2585" w:type="pct"/>
                  <w:vAlign w:val="center"/>
                </w:tcPr>
                <w:p w14:paraId="2B6B72AE">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执行现有法律法规和政策文件</w:t>
                  </w:r>
                </w:p>
              </w:tc>
              <w:tc>
                <w:tcPr>
                  <w:tcW w:w="527" w:type="pct"/>
                  <w:vAlign w:val="center"/>
                </w:tcPr>
                <w:p w14:paraId="57A45868">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lang w:val="en-US" w:eastAsia="zh-CN"/>
                    </w:rPr>
                  </w:pPr>
                  <w:r>
                    <w:rPr>
                      <w:rFonts w:hint="default" w:ascii="Times New Roman" w:hAnsi="Times New Roman" w:eastAsia="宋体" w:cs="Times New Roman"/>
                      <w:color w:val="auto"/>
                      <w:spacing w:val="0"/>
                      <w:position w:val="0"/>
                      <w:sz w:val="21"/>
                      <w:szCs w:val="21"/>
                      <w:lang w:val="en-US" w:eastAsia="zh-CN"/>
                    </w:rPr>
                    <w:t>项目污染物达标排放</w:t>
                  </w:r>
                </w:p>
              </w:tc>
            </w:tr>
            <w:tr w14:paraId="6C17E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jc w:val="center"/>
              </w:trPr>
              <w:tc>
                <w:tcPr>
                  <w:tcW w:w="401" w:type="pct"/>
                  <w:vMerge w:val="continue"/>
                  <w:vAlign w:val="center"/>
                </w:tcPr>
                <w:p w14:paraId="1F9B37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p>
              </w:tc>
              <w:tc>
                <w:tcPr>
                  <w:tcW w:w="380" w:type="pct"/>
                  <w:vMerge w:val="continue"/>
                  <w:vAlign w:val="center"/>
                </w:tcPr>
                <w:p w14:paraId="5DF629E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p>
              </w:tc>
              <w:tc>
                <w:tcPr>
                  <w:tcW w:w="405" w:type="pct"/>
                  <w:vMerge w:val="continue"/>
                  <w:vAlign w:val="center"/>
                </w:tcPr>
                <w:p w14:paraId="1EA939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p>
              </w:tc>
              <w:tc>
                <w:tcPr>
                  <w:tcW w:w="302" w:type="pct"/>
                  <w:vMerge w:val="continue"/>
                  <w:vAlign w:val="center"/>
                </w:tcPr>
                <w:p w14:paraId="1211F4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rPr>
                  </w:pPr>
                </w:p>
              </w:tc>
              <w:tc>
                <w:tcPr>
                  <w:tcW w:w="396" w:type="pct"/>
                  <w:vAlign w:val="center"/>
                </w:tcPr>
                <w:p w14:paraId="414E4B4C">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资源开发效率要求</w:t>
                  </w:r>
                </w:p>
              </w:tc>
              <w:tc>
                <w:tcPr>
                  <w:tcW w:w="2585" w:type="pct"/>
                  <w:vAlign w:val="center"/>
                </w:tcPr>
                <w:p w14:paraId="1E843FC5">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执行现有法律法规和政策文件</w:t>
                  </w:r>
                </w:p>
              </w:tc>
              <w:tc>
                <w:tcPr>
                  <w:tcW w:w="527" w:type="pct"/>
                  <w:shd w:val="clear" w:color="auto" w:fill="auto"/>
                  <w:vAlign w:val="center"/>
                </w:tcPr>
                <w:p w14:paraId="4D95244C">
                  <w:pPr>
                    <w:pStyle w:val="14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position w:val="0"/>
                      <w:sz w:val="21"/>
                      <w:szCs w:val="21"/>
                      <w:lang w:val="en-US" w:eastAsia="zh-CN" w:bidi="ar-SA"/>
                    </w:rPr>
                  </w:pPr>
                  <w:r>
                    <w:rPr>
                      <w:rFonts w:hint="default" w:ascii="Times New Roman" w:hAnsi="Times New Roman" w:eastAsia="宋体" w:cs="Times New Roman"/>
                      <w:color w:val="auto"/>
                      <w:spacing w:val="0"/>
                      <w:position w:val="0"/>
                      <w:sz w:val="21"/>
                      <w:szCs w:val="21"/>
                      <w:lang w:val="en-US" w:eastAsia="zh-CN"/>
                    </w:rPr>
                    <w:t>项目仅涉及少量能源消耗</w:t>
                  </w:r>
                </w:p>
              </w:tc>
            </w:tr>
          </w:tbl>
          <w:p w14:paraId="343D3D1A">
            <w:pPr>
              <w:pStyle w:val="133"/>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lang w:bidi="ar"/>
              </w:rPr>
              <w:t>综上</w:t>
            </w:r>
            <w:r>
              <w:rPr>
                <w:rFonts w:hint="eastAsia" w:ascii="Times New Roman" w:hAnsi="Times New Roman" w:eastAsia="宋体" w:cs="Times New Roman"/>
                <w:color w:val="auto"/>
                <w:sz w:val="24"/>
                <w:szCs w:val="24"/>
                <w:lang w:eastAsia="zh-CN" w:bidi="ar"/>
              </w:rPr>
              <w:t>，</w:t>
            </w:r>
            <w:r>
              <w:rPr>
                <w:rFonts w:hint="default" w:ascii="Times New Roman" w:hAnsi="Times New Roman" w:eastAsia="宋体" w:cs="Times New Roman"/>
                <w:color w:val="auto"/>
                <w:sz w:val="24"/>
                <w:szCs w:val="24"/>
                <w:lang w:bidi="ar"/>
              </w:rPr>
              <w:t>项目在满足污染物达标排放、总量控制及相关环境管理要求的情况下</w:t>
            </w:r>
            <w:r>
              <w:rPr>
                <w:rFonts w:hint="eastAsia" w:ascii="Times New Roman" w:hAnsi="Times New Roman" w:eastAsia="宋体" w:cs="Times New Roman"/>
                <w:color w:val="auto"/>
                <w:sz w:val="24"/>
                <w:szCs w:val="24"/>
                <w:lang w:eastAsia="zh-CN" w:bidi="ar"/>
              </w:rPr>
              <w:t>，</w:t>
            </w:r>
            <w:r>
              <w:rPr>
                <w:rFonts w:hint="default" w:ascii="Times New Roman" w:hAnsi="Times New Roman" w:eastAsia="宋体" w:cs="Times New Roman"/>
                <w:color w:val="auto"/>
                <w:sz w:val="24"/>
                <w:szCs w:val="24"/>
                <w:lang w:bidi="ar"/>
              </w:rPr>
              <w:t>对评价区域环境影响较小</w:t>
            </w:r>
            <w:r>
              <w:rPr>
                <w:rFonts w:hint="eastAsia" w:ascii="Times New Roman" w:hAnsi="Times New Roman" w:eastAsia="宋体" w:cs="Times New Roman"/>
                <w:color w:val="auto"/>
                <w:sz w:val="24"/>
                <w:szCs w:val="24"/>
                <w:lang w:eastAsia="zh-CN" w:bidi="ar"/>
              </w:rPr>
              <w:t>，</w:t>
            </w:r>
            <w:r>
              <w:rPr>
                <w:rFonts w:hint="default" w:ascii="Times New Roman" w:hAnsi="Times New Roman" w:eastAsia="宋体" w:cs="Times New Roman"/>
                <w:color w:val="auto"/>
                <w:sz w:val="24"/>
                <w:szCs w:val="24"/>
                <w:lang w:bidi="ar"/>
              </w:rPr>
              <w:t>满足环境质量底线要求</w:t>
            </w:r>
            <w:r>
              <w:rPr>
                <w:rFonts w:hint="eastAsia" w:ascii="Times New Roman" w:hAnsi="Times New Roman" w:eastAsia="宋体" w:cs="Times New Roman"/>
                <w:color w:val="auto"/>
                <w:sz w:val="24"/>
                <w:szCs w:val="24"/>
                <w:lang w:eastAsia="zh-CN" w:bidi="ar"/>
              </w:rPr>
              <w:t>，</w:t>
            </w:r>
            <w:r>
              <w:rPr>
                <w:rFonts w:hint="default" w:ascii="Times New Roman" w:hAnsi="Times New Roman" w:eastAsia="宋体" w:cs="Times New Roman"/>
                <w:color w:val="auto"/>
                <w:sz w:val="24"/>
                <w:szCs w:val="24"/>
                <w:lang w:bidi="ar"/>
              </w:rPr>
              <w:t>不会降低区域环境功能级别。</w:t>
            </w:r>
          </w:p>
          <w:p w14:paraId="4DE556F3">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（2）生态保护红线及生态分区管控</w:t>
            </w:r>
          </w:p>
          <w:p w14:paraId="2C89E458">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本项目用地位于</w:t>
            </w:r>
            <w:r>
              <w:rPr>
                <w:rStyle w:val="44"/>
                <w:rFonts w:hint="eastAsia" w:ascii="Times New Roman" w:hAnsi="Times New Roman" w:eastAsia="宋体" w:cs="Times New Roman"/>
                <w:color w:val="auto"/>
                <w:spacing w:val="0"/>
                <w:kern w:val="0"/>
                <w:position w:val="0"/>
                <w:sz w:val="24"/>
                <w:szCs w:val="24"/>
                <w:u w:val="none"/>
                <w:lang w:eastAsia="zh-CN"/>
              </w:rPr>
              <w:t>安徽省淮北市濉溪县刘桥二矿南500米</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根据淮北市生态保护红线区域分布</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位于淮北市生态保护红线区域之外</w:t>
            </w:r>
            <w:r>
              <w:rPr>
                <w:rFonts w:hint="eastAsia" w:cs="Times New Roman"/>
                <w:color w:val="auto"/>
                <w:sz w:val="24"/>
                <w:szCs w:val="24"/>
                <w:highlight w:val="none"/>
                <w:lang w:val="en-US" w:eastAsia="zh-CN"/>
              </w:rPr>
              <w:t>（见附图8）</w:t>
            </w:r>
            <w:r>
              <w:rPr>
                <w:rFonts w:hint="default" w:ascii="Times New Roman" w:hAnsi="Times New Roman" w:eastAsia="宋体" w:cs="Times New Roman"/>
                <w:color w:val="auto"/>
                <w:sz w:val="24"/>
                <w:szCs w:val="24"/>
                <w:highlight w:val="none"/>
                <w:lang w:val="en-US" w:eastAsia="zh-CN"/>
              </w:rPr>
              <w:t>。项目用地范围内不涉及生态保护红线和一般生态空间</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符合生态保护红线管控要求和一般生态空间管控要求。项目建设符合生态红线区域保护规划的要求。</w:t>
            </w:r>
          </w:p>
          <w:p w14:paraId="5093A167">
            <w:pPr>
              <w:pStyle w:val="133"/>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kern w:val="0"/>
                <w:sz w:val="24"/>
                <w:szCs w:val="24"/>
                <w:highlight w:val="none"/>
              </w:rPr>
              <w:t>环境质量底线</w:t>
            </w:r>
          </w:p>
          <w:p w14:paraId="4E41BC98">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w:t>
            </w:r>
            <w:r>
              <w:rPr>
                <w:rFonts w:hint="default" w:ascii="Times New Roman" w:hAnsi="Times New Roman" w:eastAsia="宋体" w:cs="Times New Roman"/>
                <w:color w:val="auto"/>
                <w:sz w:val="24"/>
                <w:szCs w:val="24"/>
                <w:lang w:eastAsia="zh-CN"/>
              </w:rPr>
              <w:t>2023</w:t>
            </w:r>
            <w:r>
              <w:rPr>
                <w:rFonts w:hint="default" w:ascii="Times New Roman" w:hAnsi="Times New Roman" w:eastAsia="宋体" w:cs="Times New Roman"/>
                <w:color w:val="auto"/>
                <w:sz w:val="24"/>
                <w:szCs w:val="24"/>
              </w:rPr>
              <w:t>年度淮北市生态环境状况公报》</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超过《环境空气质量标准》（GB3095-2012）中二级标准限值的污染物为PM</w:t>
            </w:r>
            <w:r>
              <w:rPr>
                <w:rFonts w:hint="default" w:ascii="Times New Roman" w:hAnsi="Times New Roman" w:eastAsia="宋体" w:cs="Times New Roman"/>
                <w:color w:val="auto"/>
                <w:sz w:val="24"/>
                <w:szCs w:val="24"/>
                <w:vertAlign w:val="subscript"/>
              </w:rPr>
              <w:t>2.5</w:t>
            </w:r>
            <w:r>
              <w:rPr>
                <w:rFonts w:hint="default" w:ascii="Times New Roman" w:hAnsi="Times New Roman" w:eastAsia="宋体" w:cs="Times New Roman"/>
                <w:color w:val="auto"/>
                <w:sz w:val="24"/>
                <w:szCs w:val="24"/>
              </w:rPr>
              <w:t>和臭氧</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判定淮北市为环境空气质量不达标区。</w:t>
            </w:r>
            <w:r>
              <w:rPr>
                <w:rFonts w:hint="default" w:ascii="Times New Roman" w:hAnsi="Times New Roman" w:eastAsia="宋体" w:cs="Times New Roman"/>
                <w:color w:val="auto"/>
                <w:sz w:val="24"/>
                <w:szCs w:val="24"/>
                <w:lang w:val="en-US" w:eastAsia="zh-CN"/>
              </w:rPr>
              <w:t>本</w:t>
            </w:r>
            <w:r>
              <w:rPr>
                <w:rFonts w:hint="default" w:ascii="Times New Roman" w:hAnsi="Times New Roman" w:eastAsia="宋体" w:cs="Times New Roman"/>
                <w:color w:val="auto"/>
                <w:sz w:val="24"/>
                <w:szCs w:val="24"/>
              </w:rPr>
              <w:t>项目在采取环评提出的相关防治措施后</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排放的各项污染物不会对区域环境造成较大影响。本项目建设符合环境质量底线要求。</w:t>
            </w:r>
          </w:p>
          <w:p w14:paraId="700D542E">
            <w:pPr>
              <w:pStyle w:val="133"/>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kern w:val="0"/>
                <w:sz w:val="24"/>
                <w:szCs w:val="24"/>
                <w:highlight w:val="none"/>
              </w:rPr>
              <w:t>资源利用上线</w:t>
            </w:r>
          </w:p>
          <w:p w14:paraId="1C2BF19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red"/>
              </w:rPr>
            </w:pPr>
            <w:r>
              <w:rPr>
                <w:rFonts w:hint="default" w:ascii="Times New Roman" w:hAnsi="Times New Roman" w:eastAsia="宋体" w:cs="Times New Roman"/>
                <w:color w:val="auto"/>
                <w:sz w:val="24"/>
                <w:szCs w:val="24"/>
                <w:lang w:val="en-US" w:eastAsia="zh-CN"/>
              </w:rPr>
              <w:t>本</w:t>
            </w:r>
            <w:r>
              <w:rPr>
                <w:rFonts w:hint="default" w:ascii="Times New Roman" w:hAnsi="Times New Roman" w:eastAsia="宋体" w:cs="Times New Roman"/>
                <w:color w:val="auto"/>
                <w:sz w:val="24"/>
                <w:szCs w:val="24"/>
              </w:rPr>
              <w:t>项目利用</w:t>
            </w:r>
            <w:r>
              <w:rPr>
                <w:rStyle w:val="44"/>
                <w:rFonts w:hint="eastAsia" w:ascii="Times New Roman" w:hAnsi="Times New Roman" w:eastAsia="宋体" w:cs="Times New Roman"/>
                <w:color w:val="auto"/>
                <w:spacing w:val="0"/>
                <w:kern w:val="0"/>
                <w:position w:val="0"/>
                <w:sz w:val="24"/>
                <w:szCs w:val="24"/>
                <w:u w:val="none"/>
                <w:lang w:eastAsia="zh-CN"/>
              </w:rPr>
              <w:t>现有厂区用地</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用水</w:t>
            </w:r>
            <w:r>
              <w:rPr>
                <w:rFonts w:hint="default" w:ascii="Times New Roman" w:hAnsi="Times New Roman" w:cs="Times New Roman"/>
                <w:color w:val="auto"/>
                <w:sz w:val="24"/>
                <w:szCs w:val="24"/>
                <w:lang w:val="en-US" w:eastAsia="zh-CN"/>
              </w:rPr>
              <w:t>使用由自备井供给</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highlight w:val="none"/>
              </w:rPr>
              <w:t>所用原辅材料均不属于致癌、致畸、致突变的</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三致物质</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和《剧毒化学品名录》中规定的剧毒物质；</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kern w:val="0"/>
                <w:sz w:val="24"/>
                <w:szCs w:val="24"/>
                <w:highlight w:val="none"/>
              </w:rPr>
              <w:t>项目主要能耗为</w:t>
            </w:r>
            <w:r>
              <w:rPr>
                <w:rFonts w:hint="default" w:ascii="Times New Roman" w:hAnsi="Times New Roman" w:eastAsia="宋体" w:cs="Times New Roman"/>
                <w:color w:val="auto"/>
                <w:kern w:val="0"/>
                <w:sz w:val="24"/>
                <w:szCs w:val="24"/>
                <w:highlight w:val="none"/>
                <w:lang w:val="en-US" w:eastAsia="zh-CN"/>
              </w:rPr>
              <w:t>水和</w:t>
            </w:r>
            <w:r>
              <w:rPr>
                <w:rFonts w:hint="default" w:ascii="Times New Roman" w:hAnsi="Times New Roman" w:eastAsia="宋体" w:cs="Times New Roman"/>
                <w:color w:val="auto"/>
                <w:kern w:val="0"/>
                <w:sz w:val="24"/>
                <w:szCs w:val="24"/>
                <w:highlight w:val="none"/>
              </w:rPr>
              <w:t>电能</w:t>
            </w:r>
            <w:r>
              <w:rPr>
                <w:rFonts w:hint="eastAsia"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lang w:val="en-US" w:eastAsia="zh-CN"/>
              </w:rPr>
              <w:t>能耗</w:t>
            </w:r>
            <w:r>
              <w:rPr>
                <w:rFonts w:hint="default" w:ascii="Times New Roman" w:hAnsi="Times New Roman" w:eastAsia="宋体" w:cs="Times New Roman"/>
                <w:color w:val="auto"/>
                <w:kern w:val="0"/>
                <w:sz w:val="24"/>
                <w:szCs w:val="24"/>
                <w:highlight w:val="none"/>
              </w:rPr>
              <w:t>区域可接受。用水主要为</w:t>
            </w:r>
            <w:r>
              <w:rPr>
                <w:rFonts w:hint="default" w:ascii="Times New Roman" w:hAnsi="Times New Roman" w:eastAsia="宋体" w:cs="Times New Roman"/>
                <w:color w:val="auto"/>
                <w:kern w:val="0"/>
                <w:sz w:val="24"/>
                <w:szCs w:val="24"/>
                <w:highlight w:val="none"/>
                <w:lang w:val="en-US" w:eastAsia="zh-CN" w:bidi="ar"/>
              </w:rPr>
              <w:t>生活用水、制砖生产用水、脱硫塔补充用水、抑尘用水、车辆冲洗补水及绿化用水</w:t>
            </w:r>
            <w:r>
              <w:rPr>
                <w:rFonts w:hint="default" w:ascii="Times New Roman" w:hAnsi="Times New Roman" w:eastAsia="宋体" w:cs="Times New Roman"/>
                <w:color w:val="auto"/>
                <w:kern w:val="0"/>
                <w:sz w:val="24"/>
                <w:szCs w:val="24"/>
                <w:highlight w:val="none"/>
              </w:rPr>
              <w:t>；</w:t>
            </w:r>
            <w:r>
              <w:rPr>
                <w:rFonts w:hint="default" w:ascii="Times New Roman" w:hAnsi="Times New Roman" w:eastAsia="宋体" w:cs="Times New Roman"/>
                <w:color w:val="auto"/>
                <w:kern w:val="0"/>
                <w:sz w:val="24"/>
                <w:szCs w:val="24"/>
                <w:highlight w:val="none"/>
                <w:lang w:val="en-US" w:eastAsia="zh-CN"/>
              </w:rPr>
              <w:t>本</w:t>
            </w:r>
            <w:r>
              <w:rPr>
                <w:rFonts w:hint="default" w:ascii="Times New Roman" w:hAnsi="Times New Roman" w:eastAsia="宋体" w:cs="Times New Roman"/>
                <w:color w:val="auto"/>
                <w:kern w:val="0"/>
                <w:sz w:val="24"/>
                <w:szCs w:val="24"/>
                <w:highlight w:val="none"/>
              </w:rPr>
              <w:t>项目所在地不属于资源、能源紧缺区域</w:t>
            </w:r>
            <w:r>
              <w:rPr>
                <w:rFonts w:hint="eastAsia"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项目营运期间不会超过区域的资源利用上线。</w:t>
            </w:r>
          </w:p>
          <w:p w14:paraId="3B0C6DA6">
            <w:pPr>
              <w:pStyle w:val="133"/>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kern w:val="0"/>
                <w:sz w:val="24"/>
                <w:szCs w:val="24"/>
                <w:highlight w:val="none"/>
                <w:lang w:val="en-US" w:eastAsia="zh-CN"/>
              </w:rPr>
              <w:t>环境准入负面清单</w:t>
            </w:r>
          </w:p>
          <w:p w14:paraId="3A711A10">
            <w:pPr>
              <w:pStyle w:val="1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pacing w:val="0"/>
                <w:position w:val="0"/>
                <w:lang w:val="en-US" w:eastAsia="zh-CN"/>
              </w:rPr>
            </w:pPr>
            <w:r>
              <w:rPr>
                <w:rFonts w:hint="default" w:ascii="Times New Roman" w:hAnsi="Times New Roman" w:eastAsia="宋体" w:cs="Times New Roman"/>
                <w:color w:val="auto"/>
                <w:spacing w:val="0"/>
                <w:position w:val="0"/>
                <w:highlight w:val="none"/>
                <w:lang w:val="en-US" w:eastAsia="zh-CN"/>
              </w:rPr>
              <w:t>根据《国民经济行业分类》（GB/T 4754-2017），项目为</w:t>
            </w:r>
            <w:r>
              <w:rPr>
                <w:rFonts w:hint="eastAsia" w:ascii="Times New Roman" w:hAnsi="Times New Roman" w:eastAsia="宋体" w:cs="Times New Roman"/>
                <w:color w:val="auto"/>
                <w:spacing w:val="0"/>
                <w:position w:val="0"/>
                <w:highlight w:val="none"/>
                <w:lang w:val="en-US" w:eastAsia="zh-CN"/>
              </w:rPr>
              <w:t>“</w:t>
            </w:r>
            <w:r>
              <w:rPr>
                <w:rFonts w:hint="default" w:ascii="Times New Roman" w:hAnsi="Times New Roman" w:eastAsia="宋体" w:cs="Times New Roman"/>
                <w:color w:val="auto"/>
                <w:spacing w:val="0"/>
                <w:position w:val="0"/>
                <w:highlight w:val="none"/>
                <w:lang w:val="en-US" w:eastAsia="zh-CN"/>
              </w:rPr>
              <w:t>C3031粘土砖瓦及建筑砌块制造</w:t>
            </w:r>
            <w:r>
              <w:rPr>
                <w:rFonts w:hint="eastAsia" w:ascii="Times New Roman" w:hAnsi="Times New Roman" w:eastAsia="宋体" w:cs="Times New Roman"/>
                <w:color w:val="auto"/>
                <w:spacing w:val="0"/>
                <w:position w:val="0"/>
                <w:highlight w:val="none"/>
                <w:lang w:val="en-US" w:eastAsia="zh-CN"/>
              </w:rPr>
              <w:t>”，</w:t>
            </w:r>
            <w:r>
              <w:rPr>
                <w:rFonts w:hint="default" w:ascii="Times New Roman" w:hAnsi="Times New Roman" w:eastAsia="宋体" w:cs="Times New Roman"/>
                <w:color w:val="auto"/>
                <w:spacing w:val="0"/>
                <w:position w:val="0"/>
                <w:highlight w:val="none"/>
                <w:lang w:val="en-US" w:eastAsia="zh-CN"/>
              </w:rPr>
              <w:t>根据《产业结构调整指导目录（2024年本）》</w:t>
            </w:r>
            <w:r>
              <w:rPr>
                <w:rFonts w:hint="eastAsia" w:ascii="Times New Roman" w:hAnsi="Times New Roman" w:eastAsia="宋体" w:cs="Times New Roman"/>
                <w:color w:val="auto"/>
                <w:spacing w:val="0"/>
                <w:position w:val="0"/>
                <w:highlight w:val="none"/>
                <w:lang w:val="en-US" w:eastAsia="zh-CN"/>
              </w:rPr>
              <w:t>，</w:t>
            </w:r>
            <w:r>
              <w:rPr>
                <w:rFonts w:hint="default" w:ascii="Times New Roman" w:hAnsi="Times New Roman" w:eastAsia="宋体" w:cs="Times New Roman"/>
                <w:color w:val="auto"/>
                <w:spacing w:val="0"/>
                <w:position w:val="0"/>
                <w:highlight w:val="none"/>
                <w:lang w:val="en-US" w:eastAsia="zh-CN"/>
              </w:rPr>
              <w:t>项目属于鼓励</w:t>
            </w:r>
            <w:r>
              <w:rPr>
                <w:rFonts w:hint="default" w:ascii="Times New Roman" w:hAnsi="Times New Roman" w:eastAsia="宋体" w:cs="Times New Roman"/>
                <w:color w:val="auto"/>
                <w:spacing w:val="0"/>
                <w:position w:val="0"/>
                <w:lang w:val="en-US" w:eastAsia="zh-CN"/>
              </w:rPr>
              <w:t>类产业项目</w:t>
            </w:r>
            <w:r>
              <w:rPr>
                <w:rFonts w:hint="eastAsia" w:ascii="Times New Roman" w:hAnsi="Times New Roman" w:eastAsia="宋体" w:cs="Times New Roman"/>
                <w:color w:val="auto"/>
                <w:spacing w:val="0"/>
                <w:position w:val="0"/>
                <w:lang w:val="en-US" w:eastAsia="zh-CN"/>
              </w:rPr>
              <w:t>“</w:t>
            </w:r>
            <w:r>
              <w:rPr>
                <w:rFonts w:hint="default" w:ascii="Times New Roman" w:hAnsi="Times New Roman" w:eastAsia="宋体" w:cs="Times New Roman"/>
                <w:color w:val="auto"/>
                <w:spacing w:val="0"/>
                <w:position w:val="0"/>
                <w:lang w:val="en-US" w:eastAsia="zh-CN"/>
              </w:rPr>
              <w:t>十二、建材</w:t>
            </w:r>
            <w:r>
              <w:rPr>
                <w:rFonts w:hint="eastAsia" w:ascii="Times New Roman" w:hAnsi="Times New Roman" w:eastAsia="宋体" w:cs="Times New Roman"/>
                <w:color w:val="auto"/>
                <w:spacing w:val="0"/>
                <w:position w:val="0"/>
                <w:lang w:val="en-US" w:eastAsia="zh-CN"/>
              </w:rPr>
              <w:t>，</w:t>
            </w:r>
            <w:r>
              <w:rPr>
                <w:rFonts w:hint="default" w:ascii="Times New Roman" w:hAnsi="Times New Roman" w:eastAsia="宋体" w:cs="Times New Roman"/>
                <w:color w:val="auto"/>
                <w:spacing w:val="0"/>
                <w:position w:val="0"/>
                <w:lang w:val="en-US" w:eastAsia="zh-CN"/>
              </w:rPr>
              <w:t>第9款</w:t>
            </w:r>
            <w:r>
              <w:rPr>
                <w:rFonts w:hint="eastAsia" w:ascii="Times New Roman" w:hAnsi="Times New Roman" w:eastAsia="宋体" w:cs="Times New Roman"/>
                <w:color w:val="auto"/>
                <w:spacing w:val="0"/>
                <w:position w:val="0"/>
                <w:lang w:val="en-US" w:eastAsia="zh-CN"/>
              </w:rPr>
              <w:t>，</w:t>
            </w:r>
            <w:r>
              <w:rPr>
                <w:rFonts w:hint="default" w:ascii="Times New Roman" w:hAnsi="Times New Roman" w:eastAsia="宋体" w:cs="Times New Roman"/>
                <w:color w:val="auto"/>
                <w:spacing w:val="0"/>
                <w:position w:val="0"/>
                <w:lang w:val="en-US" w:eastAsia="zh-CN"/>
              </w:rPr>
              <w:t>不低于20万块/日（含）新型烧结砖瓦生产线协同处置大宗废弃物工艺技术及产品的研发与应用</w:t>
            </w:r>
            <w:r>
              <w:rPr>
                <w:rFonts w:hint="eastAsia" w:ascii="Times New Roman" w:hAnsi="Times New Roman" w:eastAsia="宋体" w:cs="Times New Roman"/>
                <w:color w:val="auto"/>
                <w:spacing w:val="0"/>
                <w:position w:val="0"/>
                <w:lang w:val="en-US" w:eastAsia="zh-CN"/>
              </w:rPr>
              <w:t>”</w:t>
            </w:r>
            <w:r>
              <w:rPr>
                <w:rFonts w:hint="default" w:ascii="Times New Roman" w:hAnsi="Times New Roman" w:eastAsia="宋体" w:cs="Times New Roman"/>
                <w:color w:val="auto"/>
                <w:spacing w:val="0"/>
                <w:position w:val="0"/>
                <w:lang w:val="en-US" w:eastAsia="zh-CN"/>
              </w:rPr>
              <w:t>。</w:t>
            </w:r>
            <w:r>
              <w:rPr>
                <w:rFonts w:hint="default" w:ascii="Times New Roman" w:hAnsi="Times New Roman" w:eastAsia="宋体" w:cs="Times New Roman"/>
                <w:color w:val="auto"/>
                <w:spacing w:val="0"/>
                <w:position w:val="0"/>
                <w:lang w:val="en-US" w:eastAsia="zh-CN"/>
              </w:rPr>
              <w:br w:type="textWrapping"/>
            </w:r>
            <w:r>
              <w:rPr>
                <w:rFonts w:hint="eastAsia" w:cs="Times New Roman"/>
                <w:color w:val="auto"/>
                <w:spacing w:val="0"/>
                <w:position w:val="0"/>
                <w:lang w:val="en-US" w:eastAsia="zh-CN"/>
              </w:rPr>
              <w:t xml:space="preserve">    对照淮北市“三线一单”编制文件、《淮北市生态环境分区管控成果动态更新情况说明》中的淮北市生态环境准入清单，本项目建设不违背清单要求。</w:t>
            </w:r>
          </w:p>
          <w:p w14:paraId="19290A69">
            <w:pPr>
              <w:pStyle w:val="1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pacing w:val="0"/>
                <w:position w:val="0"/>
                <w:lang w:eastAsia="zh-CN"/>
              </w:rPr>
            </w:pPr>
            <w:r>
              <w:rPr>
                <w:rFonts w:hint="default" w:ascii="Times New Roman" w:hAnsi="Times New Roman" w:eastAsia="宋体" w:cs="Times New Roman"/>
                <w:color w:val="auto"/>
                <w:spacing w:val="0"/>
                <w:position w:val="0"/>
                <w:lang w:val="en-US" w:eastAsia="zh-CN"/>
              </w:rPr>
              <w:t>项目所在地没有环境准入负面清单</w:t>
            </w:r>
            <w:r>
              <w:rPr>
                <w:rFonts w:hint="eastAsia" w:ascii="Times New Roman" w:hAnsi="Times New Roman" w:eastAsia="宋体" w:cs="Times New Roman"/>
                <w:color w:val="auto"/>
                <w:spacing w:val="0"/>
                <w:position w:val="0"/>
                <w:lang w:val="en-US" w:eastAsia="zh-CN"/>
              </w:rPr>
              <w:t>，</w:t>
            </w:r>
            <w:r>
              <w:rPr>
                <w:rFonts w:hint="default" w:ascii="Times New Roman" w:hAnsi="Times New Roman" w:eastAsia="宋体" w:cs="Times New Roman"/>
                <w:color w:val="auto"/>
                <w:spacing w:val="0"/>
                <w:position w:val="0"/>
                <w:lang w:val="en-US" w:eastAsia="zh-CN"/>
              </w:rPr>
              <w:t>相关设备均不属于《安徽省工业产业结构调整指导目录》（2007年本）中明令淘汰使用的范围内。项目符合国家和地方的相关产业政策</w:t>
            </w:r>
            <w:r>
              <w:rPr>
                <w:rFonts w:hint="eastAsia" w:ascii="Times New Roman" w:hAnsi="Times New Roman" w:eastAsia="宋体" w:cs="Times New Roman"/>
                <w:color w:val="auto"/>
                <w:spacing w:val="0"/>
                <w:position w:val="0"/>
                <w:lang w:val="en-US" w:eastAsia="zh-CN"/>
              </w:rPr>
              <w:t>，</w:t>
            </w:r>
            <w:r>
              <w:rPr>
                <w:rFonts w:hint="default" w:ascii="Times New Roman" w:hAnsi="Times New Roman" w:eastAsia="宋体" w:cs="Times New Roman"/>
                <w:color w:val="auto"/>
                <w:spacing w:val="0"/>
                <w:position w:val="0"/>
                <w:lang w:val="en-US" w:eastAsia="zh-CN"/>
              </w:rPr>
              <w:t>亦不属于《市场准入负面清单（202</w:t>
            </w:r>
            <w:r>
              <w:rPr>
                <w:rFonts w:hint="eastAsia" w:cs="Times New Roman"/>
                <w:color w:val="auto"/>
                <w:spacing w:val="0"/>
                <w:position w:val="0"/>
                <w:lang w:val="en-US" w:eastAsia="zh-CN"/>
              </w:rPr>
              <w:t>5</w:t>
            </w:r>
            <w:r>
              <w:rPr>
                <w:rFonts w:hint="default" w:ascii="Times New Roman" w:hAnsi="Times New Roman" w:eastAsia="宋体" w:cs="Times New Roman"/>
                <w:color w:val="auto"/>
                <w:spacing w:val="0"/>
                <w:position w:val="0"/>
                <w:lang w:val="en-US" w:eastAsia="zh-CN"/>
              </w:rPr>
              <w:t>年版）》中禁止准入类和限制准入类项目</w:t>
            </w:r>
            <w:r>
              <w:rPr>
                <w:rFonts w:hint="eastAsia" w:ascii="Times New Roman" w:hAnsi="Times New Roman" w:eastAsia="宋体" w:cs="Times New Roman"/>
                <w:color w:val="auto"/>
                <w:spacing w:val="0"/>
                <w:position w:val="0"/>
                <w:lang w:val="en-US" w:eastAsia="zh-CN"/>
              </w:rPr>
              <w:t>，</w:t>
            </w:r>
            <w:r>
              <w:rPr>
                <w:rFonts w:hint="default" w:ascii="Times New Roman" w:hAnsi="Times New Roman" w:eastAsia="宋体" w:cs="Times New Roman"/>
                <w:color w:val="auto"/>
                <w:spacing w:val="0"/>
                <w:position w:val="0"/>
                <w:lang w:val="en-US" w:eastAsia="zh-CN"/>
              </w:rPr>
              <w:t>且该项目</w:t>
            </w:r>
            <w:r>
              <w:rPr>
                <w:rFonts w:hint="eastAsia" w:cs="Times New Roman"/>
                <w:color w:val="auto"/>
                <w:spacing w:val="0"/>
                <w:position w:val="0"/>
                <w:lang w:val="en-US" w:eastAsia="zh-CN"/>
              </w:rPr>
              <w:t>已获得濉溪县工业和信息化局备案证</w:t>
            </w:r>
            <w:r>
              <w:rPr>
                <w:rFonts w:hint="default" w:ascii="Times New Roman" w:hAnsi="Times New Roman" w:eastAsia="宋体" w:cs="Times New Roman"/>
                <w:color w:val="auto"/>
                <w:spacing w:val="0"/>
                <w:position w:val="0"/>
                <w:lang w:val="en-US" w:eastAsia="zh-CN"/>
              </w:rPr>
              <w:t>。本项目符合国家和地方的相关产业政策。</w:t>
            </w:r>
          </w:p>
          <w:p w14:paraId="431A3BCC">
            <w:pPr>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auto"/>
                <w:sz w:val="24"/>
                <w:szCs w:val="24"/>
              </w:rPr>
            </w:pPr>
            <w:r>
              <w:rPr>
                <w:rFonts w:hint="default" w:ascii="Times New Roman" w:hAnsi="Times New Roman" w:eastAsia="宋体" w:cs="Times New Roman"/>
                <w:color w:val="auto"/>
                <w:kern w:val="0"/>
                <w:sz w:val="24"/>
                <w:szCs w:val="24"/>
              </w:rPr>
              <w:t>因此项目的建设符合</w:t>
            </w:r>
            <w:r>
              <w:rPr>
                <w:rFonts w:hint="eastAsia"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三线一单</w:t>
            </w:r>
            <w:r>
              <w:rPr>
                <w:rFonts w:hint="eastAsia"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相关要求。</w:t>
            </w:r>
            <w:r>
              <w:rPr>
                <w:rFonts w:hint="eastAsia" w:ascii="宋体" w:hAnsi="宋体" w:cs="宋体"/>
                <w:color w:val="auto"/>
                <w:sz w:val="24"/>
                <w:szCs w:val="24"/>
              </w:rPr>
              <w:br w:type="textWrapping"/>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4</w:t>
            </w:r>
            <w:r>
              <w:rPr>
                <w:rFonts w:hint="eastAsia" w:ascii="宋体" w:hAnsi="宋体" w:cs="宋体"/>
                <w:color w:val="auto"/>
                <w:sz w:val="24"/>
                <w:szCs w:val="24"/>
              </w:rPr>
              <w:t>、与《关于印发&lt;安徽省“两高”项目管理目录（试行）&gt;的通知》（皖节能【2022】2号，2022年06月21日，安徽省节能减排及应对气候变化工作领导小组）符合性分析</w:t>
            </w:r>
          </w:p>
          <w:p w14:paraId="549E52B5">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安徽省“两高”项目管理名录（试行）见表1</w:t>
            </w:r>
            <w:r>
              <w:rPr>
                <w:rFonts w:hint="eastAsia" w:ascii="宋体" w:hAnsi="宋体" w:cs="宋体"/>
                <w:color w:val="auto"/>
                <w:sz w:val="24"/>
                <w:szCs w:val="24"/>
                <w:lang w:val="en-US" w:eastAsia="zh-CN"/>
              </w:rPr>
              <w:t>-</w:t>
            </w:r>
            <w:r>
              <w:rPr>
                <w:rFonts w:hint="eastAsia" w:ascii="宋体" w:hAnsi="宋体" w:cs="宋体"/>
                <w:color w:val="auto"/>
                <w:sz w:val="24"/>
                <w:szCs w:val="24"/>
              </w:rPr>
              <w:t>4。</w:t>
            </w:r>
          </w:p>
          <w:p w14:paraId="1A1C0230">
            <w:pPr>
              <w:spacing w:line="360" w:lineRule="auto"/>
              <w:jc w:val="center"/>
              <w:rPr>
                <w:rFonts w:ascii="Times New Roman" w:hAnsi="Times New Roman" w:cs="Times New Roman"/>
                <w:b/>
                <w:bCs/>
                <w:color w:val="auto"/>
                <w:sz w:val="22"/>
                <w:szCs w:val="20"/>
              </w:rPr>
            </w:pPr>
            <w:r>
              <w:rPr>
                <w:rFonts w:hint="eastAsia" w:ascii="宋体" w:hAnsi="宋体" w:cs="宋体"/>
                <w:color w:val="auto"/>
                <w:sz w:val="22"/>
                <w:szCs w:val="22"/>
              </w:rPr>
              <w:t>表1</w:t>
            </w:r>
            <w:r>
              <w:rPr>
                <w:rFonts w:hint="eastAsia" w:ascii="宋体" w:hAnsi="宋体" w:cs="宋体"/>
                <w:color w:val="auto"/>
                <w:sz w:val="22"/>
                <w:szCs w:val="22"/>
                <w:lang w:val="en-US" w:eastAsia="zh-CN"/>
              </w:rPr>
              <w:t>-</w:t>
            </w:r>
            <w:r>
              <w:rPr>
                <w:rFonts w:hint="eastAsia" w:ascii="宋体" w:hAnsi="宋体" w:cs="宋体"/>
                <w:color w:val="auto"/>
                <w:sz w:val="22"/>
                <w:szCs w:val="22"/>
              </w:rPr>
              <w:t>4  安徽省“两高”项目管理目录（试行）</w:t>
            </w:r>
          </w:p>
          <w:tbl>
            <w:tblPr>
              <w:tblStyle w:val="38"/>
              <w:tblW w:w="6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727"/>
              <w:gridCol w:w="1609"/>
              <w:gridCol w:w="767"/>
              <w:gridCol w:w="3199"/>
            </w:tblGrid>
            <w:tr w14:paraId="06B9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536" w:type="dxa"/>
                  <w:vAlign w:val="center"/>
                </w:tcPr>
                <w:p w14:paraId="57DAF131">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序号</w:t>
                  </w:r>
                </w:p>
              </w:tc>
              <w:tc>
                <w:tcPr>
                  <w:tcW w:w="727" w:type="dxa"/>
                  <w:vAlign w:val="center"/>
                </w:tcPr>
                <w:p w14:paraId="04E976EC">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行业</w:t>
                  </w:r>
                </w:p>
              </w:tc>
              <w:tc>
                <w:tcPr>
                  <w:tcW w:w="1609" w:type="dxa"/>
                  <w:vAlign w:val="center"/>
                </w:tcPr>
                <w:p w14:paraId="22C8134C">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国民经济行业分类名称</w:t>
                  </w:r>
                </w:p>
              </w:tc>
              <w:tc>
                <w:tcPr>
                  <w:tcW w:w="767" w:type="dxa"/>
                  <w:vAlign w:val="center"/>
                </w:tcPr>
                <w:p w14:paraId="1EC9FAEB">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行业小类代码</w:t>
                  </w:r>
                </w:p>
              </w:tc>
              <w:tc>
                <w:tcPr>
                  <w:tcW w:w="3199" w:type="dxa"/>
                  <w:vAlign w:val="center"/>
                </w:tcPr>
                <w:p w14:paraId="223D4795">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包含内容</w:t>
                  </w:r>
                </w:p>
              </w:tc>
            </w:tr>
            <w:tr w14:paraId="48EC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36" w:type="dxa"/>
                  <w:vAlign w:val="center"/>
                </w:tcPr>
                <w:p w14:paraId="6D407A0E">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1</w:t>
                  </w:r>
                </w:p>
              </w:tc>
              <w:tc>
                <w:tcPr>
                  <w:tcW w:w="727" w:type="dxa"/>
                  <w:vAlign w:val="center"/>
                </w:tcPr>
                <w:p w14:paraId="6532E079">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石化</w:t>
                  </w:r>
                </w:p>
              </w:tc>
              <w:tc>
                <w:tcPr>
                  <w:tcW w:w="1609" w:type="dxa"/>
                  <w:vAlign w:val="center"/>
                </w:tcPr>
                <w:p w14:paraId="5B1E823F">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原油加工及石油制品制造</w:t>
                  </w:r>
                </w:p>
              </w:tc>
              <w:tc>
                <w:tcPr>
                  <w:tcW w:w="767" w:type="dxa"/>
                  <w:vAlign w:val="center"/>
                </w:tcPr>
                <w:p w14:paraId="17EB7B01">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2511</w:t>
                  </w:r>
                </w:p>
              </w:tc>
              <w:tc>
                <w:tcPr>
                  <w:tcW w:w="3199" w:type="dxa"/>
                  <w:vAlign w:val="center"/>
                </w:tcPr>
                <w:p w14:paraId="06BE21EA">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炼油</w:t>
                  </w:r>
                </w:p>
              </w:tc>
            </w:tr>
            <w:tr w14:paraId="20B7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536" w:type="dxa"/>
                  <w:vAlign w:val="center"/>
                </w:tcPr>
                <w:p w14:paraId="4DE137FF">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w:t>
                  </w:r>
                </w:p>
              </w:tc>
              <w:tc>
                <w:tcPr>
                  <w:tcW w:w="727" w:type="dxa"/>
                  <w:vAlign w:val="center"/>
                </w:tcPr>
                <w:p w14:paraId="4B152819">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焦化</w:t>
                  </w:r>
                </w:p>
              </w:tc>
              <w:tc>
                <w:tcPr>
                  <w:tcW w:w="1609" w:type="dxa"/>
                  <w:vAlign w:val="center"/>
                </w:tcPr>
                <w:p w14:paraId="22F2A6A7">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炼焦</w:t>
                  </w:r>
                </w:p>
              </w:tc>
              <w:tc>
                <w:tcPr>
                  <w:tcW w:w="767" w:type="dxa"/>
                  <w:vAlign w:val="center"/>
                </w:tcPr>
                <w:p w14:paraId="04AF81A6">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2521</w:t>
                  </w:r>
                </w:p>
              </w:tc>
              <w:tc>
                <w:tcPr>
                  <w:tcW w:w="3199" w:type="dxa"/>
                  <w:vAlign w:val="center"/>
                </w:tcPr>
                <w:p w14:paraId="69E05907">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煤制焦炭、石油焦（焦炭类）、沥青焦、其他原材料生产焦炭、机焦、型焦、土焦、半焦炭、其他工艺生产焦炭、矿物油焦、兰炭</w:t>
                  </w:r>
                </w:p>
              </w:tc>
            </w:tr>
            <w:tr w14:paraId="671F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36" w:type="dxa"/>
                  <w:vAlign w:val="center"/>
                </w:tcPr>
                <w:p w14:paraId="13D38C62">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3</w:t>
                  </w:r>
                </w:p>
              </w:tc>
              <w:tc>
                <w:tcPr>
                  <w:tcW w:w="727" w:type="dxa"/>
                  <w:vAlign w:val="center"/>
                </w:tcPr>
                <w:p w14:paraId="4C4DCA72">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煤化工</w:t>
                  </w:r>
                </w:p>
              </w:tc>
              <w:tc>
                <w:tcPr>
                  <w:tcW w:w="1609" w:type="dxa"/>
                  <w:vAlign w:val="center"/>
                </w:tcPr>
                <w:p w14:paraId="3839B586">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煤制液体燃料生产</w:t>
                  </w:r>
                </w:p>
              </w:tc>
              <w:tc>
                <w:tcPr>
                  <w:tcW w:w="767" w:type="dxa"/>
                  <w:vAlign w:val="center"/>
                </w:tcPr>
                <w:p w14:paraId="488DB19A">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2523</w:t>
                  </w:r>
                </w:p>
              </w:tc>
              <w:tc>
                <w:tcPr>
                  <w:tcW w:w="3199" w:type="dxa"/>
                  <w:vAlign w:val="center"/>
                </w:tcPr>
                <w:p w14:paraId="1D0AB967">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甲醇、烯烃、乙二醇</w:t>
                  </w:r>
                </w:p>
              </w:tc>
            </w:tr>
            <w:tr w14:paraId="0AC47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36" w:type="dxa"/>
                  <w:vAlign w:val="center"/>
                </w:tcPr>
                <w:p w14:paraId="12B92512">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4</w:t>
                  </w:r>
                </w:p>
              </w:tc>
              <w:tc>
                <w:tcPr>
                  <w:tcW w:w="727" w:type="dxa"/>
                  <w:vMerge w:val="restart"/>
                  <w:vAlign w:val="center"/>
                </w:tcPr>
                <w:p w14:paraId="7A87791A">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化工</w:t>
                  </w:r>
                </w:p>
              </w:tc>
              <w:tc>
                <w:tcPr>
                  <w:tcW w:w="1609" w:type="dxa"/>
                  <w:vAlign w:val="center"/>
                </w:tcPr>
                <w:p w14:paraId="1AD79B43">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无机碱制造</w:t>
                  </w:r>
                </w:p>
              </w:tc>
              <w:tc>
                <w:tcPr>
                  <w:tcW w:w="767" w:type="dxa"/>
                  <w:vAlign w:val="center"/>
                </w:tcPr>
                <w:p w14:paraId="61178445">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2612</w:t>
                  </w:r>
                </w:p>
              </w:tc>
              <w:tc>
                <w:tcPr>
                  <w:tcW w:w="3199" w:type="dxa"/>
                  <w:vAlign w:val="center"/>
                </w:tcPr>
                <w:p w14:paraId="4BA79C29">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烧碱、纯碱</w:t>
                  </w:r>
                </w:p>
              </w:tc>
            </w:tr>
            <w:tr w14:paraId="5196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36" w:type="dxa"/>
                  <w:vAlign w:val="center"/>
                </w:tcPr>
                <w:p w14:paraId="295CCC3F">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5</w:t>
                  </w:r>
                </w:p>
              </w:tc>
              <w:tc>
                <w:tcPr>
                  <w:tcW w:w="727" w:type="dxa"/>
                  <w:vMerge w:val="continue"/>
                  <w:vAlign w:val="center"/>
                </w:tcPr>
                <w:p w14:paraId="53DB9F73">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09" w:type="dxa"/>
                  <w:vAlign w:val="center"/>
                </w:tcPr>
                <w:p w14:paraId="330EA1B6">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无机盐制造</w:t>
                  </w:r>
                </w:p>
              </w:tc>
              <w:tc>
                <w:tcPr>
                  <w:tcW w:w="767" w:type="dxa"/>
                  <w:vAlign w:val="center"/>
                </w:tcPr>
                <w:p w14:paraId="3CBFC2B4">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2613</w:t>
                  </w:r>
                </w:p>
              </w:tc>
              <w:tc>
                <w:tcPr>
                  <w:tcW w:w="3199" w:type="dxa"/>
                  <w:vAlign w:val="center"/>
                </w:tcPr>
                <w:p w14:paraId="37270CC5">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电石</w:t>
                  </w:r>
                </w:p>
              </w:tc>
            </w:tr>
            <w:tr w14:paraId="78D2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36" w:type="dxa"/>
                  <w:vAlign w:val="center"/>
                </w:tcPr>
                <w:p w14:paraId="7F1C50EC">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6</w:t>
                  </w:r>
                </w:p>
              </w:tc>
              <w:tc>
                <w:tcPr>
                  <w:tcW w:w="727" w:type="dxa"/>
                  <w:vMerge w:val="continue"/>
                  <w:vAlign w:val="center"/>
                </w:tcPr>
                <w:p w14:paraId="34335690">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09" w:type="dxa"/>
                  <w:vAlign w:val="center"/>
                </w:tcPr>
                <w:p w14:paraId="1BA4CF5B">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有机化学原料制造</w:t>
                  </w:r>
                </w:p>
              </w:tc>
              <w:tc>
                <w:tcPr>
                  <w:tcW w:w="767" w:type="dxa"/>
                  <w:vAlign w:val="center"/>
                </w:tcPr>
                <w:p w14:paraId="30381CA0">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2614</w:t>
                  </w:r>
                </w:p>
              </w:tc>
              <w:tc>
                <w:tcPr>
                  <w:tcW w:w="3199" w:type="dxa"/>
                  <w:vAlign w:val="center"/>
                </w:tcPr>
                <w:p w14:paraId="67B77F9D">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醋酸、乙烯、对二甲苯、丁二醇、二苯基甲烷二异氰酸酯、乙酸乙烯酯、用汞的氯乙烯</w:t>
                  </w:r>
                </w:p>
              </w:tc>
            </w:tr>
            <w:tr w14:paraId="6FB7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36" w:type="dxa"/>
                  <w:vAlign w:val="center"/>
                </w:tcPr>
                <w:p w14:paraId="6F8DA500">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7</w:t>
                  </w:r>
                </w:p>
              </w:tc>
              <w:tc>
                <w:tcPr>
                  <w:tcW w:w="727" w:type="dxa"/>
                  <w:vMerge w:val="continue"/>
                  <w:vAlign w:val="center"/>
                </w:tcPr>
                <w:p w14:paraId="78C6B21C">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09" w:type="dxa"/>
                  <w:vAlign w:val="center"/>
                </w:tcPr>
                <w:p w14:paraId="3F031A07">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其他基础化学原料制造</w:t>
                  </w:r>
                </w:p>
              </w:tc>
              <w:tc>
                <w:tcPr>
                  <w:tcW w:w="767" w:type="dxa"/>
                  <w:vAlign w:val="center"/>
                </w:tcPr>
                <w:p w14:paraId="056739E3">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2619</w:t>
                  </w:r>
                </w:p>
              </w:tc>
              <w:tc>
                <w:tcPr>
                  <w:tcW w:w="3199" w:type="dxa"/>
                  <w:vAlign w:val="center"/>
                </w:tcPr>
                <w:p w14:paraId="2D3C6FCC">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黄磷</w:t>
                  </w:r>
                </w:p>
              </w:tc>
            </w:tr>
            <w:tr w14:paraId="57A5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36" w:type="dxa"/>
                  <w:vAlign w:val="center"/>
                </w:tcPr>
                <w:p w14:paraId="6CF8A579">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8</w:t>
                  </w:r>
                </w:p>
              </w:tc>
              <w:tc>
                <w:tcPr>
                  <w:tcW w:w="727" w:type="dxa"/>
                  <w:vMerge w:val="continue"/>
                  <w:vAlign w:val="center"/>
                </w:tcPr>
                <w:p w14:paraId="7862184D">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09" w:type="dxa"/>
                  <w:vAlign w:val="center"/>
                </w:tcPr>
                <w:p w14:paraId="0E5808FF">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氮肥制造</w:t>
                  </w:r>
                </w:p>
              </w:tc>
              <w:tc>
                <w:tcPr>
                  <w:tcW w:w="767" w:type="dxa"/>
                  <w:vAlign w:val="center"/>
                </w:tcPr>
                <w:p w14:paraId="7E430606">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2621</w:t>
                  </w:r>
                </w:p>
              </w:tc>
              <w:tc>
                <w:tcPr>
                  <w:tcW w:w="3199" w:type="dxa"/>
                  <w:vAlign w:val="center"/>
                </w:tcPr>
                <w:p w14:paraId="0F0B55C4">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合成氨、氮肥（含尿素）</w:t>
                  </w:r>
                </w:p>
              </w:tc>
            </w:tr>
            <w:tr w14:paraId="636B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36" w:type="dxa"/>
                  <w:vAlign w:val="center"/>
                </w:tcPr>
                <w:p w14:paraId="0D68F814">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9</w:t>
                  </w:r>
                </w:p>
              </w:tc>
              <w:tc>
                <w:tcPr>
                  <w:tcW w:w="727" w:type="dxa"/>
                  <w:vMerge w:val="continue"/>
                  <w:vAlign w:val="center"/>
                </w:tcPr>
                <w:p w14:paraId="2A9EBAF3">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09" w:type="dxa"/>
                  <w:vAlign w:val="center"/>
                </w:tcPr>
                <w:p w14:paraId="0FD7A87E">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磷肥制造</w:t>
                  </w:r>
                </w:p>
              </w:tc>
              <w:tc>
                <w:tcPr>
                  <w:tcW w:w="767" w:type="dxa"/>
                  <w:vAlign w:val="center"/>
                </w:tcPr>
                <w:p w14:paraId="7CFC6CBD">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2622</w:t>
                  </w:r>
                </w:p>
              </w:tc>
              <w:tc>
                <w:tcPr>
                  <w:tcW w:w="3199" w:type="dxa"/>
                  <w:vAlign w:val="center"/>
                </w:tcPr>
                <w:p w14:paraId="7409BF42">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磷酸一铵、磷酸二铵</w:t>
                  </w:r>
                </w:p>
              </w:tc>
            </w:tr>
            <w:tr w14:paraId="74FC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36" w:type="dxa"/>
                  <w:vAlign w:val="center"/>
                </w:tcPr>
                <w:p w14:paraId="0039E7A6">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10</w:t>
                  </w:r>
                </w:p>
              </w:tc>
              <w:tc>
                <w:tcPr>
                  <w:tcW w:w="727" w:type="dxa"/>
                  <w:vMerge w:val="continue"/>
                  <w:vAlign w:val="center"/>
                </w:tcPr>
                <w:p w14:paraId="3A864A6B">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09" w:type="dxa"/>
                  <w:vAlign w:val="center"/>
                </w:tcPr>
                <w:p w14:paraId="03EBBE20">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初级形态塑料及合成树脂制造</w:t>
                  </w:r>
                </w:p>
              </w:tc>
              <w:tc>
                <w:tcPr>
                  <w:tcW w:w="767" w:type="dxa"/>
                  <w:vAlign w:val="center"/>
                </w:tcPr>
                <w:p w14:paraId="2F149508">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2651</w:t>
                  </w:r>
                </w:p>
              </w:tc>
              <w:tc>
                <w:tcPr>
                  <w:tcW w:w="3199" w:type="dxa"/>
                  <w:vAlign w:val="center"/>
                </w:tcPr>
                <w:p w14:paraId="2519132B">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用汞的聚氯乙烯</w:t>
                  </w:r>
                </w:p>
              </w:tc>
            </w:tr>
            <w:tr w14:paraId="39B7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36" w:type="dxa"/>
                  <w:vAlign w:val="center"/>
                </w:tcPr>
                <w:p w14:paraId="1D813180">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11</w:t>
                  </w:r>
                </w:p>
              </w:tc>
              <w:tc>
                <w:tcPr>
                  <w:tcW w:w="727" w:type="dxa"/>
                  <w:vMerge w:val="restart"/>
                  <w:vAlign w:val="center"/>
                </w:tcPr>
                <w:p w14:paraId="42095FC4">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建材</w:t>
                  </w:r>
                </w:p>
              </w:tc>
              <w:tc>
                <w:tcPr>
                  <w:tcW w:w="1609" w:type="dxa"/>
                  <w:vAlign w:val="center"/>
                </w:tcPr>
                <w:p w14:paraId="7831A3A3">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水泥制造</w:t>
                  </w:r>
                </w:p>
              </w:tc>
              <w:tc>
                <w:tcPr>
                  <w:tcW w:w="767" w:type="dxa"/>
                  <w:vAlign w:val="center"/>
                </w:tcPr>
                <w:p w14:paraId="44B54CD6">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3011</w:t>
                  </w:r>
                </w:p>
              </w:tc>
              <w:tc>
                <w:tcPr>
                  <w:tcW w:w="3199" w:type="dxa"/>
                  <w:vAlign w:val="center"/>
                </w:tcPr>
                <w:p w14:paraId="33F57956">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水泥熟料</w:t>
                  </w:r>
                </w:p>
              </w:tc>
            </w:tr>
            <w:tr w14:paraId="305E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36" w:type="dxa"/>
                  <w:vAlign w:val="center"/>
                </w:tcPr>
                <w:p w14:paraId="1951AFFB">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12</w:t>
                  </w:r>
                </w:p>
              </w:tc>
              <w:tc>
                <w:tcPr>
                  <w:tcW w:w="727" w:type="dxa"/>
                  <w:vMerge w:val="continue"/>
                  <w:vAlign w:val="center"/>
                </w:tcPr>
                <w:p w14:paraId="156ACFC9">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09" w:type="dxa"/>
                  <w:vAlign w:val="center"/>
                </w:tcPr>
                <w:p w14:paraId="1FEB8CBD">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石灰和石膏制造</w:t>
                  </w:r>
                </w:p>
              </w:tc>
              <w:tc>
                <w:tcPr>
                  <w:tcW w:w="767" w:type="dxa"/>
                  <w:vAlign w:val="center"/>
                </w:tcPr>
                <w:p w14:paraId="208008EA">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3012</w:t>
                  </w:r>
                </w:p>
              </w:tc>
              <w:tc>
                <w:tcPr>
                  <w:tcW w:w="3199" w:type="dxa"/>
                  <w:vAlign w:val="center"/>
                </w:tcPr>
                <w:p w14:paraId="6DB2B99E">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石灰</w:t>
                  </w:r>
                </w:p>
              </w:tc>
            </w:tr>
            <w:tr w14:paraId="3997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36" w:type="dxa"/>
                  <w:vAlign w:val="center"/>
                </w:tcPr>
                <w:p w14:paraId="3FC67746">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13</w:t>
                  </w:r>
                </w:p>
              </w:tc>
              <w:tc>
                <w:tcPr>
                  <w:tcW w:w="727" w:type="dxa"/>
                  <w:vMerge w:val="continue"/>
                  <w:vAlign w:val="center"/>
                </w:tcPr>
                <w:p w14:paraId="65AFC93E">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09" w:type="dxa"/>
                  <w:vAlign w:val="center"/>
                </w:tcPr>
                <w:p w14:paraId="3C7B2B97">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粘土砖瓦及建筑砌块制造</w:t>
                  </w:r>
                </w:p>
              </w:tc>
              <w:tc>
                <w:tcPr>
                  <w:tcW w:w="767" w:type="dxa"/>
                  <w:vAlign w:val="center"/>
                </w:tcPr>
                <w:p w14:paraId="1EE92600">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3031</w:t>
                  </w:r>
                </w:p>
              </w:tc>
              <w:tc>
                <w:tcPr>
                  <w:tcW w:w="3199" w:type="dxa"/>
                  <w:vAlign w:val="center"/>
                </w:tcPr>
                <w:p w14:paraId="41ECC54C">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烧结砖瓦，不包括资源综合利用项目</w:t>
                  </w:r>
                </w:p>
              </w:tc>
            </w:tr>
            <w:tr w14:paraId="6E61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36" w:type="dxa"/>
                  <w:vAlign w:val="center"/>
                </w:tcPr>
                <w:p w14:paraId="677D8A10">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14</w:t>
                  </w:r>
                </w:p>
              </w:tc>
              <w:tc>
                <w:tcPr>
                  <w:tcW w:w="727" w:type="dxa"/>
                  <w:vMerge w:val="continue"/>
                  <w:vAlign w:val="center"/>
                </w:tcPr>
                <w:p w14:paraId="5290FA36">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09" w:type="dxa"/>
                  <w:vAlign w:val="center"/>
                </w:tcPr>
                <w:p w14:paraId="5AD15945">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平板玻璃制造</w:t>
                  </w:r>
                </w:p>
              </w:tc>
              <w:tc>
                <w:tcPr>
                  <w:tcW w:w="767" w:type="dxa"/>
                  <w:vAlign w:val="center"/>
                </w:tcPr>
                <w:p w14:paraId="0110239A">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3041</w:t>
                  </w:r>
                </w:p>
              </w:tc>
              <w:tc>
                <w:tcPr>
                  <w:tcW w:w="3199" w:type="dxa"/>
                  <w:vAlign w:val="center"/>
                </w:tcPr>
                <w:p w14:paraId="1135D35C">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平板玻璃，不包括光伏压延玻璃、显示玻璃</w:t>
                  </w:r>
                </w:p>
              </w:tc>
            </w:tr>
            <w:tr w14:paraId="5B9F9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36" w:type="dxa"/>
                  <w:vAlign w:val="center"/>
                </w:tcPr>
                <w:p w14:paraId="20A353D9">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15</w:t>
                  </w:r>
                </w:p>
              </w:tc>
              <w:tc>
                <w:tcPr>
                  <w:tcW w:w="727" w:type="dxa"/>
                  <w:vMerge w:val="continue"/>
                  <w:vAlign w:val="center"/>
                </w:tcPr>
                <w:p w14:paraId="527EEF1D">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09" w:type="dxa"/>
                  <w:vAlign w:val="center"/>
                </w:tcPr>
                <w:p w14:paraId="2DE4F7FB">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建筑陶瓷制品制造</w:t>
                  </w:r>
                </w:p>
              </w:tc>
              <w:tc>
                <w:tcPr>
                  <w:tcW w:w="767" w:type="dxa"/>
                  <w:vAlign w:val="center"/>
                </w:tcPr>
                <w:p w14:paraId="5DC4896A">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3071</w:t>
                  </w:r>
                </w:p>
              </w:tc>
              <w:tc>
                <w:tcPr>
                  <w:tcW w:w="3199" w:type="dxa"/>
                  <w:vAlign w:val="center"/>
                </w:tcPr>
                <w:p w14:paraId="76CA2F77">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建筑陶瓷</w:t>
                  </w:r>
                </w:p>
              </w:tc>
            </w:tr>
            <w:tr w14:paraId="51BD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536" w:type="dxa"/>
                  <w:vAlign w:val="center"/>
                </w:tcPr>
                <w:p w14:paraId="36CBFF95">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16</w:t>
                  </w:r>
                </w:p>
              </w:tc>
              <w:tc>
                <w:tcPr>
                  <w:tcW w:w="727" w:type="dxa"/>
                  <w:vMerge w:val="continue"/>
                  <w:vAlign w:val="center"/>
                </w:tcPr>
                <w:p w14:paraId="69A1103B">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09" w:type="dxa"/>
                  <w:vAlign w:val="center"/>
                </w:tcPr>
                <w:p w14:paraId="7E6C0042">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卫生陶瓷制品制造</w:t>
                  </w:r>
                </w:p>
              </w:tc>
              <w:tc>
                <w:tcPr>
                  <w:tcW w:w="767" w:type="dxa"/>
                  <w:vAlign w:val="center"/>
                </w:tcPr>
                <w:p w14:paraId="2AD34808">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3072</w:t>
                  </w:r>
                </w:p>
              </w:tc>
              <w:tc>
                <w:tcPr>
                  <w:tcW w:w="3199" w:type="dxa"/>
                  <w:vAlign w:val="center"/>
                </w:tcPr>
                <w:p w14:paraId="349D14CA">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卫生陶瓷</w:t>
                  </w:r>
                </w:p>
              </w:tc>
            </w:tr>
            <w:tr w14:paraId="59BA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36" w:type="dxa"/>
                  <w:vAlign w:val="center"/>
                </w:tcPr>
                <w:p w14:paraId="06192237">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17</w:t>
                  </w:r>
                </w:p>
              </w:tc>
              <w:tc>
                <w:tcPr>
                  <w:tcW w:w="727" w:type="dxa"/>
                  <w:vMerge w:val="continue"/>
                  <w:vAlign w:val="center"/>
                </w:tcPr>
                <w:p w14:paraId="2F4F0148">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09" w:type="dxa"/>
                  <w:vAlign w:val="center"/>
                </w:tcPr>
                <w:p w14:paraId="5A2D08D6">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耐火材料制品制造</w:t>
                  </w:r>
                </w:p>
              </w:tc>
              <w:tc>
                <w:tcPr>
                  <w:tcW w:w="767" w:type="dxa"/>
                  <w:vAlign w:val="center"/>
                </w:tcPr>
                <w:p w14:paraId="17B8EF6E">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color w:val="auto"/>
                      <w:szCs w:val="21"/>
                    </w:rPr>
                    <w:t>3081</w:t>
                  </w:r>
                </w:p>
                <w:p w14:paraId="343D1801">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color w:val="auto"/>
                      <w:szCs w:val="21"/>
                    </w:rPr>
                    <w:t>3082</w:t>
                  </w:r>
                </w:p>
                <w:p w14:paraId="7796243C">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color w:val="auto"/>
                      <w:szCs w:val="21"/>
                    </w:rPr>
                    <w:t>3083</w:t>
                  </w:r>
                </w:p>
              </w:tc>
              <w:tc>
                <w:tcPr>
                  <w:tcW w:w="3199" w:type="dxa"/>
                  <w:vAlign w:val="center"/>
                </w:tcPr>
                <w:p w14:paraId="4398FA18">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烧结工序制造的硅砖、镁铬砖、铝含量42%以下的粘土砖，不包括资源综合利用项目</w:t>
                  </w:r>
                </w:p>
              </w:tc>
            </w:tr>
            <w:tr w14:paraId="687D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36" w:type="dxa"/>
                  <w:vAlign w:val="center"/>
                </w:tcPr>
                <w:p w14:paraId="61040786">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18</w:t>
                  </w:r>
                </w:p>
              </w:tc>
              <w:tc>
                <w:tcPr>
                  <w:tcW w:w="727" w:type="dxa"/>
                  <w:vMerge w:val="continue"/>
                  <w:vAlign w:val="center"/>
                </w:tcPr>
                <w:p w14:paraId="154F9A53">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09" w:type="dxa"/>
                  <w:vAlign w:val="center"/>
                </w:tcPr>
                <w:p w14:paraId="69EA1500">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石墨及碳素制品制造</w:t>
                  </w:r>
                </w:p>
              </w:tc>
              <w:tc>
                <w:tcPr>
                  <w:tcW w:w="767" w:type="dxa"/>
                  <w:vAlign w:val="center"/>
                </w:tcPr>
                <w:p w14:paraId="68CE064A">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3091</w:t>
                  </w:r>
                </w:p>
              </w:tc>
              <w:tc>
                <w:tcPr>
                  <w:tcW w:w="3199" w:type="dxa"/>
                  <w:vAlign w:val="center"/>
                </w:tcPr>
                <w:p w14:paraId="6F94828B">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铝用碳素</w:t>
                  </w:r>
                </w:p>
              </w:tc>
            </w:tr>
            <w:tr w14:paraId="00BB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536" w:type="dxa"/>
                  <w:vAlign w:val="center"/>
                </w:tcPr>
                <w:p w14:paraId="3BD6F880">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19</w:t>
                  </w:r>
                </w:p>
              </w:tc>
              <w:tc>
                <w:tcPr>
                  <w:tcW w:w="727" w:type="dxa"/>
                  <w:vMerge w:val="restart"/>
                  <w:vAlign w:val="center"/>
                </w:tcPr>
                <w:p w14:paraId="1E4E927E">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钢铁</w:t>
                  </w:r>
                </w:p>
              </w:tc>
              <w:tc>
                <w:tcPr>
                  <w:tcW w:w="1609" w:type="dxa"/>
                  <w:vAlign w:val="center"/>
                </w:tcPr>
                <w:p w14:paraId="7F98FCDF">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炼铁</w:t>
                  </w:r>
                </w:p>
              </w:tc>
              <w:tc>
                <w:tcPr>
                  <w:tcW w:w="767" w:type="dxa"/>
                  <w:vAlign w:val="center"/>
                </w:tcPr>
                <w:p w14:paraId="46304697">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3110</w:t>
                  </w:r>
                </w:p>
              </w:tc>
              <w:tc>
                <w:tcPr>
                  <w:tcW w:w="3199" w:type="dxa"/>
                  <w:vAlign w:val="center"/>
                </w:tcPr>
                <w:p w14:paraId="2AA1B83C">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炼钢用高炉生铁、直接还原铁、熔融还原铁</w:t>
                  </w:r>
                </w:p>
              </w:tc>
            </w:tr>
            <w:tr w14:paraId="5922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536" w:type="dxa"/>
                  <w:vAlign w:val="center"/>
                </w:tcPr>
                <w:p w14:paraId="69588839">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20</w:t>
                  </w:r>
                </w:p>
              </w:tc>
              <w:tc>
                <w:tcPr>
                  <w:tcW w:w="727" w:type="dxa"/>
                  <w:vMerge w:val="continue"/>
                  <w:vAlign w:val="center"/>
                </w:tcPr>
                <w:p w14:paraId="1651D15E">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09" w:type="dxa"/>
                  <w:vAlign w:val="center"/>
                </w:tcPr>
                <w:p w14:paraId="717EAA94">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炼钢</w:t>
                  </w:r>
                </w:p>
              </w:tc>
              <w:tc>
                <w:tcPr>
                  <w:tcW w:w="767" w:type="dxa"/>
                  <w:vAlign w:val="center"/>
                </w:tcPr>
                <w:p w14:paraId="2FCA9A1E">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3120</w:t>
                  </w:r>
                </w:p>
              </w:tc>
              <w:tc>
                <w:tcPr>
                  <w:tcW w:w="3199" w:type="dxa"/>
                  <w:vAlign w:val="center"/>
                </w:tcPr>
                <w:p w14:paraId="132F2DD5">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非合金钢粗钢、低合金钢粗钢、合金钢粗钢（不包括高炉-转炉长流程炼钢就地改造转型发展电炉短流程炼钢等未增加产能的技术改造项目）</w:t>
                  </w:r>
                </w:p>
              </w:tc>
            </w:tr>
            <w:tr w14:paraId="5315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536" w:type="dxa"/>
                  <w:vAlign w:val="center"/>
                </w:tcPr>
                <w:p w14:paraId="7F2D7776">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21</w:t>
                  </w:r>
                </w:p>
              </w:tc>
              <w:tc>
                <w:tcPr>
                  <w:tcW w:w="727" w:type="dxa"/>
                  <w:vMerge w:val="continue"/>
                  <w:vAlign w:val="center"/>
                </w:tcPr>
                <w:p w14:paraId="2B51555F">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09" w:type="dxa"/>
                  <w:vAlign w:val="center"/>
                </w:tcPr>
                <w:p w14:paraId="78A8AADD">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铁合金冶炼</w:t>
                  </w:r>
                </w:p>
              </w:tc>
              <w:tc>
                <w:tcPr>
                  <w:tcW w:w="767" w:type="dxa"/>
                  <w:vAlign w:val="center"/>
                </w:tcPr>
                <w:p w14:paraId="1FC77531">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3140</w:t>
                  </w:r>
                </w:p>
              </w:tc>
              <w:tc>
                <w:tcPr>
                  <w:tcW w:w="3199" w:type="dxa"/>
                  <w:vAlign w:val="center"/>
                </w:tcPr>
                <w:p w14:paraId="22E48E64">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普通铁合金、特种铁合金、锰的冶炼、铁基合金粉末</w:t>
                  </w:r>
                </w:p>
              </w:tc>
            </w:tr>
            <w:tr w14:paraId="79B3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36" w:type="dxa"/>
                  <w:vAlign w:val="center"/>
                </w:tcPr>
                <w:p w14:paraId="239C41DE">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22</w:t>
                  </w:r>
                </w:p>
              </w:tc>
              <w:tc>
                <w:tcPr>
                  <w:tcW w:w="727" w:type="dxa"/>
                  <w:vMerge w:val="restart"/>
                  <w:vAlign w:val="center"/>
                </w:tcPr>
                <w:p w14:paraId="2F10E0F9">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有色</w:t>
                  </w:r>
                </w:p>
              </w:tc>
              <w:tc>
                <w:tcPr>
                  <w:tcW w:w="1609" w:type="dxa"/>
                  <w:vAlign w:val="center"/>
                </w:tcPr>
                <w:p w14:paraId="7C3AD163">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铜冶炼</w:t>
                  </w:r>
                </w:p>
              </w:tc>
              <w:tc>
                <w:tcPr>
                  <w:tcW w:w="767" w:type="dxa"/>
                  <w:vAlign w:val="center"/>
                </w:tcPr>
                <w:p w14:paraId="2B95D2EA">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3211</w:t>
                  </w:r>
                </w:p>
              </w:tc>
              <w:tc>
                <w:tcPr>
                  <w:tcW w:w="3199" w:type="dxa"/>
                  <w:vAlign w:val="center"/>
                </w:tcPr>
                <w:p w14:paraId="6D3316B8">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铜冶炼，不包括再生铜冶炼项目</w:t>
                  </w:r>
                </w:p>
              </w:tc>
            </w:tr>
            <w:tr w14:paraId="284C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536" w:type="dxa"/>
                  <w:vAlign w:val="center"/>
                </w:tcPr>
                <w:p w14:paraId="17001EAE">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23</w:t>
                  </w:r>
                </w:p>
              </w:tc>
              <w:tc>
                <w:tcPr>
                  <w:tcW w:w="727" w:type="dxa"/>
                  <w:vMerge w:val="continue"/>
                  <w:vAlign w:val="center"/>
                </w:tcPr>
                <w:p w14:paraId="0A5D3A8B">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09" w:type="dxa"/>
                  <w:vAlign w:val="center"/>
                </w:tcPr>
                <w:p w14:paraId="644633F6">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铅锌冶炼</w:t>
                  </w:r>
                </w:p>
              </w:tc>
              <w:tc>
                <w:tcPr>
                  <w:tcW w:w="767" w:type="dxa"/>
                  <w:vAlign w:val="center"/>
                </w:tcPr>
                <w:p w14:paraId="319DEAC9">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3212</w:t>
                  </w:r>
                </w:p>
              </w:tc>
              <w:tc>
                <w:tcPr>
                  <w:tcW w:w="3199" w:type="dxa"/>
                  <w:vAlign w:val="center"/>
                </w:tcPr>
                <w:p w14:paraId="2DD481BD">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铅冶炼、锌冶炼，不包括再生铅、再生锌冶炼项目</w:t>
                  </w:r>
                </w:p>
              </w:tc>
            </w:tr>
            <w:tr w14:paraId="6634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536" w:type="dxa"/>
                  <w:vAlign w:val="center"/>
                </w:tcPr>
                <w:p w14:paraId="480CA759">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24</w:t>
                  </w:r>
                </w:p>
              </w:tc>
              <w:tc>
                <w:tcPr>
                  <w:tcW w:w="727" w:type="dxa"/>
                  <w:vMerge w:val="continue"/>
                  <w:vAlign w:val="center"/>
                </w:tcPr>
                <w:p w14:paraId="581FE2FD">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09" w:type="dxa"/>
                  <w:vAlign w:val="center"/>
                </w:tcPr>
                <w:p w14:paraId="599DE6DE">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铝冶炼</w:t>
                  </w:r>
                </w:p>
              </w:tc>
              <w:tc>
                <w:tcPr>
                  <w:tcW w:w="767" w:type="dxa"/>
                  <w:vAlign w:val="center"/>
                </w:tcPr>
                <w:p w14:paraId="136EA04D">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3216</w:t>
                  </w:r>
                </w:p>
              </w:tc>
              <w:tc>
                <w:tcPr>
                  <w:tcW w:w="3199" w:type="dxa"/>
                  <w:vAlign w:val="center"/>
                </w:tcPr>
                <w:p w14:paraId="67BCD922">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氧化铝（不包括以铝酸钠、氢氧化铝或氧化铝为原料深加工形成的非冶金及氧化铝）、电解铝</w:t>
                  </w:r>
                </w:p>
              </w:tc>
            </w:tr>
            <w:tr w14:paraId="4AD0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36" w:type="dxa"/>
                  <w:vAlign w:val="center"/>
                </w:tcPr>
                <w:p w14:paraId="7FE59136">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25</w:t>
                  </w:r>
                </w:p>
              </w:tc>
              <w:tc>
                <w:tcPr>
                  <w:tcW w:w="727" w:type="dxa"/>
                  <w:vMerge w:val="continue"/>
                  <w:vAlign w:val="center"/>
                </w:tcPr>
                <w:p w14:paraId="5567EE84">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09" w:type="dxa"/>
                  <w:vAlign w:val="center"/>
                </w:tcPr>
                <w:p w14:paraId="5AF1ADBB">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硅冶炼</w:t>
                  </w:r>
                </w:p>
              </w:tc>
              <w:tc>
                <w:tcPr>
                  <w:tcW w:w="767" w:type="dxa"/>
                  <w:vAlign w:val="center"/>
                </w:tcPr>
                <w:p w14:paraId="32953F1D">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3218</w:t>
                  </w:r>
                </w:p>
              </w:tc>
              <w:tc>
                <w:tcPr>
                  <w:tcW w:w="3199" w:type="dxa"/>
                  <w:vAlign w:val="center"/>
                </w:tcPr>
                <w:p w14:paraId="077BD3F4">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工业硅</w:t>
                  </w:r>
                </w:p>
              </w:tc>
            </w:tr>
            <w:tr w14:paraId="07B0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36" w:type="dxa"/>
                  <w:vAlign w:val="center"/>
                </w:tcPr>
                <w:p w14:paraId="27413ABB">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26</w:t>
                  </w:r>
                </w:p>
              </w:tc>
              <w:tc>
                <w:tcPr>
                  <w:tcW w:w="727" w:type="dxa"/>
                  <w:vMerge w:val="restart"/>
                  <w:vAlign w:val="center"/>
                </w:tcPr>
                <w:p w14:paraId="5CD64CCD">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煤电</w:t>
                  </w:r>
                </w:p>
              </w:tc>
              <w:tc>
                <w:tcPr>
                  <w:tcW w:w="1609" w:type="dxa"/>
                  <w:vAlign w:val="center"/>
                </w:tcPr>
                <w:p w14:paraId="1E062A8F">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火力发电</w:t>
                  </w:r>
                </w:p>
              </w:tc>
              <w:tc>
                <w:tcPr>
                  <w:tcW w:w="767" w:type="dxa"/>
                  <w:vAlign w:val="center"/>
                </w:tcPr>
                <w:p w14:paraId="0FAB13FB">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4411</w:t>
                  </w:r>
                </w:p>
              </w:tc>
              <w:tc>
                <w:tcPr>
                  <w:tcW w:w="3199" w:type="dxa"/>
                  <w:vAlign w:val="center"/>
                </w:tcPr>
                <w:p w14:paraId="1BC21177">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燃煤发电</w:t>
                  </w:r>
                </w:p>
              </w:tc>
            </w:tr>
            <w:tr w14:paraId="00D7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36" w:type="dxa"/>
                  <w:vAlign w:val="center"/>
                </w:tcPr>
                <w:p w14:paraId="26EE800B">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27</w:t>
                  </w:r>
                </w:p>
              </w:tc>
              <w:tc>
                <w:tcPr>
                  <w:tcW w:w="727" w:type="dxa"/>
                  <w:vMerge w:val="continue"/>
                  <w:vAlign w:val="center"/>
                </w:tcPr>
                <w:p w14:paraId="4399032F">
                  <w:pPr>
                    <w:pStyle w:val="102"/>
                    <w:keepNext w:val="0"/>
                    <w:keepLines w:val="0"/>
                    <w:pageBreakBefore w:val="0"/>
                    <w:widowControl/>
                    <w:kinsoku/>
                    <w:wordWrap/>
                    <w:overflowPunct/>
                    <w:topLinePunct w:val="0"/>
                    <w:autoSpaceDE/>
                    <w:autoSpaceDN/>
                    <w:bidi w:val="0"/>
                    <w:adjustRightInd/>
                    <w:snapToGrid w:val="0"/>
                    <w:spacing w:before="0" w:after="0" w:line="240" w:lineRule="auto"/>
                    <w:ind w:right="0" w:firstLine="210"/>
                    <w:jc w:val="center"/>
                    <w:textAlignment w:val="auto"/>
                    <w:rPr>
                      <w:color w:val="auto"/>
                      <w:szCs w:val="21"/>
                    </w:rPr>
                  </w:pPr>
                </w:p>
              </w:tc>
              <w:tc>
                <w:tcPr>
                  <w:tcW w:w="1609" w:type="dxa"/>
                  <w:vAlign w:val="center"/>
                </w:tcPr>
                <w:p w14:paraId="6EE9CD16">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热电联产</w:t>
                  </w:r>
                </w:p>
              </w:tc>
              <w:tc>
                <w:tcPr>
                  <w:tcW w:w="767" w:type="dxa"/>
                  <w:vAlign w:val="center"/>
                </w:tcPr>
                <w:p w14:paraId="7CFCFCB4">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4412</w:t>
                  </w:r>
                </w:p>
              </w:tc>
              <w:tc>
                <w:tcPr>
                  <w:tcW w:w="3199" w:type="dxa"/>
                  <w:vAlign w:val="center"/>
                </w:tcPr>
                <w:p w14:paraId="2B06CC4E">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auto"/>
                      <w:szCs w:val="21"/>
                    </w:rPr>
                  </w:pPr>
                  <w:r>
                    <w:rPr>
                      <w:rFonts w:hint="eastAsia"/>
                      <w:color w:val="auto"/>
                      <w:szCs w:val="21"/>
                    </w:rPr>
                    <w:t>燃煤热电联产</w:t>
                  </w:r>
                </w:p>
              </w:tc>
            </w:tr>
          </w:tbl>
          <w:p w14:paraId="5443F9C4">
            <w:pPr>
              <w:spacing w:before="312" w:beforeLines="100"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本项目产品为</w:t>
            </w:r>
            <w:r>
              <w:rPr>
                <w:rFonts w:hint="eastAsia" w:ascii="Times New Roman" w:hAnsi="Times New Roman" w:cs="Times New Roman"/>
                <w:color w:val="auto"/>
                <w:sz w:val="24"/>
                <w:lang w:eastAsia="zh-CN"/>
              </w:rPr>
              <w:t>煤矸石烧结砖</w:t>
            </w:r>
            <w:r>
              <w:rPr>
                <w:rFonts w:hint="eastAsia" w:ascii="Times New Roman" w:hAnsi="Times New Roman" w:cs="Times New Roman"/>
                <w:color w:val="auto"/>
                <w:sz w:val="24"/>
              </w:rPr>
              <w:t>，属于C3031粘土砖瓦及建筑砌块制造</w:t>
            </w:r>
            <w:r>
              <w:rPr>
                <w:rFonts w:hint="eastAsia" w:ascii="Times New Roman" w:hAnsi="Times New Roman" w:eastAsia="宋体" w:cs="Times New Roman"/>
                <w:color w:val="auto"/>
                <w:sz w:val="24"/>
              </w:rPr>
              <w:t>。</w:t>
            </w:r>
            <w:r>
              <w:rPr>
                <w:rFonts w:hint="eastAsia" w:ascii="Times New Roman" w:hAnsi="Times New Roman" w:cs="Times New Roman"/>
                <w:color w:val="auto"/>
                <w:sz w:val="24"/>
              </w:rPr>
              <w:t>对照上表1</w:t>
            </w:r>
            <w:r>
              <w:rPr>
                <w:rFonts w:hint="eastAsia" w:cs="Times New Roman"/>
                <w:color w:val="auto"/>
                <w:sz w:val="24"/>
                <w:lang w:val="en-US" w:eastAsia="zh-CN"/>
              </w:rPr>
              <w:t>-</w:t>
            </w:r>
            <w:r>
              <w:rPr>
                <w:rFonts w:hint="eastAsia" w:ascii="Times New Roman" w:hAnsi="Times New Roman" w:cs="Times New Roman"/>
                <w:color w:val="auto"/>
                <w:sz w:val="24"/>
              </w:rPr>
              <w:t>4，本项目不属于“两高”项目。</w:t>
            </w:r>
          </w:p>
          <w:p w14:paraId="2DCC04E9">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、与2021年6月14日安徽省生态环境厅发布的《安徽省生态环境厅关于印发加强高耗能、高排放项目生态环境源头防控的实施意见的通知》（皖环发[2021]28号）符合性分析</w:t>
            </w:r>
          </w:p>
          <w:p w14:paraId="6D9D79BB">
            <w:pPr>
              <w:spacing w:line="360" w:lineRule="auto"/>
              <w:ind w:firstLine="440" w:firstLineChars="200"/>
              <w:jc w:val="center"/>
              <w:rPr>
                <w:rFonts w:hint="eastAsia" w:ascii="宋体" w:hAnsi="宋体" w:cs="宋体"/>
                <w:color w:val="auto"/>
                <w:sz w:val="22"/>
                <w:szCs w:val="22"/>
              </w:rPr>
            </w:pPr>
            <w:r>
              <w:rPr>
                <w:rFonts w:hint="eastAsia" w:ascii="宋体" w:hAnsi="宋体" w:cs="宋体"/>
                <w:color w:val="auto"/>
                <w:sz w:val="22"/>
                <w:szCs w:val="22"/>
              </w:rPr>
              <w:t>表1-5  与《安徽省生态环境厅关于印发加强高耗能、高排放项目生态环境源头防控的实施意见的通知》相符性分析</w:t>
            </w:r>
          </w:p>
          <w:tbl>
            <w:tblPr>
              <w:tblStyle w:val="37"/>
              <w:tblW w:w="6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2990"/>
              <w:gridCol w:w="2806"/>
              <w:gridCol w:w="565"/>
            </w:tblGrid>
            <w:tr w14:paraId="76F0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blHeader/>
              </w:trPr>
              <w:tc>
                <w:tcPr>
                  <w:tcW w:w="307" w:type="pct"/>
                  <w:tcBorders>
                    <w:top w:val="single" w:color="auto" w:sz="4" w:space="0"/>
                    <w:left w:val="single" w:color="auto" w:sz="4" w:space="0"/>
                    <w:bottom w:val="single" w:color="auto" w:sz="4" w:space="0"/>
                    <w:right w:val="single" w:color="auto" w:sz="4" w:space="0"/>
                  </w:tcBorders>
                  <w:vAlign w:val="center"/>
                </w:tcPr>
                <w:p w14:paraId="77F6478D">
                  <w:pPr>
                    <w:pStyle w:val="22"/>
                    <w:spacing w:line="360" w:lineRule="exact"/>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序号</w:t>
                  </w:r>
                </w:p>
              </w:tc>
              <w:tc>
                <w:tcPr>
                  <w:tcW w:w="2205" w:type="pct"/>
                  <w:tcBorders>
                    <w:top w:val="single" w:color="auto" w:sz="4" w:space="0"/>
                    <w:left w:val="single" w:color="auto" w:sz="4" w:space="0"/>
                    <w:bottom w:val="single" w:color="auto" w:sz="4" w:space="0"/>
                    <w:right w:val="single" w:color="auto" w:sz="4" w:space="0"/>
                  </w:tcBorders>
                  <w:vAlign w:val="center"/>
                </w:tcPr>
                <w:p w14:paraId="3A7627F1">
                  <w:pPr>
                    <w:pStyle w:val="22"/>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《安徽省生态环境厅关于印发加强高耗能、高排放项目生态环境源头防控的实施意见的通知》（皖环发</w:t>
                  </w:r>
                  <w:r>
                    <w:rPr>
                      <w:rFonts w:ascii="Times New Roman" w:hAnsi="Times New Roman" w:eastAsia="宋体" w:cs="Times New Roman"/>
                      <w:color w:val="auto"/>
                      <w:szCs w:val="21"/>
                    </w:rPr>
                    <w:t>[2021]28</w:t>
                  </w:r>
                  <w:r>
                    <w:rPr>
                      <w:rFonts w:hint="eastAsia" w:ascii="Times New Roman" w:hAnsi="Times New Roman" w:eastAsia="宋体" w:cs="Times New Roman"/>
                      <w:color w:val="auto"/>
                      <w:szCs w:val="21"/>
                    </w:rPr>
                    <w:t>号）内容</w:t>
                  </w:r>
                </w:p>
              </w:tc>
              <w:tc>
                <w:tcPr>
                  <w:tcW w:w="2069" w:type="pct"/>
                  <w:tcBorders>
                    <w:top w:val="single" w:color="auto" w:sz="4" w:space="0"/>
                    <w:left w:val="single" w:color="auto" w:sz="4" w:space="0"/>
                    <w:bottom w:val="single" w:color="auto" w:sz="4" w:space="0"/>
                    <w:right w:val="single" w:color="auto" w:sz="4" w:space="0"/>
                  </w:tcBorders>
                  <w:vAlign w:val="center"/>
                </w:tcPr>
                <w:p w14:paraId="7D1A2089">
                  <w:pPr>
                    <w:pStyle w:val="22"/>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本项目内容</w:t>
                  </w:r>
                </w:p>
              </w:tc>
              <w:tc>
                <w:tcPr>
                  <w:tcW w:w="416" w:type="pct"/>
                  <w:tcBorders>
                    <w:top w:val="single" w:color="auto" w:sz="4" w:space="0"/>
                    <w:left w:val="single" w:color="auto" w:sz="4" w:space="0"/>
                    <w:bottom w:val="single" w:color="auto" w:sz="4" w:space="0"/>
                    <w:right w:val="single" w:color="auto" w:sz="4" w:space="0"/>
                  </w:tcBorders>
                  <w:vAlign w:val="center"/>
                </w:tcPr>
                <w:p w14:paraId="5DFA5F6F">
                  <w:pPr>
                    <w:pStyle w:val="22"/>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符合性</w:t>
                  </w:r>
                </w:p>
              </w:tc>
            </w:tr>
            <w:tr w14:paraId="4DA6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307" w:type="pct"/>
                  <w:tcBorders>
                    <w:top w:val="single" w:color="auto" w:sz="4" w:space="0"/>
                    <w:left w:val="single" w:color="auto" w:sz="4" w:space="0"/>
                    <w:bottom w:val="single" w:color="auto" w:sz="4" w:space="0"/>
                    <w:right w:val="single" w:color="auto" w:sz="4" w:space="0"/>
                  </w:tcBorders>
                  <w:vAlign w:val="center"/>
                </w:tcPr>
                <w:p w14:paraId="3441F3C6">
                  <w:pPr>
                    <w:pStyle w:val="22"/>
                    <w:spacing w:line="360" w:lineRule="exact"/>
                    <w:ind w:left="0" w:left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1</w:t>
                  </w:r>
                </w:p>
              </w:tc>
              <w:tc>
                <w:tcPr>
                  <w:tcW w:w="2205" w:type="pct"/>
                  <w:tcBorders>
                    <w:top w:val="single" w:color="auto" w:sz="4" w:space="0"/>
                    <w:left w:val="single" w:color="auto" w:sz="4" w:space="0"/>
                    <w:bottom w:val="single" w:color="auto" w:sz="4" w:space="0"/>
                    <w:right w:val="single" w:color="auto" w:sz="4" w:space="0"/>
                  </w:tcBorders>
                  <w:vAlign w:val="center"/>
                </w:tcPr>
                <w:p w14:paraId="0B7B5F19">
                  <w:pPr>
                    <w:pStyle w:val="22"/>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jc w:val="center"/>
                    <w:textAlignment w:val="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严格环境准入。</w:t>
                  </w:r>
                </w:p>
                <w:p w14:paraId="7125927B">
                  <w:pPr>
                    <w:pStyle w:val="22"/>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各地不得受理钢铁、水泥、电解铝、平板玻璃、铸造等产能严重过剩行业新增产能项目的环评文件；</w:t>
                  </w:r>
                </w:p>
              </w:tc>
              <w:tc>
                <w:tcPr>
                  <w:tcW w:w="2069" w:type="pct"/>
                  <w:tcBorders>
                    <w:top w:val="single" w:color="auto" w:sz="4" w:space="0"/>
                    <w:left w:val="single" w:color="auto" w:sz="4" w:space="0"/>
                    <w:bottom w:val="single" w:color="auto" w:sz="4" w:space="0"/>
                    <w:right w:val="single" w:color="auto" w:sz="4" w:space="0"/>
                  </w:tcBorders>
                  <w:vAlign w:val="center"/>
                </w:tcPr>
                <w:p w14:paraId="3D015A48">
                  <w:pPr>
                    <w:pStyle w:val="22"/>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本项目为</w:t>
                  </w:r>
                  <w:r>
                    <w:rPr>
                      <w:rFonts w:hint="eastAsia" w:ascii="Times New Roman" w:hAnsi="Times New Roman" w:cs="Times New Roman"/>
                      <w:color w:val="auto"/>
                      <w:szCs w:val="21"/>
                      <w:lang w:eastAsia="zh-CN"/>
                    </w:rPr>
                    <w:t>技改</w:t>
                  </w:r>
                  <w:r>
                    <w:rPr>
                      <w:rFonts w:hint="eastAsia" w:ascii="Times New Roman" w:hAnsi="Times New Roman" w:eastAsia="宋体" w:cs="Times New Roman"/>
                      <w:color w:val="auto"/>
                      <w:szCs w:val="21"/>
                    </w:rPr>
                    <w:t>项目，属于C3031粘土砖瓦及建筑砌块制造，产品为</w:t>
                  </w:r>
                  <w:r>
                    <w:rPr>
                      <w:rFonts w:hint="eastAsia" w:ascii="Times New Roman" w:hAnsi="Times New Roman" w:cs="Times New Roman"/>
                      <w:color w:val="auto"/>
                      <w:szCs w:val="21"/>
                      <w:lang w:eastAsia="zh-CN"/>
                    </w:rPr>
                    <w:t>煤矸石烧结砖</w:t>
                  </w:r>
                  <w:r>
                    <w:rPr>
                      <w:rFonts w:hint="eastAsia" w:ascii="Times New Roman" w:hAnsi="Times New Roman" w:eastAsia="宋体" w:cs="Times New Roman"/>
                      <w:color w:val="auto"/>
                      <w:szCs w:val="21"/>
                    </w:rPr>
                    <w:t>，不属于钢铁、水泥、电解铝、平板玻璃、铸造等大类。</w:t>
                  </w:r>
                </w:p>
              </w:tc>
              <w:tc>
                <w:tcPr>
                  <w:tcW w:w="416" w:type="pct"/>
                  <w:tcBorders>
                    <w:top w:val="single" w:color="auto" w:sz="4" w:space="0"/>
                    <w:left w:val="single" w:color="auto" w:sz="4" w:space="0"/>
                    <w:bottom w:val="single" w:color="auto" w:sz="4" w:space="0"/>
                    <w:right w:val="single" w:color="auto" w:sz="4" w:space="0"/>
                  </w:tcBorders>
                  <w:vAlign w:val="center"/>
                </w:tcPr>
                <w:p w14:paraId="4696B06A">
                  <w:pPr>
                    <w:pStyle w:val="22"/>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符合</w:t>
                  </w:r>
                </w:p>
              </w:tc>
            </w:tr>
            <w:tr w14:paraId="6321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307" w:type="pct"/>
                  <w:tcBorders>
                    <w:top w:val="single" w:color="auto" w:sz="4" w:space="0"/>
                    <w:left w:val="single" w:color="auto" w:sz="4" w:space="0"/>
                    <w:bottom w:val="single" w:color="auto" w:sz="4" w:space="0"/>
                    <w:right w:val="single" w:color="auto" w:sz="4" w:space="0"/>
                  </w:tcBorders>
                  <w:vAlign w:val="center"/>
                </w:tcPr>
                <w:p w14:paraId="5D08675A">
                  <w:pPr>
                    <w:pStyle w:val="22"/>
                    <w:spacing w:line="360" w:lineRule="exact"/>
                    <w:ind w:left="0" w:left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2</w:t>
                  </w:r>
                </w:p>
              </w:tc>
              <w:tc>
                <w:tcPr>
                  <w:tcW w:w="2205" w:type="pct"/>
                  <w:tcBorders>
                    <w:top w:val="single" w:color="auto" w:sz="4" w:space="0"/>
                    <w:left w:val="single" w:color="auto" w:sz="4" w:space="0"/>
                    <w:bottom w:val="single" w:color="auto" w:sz="4" w:space="0"/>
                    <w:right w:val="single" w:color="auto" w:sz="4" w:space="0"/>
                  </w:tcBorders>
                  <w:vAlign w:val="center"/>
                </w:tcPr>
                <w:p w14:paraId="5CC436C7">
                  <w:pPr>
                    <w:pStyle w:val="22"/>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对国家明令淘汰、禁止建设、不符合国家产业政策的项目环评文件，一律不批；</w:t>
                  </w:r>
                </w:p>
              </w:tc>
              <w:tc>
                <w:tcPr>
                  <w:tcW w:w="2069" w:type="pct"/>
                  <w:tcBorders>
                    <w:top w:val="single" w:color="auto" w:sz="4" w:space="0"/>
                    <w:left w:val="single" w:color="auto" w:sz="4" w:space="0"/>
                    <w:bottom w:val="single" w:color="auto" w:sz="4" w:space="0"/>
                    <w:right w:val="single" w:color="auto" w:sz="4" w:space="0"/>
                  </w:tcBorders>
                  <w:vAlign w:val="center"/>
                </w:tcPr>
                <w:p w14:paraId="71A9BA52">
                  <w:pPr>
                    <w:pStyle w:val="22"/>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对照《产业结构调整指导目录（</w:t>
                  </w:r>
                  <w:r>
                    <w:rPr>
                      <w:rFonts w:ascii="Times New Roman" w:hAnsi="Times New Roman" w:eastAsia="宋体" w:cs="Times New Roman"/>
                      <w:color w:val="auto"/>
                      <w:szCs w:val="21"/>
                    </w:rPr>
                    <w:t>20</w:t>
                  </w:r>
                  <w:r>
                    <w:rPr>
                      <w:rFonts w:hint="eastAsia" w:ascii="Times New Roman" w:hAnsi="Times New Roman" w:eastAsia="宋体" w:cs="Times New Roman"/>
                      <w:color w:val="auto"/>
                      <w:szCs w:val="21"/>
                    </w:rPr>
                    <w:t>24年本）》、《市场准入负面清单》（</w:t>
                  </w:r>
                  <w:r>
                    <w:rPr>
                      <w:rFonts w:ascii="Times New Roman" w:hAnsi="Times New Roman" w:eastAsia="宋体" w:cs="Times New Roman"/>
                      <w:color w:val="auto"/>
                      <w:szCs w:val="21"/>
                    </w:rPr>
                    <w:t>202</w:t>
                  </w:r>
                  <w:r>
                    <w:rPr>
                      <w:rFonts w:hint="eastAsia" w:ascii="Times New Roman" w:hAnsi="Times New Roman" w:eastAsia="宋体" w:cs="Times New Roman"/>
                      <w:color w:val="auto"/>
                      <w:szCs w:val="21"/>
                    </w:rPr>
                    <w:t>2年版），项目属于</w:t>
                  </w:r>
                  <w:r>
                    <w:rPr>
                      <w:rFonts w:hint="eastAsia" w:ascii="Times New Roman" w:hAnsi="Times New Roman" w:cs="Times New Roman"/>
                      <w:color w:val="auto"/>
                      <w:szCs w:val="21"/>
                      <w:lang w:eastAsia="zh-CN"/>
                    </w:rPr>
                    <w:t>鼓励类中“十二、建材，第9款，不低于20万块/日（含）新型烧结砖瓦生产线协同处置大宗废弃物工艺技术及产品的研发与应用”</w:t>
                  </w:r>
                  <w:r>
                    <w:rPr>
                      <w:rFonts w:hint="eastAsia" w:ascii="Times New Roman" w:hAnsi="Times New Roman" w:eastAsia="宋体" w:cs="Times New Roman"/>
                      <w:color w:val="auto"/>
                      <w:szCs w:val="21"/>
                    </w:rPr>
                    <w:t>，且已取得备案，因此符合产业政策要求。</w:t>
                  </w:r>
                </w:p>
              </w:tc>
              <w:tc>
                <w:tcPr>
                  <w:tcW w:w="416" w:type="pct"/>
                  <w:tcBorders>
                    <w:top w:val="single" w:color="auto" w:sz="4" w:space="0"/>
                    <w:left w:val="single" w:color="auto" w:sz="4" w:space="0"/>
                    <w:bottom w:val="single" w:color="auto" w:sz="4" w:space="0"/>
                    <w:right w:val="single" w:color="auto" w:sz="4" w:space="0"/>
                  </w:tcBorders>
                  <w:vAlign w:val="center"/>
                </w:tcPr>
                <w:p w14:paraId="7FC4DAAF">
                  <w:pPr>
                    <w:pStyle w:val="22"/>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符合</w:t>
                  </w:r>
                </w:p>
              </w:tc>
            </w:tr>
            <w:tr w14:paraId="6026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307" w:type="pct"/>
                  <w:tcBorders>
                    <w:top w:val="single" w:color="auto" w:sz="4" w:space="0"/>
                    <w:left w:val="single" w:color="auto" w:sz="4" w:space="0"/>
                    <w:bottom w:val="single" w:color="auto" w:sz="4" w:space="0"/>
                    <w:right w:val="single" w:color="auto" w:sz="4" w:space="0"/>
                  </w:tcBorders>
                  <w:vAlign w:val="center"/>
                </w:tcPr>
                <w:p w14:paraId="7A1AC315">
                  <w:pPr>
                    <w:pStyle w:val="22"/>
                    <w:spacing w:line="360" w:lineRule="exact"/>
                    <w:ind w:left="0" w:left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3</w:t>
                  </w:r>
                </w:p>
              </w:tc>
              <w:tc>
                <w:tcPr>
                  <w:tcW w:w="2205" w:type="pct"/>
                  <w:tcBorders>
                    <w:top w:val="single" w:color="auto" w:sz="4" w:space="0"/>
                    <w:left w:val="single" w:color="auto" w:sz="4" w:space="0"/>
                    <w:bottom w:val="single" w:color="auto" w:sz="4" w:space="0"/>
                    <w:right w:val="single" w:color="auto" w:sz="4" w:space="0"/>
                  </w:tcBorders>
                  <w:vAlign w:val="center"/>
                </w:tcPr>
                <w:p w14:paraId="37B6D590">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沿江各市应按国家推长办《长江经济带发展负面清单指南（试行）》及我省实施细则要求，对合规园区外新建、扩建钢铁、石化、化工、焦化、建材、有色等“两高”项目的环评文件一律不批。</w:t>
                  </w:r>
                </w:p>
              </w:tc>
              <w:tc>
                <w:tcPr>
                  <w:tcW w:w="2069" w:type="pct"/>
                  <w:tcBorders>
                    <w:top w:val="single" w:color="auto" w:sz="4" w:space="0"/>
                    <w:left w:val="single" w:color="auto" w:sz="4" w:space="0"/>
                    <w:bottom w:val="single" w:color="auto" w:sz="4" w:space="0"/>
                    <w:right w:val="single" w:color="auto" w:sz="4" w:space="0"/>
                  </w:tcBorders>
                  <w:vAlign w:val="center"/>
                </w:tcPr>
                <w:p w14:paraId="4983F958">
                  <w:pPr>
                    <w:pStyle w:val="22"/>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淮北市不属于沿江各市。本项目为</w:t>
                  </w:r>
                  <w:r>
                    <w:rPr>
                      <w:rFonts w:hint="eastAsia" w:cs="Times New Roman"/>
                      <w:color w:val="auto"/>
                      <w:szCs w:val="21"/>
                      <w:lang w:eastAsia="zh-CN"/>
                    </w:rPr>
                    <w:t>技改</w:t>
                  </w:r>
                  <w:r>
                    <w:rPr>
                      <w:rFonts w:hint="eastAsia" w:ascii="Times New Roman" w:hAnsi="Times New Roman" w:eastAsia="宋体" w:cs="Times New Roman"/>
                      <w:color w:val="auto"/>
                      <w:szCs w:val="21"/>
                    </w:rPr>
                    <w:t>项目，选址位于</w:t>
                  </w:r>
                  <w:r>
                    <w:rPr>
                      <w:rFonts w:hint="eastAsia" w:cs="Times New Roman"/>
                      <w:color w:val="auto"/>
                      <w:szCs w:val="21"/>
                      <w:lang w:eastAsia="zh-CN"/>
                    </w:rPr>
                    <w:t>濉溪县刘桥镇刘桥二矿南500m</w:t>
                  </w:r>
                  <w:r>
                    <w:rPr>
                      <w:rFonts w:hint="eastAsia" w:ascii="Times New Roman" w:hAnsi="Times New Roman" w:eastAsia="宋体" w:cs="Times New Roman"/>
                      <w:color w:val="auto"/>
                      <w:szCs w:val="21"/>
                    </w:rPr>
                    <w:t>。</w:t>
                  </w:r>
                </w:p>
              </w:tc>
              <w:tc>
                <w:tcPr>
                  <w:tcW w:w="416" w:type="pct"/>
                  <w:tcBorders>
                    <w:top w:val="single" w:color="auto" w:sz="4" w:space="0"/>
                    <w:left w:val="single" w:color="auto" w:sz="4" w:space="0"/>
                    <w:bottom w:val="single" w:color="auto" w:sz="4" w:space="0"/>
                    <w:right w:val="single" w:color="auto" w:sz="4" w:space="0"/>
                  </w:tcBorders>
                  <w:vAlign w:val="center"/>
                </w:tcPr>
                <w:p w14:paraId="6D424C95">
                  <w:pPr>
                    <w:pStyle w:val="22"/>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符合</w:t>
                  </w:r>
                </w:p>
              </w:tc>
            </w:tr>
            <w:tr w14:paraId="3EB2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2" w:hRule="atLeast"/>
              </w:trPr>
              <w:tc>
                <w:tcPr>
                  <w:tcW w:w="307" w:type="pct"/>
                  <w:tcBorders>
                    <w:top w:val="single" w:color="auto" w:sz="4" w:space="0"/>
                    <w:left w:val="single" w:color="auto" w:sz="4" w:space="0"/>
                    <w:bottom w:val="single" w:color="auto" w:sz="4" w:space="0"/>
                    <w:right w:val="single" w:color="auto" w:sz="4" w:space="0"/>
                  </w:tcBorders>
                  <w:vAlign w:val="center"/>
                </w:tcPr>
                <w:p w14:paraId="3185E5CD">
                  <w:pPr>
                    <w:pStyle w:val="22"/>
                    <w:spacing w:line="360" w:lineRule="exact"/>
                    <w:ind w:left="0" w:left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4</w:t>
                  </w:r>
                </w:p>
              </w:tc>
              <w:tc>
                <w:tcPr>
                  <w:tcW w:w="2205" w:type="pct"/>
                  <w:tcBorders>
                    <w:top w:val="single" w:color="auto" w:sz="4" w:space="0"/>
                    <w:left w:val="single" w:color="auto" w:sz="4" w:space="0"/>
                    <w:bottom w:val="single" w:color="auto" w:sz="4" w:space="0"/>
                    <w:right w:val="single" w:color="auto" w:sz="4" w:space="0"/>
                  </w:tcBorders>
                  <w:vAlign w:val="center"/>
                </w:tcPr>
                <w:p w14:paraId="3FE40DEB">
                  <w:pPr>
                    <w:pStyle w:val="22"/>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新增主要污染物排放量的“两高”项目应按照生态环境部办公厅《关于加强重点行业建设项目区域削减措施监督管理的通知》（环办环评〔</w:t>
                  </w:r>
                  <w:r>
                    <w:rPr>
                      <w:rFonts w:ascii="Times New Roman" w:hAnsi="Times New Roman" w:eastAsia="宋体" w:cs="Times New Roman"/>
                      <w:color w:val="auto"/>
                      <w:szCs w:val="21"/>
                    </w:rPr>
                    <w:t>2020</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36</w:t>
                  </w:r>
                  <w:r>
                    <w:rPr>
                      <w:rFonts w:hint="eastAsia" w:ascii="Times New Roman" w:hAnsi="Times New Roman" w:eastAsia="宋体" w:cs="Times New Roman"/>
                      <w:color w:val="auto"/>
                      <w:szCs w:val="21"/>
                    </w:rPr>
                    <w:t>号）要求，依据区域环境质量改善目标，制定配套区域污染物削减方案，采取有效的污染物区域削减措施，相应的减排措施应在项目投产前完成。</w:t>
                  </w:r>
                </w:p>
              </w:tc>
              <w:tc>
                <w:tcPr>
                  <w:tcW w:w="2069" w:type="pct"/>
                  <w:tcBorders>
                    <w:top w:val="single" w:color="auto" w:sz="4" w:space="0"/>
                    <w:left w:val="single" w:color="auto" w:sz="4" w:space="0"/>
                    <w:bottom w:val="single" w:color="auto" w:sz="4" w:space="0"/>
                    <w:right w:val="single" w:color="auto" w:sz="4" w:space="0"/>
                  </w:tcBorders>
                  <w:vAlign w:val="center"/>
                </w:tcPr>
                <w:p w14:paraId="5AF7A5A4">
                  <w:pPr>
                    <w:adjustRightInd w:val="0"/>
                    <w:snapToGrid w:val="0"/>
                    <w:jc w:val="center"/>
                    <w:rPr>
                      <w:rFonts w:hint="eastAsia" w:ascii="宋体" w:hAnsi="宋体" w:eastAsia="宋体" w:cs="宋体"/>
                      <w:color w:val="auto"/>
                      <w:sz w:val="24"/>
                    </w:rPr>
                  </w:pPr>
                  <w:r>
                    <w:rPr>
                      <w:rFonts w:hint="eastAsia" w:ascii="Times New Roman" w:hAnsi="Times New Roman" w:eastAsia="宋体" w:cs="Times New Roman"/>
                      <w:color w:val="auto"/>
                      <w:szCs w:val="21"/>
                    </w:rPr>
                    <w:t>根据《安徽省“两高”项目管理目录（试行）》可知，本项目不属于“两高”项目。</w:t>
                  </w:r>
                </w:p>
                <w:p w14:paraId="107FC6FD">
                  <w:pPr>
                    <w:pStyle w:val="22"/>
                    <w:spacing w:line="240" w:lineRule="auto"/>
                    <w:ind w:left="0" w:leftChars="0" w:firstLine="420" w:firstLineChars="200"/>
                    <w:jc w:val="center"/>
                    <w:rPr>
                      <w:rFonts w:ascii="Times New Roman" w:hAnsi="Times New Roman" w:eastAsia="宋体" w:cs="Times New Roman"/>
                      <w:color w:val="auto"/>
                      <w:szCs w:val="21"/>
                    </w:rPr>
                  </w:pPr>
                </w:p>
              </w:tc>
              <w:tc>
                <w:tcPr>
                  <w:tcW w:w="416" w:type="pct"/>
                  <w:tcBorders>
                    <w:top w:val="single" w:color="auto" w:sz="4" w:space="0"/>
                    <w:left w:val="single" w:color="auto" w:sz="4" w:space="0"/>
                    <w:bottom w:val="single" w:color="auto" w:sz="4" w:space="0"/>
                    <w:right w:val="single" w:color="auto" w:sz="4" w:space="0"/>
                  </w:tcBorders>
                  <w:vAlign w:val="center"/>
                </w:tcPr>
                <w:p w14:paraId="14B02E35">
                  <w:pPr>
                    <w:pStyle w:val="22"/>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符合</w:t>
                  </w:r>
                </w:p>
              </w:tc>
            </w:tr>
            <w:tr w14:paraId="00E7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307" w:type="pct"/>
                  <w:tcBorders>
                    <w:top w:val="single" w:color="auto" w:sz="4" w:space="0"/>
                    <w:left w:val="single" w:color="auto" w:sz="4" w:space="0"/>
                    <w:bottom w:val="single" w:color="auto" w:sz="4" w:space="0"/>
                    <w:right w:val="single" w:color="auto" w:sz="4" w:space="0"/>
                  </w:tcBorders>
                  <w:vAlign w:val="center"/>
                </w:tcPr>
                <w:p w14:paraId="28451764">
                  <w:pPr>
                    <w:pStyle w:val="22"/>
                    <w:spacing w:line="360" w:lineRule="exact"/>
                    <w:ind w:left="0" w:left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5</w:t>
                  </w:r>
                </w:p>
              </w:tc>
              <w:tc>
                <w:tcPr>
                  <w:tcW w:w="2205" w:type="pct"/>
                  <w:tcBorders>
                    <w:top w:val="single" w:color="auto" w:sz="4" w:space="0"/>
                    <w:left w:val="single" w:color="auto" w:sz="4" w:space="0"/>
                    <w:bottom w:val="single" w:color="auto" w:sz="4" w:space="0"/>
                    <w:right w:val="single" w:color="auto" w:sz="4" w:space="0"/>
                  </w:tcBorders>
                  <w:vAlign w:val="center"/>
                </w:tcPr>
                <w:p w14:paraId="2C6A7215">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各类建设项目原则上不新建燃煤自备锅炉。原则上不再新建高炉</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转炉长流程钢铁项目，转型为电炉短流程。</w:t>
                  </w:r>
                </w:p>
              </w:tc>
              <w:tc>
                <w:tcPr>
                  <w:tcW w:w="2069" w:type="pct"/>
                  <w:tcBorders>
                    <w:top w:val="single" w:color="auto" w:sz="4" w:space="0"/>
                    <w:left w:val="single" w:color="auto" w:sz="4" w:space="0"/>
                    <w:bottom w:val="single" w:color="auto" w:sz="4" w:space="0"/>
                    <w:right w:val="single" w:color="auto" w:sz="4" w:space="0"/>
                  </w:tcBorders>
                  <w:vAlign w:val="center"/>
                </w:tcPr>
                <w:p w14:paraId="0C0FCF6F">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本项目不新建燃煤锅炉</w:t>
                  </w:r>
                </w:p>
              </w:tc>
              <w:tc>
                <w:tcPr>
                  <w:tcW w:w="416" w:type="pct"/>
                  <w:tcBorders>
                    <w:top w:val="single" w:color="auto" w:sz="4" w:space="0"/>
                    <w:left w:val="single" w:color="auto" w:sz="4" w:space="0"/>
                    <w:bottom w:val="single" w:color="auto" w:sz="4" w:space="0"/>
                    <w:right w:val="single" w:color="auto" w:sz="4" w:space="0"/>
                  </w:tcBorders>
                  <w:vAlign w:val="center"/>
                </w:tcPr>
                <w:p w14:paraId="1958B15F">
                  <w:pPr>
                    <w:pStyle w:val="22"/>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符合</w:t>
                  </w:r>
                </w:p>
              </w:tc>
            </w:tr>
          </w:tbl>
          <w:p w14:paraId="3C6854D6">
            <w:pPr>
              <w:adjustRightInd w:val="0"/>
              <w:snapToGrid w:val="0"/>
              <w:spacing w:line="360" w:lineRule="auto"/>
              <w:ind w:firstLine="480" w:firstLineChars="200"/>
              <w:jc w:val="left"/>
              <w:rPr>
                <w:rFonts w:hint="eastAsia" w:ascii="宋体" w:hAnsi="宋体" w:cs="宋体"/>
                <w:color w:val="auto"/>
                <w:sz w:val="24"/>
                <w:szCs w:val="24"/>
              </w:rPr>
            </w:pPr>
          </w:p>
          <w:p w14:paraId="29735B22">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ascii="宋体" w:hAnsi="宋体" w:cs="宋体"/>
                <w:color w:val="auto"/>
                <w:sz w:val="24"/>
                <w:szCs w:val="24"/>
              </w:rPr>
            </w:pPr>
            <w:r>
              <w:rPr>
                <w:rFonts w:hint="eastAsia" w:ascii="宋体" w:hAnsi="宋体" w:cs="宋体"/>
                <w:color w:val="auto"/>
                <w:sz w:val="24"/>
                <w:szCs w:val="24"/>
              </w:rPr>
              <w:t xml:space="preserve">    6、</w:t>
            </w:r>
            <w:r>
              <w:rPr>
                <w:rFonts w:ascii="宋体" w:hAnsi="宋体" w:cs="宋体"/>
                <w:color w:val="auto"/>
                <w:sz w:val="24"/>
                <w:szCs w:val="24"/>
              </w:rPr>
              <w:t>与《环境空气细颗粒物污染综合防治技术政策》的符合性分析</w:t>
            </w:r>
          </w:p>
          <w:p w14:paraId="4E0BF773">
            <w:pPr>
              <w:spacing w:line="360" w:lineRule="auto"/>
              <w:ind w:firstLine="480" w:firstLineChars="200"/>
              <w:rPr>
                <w:color w:val="auto"/>
                <w:sz w:val="24"/>
              </w:rPr>
            </w:pPr>
            <w:r>
              <w:rPr>
                <w:color w:val="auto"/>
                <w:sz w:val="24"/>
              </w:rPr>
              <w:t>《技术政策》指出：产生</w:t>
            </w:r>
            <w:r>
              <w:rPr>
                <w:color w:val="auto"/>
              </w:rPr>
              <w:fldChar w:fldCharType="begin"/>
            </w:r>
            <w:r>
              <w:rPr>
                <w:color w:val="auto"/>
              </w:rPr>
              <w:instrText xml:space="preserve"> HYPERLINK "https://baike.sogou.com/lemma/ShowInnerLink.htm?lemmaId=99678280&amp;ss_c=ssc.citiao.link" \t "_blank" </w:instrText>
            </w:r>
            <w:r>
              <w:rPr>
                <w:color w:val="auto"/>
              </w:rPr>
              <w:fldChar w:fldCharType="separate"/>
            </w:r>
            <w:r>
              <w:rPr>
                <w:color w:val="auto"/>
                <w:sz w:val="24"/>
              </w:rPr>
              <w:t>大气颗粒物</w:t>
            </w:r>
            <w:r>
              <w:rPr>
                <w:color w:val="auto"/>
                <w:sz w:val="24"/>
              </w:rPr>
              <w:fldChar w:fldCharType="end"/>
            </w:r>
            <w:r>
              <w:rPr>
                <w:color w:val="auto"/>
                <w:sz w:val="24"/>
              </w:rPr>
              <w:t>及其前体物污染物的生产活动应尽量采用密闭装置，避免</w:t>
            </w:r>
            <w:r>
              <w:rPr>
                <w:color w:val="auto"/>
              </w:rPr>
              <w:fldChar w:fldCharType="begin"/>
            </w:r>
            <w:r>
              <w:rPr>
                <w:color w:val="auto"/>
              </w:rPr>
              <w:instrText xml:space="preserve"> HYPERLINK "https://baike.sogou.com/lemma/ShowInnerLink.htm?lemmaId=7659638&amp;ss_c=ssc.citiao.link" \t "_blank" </w:instrText>
            </w:r>
            <w:r>
              <w:rPr>
                <w:color w:val="auto"/>
              </w:rPr>
              <w:fldChar w:fldCharType="separate"/>
            </w:r>
            <w:r>
              <w:rPr>
                <w:color w:val="auto"/>
                <w:sz w:val="24"/>
              </w:rPr>
              <w:t>无组织排放</w:t>
            </w:r>
            <w:r>
              <w:rPr>
                <w:color w:val="auto"/>
                <w:sz w:val="24"/>
              </w:rPr>
              <w:fldChar w:fldCharType="end"/>
            </w:r>
            <w:r>
              <w:rPr>
                <w:color w:val="auto"/>
                <w:sz w:val="24"/>
              </w:rPr>
              <w:t>；无法完全密闭的，应安装集气装置收集逸散的污染物，经净化后排放。应调整产业结构，强化</w:t>
            </w:r>
            <w:r>
              <w:rPr>
                <w:color w:val="auto"/>
              </w:rPr>
              <w:fldChar w:fldCharType="begin"/>
            </w:r>
            <w:r>
              <w:rPr>
                <w:color w:val="auto"/>
              </w:rPr>
              <w:instrText xml:space="preserve"> HYPERLINK "https://baike.sogou.com/lemma/ShowInnerLink.htm?lemmaId=68402&amp;ss_c=ssc.citiao.link" \t "_blank" </w:instrText>
            </w:r>
            <w:r>
              <w:rPr>
                <w:color w:val="auto"/>
              </w:rPr>
              <w:fldChar w:fldCharType="separate"/>
            </w:r>
            <w:r>
              <w:rPr>
                <w:color w:val="auto"/>
                <w:sz w:val="24"/>
              </w:rPr>
              <w:t>规划环评</w:t>
            </w:r>
            <w:r>
              <w:rPr>
                <w:color w:val="auto"/>
                <w:sz w:val="24"/>
              </w:rPr>
              <w:fldChar w:fldCharType="end"/>
            </w:r>
            <w:r>
              <w:rPr>
                <w:color w:val="auto"/>
                <w:sz w:val="24"/>
              </w:rPr>
              <w:t>和</w:t>
            </w:r>
            <w:r>
              <w:rPr>
                <w:color w:val="auto"/>
              </w:rPr>
              <w:fldChar w:fldCharType="begin"/>
            </w:r>
            <w:r>
              <w:rPr>
                <w:color w:val="auto"/>
              </w:rPr>
              <w:instrText xml:space="preserve"> HYPERLINK "https://baike.sogou.com/lemma/ShowInnerLink.htm?lemmaId=63132681&amp;ss_c=ssc.citiao.link" \t "_blank" </w:instrText>
            </w:r>
            <w:r>
              <w:rPr>
                <w:color w:val="auto"/>
              </w:rPr>
              <w:fldChar w:fldCharType="separate"/>
            </w:r>
            <w:r>
              <w:rPr>
                <w:color w:val="auto"/>
                <w:sz w:val="24"/>
              </w:rPr>
              <w:t>项目环评</w:t>
            </w:r>
            <w:r>
              <w:rPr>
                <w:color w:val="auto"/>
                <w:sz w:val="24"/>
              </w:rPr>
              <w:fldChar w:fldCharType="end"/>
            </w:r>
            <w:r>
              <w:rPr>
                <w:color w:val="auto"/>
                <w:sz w:val="24"/>
              </w:rPr>
              <w:t>，严格实施准入制度，必要时对重点区域和重点行业采取限批措施；淘汰落后产能，形成合理的产业分布空间格局。环境空气中细颗粒物浓度超标的城市，应按照相关法律规定，制定达标规划，明确各年度或各阶段工作目标，并予以落实。应完善环境质量监测工作，开展污染来源解析，编制各地重点污染源清单，采取针对性的污染排放控制措施。应以环境质量变化趋势为依据，建立污染排放控制措施有效性评估和改善工作机制。应制定严格、完善的国家和地方工业</w:t>
            </w:r>
            <w:r>
              <w:rPr>
                <w:color w:val="auto"/>
              </w:rPr>
              <w:fldChar w:fldCharType="begin"/>
            </w:r>
            <w:r>
              <w:rPr>
                <w:color w:val="auto"/>
              </w:rPr>
              <w:instrText xml:space="preserve"> HYPERLINK "https://baike.sogou.com/lemma/ShowInnerLink.htm?lemmaId=7601744&amp;ss_c=ssc.citiao.link" \t "_blank" </w:instrText>
            </w:r>
            <w:r>
              <w:rPr>
                <w:color w:val="auto"/>
              </w:rPr>
              <w:fldChar w:fldCharType="separate"/>
            </w:r>
            <w:r>
              <w:rPr>
                <w:color w:val="auto"/>
                <w:sz w:val="24"/>
              </w:rPr>
              <w:t>污染物排放标准</w:t>
            </w:r>
            <w:r>
              <w:rPr>
                <w:color w:val="auto"/>
                <w:sz w:val="24"/>
              </w:rPr>
              <w:fldChar w:fldCharType="end"/>
            </w:r>
            <w:r>
              <w:rPr>
                <w:color w:val="auto"/>
                <w:sz w:val="24"/>
              </w:rPr>
              <w:t>，明确各行业排放控制要求。在环境污染严重、污染物排放量大的地区，应制定实施严格的地方排放标准或国家排放标准特别排放限值。</w:t>
            </w:r>
          </w:p>
          <w:p w14:paraId="7B3B19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sz w:val="24"/>
                <w:szCs w:val="24"/>
              </w:rPr>
            </w:pPr>
            <w:r>
              <w:rPr>
                <w:rFonts w:hint="eastAsia"/>
                <w:color w:val="auto"/>
                <w:sz w:val="24"/>
              </w:rPr>
              <w:t>本项目</w:t>
            </w:r>
            <w:r>
              <w:rPr>
                <w:rFonts w:hint="eastAsia"/>
                <w:color w:val="auto"/>
                <w:sz w:val="24"/>
                <w:lang w:eastAsia="zh-CN"/>
              </w:rPr>
              <w:t>物料库进行完全封闭，输送皮带进行密封，</w:t>
            </w:r>
            <w:r>
              <w:rPr>
                <w:rFonts w:hint="eastAsia"/>
                <w:color w:val="auto"/>
                <w:sz w:val="24"/>
              </w:rPr>
              <w:t>破碎、筛分等工序工位上方</w:t>
            </w:r>
            <w:r>
              <w:rPr>
                <w:rFonts w:hint="eastAsia"/>
                <w:color w:val="auto"/>
                <w:sz w:val="24"/>
                <w:lang w:eastAsia="zh-CN"/>
              </w:rPr>
              <w:t>产生</w:t>
            </w:r>
            <w:r>
              <w:rPr>
                <w:rFonts w:hint="eastAsia"/>
                <w:color w:val="auto"/>
                <w:sz w:val="24"/>
              </w:rPr>
              <w:t>废气</w:t>
            </w:r>
            <w:r>
              <w:rPr>
                <w:rFonts w:hint="eastAsia"/>
                <w:color w:val="auto"/>
                <w:sz w:val="24"/>
                <w:lang w:eastAsia="zh-CN"/>
              </w:rPr>
              <w:t>颗粒物</w:t>
            </w:r>
            <w:r>
              <w:rPr>
                <w:rFonts w:hint="eastAsia"/>
                <w:color w:val="auto"/>
                <w:sz w:val="24"/>
              </w:rPr>
              <w:t>收集后经布袋除尘后通过1根15m高排气筒排放。</w:t>
            </w:r>
            <w:r>
              <w:rPr>
                <w:rFonts w:hint="eastAsia"/>
                <w:color w:val="auto"/>
                <w:sz w:val="24"/>
              </w:rPr>
              <w:br w:type="textWrapping"/>
            </w:r>
            <w:r>
              <w:rPr>
                <w:rFonts w:hint="eastAsia" w:cs="Times New Roman"/>
                <w:color w:val="auto"/>
                <w:lang w:val="en-US" w:eastAsia="zh-CN"/>
              </w:rPr>
              <w:t xml:space="preserve">    </w:t>
            </w:r>
            <w:r>
              <w:rPr>
                <w:rFonts w:hint="eastAsia" w:ascii="宋体" w:hAnsi="宋体" w:cs="宋体"/>
                <w:color w:val="auto"/>
                <w:sz w:val="24"/>
                <w:szCs w:val="24"/>
                <w:lang w:val="en-US" w:eastAsia="zh-CN"/>
              </w:rPr>
              <w:t xml:space="preserve"> 7</w:t>
            </w:r>
            <w:r>
              <w:rPr>
                <w:rFonts w:hint="eastAsia" w:ascii="宋体" w:hAnsi="宋体" w:cs="宋体"/>
                <w:color w:val="auto"/>
                <w:sz w:val="24"/>
                <w:szCs w:val="24"/>
              </w:rPr>
              <w:t>、</w:t>
            </w:r>
            <w:r>
              <w:rPr>
                <w:rFonts w:ascii="宋体" w:hAnsi="宋体" w:cs="宋体"/>
                <w:color w:val="auto"/>
                <w:sz w:val="24"/>
                <w:szCs w:val="24"/>
              </w:rPr>
              <w:t>与《淮北市生态环境保护“十四五”规划》（2022年1月）相符性分析</w:t>
            </w:r>
          </w:p>
          <w:p w14:paraId="14B3FD32">
            <w:pPr>
              <w:adjustRightInd w:val="0"/>
              <w:snapToGrid w:val="0"/>
              <w:spacing w:before="120" w:beforeLines="50" w:line="360" w:lineRule="auto"/>
              <w:jc w:val="center"/>
              <w:rPr>
                <w:rFonts w:ascii="宋体" w:hAnsi="宋体" w:cs="宋体"/>
                <w:color w:val="auto"/>
                <w:sz w:val="22"/>
                <w:szCs w:val="22"/>
              </w:rPr>
            </w:pPr>
            <w:r>
              <w:rPr>
                <w:rFonts w:ascii="宋体" w:hAnsi="宋体" w:cs="宋体"/>
                <w:color w:val="auto"/>
                <w:sz w:val="22"/>
                <w:szCs w:val="22"/>
              </w:rPr>
              <w:t>表1-</w:t>
            </w:r>
            <w:r>
              <w:rPr>
                <w:rFonts w:hint="eastAsia" w:ascii="宋体" w:hAnsi="宋体" w:cs="宋体"/>
                <w:color w:val="auto"/>
                <w:sz w:val="22"/>
                <w:szCs w:val="22"/>
                <w:lang w:val="en-US" w:eastAsia="zh-CN"/>
              </w:rPr>
              <w:t>6</w:t>
            </w:r>
            <w:r>
              <w:rPr>
                <w:rFonts w:ascii="宋体" w:hAnsi="宋体" w:cs="宋体"/>
                <w:color w:val="auto"/>
                <w:sz w:val="22"/>
                <w:szCs w:val="22"/>
              </w:rPr>
              <w:t xml:space="preserve">  </w:t>
            </w:r>
            <w:r>
              <w:rPr>
                <w:rFonts w:hint="eastAsia" w:ascii="宋体" w:hAnsi="宋体" w:cs="宋体"/>
                <w:color w:val="auto"/>
                <w:sz w:val="22"/>
                <w:szCs w:val="22"/>
              </w:rPr>
              <w:t>与《淮北市生态环境保护“十四五”规划》相符性分析</w:t>
            </w:r>
          </w:p>
          <w:tbl>
            <w:tblPr>
              <w:tblStyle w:val="37"/>
              <w:tblW w:w="6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805"/>
              <w:gridCol w:w="1798"/>
              <w:gridCol w:w="649"/>
            </w:tblGrid>
            <w:tr w14:paraId="5CEC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06" w:type="dxa"/>
                  <w:shd w:val="clear" w:color="auto" w:fill="auto"/>
                  <w:vAlign w:val="center"/>
                </w:tcPr>
                <w:p w14:paraId="11C080EA">
                  <w:pPr>
                    <w:jc w:val="center"/>
                    <w:rPr>
                      <w:rFonts w:ascii="宋体" w:hAnsi="宋体" w:cs="宋体"/>
                      <w:color w:val="auto"/>
                      <w:kern w:val="24"/>
                    </w:rPr>
                  </w:pPr>
                  <w:r>
                    <w:rPr>
                      <w:rFonts w:hint="eastAsia" w:ascii="宋体" w:hAnsi="宋体" w:cs="宋体"/>
                      <w:color w:val="auto"/>
                      <w:kern w:val="24"/>
                    </w:rPr>
                    <w:t>序号</w:t>
                  </w:r>
                </w:p>
              </w:tc>
              <w:tc>
                <w:tcPr>
                  <w:tcW w:w="3805" w:type="dxa"/>
                  <w:shd w:val="clear" w:color="auto" w:fill="auto"/>
                  <w:vAlign w:val="center"/>
                </w:tcPr>
                <w:p w14:paraId="7C22F17E">
                  <w:pPr>
                    <w:jc w:val="center"/>
                    <w:rPr>
                      <w:rFonts w:ascii="宋体" w:hAnsi="宋体" w:cs="宋体"/>
                      <w:color w:val="auto"/>
                      <w:kern w:val="24"/>
                    </w:rPr>
                  </w:pPr>
                  <w:r>
                    <w:rPr>
                      <w:rFonts w:hint="eastAsia" w:ascii="宋体" w:hAnsi="宋体" w:cs="宋体"/>
                      <w:color w:val="auto"/>
                      <w:kern w:val="24"/>
                    </w:rPr>
                    <w:t>规划要求</w:t>
                  </w:r>
                </w:p>
              </w:tc>
              <w:tc>
                <w:tcPr>
                  <w:tcW w:w="1798" w:type="dxa"/>
                  <w:shd w:val="clear" w:color="auto" w:fill="auto"/>
                  <w:vAlign w:val="center"/>
                </w:tcPr>
                <w:p w14:paraId="7D54A726">
                  <w:pPr>
                    <w:jc w:val="center"/>
                    <w:rPr>
                      <w:rFonts w:ascii="宋体" w:hAnsi="宋体" w:cs="宋体"/>
                      <w:color w:val="auto"/>
                      <w:kern w:val="24"/>
                    </w:rPr>
                  </w:pPr>
                  <w:r>
                    <w:rPr>
                      <w:rFonts w:hint="eastAsia" w:ascii="宋体" w:hAnsi="宋体" w:cs="宋体"/>
                      <w:color w:val="auto"/>
                      <w:kern w:val="24"/>
                    </w:rPr>
                    <w:t>本项目情况</w:t>
                  </w:r>
                </w:p>
              </w:tc>
              <w:tc>
                <w:tcPr>
                  <w:tcW w:w="649" w:type="dxa"/>
                  <w:shd w:val="clear" w:color="auto" w:fill="auto"/>
                  <w:vAlign w:val="center"/>
                </w:tcPr>
                <w:p w14:paraId="2612A596">
                  <w:pPr>
                    <w:jc w:val="center"/>
                    <w:rPr>
                      <w:rFonts w:hint="eastAsia" w:ascii="宋体" w:hAnsi="宋体" w:eastAsia="宋体" w:cs="宋体"/>
                      <w:color w:val="auto"/>
                      <w:kern w:val="24"/>
                      <w:lang w:eastAsia="zh-CN"/>
                    </w:rPr>
                  </w:pPr>
                  <w:r>
                    <w:rPr>
                      <w:rFonts w:hint="eastAsia" w:ascii="宋体" w:hAnsi="宋体" w:cs="宋体"/>
                      <w:color w:val="auto"/>
                      <w:kern w:val="24"/>
                      <w:lang w:eastAsia="zh-CN"/>
                    </w:rPr>
                    <w:t>符合性</w:t>
                  </w:r>
                </w:p>
              </w:tc>
            </w:tr>
            <w:tr w14:paraId="4079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858" w:type="dxa"/>
                  <w:gridSpan w:val="4"/>
                  <w:shd w:val="clear" w:color="auto" w:fill="auto"/>
                  <w:vAlign w:val="center"/>
                </w:tcPr>
                <w:p w14:paraId="2821338B">
                  <w:pPr>
                    <w:rPr>
                      <w:rFonts w:ascii="宋体" w:hAnsi="宋体" w:cs="宋体"/>
                      <w:color w:val="auto"/>
                      <w:kern w:val="24"/>
                    </w:rPr>
                  </w:pPr>
                  <w:r>
                    <w:rPr>
                      <w:rFonts w:hint="eastAsia" w:ascii="宋体" w:hAnsi="宋体" w:cs="宋体"/>
                      <w:color w:val="auto"/>
                      <w:kern w:val="24"/>
                    </w:rPr>
                    <w:t>2.完善环境风险防控管理体系</w:t>
                  </w:r>
                </w:p>
              </w:tc>
            </w:tr>
            <w:tr w14:paraId="1E3D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6" w:hRule="atLeast"/>
                <w:jc w:val="center"/>
              </w:trPr>
              <w:tc>
                <w:tcPr>
                  <w:tcW w:w="606" w:type="dxa"/>
                  <w:shd w:val="clear" w:color="auto" w:fill="auto"/>
                  <w:vAlign w:val="center"/>
                </w:tcPr>
                <w:p w14:paraId="2C3E7F16">
                  <w:pPr>
                    <w:pStyle w:val="33"/>
                    <w:spacing w:after="0" w:line="240" w:lineRule="auto"/>
                    <w:jc w:val="center"/>
                    <w:rPr>
                      <w:rFonts w:ascii="宋体" w:hAnsi="宋体" w:cs="宋体"/>
                      <w:color w:val="auto"/>
                      <w:kern w:val="24"/>
                      <w:sz w:val="21"/>
                      <w:szCs w:val="21"/>
                    </w:rPr>
                  </w:pPr>
                  <w:r>
                    <w:rPr>
                      <w:rFonts w:ascii="宋体" w:hAnsi="宋体" w:cs="宋体"/>
                      <w:color w:val="auto"/>
                      <w:kern w:val="24"/>
                      <w:sz w:val="21"/>
                      <w:szCs w:val="21"/>
                    </w:rPr>
                    <w:t>1</w:t>
                  </w:r>
                </w:p>
              </w:tc>
              <w:tc>
                <w:tcPr>
                  <w:tcW w:w="3805" w:type="dxa"/>
                  <w:shd w:val="clear" w:color="auto" w:fill="auto"/>
                  <w:vAlign w:val="center"/>
                </w:tcPr>
                <w:p w14:paraId="01D97B43">
                  <w:pPr>
                    <w:pStyle w:val="102"/>
                    <w:snapToGrid/>
                    <w:spacing w:before="0" w:after="0" w:line="240" w:lineRule="auto"/>
                    <w:ind w:left="0" w:leftChars="0" w:right="0" w:firstLine="0" w:firstLineChars="0"/>
                    <w:jc w:val="left"/>
                    <w:rPr>
                      <w:rFonts w:ascii="宋体" w:hAnsi="宋体" w:cs="宋体"/>
                      <w:color w:val="auto"/>
                      <w:kern w:val="24"/>
                    </w:rPr>
                  </w:pPr>
                  <w:r>
                    <w:rPr>
                      <w:rFonts w:hint="eastAsia" w:ascii="宋体" w:hAnsi="宋体" w:cs="宋体"/>
                      <w:color w:val="auto"/>
                      <w:kern w:val="24"/>
                    </w:rPr>
                    <w:t>推进风险全过程监管。强化企业环境风险主体责任，督促企业开展环境风险隐患排查并建立档案。抓好重点行业企业和重点区域的环境风险评估工作，实施环境风险分级管理，持续推进企业、</w:t>
                  </w:r>
                </w:p>
                <w:p w14:paraId="68FA1D64">
                  <w:pPr>
                    <w:pStyle w:val="102"/>
                    <w:snapToGrid/>
                    <w:spacing w:before="0" w:after="0" w:line="240" w:lineRule="auto"/>
                    <w:ind w:left="0" w:leftChars="0" w:right="0" w:firstLine="0" w:firstLineChars="0"/>
                    <w:jc w:val="left"/>
                    <w:rPr>
                      <w:rFonts w:ascii="宋体" w:hAnsi="宋体" w:cs="宋体"/>
                      <w:color w:val="auto"/>
                      <w:kern w:val="24"/>
                    </w:rPr>
                  </w:pPr>
                  <w:r>
                    <w:rPr>
                      <w:rFonts w:hint="eastAsia" w:ascii="宋体" w:hAnsi="宋体" w:cs="宋体"/>
                      <w:color w:val="auto"/>
                      <w:kern w:val="24"/>
                    </w:rPr>
                    <w:t>园区、行政区域的三级防控体系。建立企业突发环境事件报告与应急处理制度、特征污染物监测报告等制度，探索建立建设项目验收与企业环境应急预案备案的联动机制，推广“标杆式”、 “卡片式”预案管理模式。严格源头防控、深化过程监管，严厉打击污染治理设施不规范、不运行、偷排、漏排等行为，强化责任追究，将环境风险防范纳入到日常环境管理。</w:t>
                  </w:r>
                </w:p>
              </w:tc>
              <w:tc>
                <w:tcPr>
                  <w:tcW w:w="1798" w:type="dxa"/>
                  <w:shd w:val="clear" w:color="auto" w:fill="auto"/>
                  <w:vAlign w:val="center"/>
                </w:tcPr>
                <w:p w14:paraId="07001C75">
                  <w:pPr>
                    <w:jc w:val="center"/>
                    <w:rPr>
                      <w:rFonts w:ascii="宋体" w:hAnsi="宋体" w:cs="宋体"/>
                      <w:color w:val="auto"/>
                      <w:kern w:val="24"/>
                    </w:rPr>
                  </w:pPr>
                  <w:r>
                    <w:rPr>
                      <w:rFonts w:ascii="宋体" w:hAnsi="宋体" w:cs="宋体"/>
                      <w:color w:val="auto"/>
                      <w:kern w:val="24"/>
                    </w:rPr>
                    <w:t>本项目将加强厂区内的环境风险防范措施</w:t>
                  </w:r>
                </w:p>
              </w:tc>
              <w:tc>
                <w:tcPr>
                  <w:tcW w:w="649" w:type="dxa"/>
                  <w:shd w:val="clear" w:color="auto" w:fill="auto"/>
                  <w:vAlign w:val="center"/>
                </w:tcPr>
                <w:p w14:paraId="6C186D17">
                  <w:pPr>
                    <w:pStyle w:val="33"/>
                    <w:spacing w:after="0" w:line="240" w:lineRule="auto"/>
                    <w:jc w:val="center"/>
                    <w:rPr>
                      <w:rFonts w:ascii="宋体" w:hAnsi="宋体" w:cs="宋体"/>
                      <w:color w:val="auto"/>
                      <w:kern w:val="24"/>
                      <w:sz w:val="21"/>
                      <w:szCs w:val="21"/>
                    </w:rPr>
                  </w:pPr>
                  <w:r>
                    <w:rPr>
                      <w:rFonts w:hint="eastAsia" w:ascii="宋体" w:hAnsi="宋体" w:cs="宋体"/>
                      <w:color w:val="auto"/>
                      <w:kern w:val="24"/>
                      <w:sz w:val="21"/>
                      <w:szCs w:val="21"/>
                    </w:rPr>
                    <w:t>符合</w:t>
                  </w:r>
                </w:p>
              </w:tc>
            </w:tr>
            <w:tr w14:paraId="0C07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jc w:val="center"/>
              </w:trPr>
              <w:tc>
                <w:tcPr>
                  <w:tcW w:w="606" w:type="dxa"/>
                  <w:shd w:val="clear" w:color="auto" w:fill="auto"/>
                  <w:vAlign w:val="center"/>
                </w:tcPr>
                <w:p w14:paraId="327E14D2">
                  <w:pPr>
                    <w:rPr>
                      <w:rFonts w:ascii="宋体" w:hAnsi="宋体" w:cs="宋体"/>
                      <w:color w:val="auto"/>
                      <w:kern w:val="24"/>
                    </w:rPr>
                  </w:pPr>
                  <w:r>
                    <w:rPr>
                      <w:rFonts w:ascii="宋体" w:hAnsi="宋体" w:cs="宋体"/>
                      <w:color w:val="auto"/>
                      <w:kern w:val="24"/>
                    </w:rPr>
                    <w:t>2</w:t>
                  </w:r>
                </w:p>
              </w:tc>
              <w:tc>
                <w:tcPr>
                  <w:tcW w:w="3805" w:type="dxa"/>
                  <w:shd w:val="clear" w:color="auto" w:fill="auto"/>
                  <w:vAlign w:val="center"/>
                </w:tcPr>
                <w:p w14:paraId="21F94CB5">
                  <w:pPr>
                    <w:rPr>
                      <w:rFonts w:ascii="宋体" w:hAnsi="宋体" w:cs="宋体"/>
                      <w:color w:val="auto"/>
                      <w:kern w:val="24"/>
                    </w:rPr>
                  </w:pPr>
                  <w:r>
                    <w:rPr>
                      <w:rFonts w:hint="eastAsia" w:ascii="宋体" w:hAnsi="宋体" w:cs="宋体"/>
                      <w:color w:val="auto"/>
                      <w:kern w:val="24"/>
                    </w:rPr>
                    <w:t>强化应急防范处置能力。加强环境风险信息化管理，完善环境风险源、环境敏感目标、环境应急能力及环境应急预案等数据库，健全应急指挥决策支持系统，提升环境应急信息化水平。加强环境应急预案管理，强化应急演练，推进环境应急管理规范化。加强部门应急联动机制建设，完善环境应急监测设备，提高应急监测水平。提升环境应急保障能力，建立市、县</w:t>
                  </w:r>
                  <w:r>
                    <w:rPr>
                      <w:rFonts w:hint="eastAsia" w:ascii="宋体" w:hAnsi="宋体" w:cs="宋体"/>
                      <w:color w:val="auto"/>
                      <w:kern w:val="24"/>
                      <w:lang w:eastAsia="zh-CN"/>
                    </w:rPr>
                    <w:t>（</w:t>
                  </w:r>
                  <w:r>
                    <w:rPr>
                      <w:rFonts w:hint="eastAsia" w:ascii="宋体" w:hAnsi="宋体" w:cs="宋体"/>
                      <w:color w:val="auto"/>
                      <w:kern w:val="24"/>
                    </w:rPr>
                    <w:t>区</w:t>
                  </w:r>
                  <w:r>
                    <w:rPr>
                      <w:rFonts w:hint="eastAsia" w:ascii="宋体" w:hAnsi="宋体" w:cs="宋体"/>
                      <w:color w:val="auto"/>
                      <w:kern w:val="24"/>
                      <w:lang w:eastAsia="zh-CN"/>
                    </w:rPr>
                    <w:t>）</w:t>
                  </w:r>
                  <w:r>
                    <w:rPr>
                      <w:rFonts w:hint="eastAsia" w:ascii="宋体" w:hAnsi="宋体" w:cs="宋体"/>
                      <w:color w:val="auto"/>
                      <w:kern w:val="24"/>
                    </w:rPr>
                    <w:t>突发环境事件应急综合救援队伍，加强环境应急专家队伍管理，优化相关咨询机制和决策支持。加强突发环境事件环境污染损害评估、事件调查、信息发布等。</w:t>
                  </w:r>
                </w:p>
              </w:tc>
              <w:tc>
                <w:tcPr>
                  <w:tcW w:w="1798" w:type="dxa"/>
                  <w:shd w:val="clear" w:color="auto" w:fill="auto"/>
                  <w:vAlign w:val="center"/>
                </w:tcPr>
                <w:p w14:paraId="3B2A7380">
                  <w:pPr>
                    <w:jc w:val="center"/>
                    <w:rPr>
                      <w:rFonts w:ascii="宋体" w:hAnsi="宋体" w:cs="宋体"/>
                      <w:color w:val="auto"/>
                      <w:kern w:val="24"/>
                    </w:rPr>
                  </w:pPr>
                  <w:r>
                    <w:rPr>
                      <w:rFonts w:ascii="宋体" w:hAnsi="宋体" w:cs="宋体"/>
                      <w:color w:val="auto"/>
                      <w:kern w:val="24"/>
                    </w:rPr>
                    <w:t>本项目完善环境风险源、环境敏感目标、环境应急能力及环境应急预案等数据库，</w:t>
                  </w:r>
                  <w:r>
                    <w:rPr>
                      <w:rFonts w:hint="eastAsia" w:ascii="宋体" w:hAnsi="宋体" w:cs="宋体"/>
                      <w:color w:val="auto"/>
                      <w:kern w:val="24"/>
                    </w:rPr>
                    <w:t>且</w:t>
                  </w:r>
                  <w:r>
                    <w:rPr>
                      <w:rFonts w:ascii="宋体" w:hAnsi="宋体" w:cs="宋体"/>
                      <w:color w:val="auto"/>
                      <w:kern w:val="24"/>
                    </w:rPr>
                    <w:t>加强厂区内的环境风险防范措施</w:t>
                  </w:r>
                </w:p>
              </w:tc>
              <w:tc>
                <w:tcPr>
                  <w:tcW w:w="649" w:type="dxa"/>
                  <w:shd w:val="clear" w:color="auto" w:fill="auto"/>
                  <w:vAlign w:val="center"/>
                </w:tcPr>
                <w:p w14:paraId="5352A9D8">
                  <w:pPr>
                    <w:rPr>
                      <w:rFonts w:ascii="宋体" w:hAnsi="宋体" w:cs="宋体"/>
                      <w:color w:val="auto"/>
                      <w:kern w:val="24"/>
                    </w:rPr>
                  </w:pPr>
                  <w:r>
                    <w:rPr>
                      <w:rFonts w:hint="eastAsia" w:ascii="宋体" w:hAnsi="宋体" w:cs="宋体"/>
                      <w:color w:val="auto"/>
                      <w:kern w:val="24"/>
                    </w:rPr>
                    <w:t>符合</w:t>
                  </w:r>
                </w:p>
              </w:tc>
            </w:tr>
            <w:tr w14:paraId="25B6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858" w:type="dxa"/>
                  <w:gridSpan w:val="4"/>
                  <w:shd w:val="clear" w:color="auto" w:fill="auto"/>
                  <w:vAlign w:val="center"/>
                </w:tcPr>
                <w:p w14:paraId="2A2CA0AE">
                  <w:pPr>
                    <w:pStyle w:val="102"/>
                    <w:snapToGrid/>
                    <w:spacing w:before="0" w:after="0" w:line="240" w:lineRule="auto"/>
                    <w:ind w:left="0" w:leftChars="0" w:right="0" w:firstLine="0" w:firstLineChars="0"/>
                    <w:jc w:val="left"/>
                    <w:rPr>
                      <w:rFonts w:ascii="宋体" w:hAnsi="宋体" w:cs="宋体"/>
                      <w:color w:val="auto"/>
                      <w:kern w:val="24"/>
                    </w:rPr>
                  </w:pPr>
                  <w:r>
                    <w:rPr>
                      <w:rFonts w:hint="eastAsia" w:ascii="宋体" w:hAnsi="宋体" w:cs="宋体"/>
                      <w:color w:val="auto"/>
                      <w:kern w:val="24"/>
                    </w:rPr>
                    <w:t>3.加强风险源管理和重点行业风险防控</w:t>
                  </w:r>
                </w:p>
              </w:tc>
            </w:tr>
            <w:tr w14:paraId="0878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858" w:type="dxa"/>
                  <w:gridSpan w:val="4"/>
                  <w:shd w:val="clear" w:color="auto" w:fill="auto"/>
                  <w:vAlign w:val="center"/>
                </w:tcPr>
                <w:p w14:paraId="72F2D105">
                  <w:pPr>
                    <w:rPr>
                      <w:rFonts w:ascii="宋体" w:hAnsi="宋体" w:cs="宋体"/>
                      <w:color w:val="auto"/>
                      <w:kern w:val="24"/>
                    </w:rPr>
                  </w:pPr>
                  <w:r>
                    <w:rPr>
                      <w:rFonts w:hint="eastAsia" w:ascii="宋体" w:hAnsi="宋体" w:cs="宋体"/>
                      <w:color w:val="auto"/>
                      <w:kern w:val="24"/>
                    </w:rPr>
                    <w:t>4.强化固体废物安全处理处置</w:t>
                  </w:r>
                </w:p>
              </w:tc>
            </w:tr>
            <w:tr w14:paraId="602A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9" w:hRule="atLeast"/>
                <w:jc w:val="center"/>
              </w:trPr>
              <w:tc>
                <w:tcPr>
                  <w:tcW w:w="606" w:type="dxa"/>
                  <w:shd w:val="clear" w:color="auto" w:fill="auto"/>
                  <w:vAlign w:val="center"/>
                </w:tcPr>
                <w:p w14:paraId="1DC59DE8">
                  <w:pPr>
                    <w:rPr>
                      <w:rFonts w:ascii="宋体" w:hAnsi="宋体" w:cs="宋体"/>
                      <w:color w:val="auto"/>
                      <w:kern w:val="24"/>
                    </w:rPr>
                  </w:pPr>
                  <w:r>
                    <w:rPr>
                      <w:rFonts w:hint="eastAsia" w:ascii="宋体" w:hAnsi="宋体" w:cs="宋体"/>
                      <w:color w:val="auto"/>
                      <w:kern w:val="24"/>
                    </w:rPr>
                    <w:t>1</w:t>
                  </w:r>
                </w:p>
              </w:tc>
              <w:tc>
                <w:tcPr>
                  <w:tcW w:w="3805" w:type="dxa"/>
                  <w:shd w:val="clear" w:color="auto" w:fill="auto"/>
                  <w:vAlign w:val="center"/>
                </w:tcPr>
                <w:p w14:paraId="30338165">
                  <w:pPr>
                    <w:rPr>
                      <w:rFonts w:ascii="宋体" w:hAnsi="宋体" w:cs="宋体"/>
                      <w:color w:val="auto"/>
                      <w:kern w:val="24"/>
                    </w:rPr>
                  </w:pPr>
                  <w:r>
                    <w:rPr>
                      <w:rFonts w:hint="eastAsia" w:ascii="宋体" w:hAnsi="宋体" w:cs="宋体"/>
                      <w:color w:val="auto"/>
                      <w:kern w:val="24"/>
                    </w:rPr>
                    <w:t>推进工业固废资源化利用。开展工业园区循环化改造示范工程，推进安徽</w:t>
                  </w:r>
                  <w:r>
                    <w:rPr>
                      <w:rFonts w:hint="eastAsia" w:ascii="宋体" w:hAnsi="宋体" w:cs="宋体"/>
                      <w:color w:val="auto"/>
                      <w:kern w:val="24"/>
                      <w:lang w:eastAsia="zh-CN"/>
                    </w:rPr>
                    <w:t>（</w:t>
                  </w:r>
                  <w:r>
                    <w:rPr>
                      <w:rFonts w:hint="eastAsia" w:ascii="宋体" w:hAnsi="宋体" w:cs="宋体"/>
                      <w:color w:val="auto"/>
                      <w:kern w:val="24"/>
                    </w:rPr>
                    <w:t>淮北</w:t>
                  </w:r>
                  <w:r>
                    <w:rPr>
                      <w:rFonts w:hint="eastAsia" w:ascii="宋体" w:hAnsi="宋体" w:cs="宋体"/>
                      <w:color w:val="auto"/>
                      <w:kern w:val="24"/>
                      <w:lang w:eastAsia="zh-CN"/>
                    </w:rPr>
                    <w:t>）</w:t>
                  </w:r>
                  <w:r>
                    <w:rPr>
                      <w:rFonts w:hint="eastAsia" w:ascii="宋体" w:hAnsi="宋体" w:cs="宋体"/>
                      <w:color w:val="auto"/>
                      <w:kern w:val="24"/>
                    </w:rPr>
                    <w:t>新型煤化工合成材料基地、淮北高新技术产业开发区、濉溪经济开发区等循环经济园区示范建设，加快实施相山经济开发区、杜集经济开发区循环化改造，争创省级园区循环化改造试点。大力推进重点工业企业清洁生产，通过技术改造、降低能耗和原材料消耗，从生产工艺、装备、资源和能源使用角度提出清洁生产方案，实现工业固体废物的减量化。进一步提升主要固体废物资源化程度，从产业结构及区域层面推进工业固体废物资源化利用。</w:t>
                  </w:r>
                </w:p>
              </w:tc>
              <w:tc>
                <w:tcPr>
                  <w:tcW w:w="1798" w:type="dxa"/>
                  <w:shd w:val="clear" w:color="auto" w:fill="auto"/>
                  <w:vAlign w:val="center"/>
                </w:tcPr>
                <w:p w14:paraId="3AD7C051">
                  <w:pPr>
                    <w:jc w:val="center"/>
                    <w:rPr>
                      <w:rFonts w:ascii="宋体" w:hAnsi="宋体" w:cs="宋体"/>
                      <w:color w:val="auto"/>
                      <w:kern w:val="24"/>
                    </w:rPr>
                  </w:pPr>
                  <w:r>
                    <w:rPr>
                      <w:rFonts w:hint="eastAsia" w:ascii="宋体" w:hAnsi="宋体" w:cs="宋体"/>
                      <w:color w:val="auto"/>
                      <w:kern w:val="24"/>
                    </w:rPr>
                    <w:t>本项目位于</w:t>
                  </w:r>
                  <w:r>
                    <w:rPr>
                      <w:rFonts w:hint="eastAsia" w:ascii="宋体" w:hAnsi="宋体" w:cs="宋体"/>
                      <w:color w:val="auto"/>
                      <w:kern w:val="24"/>
                      <w:lang w:eastAsia="zh-CN"/>
                    </w:rPr>
                    <w:t>安徽省淮北市濉溪县刘桥二矿南500米</w:t>
                  </w:r>
                  <w:r>
                    <w:rPr>
                      <w:rFonts w:hint="eastAsia" w:ascii="宋体" w:hAnsi="宋体" w:cs="宋体"/>
                      <w:color w:val="auto"/>
                      <w:kern w:val="24"/>
                    </w:rPr>
                    <w:t>，采用先进的生产工艺、装备减少固体废物的产生量。</w:t>
                  </w:r>
                </w:p>
              </w:tc>
              <w:tc>
                <w:tcPr>
                  <w:tcW w:w="649" w:type="dxa"/>
                  <w:shd w:val="clear" w:color="auto" w:fill="auto"/>
                  <w:vAlign w:val="center"/>
                </w:tcPr>
                <w:p w14:paraId="54D50B76">
                  <w:pPr>
                    <w:rPr>
                      <w:rFonts w:ascii="宋体" w:hAnsi="宋体" w:cs="宋体"/>
                      <w:color w:val="auto"/>
                      <w:kern w:val="24"/>
                    </w:rPr>
                  </w:pPr>
                  <w:r>
                    <w:rPr>
                      <w:rFonts w:hint="eastAsia" w:ascii="宋体" w:hAnsi="宋体" w:cs="宋体"/>
                      <w:color w:val="auto"/>
                      <w:kern w:val="24"/>
                    </w:rPr>
                    <w:t>符合</w:t>
                  </w:r>
                </w:p>
              </w:tc>
            </w:tr>
            <w:tr w14:paraId="7C1F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3" w:hRule="atLeast"/>
                <w:jc w:val="center"/>
              </w:trPr>
              <w:tc>
                <w:tcPr>
                  <w:tcW w:w="606" w:type="dxa"/>
                  <w:shd w:val="clear" w:color="auto" w:fill="auto"/>
                  <w:vAlign w:val="center"/>
                </w:tcPr>
                <w:p w14:paraId="1ADBA462">
                  <w:pPr>
                    <w:rPr>
                      <w:rFonts w:ascii="宋体" w:hAnsi="宋体" w:cs="宋体"/>
                      <w:color w:val="auto"/>
                      <w:kern w:val="24"/>
                    </w:rPr>
                  </w:pPr>
                  <w:r>
                    <w:rPr>
                      <w:rFonts w:hint="eastAsia" w:ascii="宋体" w:hAnsi="宋体" w:cs="宋体"/>
                      <w:color w:val="auto"/>
                      <w:kern w:val="24"/>
                    </w:rPr>
                    <w:t>2</w:t>
                  </w:r>
                </w:p>
              </w:tc>
              <w:tc>
                <w:tcPr>
                  <w:tcW w:w="3805" w:type="dxa"/>
                  <w:shd w:val="clear" w:color="auto" w:fill="auto"/>
                  <w:vAlign w:val="center"/>
                </w:tcPr>
                <w:p w14:paraId="6E96590F">
                  <w:pPr>
                    <w:rPr>
                      <w:rFonts w:ascii="宋体" w:hAnsi="宋体" w:cs="宋体"/>
                      <w:color w:val="auto"/>
                      <w:kern w:val="24"/>
                    </w:rPr>
                  </w:pPr>
                  <w:r>
                    <w:rPr>
                      <w:rFonts w:hint="eastAsia" w:ascii="宋体" w:hAnsi="宋体" w:cs="宋体"/>
                      <w:color w:val="auto"/>
                      <w:kern w:val="24"/>
                    </w:rPr>
                    <w:t>加强危险废物安全处置。加快实施危险废物处置工程，提升危险废物安全处置能力。严格落实申报登记和经营许可管理，规范危险废物处理处置市场，严禁无证经营和超范围经营，确保各类危</w:t>
                  </w:r>
                </w:p>
                <w:p w14:paraId="01A6FED0">
                  <w:pPr>
                    <w:rPr>
                      <w:rFonts w:ascii="宋体" w:hAnsi="宋体" w:cs="宋体"/>
                      <w:color w:val="auto"/>
                      <w:kern w:val="24"/>
                    </w:rPr>
                  </w:pPr>
                  <w:r>
                    <w:rPr>
                      <w:rFonts w:hint="eastAsia" w:ascii="宋体" w:hAnsi="宋体" w:cs="宋体"/>
                      <w:color w:val="auto"/>
                      <w:kern w:val="24"/>
                    </w:rPr>
                    <w:t>险废物的安全处理处置。实施危险废物转移联单管理，采取密封、防水等措施防止收集运输过程造成环境污染。继续强化医疗废物管理工作，开展危险废物和危险化学品污染事故应急能力建设</w:t>
                  </w:r>
                  <w:r>
                    <w:rPr>
                      <w:rFonts w:hint="eastAsia" w:ascii="宋体" w:hAnsi="宋体" w:cs="宋体"/>
                      <w:color w:val="auto"/>
                      <w:kern w:val="24"/>
                      <w:lang w:eastAsia="zh-CN"/>
                    </w:rPr>
                    <w:t>，</w:t>
                  </w:r>
                  <w:r>
                    <w:rPr>
                      <w:rFonts w:hint="eastAsia" w:ascii="宋体" w:hAnsi="宋体" w:cs="宋体"/>
                      <w:color w:val="auto"/>
                      <w:kern w:val="24"/>
                    </w:rPr>
                    <w:t>防范环境污染风险。以提高危险废物资源化利用水平为重点，完善危险废物运输、转运和处理机制，杜绝危险废物混入一般工业固体废物或生活垃圾进行处理处置的现象，培育技术先进、综合利用水平高、环境治理设施完善的危险废物持证经营单位，加强危险废物资源化利用，确保危险废物安全处置利用率达到100%。完善危险废物管理台帐、转移联单等管理制度，提高危险废物收集、运输、处理处置的全过程信息化管理水平。</w:t>
                  </w:r>
                </w:p>
              </w:tc>
              <w:tc>
                <w:tcPr>
                  <w:tcW w:w="1798" w:type="dxa"/>
                  <w:shd w:val="clear" w:color="auto" w:fill="auto"/>
                  <w:vAlign w:val="center"/>
                </w:tcPr>
                <w:p w14:paraId="7AD2D9B5">
                  <w:pPr>
                    <w:jc w:val="center"/>
                    <w:rPr>
                      <w:rFonts w:ascii="宋体" w:hAnsi="宋体" w:cs="宋体"/>
                      <w:color w:val="auto"/>
                      <w:kern w:val="24"/>
                    </w:rPr>
                  </w:pPr>
                  <w:r>
                    <w:rPr>
                      <w:rFonts w:hint="eastAsia" w:ascii="宋体" w:hAnsi="宋体" w:cs="宋体"/>
                      <w:color w:val="auto"/>
                      <w:kern w:val="24"/>
                    </w:rPr>
                    <w:t>本项目不涉及危废</w:t>
                  </w:r>
                </w:p>
              </w:tc>
              <w:tc>
                <w:tcPr>
                  <w:tcW w:w="649" w:type="dxa"/>
                  <w:shd w:val="clear" w:color="auto" w:fill="auto"/>
                  <w:vAlign w:val="center"/>
                </w:tcPr>
                <w:p w14:paraId="5FB69B98">
                  <w:pPr>
                    <w:rPr>
                      <w:rFonts w:ascii="宋体" w:hAnsi="宋体" w:cs="宋体"/>
                      <w:color w:val="auto"/>
                      <w:kern w:val="24"/>
                    </w:rPr>
                  </w:pPr>
                  <w:r>
                    <w:rPr>
                      <w:rFonts w:hint="eastAsia" w:ascii="宋体" w:hAnsi="宋体" w:cs="宋体"/>
                      <w:color w:val="auto"/>
                      <w:kern w:val="24"/>
                    </w:rPr>
                    <w:t>符合</w:t>
                  </w:r>
                </w:p>
              </w:tc>
            </w:tr>
            <w:tr w14:paraId="7D3A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atLeast"/>
                <w:jc w:val="center"/>
              </w:trPr>
              <w:tc>
                <w:tcPr>
                  <w:tcW w:w="606" w:type="dxa"/>
                  <w:shd w:val="clear" w:color="auto" w:fill="auto"/>
                  <w:vAlign w:val="center"/>
                </w:tcPr>
                <w:p w14:paraId="46221147">
                  <w:pPr>
                    <w:rPr>
                      <w:rFonts w:ascii="宋体" w:hAnsi="宋体" w:cs="宋体"/>
                      <w:color w:val="auto"/>
                      <w:kern w:val="24"/>
                    </w:rPr>
                  </w:pPr>
                  <w:r>
                    <w:rPr>
                      <w:rFonts w:hint="eastAsia" w:ascii="宋体" w:hAnsi="宋体" w:cs="宋体"/>
                      <w:color w:val="auto"/>
                      <w:kern w:val="24"/>
                    </w:rPr>
                    <w:t>3</w:t>
                  </w:r>
                </w:p>
              </w:tc>
              <w:tc>
                <w:tcPr>
                  <w:tcW w:w="3805" w:type="dxa"/>
                  <w:shd w:val="clear" w:color="auto" w:fill="auto"/>
                  <w:vAlign w:val="center"/>
                </w:tcPr>
                <w:p w14:paraId="4EAB0329">
                  <w:pPr>
                    <w:rPr>
                      <w:rFonts w:ascii="宋体" w:hAnsi="宋体" w:cs="宋体"/>
                      <w:color w:val="auto"/>
                      <w:kern w:val="24"/>
                    </w:rPr>
                  </w:pPr>
                  <w:r>
                    <w:rPr>
                      <w:rFonts w:hint="eastAsia" w:ascii="宋体" w:hAnsi="宋体" w:cs="宋体"/>
                      <w:color w:val="auto"/>
                      <w:kern w:val="24"/>
                    </w:rPr>
                    <w:t>加强生活垃圾综合处理。深入实施城市生活垃圾分类，提高垃圾处理减量化、资源化和无害化水平，积极创建“无废城市”。完善区域生活垃圾无害化处理系统，加强生活垃圾无害化处理设施建设和运营信息统计，重点推进对焚烧厂、卫生填埋场主要设施运营状况等实施实时监控，加强对焚烧设施烟气排放和卫生填埋场渗滤液和填埋气体的监测，防范污染，提高垃圾处理厂监管能力。</w:t>
                  </w:r>
                </w:p>
              </w:tc>
              <w:tc>
                <w:tcPr>
                  <w:tcW w:w="1798" w:type="dxa"/>
                  <w:shd w:val="clear" w:color="auto" w:fill="auto"/>
                  <w:vAlign w:val="center"/>
                </w:tcPr>
                <w:p w14:paraId="11A2E00E">
                  <w:pPr>
                    <w:jc w:val="center"/>
                    <w:rPr>
                      <w:rFonts w:ascii="宋体" w:hAnsi="宋体" w:cs="宋体"/>
                      <w:color w:val="auto"/>
                      <w:kern w:val="24"/>
                    </w:rPr>
                  </w:pPr>
                  <w:r>
                    <w:rPr>
                      <w:rFonts w:hint="eastAsia" w:ascii="宋体" w:hAnsi="宋体" w:cs="宋体"/>
                      <w:color w:val="auto"/>
                      <w:kern w:val="24"/>
                    </w:rPr>
                    <w:t>本项目</w:t>
                  </w:r>
                  <w:r>
                    <w:rPr>
                      <w:rFonts w:hint="eastAsia" w:ascii="宋体" w:hAnsi="宋体" w:cs="宋体"/>
                      <w:color w:val="auto"/>
                      <w:kern w:val="24"/>
                      <w:lang w:eastAsia="zh-CN"/>
                    </w:rPr>
                    <w:t>不合格产品、除尘器收集的粉尘、脱硫脱硝废渣回用于生产；</w:t>
                  </w:r>
                  <w:r>
                    <w:rPr>
                      <w:rFonts w:hint="eastAsia" w:ascii="宋体" w:hAnsi="宋体" w:cs="宋体"/>
                      <w:color w:val="auto"/>
                      <w:kern w:val="24"/>
                    </w:rPr>
                    <w:t>生活垃圾</w:t>
                  </w:r>
                  <w:r>
                    <w:rPr>
                      <w:rFonts w:ascii="宋体" w:hAnsi="宋体" w:cs="宋体"/>
                      <w:color w:val="auto"/>
                      <w:kern w:val="24"/>
                    </w:rPr>
                    <w:t>收集后由环卫部门统一清运处理</w:t>
                  </w:r>
                  <w:r>
                    <w:rPr>
                      <w:rFonts w:hint="eastAsia" w:ascii="宋体" w:hAnsi="宋体" w:cs="宋体"/>
                      <w:color w:val="auto"/>
                      <w:kern w:val="24"/>
                    </w:rPr>
                    <w:t>，只在厂内暂存。</w:t>
                  </w:r>
                </w:p>
              </w:tc>
              <w:tc>
                <w:tcPr>
                  <w:tcW w:w="649" w:type="dxa"/>
                  <w:shd w:val="clear" w:color="auto" w:fill="auto"/>
                  <w:vAlign w:val="center"/>
                </w:tcPr>
                <w:p w14:paraId="1321DBBF">
                  <w:pPr>
                    <w:rPr>
                      <w:rFonts w:ascii="宋体" w:hAnsi="宋体" w:cs="宋体"/>
                      <w:color w:val="auto"/>
                      <w:kern w:val="24"/>
                    </w:rPr>
                  </w:pPr>
                  <w:r>
                    <w:rPr>
                      <w:rFonts w:hint="eastAsia" w:ascii="宋体" w:hAnsi="宋体" w:cs="宋体"/>
                      <w:color w:val="auto"/>
                      <w:kern w:val="24"/>
                    </w:rPr>
                    <w:t>符合</w:t>
                  </w:r>
                </w:p>
              </w:tc>
            </w:tr>
          </w:tbl>
          <w:p w14:paraId="480C0ADD">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jc w:val="left"/>
              <w:textAlignment w:val="auto"/>
              <w:rPr>
                <w:color w:val="auto"/>
              </w:rPr>
            </w:pPr>
          </w:p>
          <w:p w14:paraId="507A3ED3">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eastAsia="zh-CN"/>
              </w:rPr>
              <w:t>与《安徽省生态环境厅关于强化2024-2025秋冬季大气污染防治攻坚工作的通知》的相符性分析</w:t>
            </w:r>
          </w:p>
          <w:p w14:paraId="6D89D7C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2"/>
                <w:szCs w:val="22"/>
                <w:lang w:val="en-US" w:eastAsia="zh-CN"/>
              </w:rPr>
              <w:t>表1-7 与《安徽省生态环境厅关于强化2024-2025秋冬季大气污染防治攻坚工作的通知》的相符性分析</w:t>
            </w:r>
          </w:p>
          <w:tbl>
            <w:tblPr>
              <w:tblStyle w:val="37"/>
              <w:tblW w:w="6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3474"/>
              <w:gridCol w:w="2322"/>
              <w:gridCol w:w="565"/>
            </w:tblGrid>
            <w:tr w14:paraId="3B6F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7" w:hRule="atLeast"/>
                <w:tblHeader/>
              </w:trPr>
              <w:tc>
                <w:tcPr>
                  <w:tcW w:w="307" w:type="pct"/>
                  <w:tcBorders>
                    <w:top w:val="single" w:color="auto" w:sz="4" w:space="0"/>
                    <w:left w:val="single" w:color="auto" w:sz="4" w:space="0"/>
                    <w:bottom w:val="single" w:color="auto" w:sz="4" w:space="0"/>
                    <w:right w:val="single" w:color="auto" w:sz="4" w:space="0"/>
                  </w:tcBorders>
                  <w:vAlign w:val="center"/>
                </w:tcPr>
                <w:p w14:paraId="0A936677">
                  <w:pPr>
                    <w:pStyle w:val="22"/>
                    <w:spacing w:line="360" w:lineRule="exact"/>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序号</w:t>
                  </w:r>
                </w:p>
              </w:tc>
              <w:tc>
                <w:tcPr>
                  <w:tcW w:w="2562" w:type="pct"/>
                  <w:tcBorders>
                    <w:top w:val="single" w:color="auto" w:sz="4" w:space="0"/>
                    <w:left w:val="single" w:color="auto" w:sz="4" w:space="0"/>
                    <w:bottom w:val="single" w:color="auto" w:sz="4" w:space="0"/>
                    <w:right w:val="single" w:color="auto" w:sz="4" w:space="0"/>
                  </w:tcBorders>
                  <w:vAlign w:val="center"/>
                </w:tcPr>
                <w:p w14:paraId="5FB662C4">
                  <w:pPr>
                    <w:pStyle w:val="22"/>
                    <w:spacing w:line="360" w:lineRule="exact"/>
                    <w:ind w:left="0" w:leftChars="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安徽省生态环境厅关于强化2024-2025秋冬季大气污染防治攻坚工作的通知</w:t>
                  </w:r>
                  <w:r>
                    <w:rPr>
                      <w:rFonts w:hint="eastAsia" w:ascii="Times New Roman" w:hAnsi="Times New Roman" w:eastAsia="宋体" w:cs="Times New Roman"/>
                      <w:color w:val="auto"/>
                      <w:szCs w:val="21"/>
                    </w:rPr>
                    <w:t>》内容</w:t>
                  </w:r>
                </w:p>
              </w:tc>
              <w:tc>
                <w:tcPr>
                  <w:tcW w:w="1712" w:type="pct"/>
                  <w:tcBorders>
                    <w:top w:val="single" w:color="auto" w:sz="4" w:space="0"/>
                    <w:left w:val="single" w:color="auto" w:sz="4" w:space="0"/>
                    <w:bottom w:val="single" w:color="auto" w:sz="4" w:space="0"/>
                    <w:right w:val="single" w:color="auto" w:sz="4" w:space="0"/>
                  </w:tcBorders>
                  <w:vAlign w:val="center"/>
                </w:tcPr>
                <w:p w14:paraId="60C53E55">
                  <w:pPr>
                    <w:pStyle w:val="22"/>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本项目内容</w:t>
                  </w:r>
                </w:p>
              </w:tc>
              <w:tc>
                <w:tcPr>
                  <w:tcW w:w="416" w:type="pct"/>
                  <w:tcBorders>
                    <w:top w:val="single" w:color="auto" w:sz="4" w:space="0"/>
                    <w:left w:val="single" w:color="auto" w:sz="4" w:space="0"/>
                    <w:bottom w:val="single" w:color="auto" w:sz="4" w:space="0"/>
                    <w:right w:val="single" w:color="auto" w:sz="4" w:space="0"/>
                  </w:tcBorders>
                  <w:vAlign w:val="center"/>
                </w:tcPr>
                <w:p w14:paraId="641258CF">
                  <w:pPr>
                    <w:pStyle w:val="22"/>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符合性</w:t>
                  </w:r>
                </w:p>
              </w:tc>
            </w:tr>
            <w:tr w14:paraId="2910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307" w:type="pct"/>
                  <w:tcBorders>
                    <w:top w:val="single" w:color="auto" w:sz="4" w:space="0"/>
                    <w:left w:val="single" w:color="auto" w:sz="4" w:space="0"/>
                    <w:bottom w:val="single" w:color="auto" w:sz="4" w:space="0"/>
                    <w:right w:val="single" w:color="auto" w:sz="4" w:space="0"/>
                  </w:tcBorders>
                  <w:vAlign w:val="center"/>
                </w:tcPr>
                <w:p w14:paraId="60B795B5">
                  <w:pPr>
                    <w:pStyle w:val="22"/>
                    <w:spacing w:line="360" w:lineRule="exact"/>
                    <w:ind w:left="0" w:leftChars="0"/>
                    <w:jc w:val="center"/>
                    <w:rPr>
                      <w:rFonts w:ascii="Times New Roman" w:hAnsi="Times New Roman" w:eastAsia="宋体" w:cs="Times New Roman"/>
                      <w:color w:val="auto"/>
                      <w:szCs w:val="21"/>
                    </w:rPr>
                  </w:pPr>
                  <w:r>
                    <w:rPr>
                      <w:rFonts w:ascii="Times New Roman" w:hAnsi="Times New Roman" w:eastAsia="宋体" w:cs="Times New Roman"/>
                      <w:color w:val="auto"/>
                      <w:szCs w:val="21"/>
                    </w:rPr>
                    <w:t>1</w:t>
                  </w:r>
                </w:p>
              </w:tc>
              <w:tc>
                <w:tcPr>
                  <w:tcW w:w="2562" w:type="pct"/>
                  <w:tcBorders>
                    <w:top w:val="single" w:color="auto" w:sz="4" w:space="0"/>
                    <w:left w:val="single" w:color="auto" w:sz="4" w:space="0"/>
                    <w:bottom w:val="single" w:color="auto" w:sz="4" w:space="0"/>
                    <w:right w:val="single" w:color="auto" w:sz="4" w:space="0"/>
                  </w:tcBorders>
                  <w:vAlign w:val="center"/>
                </w:tcPr>
                <w:p w14:paraId="10602665">
                  <w:pPr>
                    <w:pStyle w:val="22"/>
                    <w:numPr>
                      <w:ilvl w:val="0"/>
                      <w:numId w:val="4"/>
                    </w:numPr>
                    <w:spacing w:line="240" w:lineRule="auto"/>
                    <w:ind w:left="0" w:leftChars="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加强挥发性有机物管控。</w:t>
                  </w:r>
                </w:p>
                <w:p w14:paraId="17341651">
                  <w:pPr>
                    <w:pStyle w:val="22"/>
                    <w:numPr>
                      <w:ilvl w:val="0"/>
                      <w:numId w:val="0"/>
                    </w:numPr>
                    <w:spacing w:line="240" w:lineRule="auto"/>
                    <w:ind w:firstLine="420" w:firstLineChars="200"/>
                    <w:jc w:val="both"/>
                    <w:rPr>
                      <w:rFonts w:hint="eastAsia"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积极督促指导VOCs 年排放量 1 吨及以上机物综合治理</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一企一策”方案，对原辅材料替代、过程控制、末端治理及环境监管等环节逐一梳理，及时排查整治跑冒滴漏问题。着重对有机液体储罐、物料装卸、敞开液面、旁路、泄露检测等问题推进治理，更新排查台账，实现涉 VOCs 企业全覆盖。积极推进吸附剂、活性炭更换智能化全程管理，定期更换。2025年3月底前完成高效低泄漏呼吸阀、全接液浮盘等改造工作</w:t>
                  </w:r>
                </w:p>
              </w:tc>
              <w:tc>
                <w:tcPr>
                  <w:tcW w:w="1712" w:type="pct"/>
                  <w:tcBorders>
                    <w:top w:val="single" w:color="auto" w:sz="4" w:space="0"/>
                    <w:left w:val="single" w:color="auto" w:sz="4" w:space="0"/>
                    <w:bottom w:val="single" w:color="auto" w:sz="4" w:space="0"/>
                    <w:right w:val="single" w:color="auto" w:sz="4" w:space="0"/>
                  </w:tcBorders>
                  <w:vAlign w:val="center"/>
                </w:tcPr>
                <w:p w14:paraId="32AEE9F5">
                  <w:pPr>
                    <w:pStyle w:val="22"/>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本项目为</w:t>
                  </w:r>
                  <w:r>
                    <w:rPr>
                      <w:rFonts w:hint="eastAsia" w:ascii="Times New Roman" w:hAnsi="Times New Roman" w:cs="Times New Roman"/>
                      <w:color w:val="auto"/>
                      <w:szCs w:val="21"/>
                      <w:lang w:eastAsia="zh-CN"/>
                    </w:rPr>
                    <w:t>技改</w:t>
                  </w:r>
                  <w:r>
                    <w:rPr>
                      <w:rFonts w:hint="eastAsia" w:ascii="Times New Roman" w:hAnsi="Times New Roman" w:eastAsia="宋体" w:cs="Times New Roman"/>
                      <w:color w:val="auto"/>
                      <w:szCs w:val="21"/>
                    </w:rPr>
                    <w:t>项目，属于C3031粘土砖瓦及建筑砌块制造，产品为</w:t>
                  </w:r>
                  <w:r>
                    <w:rPr>
                      <w:rFonts w:hint="eastAsia" w:ascii="Times New Roman" w:hAnsi="Times New Roman" w:cs="Times New Roman"/>
                      <w:color w:val="auto"/>
                      <w:szCs w:val="21"/>
                      <w:lang w:eastAsia="zh-CN"/>
                    </w:rPr>
                    <w:t>煤矸石烧结砖</w:t>
                  </w:r>
                  <w:r>
                    <w:rPr>
                      <w:rFonts w:hint="eastAsia" w:ascii="Times New Roman" w:hAnsi="Times New Roman" w:eastAsia="宋体" w:cs="Times New Roman"/>
                      <w:color w:val="auto"/>
                      <w:szCs w:val="21"/>
                    </w:rPr>
                    <w:t>，不</w:t>
                  </w:r>
                  <w:r>
                    <w:rPr>
                      <w:rFonts w:hint="default" w:ascii="F2" w:hAnsi="F2" w:eastAsia="F2" w:cs="F2"/>
                      <w:color w:val="auto"/>
                      <w:kern w:val="0"/>
                      <w:sz w:val="21"/>
                      <w:szCs w:val="21"/>
                      <w:lang w:val="en-US" w:eastAsia="zh-CN" w:bidi="ar"/>
                    </w:rPr>
                    <w:t>涉及</w:t>
                  </w:r>
                  <w:r>
                    <w:rPr>
                      <w:rFonts w:hint="default" w:ascii="Times New Roman" w:hAnsi="Times New Roman" w:eastAsia="宋体" w:cs="Times New Roman"/>
                      <w:color w:val="auto"/>
                      <w:kern w:val="0"/>
                      <w:sz w:val="21"/>
                      <w:szCs w:val="21"/>
                      <w:lang w:val="en-US" w:eastAsia="zh-CN" w:bidi="ar"/>
                    </w:rPr>
                    <w:t>VOCs</w:t>
                  </w:r>
                  <w:r>
                    <w:rPr>
                      <w:rFonts w:hint="default" w:ascii="F2" w:hAnsi="F2" w:eastAsia="F2" w:cs="F2"/>
                      <w:color w:val="auto"/>
                      <w:kern w:val="0"/>
                      <w:sz w:val="21"/>
                      <w:szCs w:val="21"/>
                      <w:lang w:val="en-US" w:eastAsia="zh-CN" w:bidi="ar"/>
                    </w:rPr>
                    <w:t>排放</w:t>
                  </w:r>
                  <w:r>
                    <w:rPr>
                      <w:rFonts w:hint="eastAsia" w:ascii="Times New Roman" w:hAnsi="Times New Roman" w:eastAsia="宋体" w:cs="Times New Roman"/>
                      <w:color w:val="auto"/>
                      <w:szCs w:val="21"/>
                    </w:rPr>
                    <w:t>。</w:t>
                  </w:r>
                </w:p>
              </w:tc>
              <w:tc>
                <w:tcPr>
                  <w:tcW w:w="416" w:type="pct"/>
                  <w:tcBorders>
                    <w:top w:val="single" w:color="auto" w:sz="4" w:space="0"/>
                    <w:left w:val="single" w:color="auto" w:sz="4" w:space="0"/>
                    <w:bottom w:val="single" w:color="auto" w:sz="4" w:space="0"/>
                    <w:right w:val="single" w:color="auto" w:sz="4" w:space="0"/>
                  </w:tcBorders>
                  <w:vAlign w:val="center"/>
                </w:tcPr>
                <w:p w14:paraId="759127F9">
                  <w:pPr>
                    <w:pStyle w:val="22"/>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符合</w:t>
                  </w:r>
                </w:p>
              </w:tc>
            </w:tr>
          </w:tbl>
          <w:p w14:paraId="57BDA6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lang w:val="en-US" w:eastAsia="zh-CN"/>
              </w:rPr>
            </w:pPr>
          </w:p>
          <w:p w14:paraId="657DBD6F">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cs="宋体"/>
                <w:color w:val="auto"/>
                <w:sz w:val="24"/>
                <w:szCs w:val="24"/>
                <w:lang w:eastAsia="zh-CN"/>
              </w:rPr>
            </w:pPr>
            <w:r>
              <w:rPr>
                <w:rFonts w:hint="eastAsia" w:ascii="宋体" w:hAnsi="宋体" w:cs="宋体"/>
                <w:color w:val="auto"/>
                <w:sz w:val="24"/>
                <w:szCs w:val="24"/>
              </w:rPr>
              <w:t>与《安徽省人民政府关于印发安徽省空气质量持续改善行动方案的通知》（皖政〔2024〕36号）的相符性分析</w:t>
            </w:r>
          </w:p>
          <w:p w14:paraId="1531F83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2"/>
                <w:szCs w:val="22"/>
                <w:lang w:val="en-US" w:eastAsia="zh-CN"/>
              </w:rPr>
              <w:t>表1-8 与《安徽省人民政府关于印发安徽省空气质量持续改善行动方案的通知》（皖政〔2024〕36号）的相符性分析</w:t>
            </w:r>
          </w:p>
          <w:tbl>
            <w:tblPr>
              <w:tblStyle w:val="37"/>
              <w:tblW w:w="6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3474"/>
              <w:gridCol w:w="2322"/>
              <w:gridCol w:w="565"/>
            </w:tblGrid>
            <w:tr w14:paraId="7038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blHeader/>
              </w:trPr>
              <w:tc>
                <w:tcPr>
                  <w:tcW w:w="307" w:type="pct"/>
                  <w:tcBorders>
                    <w:top w:val="single" w:color="auto" w:sz="4" w:space="0"/>
                    <w:left w:val="single" w:color="auto" w:sz="4" w:space="0"/>
                    <w:bottom w:val="single" w:color="auto" w:sz="4" w:space="0"/>
                    <w:right w:val="single" w:color="auto" w:sz="4" w:space="0"/>
                  </w:tcBorders>
                  <w:vAlign w:val="center"/>
                </w:tcPr>
                <w:p w14:paraId="44DA124A">
                  <w:pPr>
                    <w:pStyle w:val="22"/>
                    <w:spacing w:line="360" w:lineRule="exact"/>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序号</w:t>
                  </w:r>
                </w:p>
              </w:tc>
              <w:tc>
                <w:tcPr>
                  <w:tcW w:w="2562" w:type="pct"/>
                  <w:tcBorders>
                    <w:top w:val="single" w:color="auto" w:sz="4" w:space="0"/>
                    <w:left w:val="single" w:color="auto" w:sz="4" w:space="0"/>
                    <w:bottom w:val="single" w:color="auto" w:sz="4" w:space="0"/>
                    <w:right w:val="single" w:color="auto" w:sz="4" w:space="0"/>
                  </w:tcBorders>
                  <w:vAlign w:val="center"/>
                </w:tcPr>
                <w:p w14:paraId="1B9C2639">
                  <w:pPr>
                    <w:pStyle w:val="22"/>
                    <w:spacing w:line="360" w:lineRule="exact"/>
                    <w:ind w:left="0" w:leftChars="0"/>
                    <w:jc w:val="center"/>
                    <w:rPr>
                      <w:rFonts w:hint="eastAsia" w:ascii="Times New Roman" w:hAnsi="Times New Roman" w:eastAsia="宋体" w:cs="Times New Roman"/>
                      <w:color w:val="auto"/>
                      <w:szCs w:val="21"/>
                    </w:rPr>
                  </w:pPr>
                  <w:r>
                    <w:rPr>
                      <w:rFonts w:hint="eastAsia" w:cs="Times New Roman"/>
                      <w:color w:val="auto"/>
                      <w:szCs w:val="21"/>
                      <w:lang w:eastAsia="zh-CN"/>
                    </w:rPr>
                    <w:t>文件</w:t>
                  </w:r>
                  <w:r>
                    <w:rPr>
                      <w:rFonts w:hint="eastAsia" w:ascii="Times New Roman" w:hAnsi="Times New Roman" w:eastAsia="宋体" w:cs="Times New Roman"/>
                      <w:color w:val="auto"/>
                      <w:szCs w:val="21"/>
                    </w:rPr>
                    <w:t>内容</w:t>
                  </w:r>
                </w:p>
              </w:tc>
              <w:tc>
                <w:tcPr>
                  <w:tcW w:w="1712" w:type="pct"/>
                  <w:tcBorders>
                    <w:top w:val="single" w:color="auto" w:sz="4" w:space="0"/>
                    <w:left w:val="single" w:color="auto" w:sz="4" w:space="0"/>
                    <w:bottom w:val="single" w:color="auto" w:sz="4" w:space="0"/>
                    <w:right w:val="single" w:color="auto" w:sz="4" w:space="0"/>
                  </w:tcBorders>
                  <w:vAlign w:val="center"/>
                </w:tcPr>
                <w:p w14:paraId="22396793">
                  <w:pPr>
                    <w:pStyle w:val="22"/>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本项目内容</w:t>
                  </w:r>
                </w:p>
              </w:tc>
              <w:tc>
                <w:tcPr>
                  <w:tcW w:w="416" w:type="pct"/>
                  <w:tcBorders>
                    <w:top w:val="single" w:color="auto" w:sz="4" w:space="0"/>
                    <w:left w:val="single" w:color="auto" w:sz="4" w:space="0"/>
                    <w:bottom w:val="single" w:color="auto" w:sz="4" w:space="0"/>
                    <w:right w:val="single" w:color="auto" w:sz="4" w:space="0"/>
                  </w:tcBorders>
                  <w:vAlign w:val="center"/>
                </w:tcPr>
                <w:p w14:paraId="03D2F08C">
                  <w:pPr>
                    <w:pStyle w:val="22"/>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符合性</w:t>
                  </w:r>
                </w:p>
              </w:tc>
            </w:tr>
            <w:tr w14:paraId="5FEE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307" w:type="pct"/>
                  <w:tcBorders>
                    <w:top w:val="single" w:color="auto" w:sz="4" w:space="0"/>
                    <w:left w:val="single" w:color="auto" w:sz="4" w:space="0"/>
                    <w:bottom w:val="single" w:color="auto" w:sz="4" w:space="0"/>
                    <w:right w:val="single" w:color="auto" w:sz="4" w:space="0"/>
                  </w:tcBorders>
                  <w:vAlign w:val="center"/>
                </w:tcPr>
                <w:p w14:paraId="694D5382">
                  <w:pPr>
                    <w:pStyle w:val="22"/>
                    <w:spacing w:line="240" w:lineRule="auto"/>
                    <w:ind w:left="0" w:leftChars="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c>
                <w:tcPr>
                  <w:tcW w:w="2562" w:type="pct"/>
                  <w:tcBorders>
                    <w:top w:val="single" w:color="auto" w:sz="4" w:space="0"/>
                    <w:left w:val="single" w:color="auto" w:sz="4" w:space="0"/>
                    <w:bottom w:val="single" w:color="auto" w:sz="4" w:space="0"/>
                    <w:right w:val="single" w:color="auto" w:sz="4" w:space="0"/>
                  </w:tcBorders>
                  <w:vAlign w:val="center"/>
                </w:tcPr>
                <w:p w14:paraId="1F14137B">
                  <w:pPr>
                    <w:pStyle w:val="22"/>
                    <w:spacing w:line="240" w:lineRule="auto"/>
                    <w:ind w:left="0" w:leftChars="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二、优化调整产业结构布局 （三）坚决遏制高耗能、高排放、低水平项目盲目上马。新改扩建项目严格落实国家产业规划、产业政策、生态环境分区管控方案、规划环评、项目环评、节能审查、产能置换、重点污染物总量控制、污染物排放区域削减、碳排放达峰目标等相关要求，原则上采用清洁运输方式。实施“高污染、高耗能”项目部门联审，源头管控低水平项目上马。制定实施安徽省加强生态环境分区管控方案。严格落实产能置换要求，不以任何名义、任何方式核准、备案产能严重过剩行业新增产能项目，被置换产能及其配套设施关停后，新建项目方可投产。</w:t>
                  </w:r>
                </w:p>
              </w:tc>
              <w:tc>
                <w:tcPr>
                  <w:tcW w:w="1712" w:type="pct"/>
                  <w:tcBorders>
                    <w:top w:val="single" w:color="auto" w:sz="4" w:space="0"/>
                    <w:left w:val="single" w:color="auto" w:sz="4" w:space="0"/>
                    <w:bottom w:val="single" w:color="auto" w:sz="4" w:space="0"/>
                    <w:right w:val="single" w:color="auto" w:sz="4" w:space="0"/>
                  </w:tcBorders>
                  <w:vAlign w:val="center"/>
                </w:tcPr>
                <w:p w14:paraId="3CCB0915">
                  <w:pPr>
                    <w:pStyle w:val="22"/>
                    <w:spacing w:line="240" w:lineRule="auto"/>
                    <w:ind w:left="0" w:leftChars="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本项目为</w:t>
                  </w:r>
                  <w:r>
                    <w:rPr>
                      <w:rFonts w:hint="eastAsia" w:ascii="Times New Roman" w:hAnsi="Times New Roman" w:eastAsia="宋体" w:cs="Times New Roman"/>
                      <w:color w:val="auto"/>
                      <w:szCs w:val="21"/>
                      <w:lang w:eastAsia="zh-CN"/>
                    </w:rPr>
                    <w:t>技改</w:t>
                  </w:r>
                  <w:r>
                    <w:rPr>
                      <w:rFonts w:hint="eastAsia" w:ascii="Times New Roman" w:hAnsi="Times New Roman" w:eastAsia="宋体" w:cs="Times New Roman"/>
                      <w:color w:val="auto"/>
                      <w:szCs w:val="21"/>
                    </w:rPr>
                    <w:t>项目，属于C3031粘土砖瓦及建筑砌块制造，不</w:t>
                  </w:r>
                  <w:r>
                    <w:rPr>
                      <w:rFonts w:hint="eastAsia" w:ascii="Times New Roman" w:hAnsi="Times New Roman" w:eastAsia="宋体" w:cs="Times New Roman"/>
                      <w:color w:val="auto"/>
                      <w:szCs w:val="21"/>
                      <w:lang w:eastAsia="zh-CN"/>
                    </w:rPr>
                    <w:t>属于</w:t>
                  </w:r>
                  <w:r>
                    <w:rPr>
                      <w:rFonts w:hint="eastAsia" w:ascii="Times New Roman" w:hAnsi="Times New Roman" w:eastAsia="宋体" w:cs="Times New Roman"/>
                      <w:color w:val="auto"/>
                      <w:szCs w:val="21"/>
                    </w:rPr>
                    <w:t>高耗能、高排放、低水平项目。</w:t>
                  </w:r>
                </w:p>
              </w:tc>
              <w:tc>
                <w:tcPr>
                  <w:tcW w:w="416" w:type="pct"/>
                  <w:tcBorders>
                    <w:top w:val="single" w:color="auto" w:sz="4" w:space="0"/>
                    <w:left w:val="single" w:color="auto" w:sz="4" w:space="0"/>
                    <w:bottom w:val="single" w:color="auto" w:sz="4" w:space="0"/>
                    <w:right w:val="single" w:color="auto" w:sz="4" w:space="0"/>
                  </w:tcBorders>
                  <w:vAlign w:val="center"/>
                </w:tcPr>
                <w:p w14:paraId="471F1FEF">
                  <w:pPr>
                    <w:pStyle w:val="22"/>
                    <w:spacing w:line="240" w:lineRule="auto"/>
                    <w:ind w:left="0" w:leftChars="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符合</w:t>
                  </w:r>
                </w:p>
              </w:tc>
            </w:tr>
            <w:tr w14:paraId="588F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307" w:type="pct"/>
                  <w:tcBorders>
                    <w:top w:val="single" w:color="auto" w:sz="4" w:space="0"/>
                    <w:left w:val="single" w:color="auto" w:sz="4" w:space="0"/>
                    <w:bottom w:val="single" w:color="auto" w:sz="4" w:space="0"/>
                    <w:right w:val="single" w:color="auto" w:sz="4" w:space="0"/>
                  </w:tcBorders>
                  <w:vAlign w:val="center"/>
                </w:tcPr>
                <w:p w14:paraId="4BB0BDF7">
                  <w:pPr>
                    <w:pStyle w:val="22"/>
                    <w:spacing w:line="240" w:lineRule="auto"/>
                    <w:ind w:left="0" w:left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w:t>
                  </w:r>
                </w:p>
              </w:tc>
              <w:tc>
                <w:tcPr>
                  <w:tcW w:w="2562" w:type="pct"/>
                  <w:tcBorders>
                    <w:top w:val="single" w:color="auto" w:sz="4" w:space="0"/>
                    <w:left w:val="single" w:color="auto" w:sz="4" w:space="0"/>
                    <w:bottom w:val="single" w:color="auto" w:sz="4" w:space="0"/>
                    <w:right w:val="single" w:color="auto" w:sz="4" w:space="0"/>
                  </w:tcBorders>
                  <w:vAlign w:val="center"/>
                </w:tcPr>
                <w:p w14:paraId="5C055A98">
                  <w:pPr>
                    <w:pStyle w:val="22"/>
                    <w:spacing w:line="240" w:lineRule="auto"/>
                    <w:ind w:left="0" w:leftChars="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八）推动煤炭消费减量替代。在保障能源安全供应的前提下，继续实施煤炭消费总量控制，到2025年，重点区域煤炭消费量较2020年下降5%左右。重点削减非电力用煤。修订煤炭消费减量替代管理办法。重点区域新改扩建用煤项目，依法实行煤炭等量或减量替代，不得将使用高污染燃料作为煤炭减量替代措施。持续加大民用、农用散煤替代力度，重点区域散煤基本清零，其他地区散煤使用量进一步下降。强化企业商品煤质量管理，鼓励制定更严格的商品煤质量企业标准，提倡生产和使用优质煤。</w:t>
                  </w:r>
                </w:p>
              </w:tc>
              <w:tc>
                <w:tcPr>
                  <w:tcW w:w="1712" w:type="pct"/>
                  <w:tcBorders>
                    <w:top w:val="single" w:color="auto" w:sz="4" w:space="0"/>
                    <w:left w:val="single" w:color="auto" w:sz="4" w:space="0"/>
                    <w:bottom w:val="single" w:color="auto" w:sz="4" w:space="0"/>
                    <w:right w:val="single" w:color="auto" w:sz="4" w:space="0"/>
                  </w:tcBorders>
                  <w:vAlign w:val="center"/>
                </w:tcPr>
                <w:p w14:paraId="14181C94">
                  <w:pPr>
                    <w:pStyle w:val="22"/>
                    <w:spacing w:line="240" w:lineRule="auto"/>
                    <w:ind w:left="0" w:leftChars="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本项目</w:t>
                  </w:r>
                  <w:r>
                    <w:rPr>
                      <w:rFonts w:hint="eastAsia" w:ascii="Times New Roman" w:hAnsi="Times New Roman" w:eastAsia="宋体" w:cs="Times New Roman"/>
                      <w:color w:val="auto"/>
                      <w:szCs w:val="21"/>
                      <w:lang w:eastAsia="zh-CN"/>
                    </w:rPr>
                    <w:t>技改</w:t>
                  </w:r>
                  <w:r>
                    <w:rPr>
                      <w:rFonts w:hint="eastAsia" w:cs="Times New Roman"/>
                      <w:color w:val="auto"/>
                      <w:szCs w:val="21"/>
                      <w:lang w:eastAsia="zh-CN"/>
                    </w:rPr>
                    <w:t>后将使用生物质燃料代替煤炭</w:t>
                  </w:r>
                </w:p>
              </w:tc>
              <w:tc>
                <w:tcPr>
                  <w:tcW w:w="416" w:type="pct"/>
                  <w:tcBorders>
                    <w:top w:val="single" w:color="auto" w:sz="4" w:space="0"/>
                    <w:left w:val="single" w:color="auto" w:sz="4" w:space="0"/>
                    <w:bottom w:val="single" w:color="auto" w:sz="4" w:space="0"/>
                    <w:right w:val="single" w:color="auto" w:sz="4" w:space="0"/>
                  </w:tcBorders>
                  <w:vAlign w:val="center"/>
                </w:tcPr>
                <w:p w14:paraId="1E05AAAB">
                  <w:pPr>
                    <w:pStyle w:val="22"/>
                    <w:spacing w:line="240" w:lineRule="auto"/>
                    <w:ind w:left="0" w:leftChars="0"/>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符合</w:t>
                  </w:r>
                </w:p>
              </w:tc>
            </w:tr>
            <w:tr w14:paraId="5B4A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307" w:type="pct"/>
                  <w:tcBorders>
                    <w:top w:val="single" w:color="auto" w:sz="4" w:space="0"/>
                    <w:left w:val="single" w:color="auto" w:sz="4" w:space="0"/>
                    <w:bottom w:val="single" w:color="auto" w:sz="4" w:space="0"/>
                    <w:right w:val="single" w:color="auto" w:sz="4" w:space="0"/>
                  </w:tcBorders>
                  <w:vAlign w:val="center"/>
                </w:tcPr>
                <w:p w14:paraId="43431E26">
                  <w:pPr>
                    <w:pStyle w:val="22"/>
                    <w:spacing w:line="240" w:lineRule="auto"/>
                    <w:ind w:left="0" w:leftChars="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w:t>
                  </w:r>
                </w:p>
              </w:tc>
              <w:tc>
                <w:tcPr>
                  <w:tcW w:w="2562" w:type="pct"/>
                  <w:tcBorders>
                    <w:top w:val="single" w:color="auto" w:sz="4" w:space="0"/>
                    <w:left w:val="single" w:color="auto" w:sz="4" w:space="0"/>
                    <w:bottom w:val="single" w:color="auto" w:sz="4" w:space="0"/>
                    <w:right w:val="single" w:color="auto" w:sz="4" w:space="0"/>
                  </w:tcBorders>
                  <w:vAlign w:val="center"/>
                </w:tcPr>
                <w:p w14:paraId="2AB98D22">
                  <w:pPr>
                    <w:pStyle w:val="22"/>
                    <w:spacing w:line="240" w:lineRule="auto"/>
                    <w:ind w:left="0" w:leftChars="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二十三）健全重污染天气应对机制。完善“省—市—县”重污染天气应对三级预案体系，统一规范重污染天气预警、启动、响应、解除工作流程。优化重污染天气预警启动标准，修订重污染天气应急预案，完善应急预案操作手册。制定《重污染天气重点行业绩效分级工作指南》，常态化开展重点行业绩效分级工作，鼓励各市对辖区内规模较大的非重点行业开展绩效评级。持续增补扩充应急减排清单，确保覆盖所有涉气企业。深化区域大气污染应急联动机制，位于同一区域的城市依法依规完善应急响应措施。</w:t>
                  </w:r>
                </w:p>
              </w:tc>
              <w:tc>
                <w:tcPr>
                  <w:tcW w:w="1712" w:type="pct"/>
                  <w:tcBorders>
                    <w:top w:val="single" w:color="auto" w:sz="4" w:space="0"/>
                    <w:left w:val="single" w:color="auto" w:sz="4" w:space="0"/>
                    <w:bottom w:val="single" w:color="auto" w:sz="4" w:space="0"/>
                    <w:right w:val="single" w:color="auto" w:sz="4" w:space="0"/>
                  </w:tcBorders>
                  <w:vAlign w:val="center"/>
                </w:tcPr>
                <w:p w14:paraId="0099B6E3">
                  <w:pPr>
                    <w:pStyle w:val="22"/>
                    <w:spacing w:line="240" w:lineRule="auto"/>
                    <w:ind w:left="0" w:leftChars="0"/>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本项目拟重新修订制定重污染天气应急预案并完善应急措施</w:t>
                  </w:r>
                </w:p>
              </w:tc>
              <w:tc>
                <w:tcPr>
                  <w:tcW w:w="416" w:type="pct"/>
                  <w:tcBorders>
                    <w:top w:val="single" w:color="auto" w:sz="4" w:space="0"/>
                    <w:left w:val="single" w:color="auto" w:sz="4" w:space="0"/>
                    <w:bottom w:val="single" w:color="auto" w:sz="4" w:space="0"/>
                    <w:right w:val="single" w:color="auto" w:sz="4" w:space="0"/>
                  </w:tcBorders>
                  <w:vAlign w:val="center"/>
                </w:tcPr>
                <w:p w14:paraId="6484DD9E">
                  <w:pPr>
                    <w:pStyle w:val="22"/>
                    <w:spacing w:line="240" w:lineRule="auto"/>
                    <w:ind w:left="0" w:leftChars="0"/>
                    <w:jc w:val="center"/>
                    <w:rPr>
                      <w:rFonts w:hint="eastAsia" w:cs="Times New Roman"/>
                      <w:color w:val="auto"/>
                      <w:szCs w:val="21"/>
                      <w:lang w:eastAsia="zh-CN"/>
                    </w:rPr>
                  </w:pPr>
                  <w:r>
                    <w:rPr>
                      <w:rFonts w:hint="eastAsia" w:cs="Times New Roman"/>
                      <w:color w:val="auto"/>
                      <w:szCs w:val="21"/>
                      <w:lang w:eastAsia="zh-CN"/>
                    </w:rPr>
                    <w:t>符合</w:t>
                  </w:r>
                </w:p>
              </w:tc>
            </w:tr>
          </w:tbl>
          <w:p w14:paraId="65BB5C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lang w:eastAsia="zh-CN"/>
              </w:rPr>
            </w:pPr>
          </w:p>
          <w:p w14:paraId="46A15E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10</w:t>
            </w:r>
            <w:r>
              <w:rPr>
                <w:rFonts w:hint="eastAsia" w:ascii="宋体" w:hAnsi="宋体" w:cs="宋体"/>
                <w:color w:val="auto"/>
                <w:sz w:val="24"/>
                <w:szCs w:val="24"/>
              </w:rPr>
              <w:t>与</w:t>
            </w:r>
            <w:r>
              <w:rPr>
                <w:rFonts w:hint="eastAsia" w:ascii="宋体" w:hAnsi="宋体" w:cs="宋体"/>
                <w:color w:val="auto"/>
                <w:sz w:val="24"/>
                <w:szCs w:val="24"/>
                <w:lang w:eastAsia="zh-CN"/>
              </w:rPr>
              <w:t>《</w:t>
            </w:r>
            <w:r>
              <w:rPr>
                <w:rFonts w:hint="eastAsia" w:ascii="宋体" w:hAnsi="宋体" w:cs="宋体"/>
                <w:color w:val="auto"/>
                <w:sz w:val="24"/>
                <w:szCs w:val="24"/>
              </w:rPr>
              <w:t>淮北市人民政府办公室关于印发淮北市空气质量提升攻坚行动方案的通知</w:t>
            </w:r>
            <w:r>
              <w:rPr>
                <w:rFonts w:hint="eastAsia" w:ascii="宋体" w:hAnsi="宋体" w:cs="宋体"/>
                <w:color w:val="auto"/>
                <w:sz w:val="24"/>
                <w:szCs w:val="24"/>
                <w:lang w:eastAsia="zh-CN"/>
              </w:rPr>
              <w:t>》</w:t>
            </w:r>
            <w:r>
              <w:rPr>
                <w:rFonts w:hint="eastAsia" w:ascii="宋体" w:hAnsi="宋体" w:cs="宋体"/>
                <w:color w:val="auto"/>
                <w:sz w:val="24"/>
                <w:szCs w:val="24"/>
              </w:rPr>
              <w:t>（淮政办秘（2024）8号）符合性分析</w:t>
            </w:r>
          </w:p>
          <w:p w14:paraId="2A42A87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2"/>
                <w:szCs w:val="22"/>
                <w:lang w:val="en-US" w:eastAsia="zh-CN"/>
              </w:rPr>
              <w:t>表1-8 与《淮北市人民政府办公室关于印发淮北市空气质量提升攻坚行动方案的通知》（淮政办秘（2024）8号）的相符性分析</w:t>
            </w:r>
          </w:p>
          <w:tbl>
            <w:tblPr>
              <w:tblStyle w:val="37"/>
              <w:tblW w:w="50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3473"/>
              <w:gridCol w:w="2322"/>
              <w:gridCol w:w="565"/>
            </w:tblGrid>
            <w:tr w14:paraId="42E6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blHeader/>
              </w:trPr>
              <w:tc>
                <w:tcPr>
                  <w:tcW w:w="307" w:type="pct"/>
                  <w:tcBorders>
                    <w:top w:val="single" w:color="auto" w:sz="4" w:space="0"/>
                    <w:left w:val="single" w:color="auto" w:sz="4" w:space="0"/>
                    <w:bottom w:val="single" w:color="auto" w:sz="4" w:space="0"/>
                    <w:right w:val="single" w:color="auto" w:sz="4" w:space="0"/>
                  </w:tcBorders>
                  <w:vAlign w:val="center"/>
                </w:tcPr>
                <w:p w14:paraId="1929DBAB">
                  <w:pPr>
                    <w:pStyle w:val="22"/>
                    <w:spacing w:line="360" w:lineRule="exact"/>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序号</w:t>
                  </w:r>
                </w:p>
              </w:tc>
              <w:tc>
                <w:tcPr>
                  <w:tcW w:w="2562" w:type="pct"/>
                  <w:tcBorders>
                    <w:top w:val="single" w:color="auto" w:sz="4" w:space="0"/>
                    <w:left w:val="single" w:color="auto" w:sz="4" w:space="0"/>
                    <w:bottom w:val="single" w:color="auto" w:sz="4" w:space="0"/>
                    <w:right w:val="single" w:color="auto" w:sz="4" w:space="0"/>
                  </w:tcBorders>
                  <w:vAlign w:val="center"/>
                </w:tcPr>
                <w:p w14:paraId="068AA7F9">
                  <w:pPr>
                    <w:pStyle w:val="22"/>
                    <w:spacing w:line="360" w:lineRule="exact"/>
                    <w:ind w:left="0" w:leftChars="0"/>
                    <w:jc w:val="center"/>
                    <w:rPr>
                      <w:rFonts w:hint="eastAsia" w:ascii="Times New Roman" w:hAnsi="Times New Roman" w:eastAsia="宋体" w:cs="Times New Roman"/>
                      <w:color w:val="auto"/>
                      <w:szCs w:val="21"/>
                    </w:rPr>
                  </w:pPr>
                  <w:r>
                    <w:rPr>
                      <w:rFonts w:hint="eastAsia" w:cs="Times New Roman"/>
                      <w:color w:val="auto"/>
                      <w:szCs w:val="21"/>
                      <w:lang w:eastAsia="zh-CN"/>
                    </w:rPr>
                    <w:t>文件</w:t>
                  </w:r>
                  <w:r>
                    <w:rPr>
                      <w:rFonts w:hint="eastAsia" w:ascii="Times New Roman" w:hAnsi="Times New Roman" w:eastAsia="宋体" w:cs="Times New Roman"/>
                      <w:color w:val="auto"/>
                      <w:szCs w:val="21"/>
                    </w:rPr>
                    <w:t>内容</w:t>
                  </w:r>
                </w:p>
              </w:tc>
              <w:tc>
                <w:tcPr>
                  <w:tcW w:w="1712" w:type="pct"/>
                  <w:tcBorders>
                    <w:top w:val="single" w:color="auto" w:sz="4" w:space="0"/>
                    <w:left w:val="single" w:color="auto" w:sz="4" w:space="0"/>
                    <w:bottom w:val="single" w:color="auto" w:sz="4" w:space="0"/>
                    <w:right w:val="single" w:color="auto" w:sz="4" w:space="0"/>
                  </w:tcBorders>
                  <w:vAlign w:val="center"/>
                </w:tcPr>
                <w:p w14:paraId="2E60851B">
                  <w:pPr>
                    <w:pStyle w:val="22"/>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本项目内容</w:t>
                  </w:r>
                </w:p>
              </w:tc>
              <w:tc>
                <w:tcPr>
                  <w:tcW w:w="416" w:type="pct"/>
                  <w:tcBorders>
                    <w:top w:val="single" w:color="auto" w:sz="4" w:space="0"/>
                    <w:left w:val="single" w:color="auto" w:sz="4" w:space="0"/>
                    <w:bottom w:val="single" w:color="auto" w:sz="4" w:space="0"/>
                    <w:right w:val="single" w:color="auto" w:sz="4" w:space="0"/>
                  </w:tcBorders>
                  <w:vAlign w:val="center"/>
                </w:tcPr>
                <w:p w14:paraId="7DA94287">
                  <w:pPr>
                    <w:pStyle w:val="22"/>
                    <w:spacing w:line="240" w:lineRule="auto"/>
                    <w:ind w:left="0" w:leftChars="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符合性</w:t>
                  </w:r>
                </w:p>
              </w:tc>
            </w:tr>
            <w:tr w14:paraId="50B6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307" w:type="pct"/>
                  <w:tcBorders>
                    <w:top w:val="single" w:color="auto" w:sz="4" w:space="0"/>
                    <w:left w:val="single" w:color="auto" w:sz="4" w:space="0"/>
                    <w:bottom w:val="single" w:color="auto" w:sz="4" w:space="0"/>
                    <w:right w:val="single" w:color="auto" w:sz="4" w:space="0"/>
                  </w:tcBorders>
                  <w:vAlign w:val="center"/>
                </w:tcPr>
                <w:p w14:paraId="374F75FA">
                  <w:pPr>
                    <w:pStyle w:val="22"/>
                    <w:spacing w:line="240" w:lineRule="auto"/>
                    <w:ind w:left="0" w:leftChars="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c>
                <w:tcPr>
                  <w:tcW w:w="2562" w:type="pct"/>
                  <w:tcBorders>
                    <w:top w:val="single" w:color="auto" w:sz="4" w:space="0"/>
                    <w:left w:val="single" w:color="auto" w:sz="4" w:space="0"/>
                    <w:bottom w:val="single" w:color="auto" w:sz="4" w:space="0"/>
                    <w:right w:val="single" w:color="auto" w:sz="4" w:space="0"/>
                  </w:tcBorders>
                  <w:vAlign w:val="center"/>
                </w:tcPr>
                <w:p w14:paraId="40A6091E">
                  <w:pPr>
                    <w:pStyle w:val="22"/>
                    <w:spacing w:line="240" w:lineRule="auto"/>
                    <w:ind w:left="0" w:leftChars="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（一）开展产业绿色发展提升行动。 1. 坚决遏制“两高”项目盲目发展。新改扩建项目严格落实国家产业规划、产业政策、产能置换、重点污染物总量控制、污染物排放区域削减、碳排放达峰目标等相关要求，采用清洁运输方式运输。严格火电、焦化行业监管，对火电、焦化、建材、水泥、化工、陶瓷等项目，实施清单管理、动态监控，严格落实省地方污染物排放标准和绩效分级差异管控，实施错峰生产和重污染天气应急管理措施；新建“两高”项目按照重污染天气A级绩效指标建设。（市生态环境局牵头，市发展改革委、市经济和信息化局配合。以下均需各县区人民政府负责落实，不再单独列出）</w:t>
                  </w:r>
                </w:p>
              </w:tc>
              <w:tc>
                <w:tcPr>
                  <w:tcW w:w="1712" w:type="pct"/>
                  <w:tcBorders>
                    <w:top w:val="single" w:color="auto" w:sz="4" w:space="0"/>
                    <w:left w:val="single" w:color="auto" w:sz="4" w:space="0"/>
                    <w:bottom w:val="single" w:color="auto" w:sz="4" w:space="0"/>
                    <w:right w:val="single" w:color="auto" w:sz="4" w:space="0"/>
                  </w:tcBorders>
                  <w:vAlign w:val="center"/>
                </w:tcPr>
                <w:p w14:paraId="5B045BE4">
                  <w:pPr>
                    <w:pStyle w:val="22"/>
                    <w:spacing w:line="240" w:lineRule="auto"/>
                    <w:ind w:left="0" w:leftChars="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本项目为</w:t>
                  </w:r>
                  <w:r>
                    <w:rPr>
                      <w:rFonts w:hint="eastAsia" w:ascii="Times New Roman" w:hAnsi="Times New Roman" w:eastAsia="宋体" w:cs="Times New Roman"/>
                      <w:color w:val="auto"/>
                      <w:szCs w:val="21"/>
                      <w:lang w:eastAsia="zh-CN"/>
                    </w:rPr>
                    <w:t>技改</w:t>
                  </w:r>
                  <w:r>
                    <w:rPr>
                      <w:rFonts w:hint="eastAsia" w:ascii="Times New Roman" w:hAnsi="Times New Roman" w:eastAsia="宋体" w:cs="Times New Roman"/>
                      <w:color w:val="auto"/>
                      <w:szCs w:val="21"/>
                    </w:rPr>
                    <w:t>项目，属于C3031粘土砖瓦及建筑砌块制造，不</w:t>
                  </w:r>
                  <w:r>
                    <w:rPr>
                      <w:rFonts w:hint="eastAsia" w:ascii="Times New Roman" w:hAnsi="Times New Roman" w:eastAsia="宋体" w:cs="Times New Roman"/>
                      <w:color w:val="auto"/>
                      <w:szCs w:val="21"/>
                      <w:lang w:eastAsia="zh-CN"/>
                    </w:rPr>
                    <w:t>属于</w:t>
                  </w:r>
                  <w:r>
                    <w:rPr>
                      <w:rFonts w:hint="eastAsia" w:ascii="Times New Roman" w:hAnsi="Times New Roman" w:eastAsia="宋体" w:cs="Times New Roman"/>
                      <w:color w:val="auto"/>
                      <w:szCs w:val="21"/>
                    </w:rPr>
                    <w:t>两高项目。</w:t>
                  </w:r>
                </w:p>
              </w:tc>
              <w:tc>
                <w:tcPr>
                  <w:tcW w:w="416" w:type="pct"/>
                  <w:tcBorders>
                    <w:top w:val="single" w:color="auto" w:sz="4" w:space="0"/>
                    <w:left w:val="single" w:color="auto" w:sz="4" w:space="0"/>
                    <w:bottom w:val="single" w:color="auto" w:sz="4" w:space="0"/>
                    <w:right w:val="single" w:color="auto" w:sz="4" w:space="0"/>
                  </w:tcBorders>
                  <w:vAlign w:val="center"/>
                </w:tcPr>
                <w:p w14:paraId="1F492F3C">
                  <w:pPr>
                    <w:pStyle w:val="22"/>
                    <w:spacing w:line="240" w:lineRule="auto"/>
                    <w:ind w:left="0" w:leftChars="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符合</w:t>
                  </w:r>
                </w:p>
              </w:tc>
            </w:tr>
            <w:tr w14:paraId="6F50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307" w:type="pct"/>
                  <w:tcBorders>
                    <w:top w:val="single" w:color="auto" w:sz="4" w:space="0"/>
                    <w:left w:val="single" w:color="auto" w:sz="4" w:space="0"/>
                    <w:bottom w:val="single" w:color="auto" w:sz="4" w:space="0"/>
                    <w:right w:val="single" w:color="auto" w:sz="4" w:space="0"/>
                  </w:tcBorders>
                  <w:vAlign w:val="center"/>
                </w:tcPr>
                <w:p w14:paraId="5B356873">
                  <w:pPr>
                    <w:pStyle w:val="22"/>
                    <w:spacing w:line="240" w:lineRule="auto"/>
                    <w:ind w:left="0" w:leftChars="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w:t>
                  </w:r>
                </w:p>
              </w:tc>
              <w:tc>
                <w:tcPr>
                  <w:tcW w:w="2562" w:type="pct"/>
                  <w:tcBorders>
                    <w:top w:val="single" w:color="auto" w:sz="4" w:space="0"/>
                    <w:left w:val="single" w:color="auto" w:sz="4" w:space="0"/>
                    <w:bottom w:val="single" w:color="auto" w:sz="4" w:space="0"/>
                    <w:right w:val="single" w:color="auto" w:sz="4" w:space="0"/>
                  </w:tcBorders>
                  <w:vAlign w:val="center"/>
                </w:tcPr>
                <w:p w14:paraId="29A27A14">
                  <w:pPr>
                    <w:pStyle w:val="22"/>
                    <w:spacing w:line="240" w:lineRule="auto"/>
                    <w:ind w:left="0" w:leftChars="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7. 加大散煤淘汰力度。结合2023年散煤摸排情况，加大农业生产和农产品加工领域、经营性炉灶、养殖业热风炉等散煤替代力度，实现生产经营性领域散煤基本清零。禁燃区内禁止使用散煤等高污染燃料，实现散煤销售网点、餐饮烧烤、流动摊位等使用散煤及生活散煤清零。加强商品煤质量监管，严禁洗选矸石、煤泥违规流入煤炭销售市场。科学规划清洁取暖技术路线，基本实现居民生活散煤清洁化替代。（市发展改革委、市经济和信息化局、市生态环境局、市农业农村局、市市场监管局、市城管局按职责分工负责）</w:t>
                  </w:r>
                </w:p>
              </w:tc>
              <w:tc>
                <w:tcPr>
                  <w:tcW w:w="1712" w:type="pct"/>
                  <w:tcBorders>
                    <w:top w:val="single" w:color="auto" w:sz="4" w:space="0"/>
                    <w:left w:val="single" w:color="auto" w:sz="4" w:space="0"/>
                    <w:bottom w:val="single" w:color="auto" w:sz="4" w:space="0"/>
                    <w:right w:val="single" w:color="auto" w:sz="4" w:space="0"/>
                  </w:tcBorders>
                  <w:vAlign w:val="center"/>
                </w:tcPr>
                <w:p w14:paraId="50693BCB">
                  <w:pPr>
                    <w:pStyle w:val="22"/>
                    <w:spacing w:line="240" w:lineRule="auto"/>
                    <w:ind w:left="0" w:leftChars="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本项目技改后将使用生物质燃料代替煤炭</w:t>
                  </w:r>
                </w:p>
              </w:tc>
              <w:tc>
                <w:tcPr>
                  <w:tcW w:w="416" w:type="pct"/>
                  <w:tcBorders>
                    <w:top w:val="single" w:color="auto" w:sz="4" w:space="0"/>
                    <w:left w:val="single" w:color="auto" w:sz="4" w:space="0"/>
                    <w:bottom w:val="single" w:color="auto" w:sz="4" w:space="0"/>
                    <w:right w:val="single" w:color="auto" w:sz="4" w:space="0"/>
                  </w:tcBorders>
                  <w:vAlign w:val="center"/>
                </w:tcPr>
                <w:p w14:paraId="23436317">
                  <w:pPr>
                    <w:pStyle w:val="22"/>
                    <w:spacing w:line="240" w:lineRule="auto"/>
                    <w:ind w:left="0" w:leftChars="0"/>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符合</w:t>
                  </w:r>
                </w:p>
              </w:tc>
            </w:tr>
          </w:tbl>
          <w:p w14:paraId="478889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lang w:val="en-US" w:eastAsia="zh-CN"/>
              </w:rPr>
            </w:pPr>
          </w:p>
          <w:p w14:paraId="4CFA469E">
            <w:pPr>
              <w:pStyle w:val="6"/>
              <w:rPr>
                <w:color w:val="auto"/>
              </w:rPr>
            </w:pPr>
          </w:p>
        </w:tc>
      </w:tr>
    </w:tbl>
    <w:p w14:paraId="69E7F6FB">
      <w:pPr>
        <w:spacing w:line="360" w:lineRule="auto"/>
        <w:outlineLvl w:val="0"/>
        <w:rPr>
          <w:rFonts w:eastAsia="黑体"/>
          <w:color w:val="auto"/>
          <w:sz w:val="30"/>
          <w:szCs w:val="30"/>
        </w:rPr>
        <w:sectPr>
          <w:footerReference r:id="rId4" w:type="default"/>
          <w:pgSz w:w="11906" w:h="16838"/>
          <w:pgMar w:top="1701" w:right="1531" w:bottom="1276" w:left="1531" w:header="851" w:footer="1077" w:gutter="0"/>
          <w:pgNumType w:start="1"/>
          <w:cols w:space="720" w:num="1"/>
          <w:docGrid w:linePitch="312" w:charSpace="0"/>
        </w:sectPr>
      </w:pPr>
    </w:p>
    <w:p w14:paraId="51305D8E">
      <w:pPr>
        <w:pStyle w:val="34"/>
        <w:jc w:val="center"/>
        <w:outlineLvl w:val="0"/>
        <w:rPr>
          <w:rFonts w:ascii="黑体" w:hAnsi="黑体" w:eastAsia="黑体" w:cs="黑体"/>
          <w:snapToGrid w:val="0"/>
          <w:color w:val="auto"/>
          <w:sz w:val="30"/>
          <w:szCs w:val="30"/>
        </w:rPr>
      </w:pPr>
      <w:r>
        <w:rPr>
          <w:rFonts w:hint="eastAsia" w:ascii="黑体" w:hAnsi="黑体" w:eastAsia="黑体" w:cs="黑体"/>
          <w:snapToGrid w:val="0"/>
          <w:color w:val="auto"/>
          <w:sz w:val="30"/>
          <w:szCs w:val="30"/>
        </w:rPr>
        <w:t>二、建设项目工程分析</w:t>
      </w:r>
      <w:r>
        <w:rPr>
          <w:rFonts w:ascii="黑体" w:hAnsi="黑体" w:eastAsia="黑体" w:cs="黑体"/>
          <w:snapToGrid w:val="0"/>
          <w:color w:val="auto"/>
          <w:sz w:val="30"/>
          <w:szCs w:val="30"/>
        </w:rPr>
        <w:t xml:space="preserve"> </w:t>
      </w:r>
    </w:p>
    <w:tbl>
      <w:tblPr>
        <w:tblStyle w:val="37"/>
        <w:tblW w:w="91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0"/>
        <w:gridCol w:w="8552"/>
      </w:tblGrid>
      <w:tr w14:paraId="06D734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00" w:type="dxa"/>
            <w:tcBorders>
              <w:top w:val="single" w:color="auto" w:sz="8" w:space="0"/>
            </w:tcBorders>
            <w:vAlign w:val="center"/>
          </w:tcPr>
          <w:p w14:paraId="07ED0599">
            <w:pPr>
              <w:pStyle w:val="34"/>
              <w:adjustRightInd w:val="0"/>
              <w:snapToGrid w:val="0"/>
              <w:spacing w:before="0" w:beforeAutospacing="0" w:after="0" w:afterAutospacing="0"/>
              <w:jc w:val="center"/>
              <w:rPr>
                <w:rFonts w:cs="Times New Roman"/>
                <w:color w:val="auto"/>
                <w:sz w:val="21"/>
                <w:szCs w:val="21"/>
              </w:rPr>
            </w:pPr>
            <w:r>
              <w:rPr>
                <w:rFonts w:hint="eastAsia"/>
                <w:color w:val="auto"/>
                <w:kern w:val="2"/>
              </w:rPr>
              <w:t>建设内容</w:t>
            </w:r>
          </w:p>
        </w:tc>
        <w:tc>
          <w:tcPr>
            <w:tcW w:w="8552" w:type="dxa"/>
            <w:tcBorders>
              <w:top w:val="single" w:color="auto" w:sz="8" w:space="0"/>
            </w:tcBorders>
          </w:tcPr>
          <w:p w14:paraId="37DF30B3">
            <w:pPr>
              <w:numPr>
                <w:ilvl w:val="0"/>
                <w:numId w:val="5"/>
              </w:numPr>
              <w:adjustRightInd w:val="0"/>
              <w:snapToGrid w:val="0"/>
              <w:spacing w:before="240" w:beforeLines="100" w:line="360" w:lineRule="auto"/>
              <w:ind w:firstLine="482" w:firstLineChars="200"/>
              <w:jc w:val="left"/>
              <w:rPr>
                <w:rFonts w:hint="eastAsia" w:ascii="宋体" w:hAnsi="宋体" w:cs="宋体"/>
                <w:b/>
                <w:bCs/>
                <w:color w:val="auto"/>
                <w:sz w:val="24"/>
                <w:szCs w:val="24"/>
              </w:rPr>
            </w:pPr>
            <w:r>
              <w:rPr>
                <w:rFonts w:hint="eastAsia" w:ascii="宋体" w:hAnsi="宋体" w:cs="宋体"/>
                <w:b/>
                <w:bCs/>
                <w:color w:val="auto"/>
                <w:sz w:val="24"/>
                <w:szCs w:val="24"/>
              </w:rPr>
              <w:t>项目由来</w:t>
            </w:r>
          </w:p>
          <w:p w14:paraId="02EB7A3D">
            <w:pPr>
              <w:widowControl/>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濉溪县国华新型建材有限公司位于安徽省淮北市濉溪县刘桥二矿南500米。拟投资</w:t>
            </w:r>
            <w:r>
              <w:rPr>
                <w:rFonts w:hint="eastAsia" w:ascii="宋体" w:hAnsi="宋体" w:cs="宋体"/>
                <w:color w:val="auto"/>
                <w:sz w:val="24"/>
                <w:szCs w:val="24"/>
                <w:highlight w:val="none"/>
                <w:lang w:val="en-US" w:eastAsia="zh-CN"/>
              </w:rPr>
              <w:t>97</w:t>
            </w:r>
            <w:r>
              <w:rPr>
                <w:rFonts w:hint="eastAsia" w:ascii="宋体" w:hAnsi="宋体" w:cs="宋体"/>
                <w:color w:val="auto"/>
                <w:sz w:val="24"/>
                <w:szCs w:val="24"/>
                <w:highlight w:val="none"/>
                <w:lang w:eastAsia="zh-CN"/>
              </w:rPr>
              <w:t>0万元建设年产9000万块煤矸石标砖生产线节能环保升级改造项目。现有项目已于</w:t>
            </w:r>
            <w:r>
              <w:rPr>
                <w:rFonts w:hint="eastAsia" w:ascii="宋体" w:hAnsi="宋体" w:cs="宋体"/>
                <w:color w:val="auto"/>
                <w:sz w:val="24"/>
                <w:szCs w:val="24"/>
                <w:highlight w:val="none"/>
                <w:lang w:val="en-US" w:eastAsia="zh-CN"/>
              </w:rPr>
              <w:t>2017年3月15日取得濉溪县环境保护局通过的《濉溪县国华新型建材厂</w:t>
            </w:r>
            <w:r>
              <w:rPr>
                <w:rFonts w:hint="eastAsia" w:ascii="宋体" w:hAnsi="宋体" w:cs="宋体"/>
                <w:color w:val="auto"/>
                <w:sz w:val="24"/>
                <w:szCs w:val="24"/>
                <w:highlight w:val="none"/>
                <w:lang w:eastAsia="zh-CN"/>
              </w:rPr>
              <w:t>年产7200万块空心砖、多孔砖、煤矸石砖生产线</w:t>
            </w:r>
            <w:r>
              <w:rPr>
                <w:rFonts w:hint="eastAsia" w:ascii="宋体" w:hAnsi="宋体" w:cs="宋体"/>
                <w:color w:val="auto"/>
                <w:sz w:val="24"/>
                <w:szCs w:val="24"/>
                <w:highlight w:val="none"/>
                <w:lang w:val="en-US" w:eastAsia="zh-CN"/>
              </w:rPr>
              <w:t>环境影响报告表》审批意见》（濉环行审[2017]18号）。2017年12月1日濉溪县国华新型建材厂</w:t>
            </w:r>
            <w:r>
              <w:rPr>
                <w:rFonts w:hint="eastAsia" w:ascii="宋体" w:hAnsi="宋体" w:cs="宋体"/>
                <w:color w:val="auto"/>
                <w:sz w:val="24"/>
                <w:szCs w:val="24"/>
                <w:highlight w:val="none"/>
                <w:lang w:eastAsia="zh-CN"/>
              </w:rPr>
              <w:t>年产7200万块空心砖、多孔砖、煤矸石砖生产线项目</w:t>
            </w:r>
            <w:r>
              <w:rPr>
                <w:rFonts w:hint="eastAsia" w:ascii="宋体" w:hAnsi="宋体" w:cs="宋体"/>
                <w:color w:val="auto"/>
                <w:sz w:val="24"/>
                <w:szCs w:val="24"/>
                <w:highlight w:val="none"/>
                <w:lang w:val="en-US" w:eastAsia="zh-CN"/>
              </w:rPr>
              <w:t>通过验收并形成验收意见。2019年8月16日申报通过排污许可证申请，证书编号为91340621MA2T3KRT76001Q。濉溪县国华新型建材厂于2018年9月变更为</w:t>
            </w:r>
            <w:r>
              <w:rPr>
                <w:rFonts w:hint="eastAsia" w:ascii="宋体" w:hAnsi="宋体" w:cs="宋体"/>
                <w:color w:val="auto"/>
                <w:sz w:val="24"/>
                <w:szCs w:val="24"/>
                <w:highlight w:val="none"/>
                <w:lang w:eastAsia="zh-CN"/>
              </w:rPr>
              <w:t>濉溪县国华新型建材有限公司。</w:t>
            </w:r>
          </w:p>
          <w:p w14:paraId="31FCBCAD">
            <w:pPr>
              <w:widowControl/>
              <w:spacing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濉溪县国华新型建材有限公司拟投资970万元对现有项目进行技术改造，主要对现有项目的原料进行部分替换，使用建筑弃土及附近城镇污水处理厂产生的污泥代替部分煤矸石原料，新建结构大棚厂房、新建办公楼，新增脱硫塔一套，新增真空皮带压滤机一套，新添石灰罐及自动加灰设备一套，更换节能电机及节能变压器，新增成品半自动打包机一套，更换新型在线连续监测设备一套。项目建成后可形成年产</w:t>
            </w:r>
            <w:r>
              <w:rPr>
                <w:rFonts w:hint="eastAsia" w:ascii="宋体" w:hAnsi="宋体" w:cs="宋体"/>
                <w:color w:val="auto"/>
                <w:sz w:val="24"/>
                <w:szCs w:val="24"/>
                <w:highlight w:val="none"/>
                <w:lang w:val="en-US" w:eastAsia="zh-CN"/>
              </w:rPr>
              <w:t>90</w:t>
            </w:r>
            <w:r>
              <w:rPr>
                <w:rFonts w:hint="eastAsia" w:ascii="宋体" w:hAnsi="宋体" w:cs="宋体"/>
                <w:color w:val="auto"/>
                <w:sz w:val="24"/>
                <w:szCs w:val="24"/>
                <w:highlight w:val="none"/>
                <w:lang w:eastAsia="zh-CN"/>
              </w:rPr>
              <w:t>00万块煤矸石烧结砖的生产能</w:t>
            </w:r>
            <w:r>
              <w:rPr>
                <w:rFonts w:hint="eastAsia" w:ascii="宋体" w:hAnsi="宋体" w:eastAsia="宋体" w:cs="宋体"/>
                <w:color w:val="auto"/>
                <w:sz w:val="24"/>
                <w:szCs w:val="24"/>
                <w:highlight w:val="none"/>
                <w:lang w:eastAsia="zh-CN"/>
              </w:rPr>
              <w:t>力。技改后的项目生产工艺、生产</w:t>
            </w:r>
            <w:r>
              <w:rPr>
                <w:rFonts w:hint="eastAsia" w:ascii="宋体" w:hAnsi="宋体" w:cs="宋体"/>
                <w:color w:val="auto"/>
                <w:sz w:val="24"/>
                <w:szCs w:val="24"/>
                <w:highlight w:val="none"/>
                <w:lang w:eastAsia="zh-CN"/>
              </w:rPr>
              <w:t>设备、产品规格</w:t>
            </w:r>
            <w:r>
              <w:rPr>
                <w:rFonts w:hint="eastAsia" w:ascii="宋体" w:hAnsi="宋体" w:eastAsia="宋体" w:cs="宋体"/>
                <w:color w:val="auto"/>
                <w:sz w:val="24"/>
                <w:szCs w:val="24"/>
                <w:highlight w:val="none"/>
                <w:lang w:eastAsia="zh-CN"/>
              </w:rPr>
              <w:t>均不发生变化</w:t>
            </w:r>
            <w:r>
              <w:rPr>
                <w:rFonts w:hint="eastAsia" w:ascii="宋体" w:hAnsi="宋体" w:cs="宋体"/>
                <w:color w:val="auto"/>
                <w:sz w:val="24"/>
                <w:szCs w:val="24"/>
                <w:highlight w:val="none"/>
                <w:lang w:eastAsia="zh-CN"/>
              </w:rPr>
              <w:t>，生产能力增加了</w:t>
            </w:r>
            <w:r>
              <w:rPr>
                <w:rFonts w:hint="eastAsia" w:ascii="宋体" w:hAnsi="宋体" w:cs="宋体"/>
                <w:color w:val="auto"/>
                <w:sz w:val="24"/>
                <w:szCs w:val="24"/>
                <w:highlight w:val="none"/>
                <w:lang w:val="en-US" w:eastAsia="zh-CN"/>
              </w:rPr>
              <w:t>1800万块</w:t>
            </w:r>
            <w:r>
              <w:rPr>
                <w:rFonts w:hint="eastAsia" w:ascii="宋体" w:hAnsi="宋体" w:cs="宋体"/>
                <w:color w:val="auto"/>
                <w:sz w:val="24"/>
                <w:szCs w:val="24"/>
                <w:highlight w:val="none"/>
                <w:lang w:eastAsia="zh-CN"/>
              </w:rPr>
              <w:t>煤矸石烧结砖</w:t>
            </w:r>
            <w:r>
              <w:rPr>
                <w:rFonts w:hint="eastAsia" w:ascii="宋体" w:hAnsi="宋体" w:eastAsia="宋体" w:cs="宋体"/>
                <w:color w:val="auto"/>
                <w:sz w:val="24"/>
                <w:szCs w:val="24"/>
                <w:highlight w:val="none"/>
                <w:lang w:eastAsia="zh-CN"/>
              </w:rPr>
              <w:t>。技改项目已于2025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lang w:eastAsia="zh-CN"/>
              </w:rPr>
              <w:t>日由濉溪县工业和信息化局备案，编号：濉节能备字（2025）9号。备案表详见附件2。</w:t>
            </w:r>
            <w:r>
              <w:rPr>
                <w:rFonts w:hint="eastAsia" w:ascii="宋体" w:hAnsi="宋体" w:cs="宋体"/>
                <w:color w:val="auto"/>
                <w:sz w:val="24"/>
                <w:szCs w:val="24"/>
                <w:highlight w:val="none"/>
                <w:lang w:eastAsia="zh-CN"/>
              </w:rPr>
              <w:br w:type="textWrapping"/>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根据《中华人民共和国环境保护法》、《中华人民共和国环境影响评价法》、《建设项目环境保护管理条例》等法律、法规的规定及要求，本项目的建设应开展环境影响评价工作。对照《建设项目环境影响评价分类管理名录（2021 年版）》，</w:t>
            </w:r>
          </w:p>
          <w:p w14:paraId="7D94EE1C">
            <w:pPr>
              <w:widowControl/>
              <w:spacing w:line="36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本项目属于“二十七、非金属矿物制品业30 56.砖瓦、石材等建筑材料制造303”，应编制环境影响报告表。濉溪县国华新型建材有限公司委托（委托书详见附件1）安徽碧晟环保科技有限公司对该项目进行环境影响评价工作，接受委托后我司即刻组织有关技术人员进行现场踏勘、收集资料等工作。依据国家有关法规文件和《建设项目环境影响报告表编制技术指南（试行）》等，编制了该项目环境影响报告表，并报请生态环境主管部门审查、审批，以期为项目实施和管理提供参考依据。</w:t>
            </w:r>
          </w:p>
          <w:p w14:paraId="704C17DD">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482" w:firstLineChars="200"/>
              <w:jc w:val="left"/>
              <w:textAlignment w:val="auto"/>
              <w:rPr>
                <w:rFonts w:ascii="宋体"/>
                <w:b/>
                <w:bCs/>
                <w:color w:val="auto"/>
                <w:sz w:val="24"/>
                <w:szCs w:val="24"/>
              </w:rPr>
            </w:pPr>
            <w:r>
              <w:rPr>
                <w:rFonts w:hint="eastAsia" w:ascii="宋体" w:hAnsi="宋体" w:cs="宋体"/>
                <w:b/>
                <w:bCs/>
                <w:color w:val="auto"/>
                <w:sz w:val="24"/>
                <w:szCs w:val="24"/>
              </w:rPr>
              <w:t>项目建设内容及规模</w:t>
            </w:r>
          </w:p>
          <w:p w14:paraId="7B7A5343">
            <w:pPr>
              <w:spacing w:line="360" w:lineRule="auto"/>
              <w:jc w:val="center"/>
              <w:rPr>
                <w:rFonts w:hint="eastAsia" w:cs="Times New Roman"/>
                <w:b/>
                <w:bCs/>
                <w:color w:val="auto"/>
                <w:sz w:val="21"/>
                <w:szCs w:val="18"/>
                <w:lang w:eastAsia="zh-CN"/>
              </w:rPr>
            </w:pPr>
          </w:p>
          <w:p w14:paraId="144500B7">
            <w:pPr>
              <w:spacing w:line="360" w:lineRule="auto"/>
              <w:jc w:val="center"/>
              <w:rPr>
                <w:rFonts w:hint="eastAsia" w:cs="Times New Roman"/>
                <w:b/>
                <w:bCs/>
                <w:color w:val="auto"/>
                <w:sz w:val="21"/>
                <w:szCs w:val="18"/>
                <w:lang w:eastAsia="zh-CN"/>
              </w:rPr>
            </w:pPr>
            <w:r>
              <w:rPr>
                <w:rFonts w:hint="eastAsia" w:cs="Times New Roman"/>
                <w:b/>
                <w:bCs/>
                <w:color w:val="auto"/>
                <w:sz w:val="21"/>
                <w:szCs w:val="18"/>
                <w:lang w:eastAsia="zh-CN"/>
              </w:rPr>
              <w:t>表2-1项目主要建设内容及组成情况一览表</w:t>
            </w:r>
          </w:p>
          <w:tbl>
            <w:tblPr>
              <w:tblStyle w:val="37"/>
              <w:tblpPr w:leftFromText="181" w:rightFromText="181" w:vertAnchor="text" w:horzAnchor="margin" w:tblpY="1"/>
              <w:tblOverlap w:val="never"/>
              <w:tblW w:w="8378" w:type="dxa"/>
              <w:tblInd w:w="0"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774"/>
              <w:gridCol w:w="842"/>
              <w:gridCol w:w="2558"/>
              <w:gridCol w:w="1693"/>
              <w:gridCol w:w="1590"/>
              <w:gridCol w:w="921"/>
            </w:tblGrid>
            <w:tr w14:paraId="7F68A0DE">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133" w:hRule="exact"/>
              </w:trPr>
              <w:tc>
                <w:tcPr>
                  <w:tcW w:w="774" w:type="dxa"/>
                  <w:noWrap w:val="0"/>
                  <w:vAlign w:val="center"/>
                </w:tcPr>
                <w:p w14:paraId="49F34F79">
                  <w:pPr>
                    <w:widowControl w:val="0"/>
                    <w:spacing w:after="120"/>
                    <w:ind w:left="53" w:leftChars="25"/>
                    <w:jc w:val="center"/>
                    <w:rPr>
                      <w:rFonts w:ascii="宋体" w:hAnsi="宋体"/>
                      <w:color w:val="auto"/>
                      <w:kern w:val="2"/>
                      <w:sz w:val="21"/>
                      <w:szCs w:val="21"/>
                    </w:rPr>
                  </w:pPr>
                  <w:r>
                    <w:rPr>
                      <w:rFonts w:ascii="宋体" w:hAnsi="宋体"/>
                      <w:color w:val="auto"/>
                      <w:kern w:val="2"/>
                      <w:sz w:val="21"/>
                      <w:szCs w:val="21"/>
                    </w:rPr>
                    <w:t>工程类别</w:t>
                  </w:r>
                </w:p>
              </w:tc>
              <w:tc>
                <w:tcPr>
                  <w:tcW w:w="842" w:type="dxa"/>
                  <w:noWrap w:val="0"/>
                  <w:vAlign w:val="center"/>
                </w:tcPr>
                <w:p w14:paraId="06F6EAE8">
                  <w:pPr>
                    <w:widowControl w:val="0"/>
                    <w:spacing w:after="120"/>
                    <w:ind w:left="36" w:leftChars="17"/>
                    <w:jc w:val="center"/>
                    <w:rPr>
                      <w:rFonts w:ascii="宋体" w:hAnsi="宋体"/>
                      <w:color w:val="auto"/>
                      <w:kern w:val="2"/>
                      <w:sz w:val="21"/>
                      <w:szCs w:val="21"/>
                    </w:rPr>
                  </w:pPr>
                  <w:r>
                    <w:rPr>
                      <w:rFonts w:ascii="宋体" w:hAnsi="宋体"/>
                      <w:color w:val="auto"/>
                      <w:kern w:val="2"/>
                      <w:sz w:val="21"/>
                      <w:szCs w:val="21"/>
                    </w:rPr>
                    <w:t>单项工程名称</w:t>
                  </w:r>
                </w:p>
              </w:tc>
              <w:tc>
                <w:tcPr>
                  <w:tcW w:w="2558" w:type="dxa"/>
                  <w:noWrap w:val="0"/>
                  <w:vAlign w:val="center"/>
                </w:tcPr>
                <w:p w14:paraId="00C09834">
                  <w:pPr>
                    <w:widowControl w:val="0"/>
                    <w:spacing w:after="120"/>
                    <w:ind w:left="86" w:leftChars="41"/>
                    <w:jc w:val="center"/>
                    <w:rPr>
                      <w:rFonts w:ascii="宋体" w:hAnsi="宋体"/>
                      <w:color w:val="auto"/>
                      <w:kern w:val="2"/>
                      <w:sz w:val="21"/>
                      <w:szCs w:val="21"/>
                    </w:rPr>
                  </w:pPr>
                  <w:r>
                    <w:rPr>
                      <w:rFonts w:hint="eastAsia"/>
                      <w:color w:val="auto"/>
                      <w:lang w:eastAsia="zh-CN"/>
                    </w:rPr>
                    <w:t>技改前</w:t>
                  </w:r>
                  <w:r>
                    <w:rPr>
                      <w:rFonts w:ascii="宋体" w:hAnsi="宋体"/>
                      <w:color w:val="auto"/>
                      <w:kern w:val="2"/>
                      <w:sz w:val="21"/>
                      <w:szCs w:val="21"/>
                    </w:rPr>
                    <w:t>工程内容</w:t>
                  </w:r>
                  <w:r>
                    <w:rPr>
                      <w:rFonts w:hint="eastAsia" w:ascii="宋体" w:hAnsi="宋体"/>
                      <w:color w:val="auto"/>
                      <w:kern w:val="2"/>
                      <w:sz w:val="21"/>
                      <w:szCs w:val="21"/>
                      <w:lang w:eastAsia="zh-CN"/>
                    </w:rPr>
                    <w:t>及规模</w:t>
                  </w:r>
                </w:p>
              </w:tc>
              <w:tc>
                <w:tcPr>
                  <w:tcW w:w="1693" w:type="dxa"/>
                  <w:noWrap w:val="0"/>
                  <w:vAlign w:val="center"/>
                </w:tcPr>
                <w:p w14:paraId="0FF46138">
                  <w:pPr>
                    <w:keepNext w:val="0"/>
                    <w:keepLines w:val="0"/>
                    <w:pageBreakBefore w:val="0"/>
                    <w:widowControl w:val="0"/>
                    <w:kinsoku/>
                    <w:wordWrap/>
                    <w:overflowPunct/>
                    <w:topLinePunct w:val="0"/>
                    <w:autoSpaceDE/>
                    <w:autoSpaceDN/>
                    <w:bidi w:val="0"/>
                    <w:adjustRightInd/>
                    <w:snapToGrid/>
                    <w:ind w:left="0" w:leftChars="0"/>
                    <w:jc w:val="center"/>
                    <w:textAlignment w:val="auto"/>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lang w:eastAsia="zh-CN"/>
                    </w:rPr>
                    <w:t>技改</w:t>
                  </w:r>
                  <w:r>
                    <w:rPr>
                      <w:rFonts w:ascii="宋体" w:hAnsi="宋体" w:eastAsia="宋体" w:cs="Times New Roman"/>
                      <w:color w:val="auto"/>
                      <w:kern w:val="2"/>
                      <w:sz w:val="21"/>
                      <w:szCs w:val="21"/>
                    </w:rPr>
                    <w:t>工程内容</w:t>
                  </w:r>
                </w:p>
                <w:p w14:paraId="6AEC7BD1">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Times New Roman"/>
                      <w:color w:val="auto"/>
                      <w:kern w:val="2"/>
                      <w:sz w:val="21"/>
                      <w:szCs w:val="21"/>
                      <w:lang w:eastAsia="zh-CN"/>
                    </w:rPr>
                  </w:pPr>
                  <w:r>
                    <w:rPr>
                      <w:rFonts w:hint="eastAsia" w:ascii="宋体" w:hAnsi="宋体" w:eastAsia="宋体" w:cs="Times New Roman"/>
                      <w:color w:val="auto"/>
                      <w:kern w:val="2"/>
                      <w:sz w:val="21"/>
                      <w:szCs w:val="21"/>
                    </w:rPr>
                    <w:t>及规模</w:t>
                  </w:r>
                </w:p>
              </w:tc>
              <w:tc>
                <w:tcPr>
                  <w:tcW w:w="1590" w:type="dxa"/>
                  <w:noWrap w:val="0"/>
                  <w:vAlign w:val="center"/>
                </w:tcPr>
                <w:p w14:paraId="08EAB948">
                  <w:pPr>
                    <w:widowControl w:val="0"/>
                    <w:spacing w:after="120"/>
                    <w:ind w:left="36" w:leftChars="17"/>
                    <w:jc w:val="center"/>
                    <w:rPr>
                      <w:rFonts w:hint="eastAsia" w:ascii="宋体" w:hAnsi="宋体" w:eastAsia="宋体" w:cs="Times New Roman"/>
                      <w:color w:val="auto"/>
                      <w:kern w:val="2"/>
                      <w:sz w:val="21"/>
                      <w:szCs w:val="21"/>
                      <w:lang w:eastAsia="zh-CN"/>
                    </w:rPr>
                  </w:pPr>
                  <w:r>
                    <w:rPr>
                      <w:rFonts w:hint="eastAsia" w:ascii="宋体" w:hAnsi="宋体" w:eastAsia="宋体" w:cs="Times New Roman"/>
                      <w:color w:val="auto"/>
                      <w:kern w:val="2"/>
                      <w:sz w:val="21"/>
                      <w:szCs w:val="21"/>
                      <w:lang w:eastAsia="zh-CN"/>
                    </w:rPr>
                    <w:t>技改</w:t>
                  </w:r>
                  <w:r>
                    <w:rPr>
                      <w:rFonts w:hint="eastAsia" w:ascii="宋体" w:hAnsi="宋体" w:eastAsia="宋体" w:cs="Times New Roman"/>
                      <w:color w:val="auto"/>
                      <w:kern w:val="2"/>
                      <w:sz w:val="21"/>
                      <w:szCs w:val="21"/>
                    </w:rPr>
                    <w:t>后</w:t>
                  </w:r>
                  <w:r>
                    <w:rPr>
                      <w:rFonts w:ascii="宋体" w:hAnsi="宋体" w:eastAsia="宋体" w:cs="Times New Roman"/>
                      <w:color w:val="auto"/>
                      <w:kern w:val="2"/>
                      <w:sz w:val="21"/>
                      <w:szCs w:val="21"/>
                    </w:rPr>
                    <w:t>工程内容</w:t>
                  </w:r>
                  <w:r>
                    <w:rPr>
                      <w:rFonts w:hint="eastAsia" w:ascii="宋体" w:hAnsi="宋体" w:eastAsia="宋体" w:cs="Times New Roman"/>
                      <w:color w:val="auto"/>
                      <w:kern w:val="2"/>
                      <w:sz w:val="21"/>
                      <w:szCs w:val="21"/>
                    </w:rPr>
                    <w:t>及规模</w:t>
                  </w:r>
                </w:p>
              </w:tc>
              <w:tc>
                <w:tcPr>
                  <w:tcW w:w="921" w:type="dxa"/>
                  <w:noWrap w:val="0"/>
                  <w:vAlign w:val="center"/>
                </w:tcPr>
                <w:p w14:paraId="67A27518">
                  <w:pPr>
                    <w:widowControl w:val="0"/>
                    <w:spacing w:after="120"/>
                    <w:ind w:left="-8" w:leftChars="-4"/>
                    <w:jc w:val="center"/>
                    <w:rPr>
                      <w:rFonts w:hint="eastAsia" w:ascii="宋体" w:hAnsi="宋体" w:eastAsia="宋体"/>
                      <w:color w:val="auto"/>
                      <w:kern w:val="2"/>
                      <w:sz w:val="21"/>
                      <w:szCs w:val="21"/>
                      <w:lang w:eastAsia="zh-CN"/>
                    </w:rPr>
                  </w:pPr>
                  <w:r>
                    <w:rPr>
                      <w:rFonts w:hint="eastAsia" w:ascii="宋体" w:hAnsi="宋体"/>
                      <w:color w:val="auto"/>
                      <w:kern w:val="2"/>
                      <w:sz w:val="21"/>
                      <w:szCs w:val="21"/>
                      <w:lang w:eastAsia="zh-CN"/>
                    </w:rPr>
                    <w:t>备注</w:t>
                  </w:r>
                </w:p>
              </w:tc>
            </w:tr>
            <w:tr w14:paraId="36C22C63">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521" w:hRule="atLeast"/>
              </w:trPr>
              <w:tc>
                <w:tcPr>
                  <w:tcW w:w="774" w:type="dxa"/>
                  <w:vMerge w:val="restart"/>
                  <w:noWrap w:val="0"/>
                  <w:vAlign w:val="center"/>
                </w:tcPr>
                <w:p w14:paraId="188CDDB4">
                  <w:pPr>
                    <w:widowControl w:val="0"/>
                    <w:ind w:left="105" w:leftChars="50"/>
                    <w:jc w:val="center"/>
                    <w:rPr>
                      <w:rFonts w:ascii="宋体" w:hAnsi="宋体"/>
                      <w:color w:val="auto"/>
                      <w:kern w:val="2"/>
                      <w:sz w:val="21"/>
                      <w:szCs w:val="21"/>
                    </w:rPr>
                  </w:pPr>
                  <w:r>
                    <w:rPr>
                      <w:rFonts w:hint="eastAsia" w:ascii="宋体" w:hAnsi="宋体"/>
                      <w:color w:val="auto"/>
                      <w:kern w:val="2"/>
                      <w:sz w:val="21"/>
                      <w:szCs w:val="21"/>
                    </w:rPr>
                    <w:t>主体工程</w:t>
                  </w:r>
                </w:p>
              </w:tc>
              <w:tc>
                <w:tcPr>
                  <w:tcW w:w="842" w:type="dxa"/>
                  <w:noWrap w:val="0"/>
                  <w:vAlign w:val="center"/>
                </w:tcPr>
                <w:p w14:paraId="37BD6BD6">
                  <w:pPr>
                    <w:widowControl w:val="0"/>
                    <w:ind w:left="210" w:hanging="210" w:hangingChars="100"/>
                    <w:jc w:val="center"/>
                    <w:rPr>
                      <w:rFonts w:hint="eastAsia" w:ascii="宋体" w:hAnsi="宋体"/>
                      <w:color w:val="auto"/>
                      <w:kern w:val="10"/>
                      <w:sz w:val="21"/>
                      <w:szCs w:val="21"/>
                    </w:rPr>
                  </w:pPr>
                  <w:r>
                    <w:rPr>
                      <w:rFonts w:hint="eastAsia" w:ascii="宋体" w:hAnsi="宋体"/>
                      <w:color w:val="auto"/>
                      <w:kern w:val="10"/>
                      <w:sz w:val="21"/>
                      <w:szCs w:val="21"/>
                    </w:rPr>
                    <w:t>生产</w:t>
                  </w:r>
                </w:p>
                <w:p w14:paraId="45AE4893">
                  <w:pPr>
                    <w:widowControl w:val="0"/>
                    <w:ind w:left="210" w:hanging="210" w:hangingChars="100"/>
                    <w:jc w:val="center"/>
                    <w:rPr>
                      <w:rFonts w:ascii="宋体" w:hAnsi="宋体"/>
                      <w:color w:val="auto"/>
                      <w:kern w:val="2"/>
                      <w:sz w:val="21"/>
                      <w:szCs w:val="21"/>
                    </w:rPr>
                  </w:pPr>
                  <w:r>
                    <w:rPr>
                      <w:rFonts w:hint="eastAsia" w:ascii="宋体" w:hAnsi="宋体"/>
                      <w:color w:val="auto"/>
                      <w:kern w:val="10"/>
                      <w:sz w:val="21"/>
                      <w:szCs w:val="21"/>
                    </w:rPr>
                    <w:t>车间</w:t>
                  </w:r>
                </w:p>
              </w:tc>
              <w:tc>
                <w:tcPr>
                  <w:tcW w:w="2558" w:type="dxa"/>
                  <w:noWrap w:val="0"/>
                  <w:vAlign w:val="center"/>
                </w:tcPr>
                <w:p w14:paraId="192AB040">
                  <w:pPr>
                    <w:widowControl w:val="0"/>
                    <w:jc w:val="center"/>
                    <w:rPr>
                      <w:rFonts w:ascii="宋体" w:hAnsi="宋体"/>
                      <w:color w:val="auto"/>
                      <w:kern w:val="2"/>
                      <w:sz w:val="21"/>
                      <w:szCs w:val="21"/>
                    </w:rPr>
                  </w:pPr>
                  <w:r>
                    <w:rPr>
                      <w:rFonts w:hint="eastAsia" w:ascii="宋体" w:hAnsi="宋体"/>
                      <w:color w:val="auto"/>
                      <w:kern w:val="2"/>
                      <w:sz w:val="21"/>
                      <w:szCs w:val="21"/>
                      <w:lang w:eastAsia="zh-CN"/>
                    </w:rPr>
                    <w:t>占地面积约</w:t>
                  </w:r>
                  <w:r>
                    <w:rPr>
                      <w:rFonts w:hint="eastAsia" w:ascii="宋体" w:hAnsi="宋体"/>
                      <w:color w:val="auto"/>
                      <w:kern w:val="2"/>
                      <w:sz w:val="21"/>
                      <w:szCs w:val="21"/>
                      <w:lang w:val="en-US" w:eastAsia="zh-CN"/>
                    </w:rPr>
                    <w:t>2000</w:t>
                  </w:r>
                  <w:r>
                    <w:rPr>
                      <w:rFonts w:hint="eastAsia" w:ascii="宋体" w:hAnsi="宋体"/>
                      <w:color w:val="auto"/>
                      <w:kern w:val="2"/>
                      <w:sz w:val="21"/>
                      <w:szCs w:val="21"/>
                    </w:rPr>
                    <w:t xml:space="preserve"> m</w:t>
                  </w:r>
                  <w:r>
                    <w:rPr>
                      <w:rFonts w:hint="eastAsia" w:ascii="宋体" w:hAnsi="宋体"/>
                      <w:color w:val="auto"/>
                      <w:kern w:val="2"/>
                      <w:sz w:val="21"/>
                      <w:szCs w:val="21"/>
                      <w:vertAlign w:val="superscript"/>
                    </w:rPr>
                    <w:t>2</w:t>
                  </w:r>
                  <w:r>
                    <w:rPr>
                      <w:rFonts w:hint="eastAsia" w:ascii="宋体" w:hAnsi="宋体"/>
                      <w:color w:val="auto"/>
                      <w:kern w:val="2"/>
                      <w:sz w:val="21"/>
                      <w:szCs w:val="21"/>
                      <w:vertAlign w:val="baseline"/>
                      <w:lang w:eastAsia="zh-CN"/>
                    </w:rPr>
                    <w:t>，</w:t>
                  </w:r>
                  <w:r>
                    <w:rPr>
                      <w:rFonts w:hint="eastAsia" w:ascii="宋体" w:hAnsi="宋体"/>
                      <w:color w:val="auto"/>
                      <w:kern w:val="2"/>
                      <w:sz w:val="21"/>
                      <w:szCs w:val="21"/>
                    </w:rPr>
                    <w:t>年产7200万块各类烧结砖生产线1条，主要设备有搅拌机、码坯机、切条切坯机和真空挤出机等</w:t>
                  </w:r>
                </w:p>
              </w:tc>
              <w:tc>
                <w:tcPr>
                  <w:tcW w:w="1693" w:type="dxa"/>
                  <w:noWrap w:val="0"/>
                  <w:vAlign w:val="center"/>
                </w:tcPr>
                <w:p w14:paraId="61DEE365">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Times New Roman"/>
                      <w:color w:val="auto"/>
                      <w:kern w:val="2"/>
                      <w:sz w:val="21"/>
                      <w:szCs w:val="21"/>
                      <w:lang w:eastAsia="zh-CN"/>
                    </w:rPr>
                  </w:pPr>
                  <w:r>
                    <w:rPr>
                      <w:rFonts w:hint="eastAsia" w:ascii="宋体" w:hAnsi="宋体" w:eastAsia="宋体" w:cs="Times New Roman"/>
                      <w:color w:val="auto"/>
                      <w:kern w:val="2"/>
                      <w:sz w:val="21"/>
                      <w:szCs w:val="21"/>
                    </w:rPr>
                    <w:br w:type="textWrapping"/>
                  </w:r>
                  <w:r>
                    <w:rPr>
                      <w:rFonts w:hint="eastAsia" w:ascii="宋体" w:hAnsi="宋体" w:cs="Times New Roman"/>
                      <w:color w:val="auto"/>
                      <w:kern w:val="2"/>
                      <w:sz w:val="21"/>
                      <w:szCs w:val="21"/>
                      <w:lang w:eastAsia="zh-CN"/>
                    </w:rPr>
                    <w:t>新增一台</w:t>
                  </w:r>
                  <w:r>
                    <w:rPr>
                      <w:rFonts w:hint="eastAsia" w:ascii="宋体" w:hAnsi="宋体" w:eastAsia="宋体" w:cs="Times New Roman"/>
                      <w:color w:val="auto"/>
                      <w:kern w:val="2"/>
                      <w:sz w:val="21"/>
                      <w:szCs w:val="21"/>
                    </w:rPr>
                    <w:t>真空挤出机</w:t>
                  </w:r>
                  <w:r>
                    <w:rPr>
                      <w:rFonts w:hint="eastAsia" w:ascii="宋体" w:hAnsi="宋体" w:cs="Times New Roman"/>
                      <w:color w:val="auto"/>
                      <w:kern w:val="2"/>
                      <w:sz w:val="21"/>
                      <w:szCs w:val="21"/>
                      <w:lang w:eastAsia="zh-CN"/>
                    </w:rPr>
                    <w:t>、两台</w:t>
                  </w:r>
                  <w:r>
                    <w:rPr>
                      <w:rFonts w:hint="eastAsia" w:ascii="宋体" w:hAnsi="宋体" w:eastAsia="宋体" w:cs="Times New Roman"/>
                      <w:color w:val="auto"/>
                      <w:kern w:val="2"/>
                      <w:sz w:val="21"/>
                      <w:szCs w:val="21"/>
                    </w:rPr>
                    <w:t>搅拌机</w:t>
                  </w:r>
                  <w:r>
                    <w:rPr>
                      <w:rFonts w:hint="eastAsia" w:ascii="宋体" w:hAnsi="宋体" w:cs="Times New Roman"/>
                      <w:color w:val="auto"/>
                      <w:kern w:val="2"/>
                      <w:sz w:val="21"/>
                      <w:szCs w:val="21"/>
                      <w:lang w:eastAsia="zh-CN"/>
                    </w:rPr>
                    <w:t>、一台</w:t>
                  </w:r>
                  <w:r>
                    <w:rPr>
                      <w:rFonts w:hint="eastAsia" w:ascii="宋体" w:hAnsi="宋体" w:eastAsia="宋体" w:cs="Times New Roman"/>
                      <w:color w:val="auto"/>
                      <w:kern w:val="2"/>
                      <w:sz w:val="21"/>
                      <w:szCs w:val="21"/>
                    </w:rPr>
                    <w:t>切条切坯机</w:t>
                  </w:r>
                  <w:r>
                    <w:rPr>
                      <w:rFonts w:hint="eastAsia" w:ascii="宋体" w:hAnsi="宋体" w:cs="Times New Roman"/>
                      <w:color w:val="auto"/>
                      <w:kern w:val="2"/>
                      <w:sz w:val="21"/>
                      <w:szCs w:val="21"/>
                      <w:lang w:eastAsia="zh-CN"/>
                    </w:rPr>
                    <w:t>机一台</w:t>
                  </w:r>
                  <w:r>
                    <w:rPr>
                      <w:rFonts w:hint="eastAsia" w:ascii="宋体" w:hAnsi="宋体" w:eastAsia="宋体" w:cs="Times New Roman"/>
                      <w:color w:val="auto"/>
                      <w:kern w:val="2"/>
                      <w:sz w:val="21"/>
                      <w:szCs w:val="21"/>
                    </w:rPr>
                    <w:t>码坯机</w:t>
                  </w:r>
                  <w:r>
                    <w:rPr>
                      <w:rFonts w:hint="eastAsia" w:ascii="宋体" w:hAnsi="宋体" w:cs="Times New Roman"/>
                      <w:color w:val="auto"/>
                      <w:kern w:val="2"/>
                      <w:sz w:val="21"/>
                      <w:szCs w:val="21"/>
                      <w:lang w:eastAsia="zh-CN"/>
                    </w:rPr>
                    <w:t>；</w:t>
                  </w:r>
                </w:p>
                <w:p w14:paraId="17C81D66">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Times New Roman"/>
                      <w:color w:val="auto"/>
                      <w:kern w:val="2"/>
                      <w:sz w:val="21"/>
                      <w:szCs w:val="21"/>
                      <w:lang w:eastAsia="zh-CN"/>
                    </w:rPr>
                  </w:pPr>
                  <w:r>
                    <w:rPr>
                      <w:rFonts w:hint="eastAsia" w:ascii="宋体" w:hAnsi="宋体" w:eastAsia="宋体" w:cs="Times New Roman"/>
                      <w:color w:val="auto"/>
                      <w:kern w:val="2"/>
                      <w:sz w:val="21"/>
                      <w:szCs w:val="21"/>
                      <w:lang w:eastAsia="zh-CN"/>
                    </w:rPr>
                    <w:t>新增</w:t>
                  </w:r>
                  <w:r>
                    <w:rPr>
                      <w:rFonts w:hint="eastAsia" w:ascii="宋体" w:hAnsi="宋体" w:eastAsia="宋体" w:cs="Times New Roman"/>
                      <w:color w:val="auto"/>
                      <w:kern w:val="2"/>
                      <w:sz w:val="21"/>
                      <w:szCs w:val="21"/>
                    </w:rPr>
                    <w:t>年产</w:t>
                  </w:r>
                  <w:r>
                    <w:rPr>
                      <w:rFonts w:hint="eastAsia" w:ascii="宋体" w:hAnsi="宋体" w:eastAsia="宋体" w:cs="Times New Roman"/>
                      <w:color w:val="auto"/>
                      <w:kern w:val="2"/>
                      <w:sz w:val="21"/>
                      <w:szCs w:val="21"/>
                      <w:lang w:val="en-US" w:eastAsia="zh-CN"/>
                    </w:rPr>
                    <w:t>18</w:t>
                  </w:r>
                  <w:r>
                    <w:rPr>
                      <w:rFonts w:hint="eastAsia" w:ascii="宋体" w:hAnsi="宋体" w:eastAsia="宋体" w:cs="Times New Roman"/>
                      <w:color w:val="auto"/>
                      <w:kern w:val="2"/>
                      <w:sz w:val="21"/>
                      <w:szCs w:val="21"/>
                    </w:rPr>
                    <w:t>00万块各类烧结砖生产</w:t>
                  </w:r>
                  <w:r>
                    <w:rPr>
                      <w:rFonts w:hint="eastAsia" w:ascii="宋体" w:hAnsi="宋体" w:cs="Times New Roman"/>
                      <w:color w:val="auto"/>
                      <w:kern w:val="2"/>
                      <w:sz w:val="21"/>
                      <w:szCs w:val="21"/>
                      <w:lang w:eastAsia="zh-CN"/>
                    </w:rPr>
                    <w:t>能力，并增加建筑渣土及污泥代替部分煤矸石</w:t>
                  </w:r>
                </w:p>
              </w:tc>
              <w:tc>
                <w:tcPr>
                  <w:tcW w:w="1590" w:type="dxa"/>
                  <w:noWrap w:val="0"/>
                  <w:vAlign w:val="center"/>
                </w:tcPr>
                <w:p w14:paraId="3C23F948">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Times New Roman"/>
                      <w:color w:val="auto"/>
                      <w:kern w:val="2"/>
                      <w:sz w:val="21"/>
                      <w:szCs w:val="21"/>
                      <w:lang w:eastAsia="zh-CN"/>
                    </w:rPr>
                  </w:pPr>
                  <w:r>
                    <w:rPr>
                      <w:rFonts w:hint="eastAsia" w:ascii="宋体" w:hAnsi="宋体" w:cs="Times New Roman"/>
                      <w:color w:val="auto"/>
                      <w:kern w:val="2"/>
                      <w:sz w:val="21"/>
                      <w:szCs w:val="21"/>
                      <w:lang w:eastAsia="zh-CN"/>
                    </w:rPr>
                    <w:t>增加建筑渣土及污泥代替部分煤矸石，</w:t>
                  </w:r>
                  <w:r>
                    <w:rPr>
                      <w:rFonts w:hint="eastAsia" w:ascii="宋体" w:hAnsi="宋体" w:eastAsia="宋体" w:cs="Times New Roman"/>
                      <w:color w:val="auto"/>
                      <w:kern w:val="2"/>
                      <w:sz w:val="21"/>
                      <w:szCs w:val="21"/>
                      <w:lang w:eastAsia="zh-CN"/>
                    </w:rPr>
                    <w:t>技改完成后生产能力可达</w:t>
                  </w:r>
                  <w:r>
                    <w:rPr>
                      <w:rFonts w:hint="eastAsia" w:ascii="宋体" w:hAnsi="宋体" w:eastAsia="宋体" w:cs="Times New Roman"/>
                      <w:color w:val="auto"/>
                      <w:kern w:val="2"/>
                      <w:sz w:val="21"/>
                      <w:szCs w:val="21"/>
                    </w:rPr>
                    <w:t>年产</w:t>
                  </w:r>
                  <w:r>
                    <w:rPr>
                      <w:rFonts w:hint="eastAsia" w:ascii="宋体" w:hAnsi="宋体" w:eastAsia="宋体" w:cs="Times New Roman"/>
                      <w:color w:val="auto"/>
                      <w:kern w:val="2"/>
                      <w:sz w:val="21"/>
                      <w:szCs w:val="21"/>
                      <w:lang w:val="en-US" w:eastAsia="zh-CN"/>
                    </w:rPr>
                    <w:t>90</w:t>
                  </w:r>
                  <w:r>
                    <w:rPr>
                      <w:rFonts w:hint="eastAsia" w:ascii="宋体" w:hAnsi="宋体" w:eastAsia="宋体" w:cs="Times New Roman"/>
                      <w:color w:val="auto"/>
                      <w:kern w:val="2"/>
                      <w:sz w:val="21"/>
                      <w:szCs w:val="21"/>
                    </w:rPr>
                    <w:t>00万块各类烧结砖生产</w:t>
                  </w:r>
                  <w:r>
                    <w:rPr>
                      <w:rFonts w:hint="eastAsia" w:ascii="宋体" w:hAnsi="宋体" w:cs="Times New Roman"/>
                      <w:color w:val="auto"/>
                      <w:kern w:val="2"/>
                      <w:sz w:val="21"/>
                      <w:szCs w:val="21"/>
                      <w:lang w:eastAsia="zh-CN"/>
                    </w:rPr>
                    <w:t>能力</w:t>
                  </w:r>
                </w:p>
              </w:tc>
              <w:tc>
                <w:tcPr>
                  <w:tcW w:w="921" w:type="dxa"/>
                  <w:noWrap w:val="0"/>
                  <w:vAlign w:val="center"/>
                </w:tcPr>
                <w:p w14:paraId="6DF31125">
                  <w:pPr>
                    <w:widowControl w:val="0"/>
                    <w:jc w:val="center"/>
                    <w:rPr>
                      <w:rFonts w:hint="eastAsia" w:ascii="宋体" w:hAnsi="宋体" w:eastAsia="宋体"/>
                      <w:color w:val="auto"/>
                      <w:kern w:val="2"/>
                      <w:sz w:val="21"/>
                      <w:szCs w:val="21"/>
                      <w:lang w:eastAsia="zh-CN"/>
                    </w:rPr>
                  </w:pPr>
                  <w:r>
                    <w:rPr>
                      <w:rFonts w:hint="eastAsia" w:ascii="宋体" w:hAnsi="宋体"/>
                      <w:color w:val="auto"/>
                      <w:kern w:val="2"/>
                      <w:sz w:val="21"/>
                      <w:szCs w:val="21"/>
                      <w:lang w:eastAsia="zh-CN"/>
                    </w:rPr>
                    <w:t>生产能力增加</w:t>
                  </w:r>
                </w:p>
              </w:tc>
            </w:tr>
            <w:tr w14:paraId="0E851960">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32" w:hRule="atLeast"/>
              </w:trPr>
              <w:tc>
                <w:tcPr>
                  <w:tcW w:w="774" w:type="dxa"/>
                  <w:vMerge w:val="continue"/>
                  <w:noWrap w:val="0"/>
                  <w:vAlign w:val="center"/>
                </w:tcPr>
                <w:p w14:paraId="225BA9BE">
                  <w:pPr>
                    <w:widowControl w:val="0"/>
                    <w:ind w:left="105" w:leftChars="50"/>
                    <w:jc w:val="center"/>
                    <w:rPr>
                      <w:rFonts w:hint="eastAsia" w:ascii="宋体" w:hAnsi="宋体"/>
                      <w:color w:val="auto"/>
                      <w:kern w:val="2"/>
                      <w:sz w:val="21"/>
                      <w:szCs w:val="21"/>
                    </w:rPr>
                  </w:pPr>
                </w:p>
              </w:tc>
              <w:tc>
                <w:tcPr>
                  <w:tcW w:w="842" w:type="dxa"/>
                  <w:noWrap w:val="0"/>
                  <w:vAlign w:val="center"/>
                </w:tcPr>
                <w:p w14:paraId="6DC79494">
                  <w:pPr>
                    <w:keepNext w:val="0"/>
                    <w:keepLines w:val="0"/>
                    <w:pageBreakBefore w:val="0"/>
                    <w:widowControl w:val="0"/>
                    <w:kinsoku/>
                    <w:wordWrap/>
                    <w:overflowPunct/>
                    <w:topLinePunct w:val="0"/>
                    <w:autoSpaceDE/>
                    <w:autoSpaceDN/>
                    <w:bidi w:val="0"/>
                    <w:adjustRightInd/>
                    <w:snapToGrid w:val="0"/>
                    <w:ind w:left="0" w:firstLine="0" w:firstLineChars="0"/>
                    <w:jc w:val="center"/>
                    <w:textAlignment w:val="auto"/>
                    <w:rPr>
                      <w:rFonts w:hint="eastAsia" w:ascii="宋体" w:hAnsi="宋体"/>
                      <w:color w:val="auto"/>
                      <w:kern w:val="10"/>
                      <w:sz w:val="21"/>
                      <w:szCs w:val="21"/>
                      <w:lang w:eastAsia="zh-CN"/>
                    </w:rPr>
                  </w:pPr>
                  <w:r>
                    <w:rPr>
                      <w:rFonts w:hint="eastAsia" w:ascii="宋体" w:hAnsi="宋体"/>
                      <w:color w:val="auto"/>
                      <w:kern w:val="10"/>
                      <w:sz w:val="21"/>
                      <w:szCs w:val="21"/>
                      <w:lang w:eastAsia="zh-CN"/>
                    </w:rPr>
                    <w:t>破碎</w:t>
                  </w:r>
                </w:p>
                <w:p w14:paraId="63C7AFA2">
                  <w:pPr>
                    <w:keepNext w:val="0"/>
                    <w:keepLines w:val="0"/>
                    <w:pageBreakBefore w:val="0"/>
                    <w:widowControl w:val="0"/>
                    <w:kinsoku/>
                    <w:wordWrap/>
                    <w:overflowPunct/>
                    <w:topLinePunct w:val="0"/>
                    <w:autoSpaceDE/>
                    <w:autoSpaceDN/>
                    <w:bidi w:val="0"/>
                    <w:adjustRightInd/>
                    <w:snapToGrid w:val="0"/>
                    <w:ind w:left="0" w:firstLine="0" w:firstLineChars="0"/>
                    <w:jc w:val="center"/>
                    <w:textAlignment w:val="auto"/>
                    <w:rPr>
                      <w:rFonts w:hint="eastAsia" w:ascii="宋体" w:hAnsi="宋体"/>
                      <w:color w:val="auto"/>
                      <w:kern w:val="10"/>
                      <w:sz w:val="21"/>
                      <w:szCs w:val="21"/>
                    </w:rPr>
                  </w:pPr>
                  <w:r>
                    <w:rPr>
                      <w:rFonts w:hint="eastAsia" w:ascii="宋体" w:hAnsi="宋体"/>
                      <w:color w:val="auto"/>
                      <w:kern w:val="10"/>
                      <w:sz w:val="21"/>
                      <w:szCs w:val="21"/>
                    </w:rPr>
                    <w:t>车间</w:t>
                  </w:r>
                </w:p>
              </w:tc>
              <w:tc>
                <w:tcPr>
                  <w:tcW w:w="2558" w:type="dxa"/>
                  <w:noWrap w:val="0"/>
                  <w:vAlign w:val="center"/>
                </w:tcPr>
                <w:p w14:paraId="6ED39116">
                  <w:pPr>
                    <w:widowControl w:val="0"/>
                    <w:jc w:val="center"/>
                    <w:rPr>
                      <w:rFonts w:hint="eastAsia" w:ascii="宋体" w:hAnsi="宋体"/>
                      <w:color w:val="auto"/>
                      <w:kern w:val="2"/>
                      <w:sz w:val="21"/>
                      <w:szCs w:val="21"/>
                    </w:rPr>
                  </w:pPr>
                  <w:r>
                    <w:rPr>
                      <w:rFonts w:hint="eastAsia" w:ascii="宋体" w:hAnsi="宋体"/>
                      <w:color w:val="auto"/>
                      <w:kern w:val="2"/>
                      <w:sz w:val="21"/>
                      <w:szCs w:val="21"/>
                      <w:lang w:eastAsia="zh-CN"/>
                    </w:rPr>
                    <w:t>占地面积约</w:t>
                  </w:r>
                  <w:r>
                    <w:rPr>
                      <w:rFonts w:hint="eastAsia" w:ascii="宋体" w:hAnsi="宋体"/>
                      <w:color w:val="auto"/>
                      <w:kern w:val="2"/>
                      <w:sz w:val="21"/>
                      <w:szCs w:val="21"/>
                      <w:lang w:val="en-US" w:eastAsia="zh-CN"/>
                    </w:rPr>
                    <w:t>700</w:t>
                  </w:r>
                  <w:r>
                    <w:rPr>
                      <w:rFonts w:hint="eastAsia" w:ascii="宋体" w:hAnsi="宋体"/>
                      <w:color w:val="auto"/>
                      <w:kern w:val="2"/>
                      <w:sz w:val="21"/>
                      <w:szCs w:val="21"/>
                    </w:rPr>
                    <w:t>m</w:t>
                  </w:r>
                  <w:r>
                    <w:rPr>
                      <w:rFonts w:hint="eastAsia" w:ascii="宋体" w:hAnsi="宋体"/>
                      <w:color w:val="auto"/>
                      <w:kern w:val="2"/>
                      <w:sz w:val="21"/>
                      <w:szCs w:val="21"/>
                      <w:vertAlign w:val="superscript"/>
                    </w:rPr>
                    <w:t>2</w:t>
                  </w:r>
                  <w:r>
                    <w:rPr>
                      <w:rFonts w:hint="eastAsia" w:ascii="宋体" w:hAnsi="宋体"/>
                      <w:color w:val="auto"/>
                      <w:kern w:val="2"/>
                      <w:sz w:val="21"/>
                      <w:szCs w:val="21"/>
                      <w:vertAlign w:val="baseline"/>
                      <w:lang w:eastAsia="zh-CN"/>
                    </w:rPr>
                    <w:t>，</w:t>
                  </w:r>
                  <w:r>
                    <w:rPr>
                      <w:rFonts w:hint="eastAsia" w:ascii="宋体" w:hAnsi="宋体"/>
                      <w:color w:val="auto"/>
                      <w:kern w:val="2"/>
                      <w:sz w:val="21"/>
                      <w:szCs w:val="21"/>
                    </w:rPr>
                    <w:t>主要设备有破碎机</w:t>
                  </w:r>
                  <w:r>
                    <w:rPr>
                      <w:rFonts w:hint="eastAsia" w:ascii="宋体" w:hAnsi="宋体"/>
                      <w:color w:val="auto"/>
                      <w:kern w:val="2"/>
                      <w:sz w:val="21"/>
                      <w:szCs w:val="21"/>
                      <w:lang w:eastAsia="zh-CN"/>
                    </w:rPr>
                    <w:t>、</w:t>
                  </w:r>
                  <w:r>
                    <w:rPr>
                      <w:rFonts w:hint="eastAsia" w:ascii="宋体" w:hAnsi="宋体"/>
                      <w:color w:val="auto"/>
                      <w:kern w:val="2"/>
                      <w:sz w:val="21"/>
                      <w:szCs w:val="21"/>
                    </w:rPr>
                    <w:t>供料机</w:t>
                  </w:r>
                  <w:r>
                    <w:rPr>
                      <w:rFonts w:hint="eastAsia" w:ascii="宋体" w:hAnsi="宋体"/>
                      <w:color w:val="auto"/>
                      <w:kern w:val="2"/>
                      <w:sz w:val="21"/>
                      <w:szCs w:val="21"/>
                      <w:lang w:eastAsia="zh-CN"/>
                    </w:rPr>
                    <w:t>、</w:t>
                  </w:r>
                  <w:r>
                    <w:rPr>
                      <w:rFonts w:hint="eastAsia" w:ascii="宋体" w:hAnsi="宋体"/>
                      <w:color w:val="auto"/>
                      <w:kern w:val="2"/>
                      <w:sz w:val="21"/>
                      <w:szCs w:val="21"/>
                    </w:rPr>
                    <w:t>供料箱</w:t>
                  </w:r>
                  <w:r>
                    <w:rPr>
                      <w:rFonts w:hint="eastAsia" w:ascii="宋体" w:hAnsi="宋体"/>
                      <w:color w:val="auto"/>
                      <w:kern w:val="2"/>
                      <w:sz w:val="21"/>
                      <w:szCs w:val="21"/>
                      <w:lang w:eastAsia="zh-CN"/>
                    </w:rPr>
                    <w:t>、</w:t>
                  </w:r>
                  <w:r>
                    <w:rPr>
                      <w:rFonts w:hint="eastAsia" w:ascii="宋体" w:hAnsi="宋体"/>
                      <w:color w:val="auto"/>
                      <w:kern w:val="2"/>
                      <w:sz w:val="21"/>
                      <w:szCs w:val="21"/>
                    </w:rPr>
                    <w:t>筛分机</w:t>
                  </w:r>
                </w:p>
              </w:tc>
              <w:tc>
                <w:tcPr>
                  <w:tcW w:w="1693" w:type="dxa"/>
                  <w:noWrap w:val="0"/>
                  <w:vAlign w:val="center"/>
                </w:tcPr>
                <w:p w14:paraId="25029616">
                  <w:pPr>
                    <w:widowControl w:val="0"/>
                    <w:spacing w:after="120"/>
                    <w:ind w:left="36" w:leftChars="17"/>
                    <w:jc w:val="center"/>
                    <w:rPr>
                      <w:rFonts w:hint="eastAsia" w:ascii="宋体" w:hAnsi="宋体" w:eastAsia="宋体" w:cs="Times New Roman"/>
                      <w:color w:val="auto"/>
                      <w:kern w:val="2"/>
                      <w:sz w:val="21"/>
                      <w:szCs w:val="21"/>
                      <w:lang w:val="en-US" w:eastAsia="zh-CN"/>
                    </w:rPr>
                  </w:pPr>
                  <w:r>
                    <w:rPr>
                      <w:rFonts w:hint="eastAsia" w:ascii="宋体" w:hAnsi="宋体"/>
                      <w:color w:val="auto"/>
                      <w:kern w:val="2"/>
                      <w:sz w:val="21"/>
                      <w:szCs w:val="21"/>
                      <w:lang w:eastAsia="zh-CN"/>
                    </w:rPr>
                    <w:t>新增一台</w:t>
                  </w:r>
                  <w:r>
                    <w:rPr>
                      <w:rFonts w:hint="eastAsia" w:ascii="宋体" w:hAnsi="宋体"/>
                      <w:color w:val="auto"/>
                      <w:kern w:val="2"/>
                      <w:sz w:val="21"/>
                      <w:szCs w:val="21"/>
                    </w:rPr>
                    <w:t>破碎机</w:t>
                  </w:r>
                  <w:r>
                    <w:rPr>
                      <w:rFonts w:hint="eastAsia" w:ascii="宋体" w:hAnsi="宋体"/>
                      <w:color w:val="auto"/>
                      <w:kern w:val="2"/>
                      <w:sz w:val="21"/>
                      <w:szCs w:val="21"/>
                      <w:lang w:eastAsia="zh-CN"/>
                    </w:rPr>
                    <w:t>及一台</w:t>
                  </w:r>
                  <w:r>
                    <w:rPr>
                      <w:rFonts w:hint="eastAsia" w:ascii="宋体" w:hAnsi="宋体"/>
                      <w:color w:val="auto"/>
                      <w:kern w:val="2"/>
                      <w:sz w:val="21"/>
                      <w:szCs w:val="21"/>
                    </w:rPr>
                    <w:t>筛分机</w:t>
                  </w:r>
                </w:p>
              </w:tc>
              <w:tc>
                <w:tcPr>
                  <w:tcW w:w="1590" w:type="dxa"/>
                  <w:noWrap w:val="0"/>
                  <w:vAlign w:val="center"/>
                </w:tcPr>
                <w:p w14:paraId="2158954A">
                  <w:pPr>
                    <w:widowControl w:val="0"/>
                    <w:spacing w:after="120"/>
                    <w:ind w:left="36" w:leftChars="17"/>
                    <w:jc w:val="center"/>
                    <w:rPr>
                      <w:rFonts w:hint="eastAsia" w:ascii="宋体" w:hAnsi="宋体" w:eastAsia="宋体" w:cs="Times New Roman"/>
                      <w:color w:val="auto"/>
                      <w:kern w:val="2"/>
                      <w:sz w:val="21"/>
                      <w:szCs w:val="21"/>
                      <w:lang w:eastAsia="zh-CN"/>
                    </w:rPr>
                  </w:pPr>
                  <w:r>
                    <w:rPr>
                      <w:rFonts w:hint="eastAsia" w:ascii="宋体" w:hAnsi="宋体"/>
                      <w:color w:val="auto"/>
                      <w:kern w:val="2"/>
                      <w:sz w:val="21"/>
                      <w:szCs w:val="21"/>
                      <w:lang w:eastAsia="zh-CN"/>
                    </w:rPr>
                    <w:t>占地面积约</w:t>
                  </w:r>
                  <w:r>
                    <w:rPr>
                      <w:rFonts w:hint="eastAsia" w:ascii="宋体" w:hAnsi="宋体"/>
                      <w:color w:val="auto"/>
                      <w:kern w:val="2"/>
                      <w:sz w:val="21"/>
                      <w:szCs w:val="21"/>
                      <w:lang w:val="en-US" w:eastAsia="zh-CN"/>
                    </w:rPr>
                    <w:t>700</w:t>
                  </w:r>
                  <w:r>
                    <w:rPr>
                      <w:rFonts w:hint="eastAsia" w:ascii="宋体" w:hAnsi="宋体"/>
                      <w:color w:val="auto"/>
                      <w:kern w:val="2"/>
                      <w:sz w:val="21"/>
                      <w:szCs w:val="21"/>
                    </w:rPr>
                    <w:t>m</w:t>
                  </w:r>
                  <w:r>
                    <w:rPr>
                      <w:rFonts w:hint="eastAsia" w:ascii="宋体" w:hAnsi="宋体"/>
                      <w:color w:val="auto"/>
                      <w:kern w:val="2"/>
                      <w:sz w:val="21"/>
                      <w:szCs w:val="21"/>
                      <w:vertAlign w:val="superscript"/>
                    </w:rPr>
                    <w:t>2</w:t>
                  </w:r>
                  <w:r>
                    <w:rPr>
                      <w:rFonts w:hint="eastAsia" w:ascii="宋体" w:hAnsi="宋体"/>
                      <w:color w:val="auto"/>
                      <w:kern w:val="2"/>
                      <w:sz w:val="21"/>
                      <w:szCs w:val="21"/>
                      <w:vertAlign w:val="baseline"/>
                      <w:lang w:eastAsia="zh-CN"/>
                    </w:rPr>
                    <w:t>，</w:t>
                  </w:r>
                  <w:r>
                    <w:rPr>
                      <w:rFonts w:hint="eastAsia" w:ascii="宋体" w:hAnsi="宋体"/>
                      <w:color w:val="auto"/>
                      <w:kern w:val="2"/>
                      <w:sz w:val="21"/>
                      <w:szCs w:val="21"/>
                    </w:rPr>
                    <w:t>主要设备有破碎机</w:t>
                  </w:r>
                  <w:r>
                    <w:rPr>
                      <w:rFonts w:hint="eastAsia" w:ascii="宋体" w:hAnsi="宋体"/>
                      <w:color w:val="auto"/>
                      <w:kern w:val="2"/>
                      <w:sz w:val="21"/>
                      <w:szCs w:val="21"/>
                      <w:lang w:eastAsia="zh-CN"/>
                    </w:rPr>
                    <w:t>、</w:t>
                  </w:r>
                  <w:r>
                    <w:rPr>
                      <w:rFonts w:hint="eastAsia" w:ascii="宋体" w:hAnsi="宋体"/>
                      <w:color w:val="auto"/>
                      <w:kern w:val="2"/>
                      <w:sz w:val="21"/>
                      <w:szCs w:val="21"/>
                    </w:rPr>
                    <w:t>供料机</w:t>
                  </w:r>
                  <w:r>
                    <w:rPr>
                      <w:rFonts w:hint="eastAsia" w:ascii="宋体" w:hAnsi="宋体"/>
                      <w:color w:val="auto"/>
                      <w:kern w:val="2"/>
                      <w:sz w:val="21"/>
                      <w:szCs w:val="21"/>
                      <w:lang w:eastAsia="zh-CN"/>
                    </w:rPr>
                    <w:t>、</w:t>
                  </w:r>
                  <w:r>
                    <w:rPr>
                      <w:rFonts w:hint="eastAsia" w:ascii="宋体" w:hAnsi="宋体"/>
                      <w:color w:val="auto"/>
                      <w:kern w:val="2"/>
                      <w:sz w:val="21"/>
                      <w:szCs w:val="21"/>
                    </w:rPr>
                    <w:t>供料箱</w:t>
                  </w:r>
                  <w:r>
                    <w:rPr>
                      <w:rFonts w:hint="eastAsia" w:ascii="宋体" w:hAnsi="宋体"/>
                      <w:color w:val="auto"/>
                      <w:kern w:val="2"/>
                      <w:sz w:val="21"/>
                      <w:szCs w:val="21"/>
                      <w:lang w:eastAsia="zh-CN"/>
                    </w:rPr>
                    <w:t>、</w:t>
                  </w:r>
                  <w:r>
                    <w:rPr>
                      <w:rFonts w:hint="eastAsia" w:ascii="宋体" w:hAnsi="宋体"/>
                      <w:color w:val="auto"/>
                      <w:kern w:val="2"/>
                      <w:sz w:val="21"/>
                      <w:szCs w:val="21"/>
                    </w:rPr>
                    <w:t>筛分机</w:t>
                  </w:r>
                </w:p>
              </w:tc>
              <w:tc>
                <w:tcPr>
                  <w:tcW w:w="921" w:type="dxa"/>
                  <w:noWrap w:val="0"/>
                  <w:vAlign w:val="center"/>
                </w:tcPr>
                <w:p w14:paraId="4A789F79">
                  <w:pPr>
                    <w:widowControl w:val="0"/>
                    <w:jc w:val="center"/>
                    <w:rPr>
                      <w:rFonts w:hint="eastAsia" w:ascii="宋体" w:hAnsi="宋体"/>
                      <w:color w:val="auto"/>
                      <w:kern w:val="2"/>
                      <w:sz w:val="21"/>
                      <w:szCs w:val="21"/>
                      <w:lang w:eastAsia="zh-CN"/>
                    </w:rPr>
                  </w:pPr>
                  <w:r>
                    <w:rPr>
                      <w:rFonts w:hint="eastAsia" w:ascii="宋体" w:hAnsi="宋体"/>
                      <w:color w:val="auto"/>
                      <w:kern w:val="2"/>
                      <w:sz w:val="21"/>
                      <w:szCs w:val="21"/>
                      <w:lang w:val="en-US" w:eastAsia="zh-CN"/>
                    </w:rPr>
                    <w:t>依托</w:t>
                  </w:r>
                  <w:r>
                    <w:rPr>
                      <w:rFonts w:hint="eastAsia" w:ascii="宋体" w:hAnsi="宋体"/>
                      <w:color w:val="auto"/>
                      <w:kern w:val="2"/>
                      <w:sz w:val="21"/>
                      <w:szCs w:val="21"/>
                      <w:lang w:val="en-US" w:eastAsia="zh-CN"/>
                    </w:rPr>
                    <w:br w:type="textWrapping"/>
                  </w:r>
                  <w:r>
                    <w:rPr>
                      <w:rFonts w:hint="eastAsia" w:ascii="宋体" w:hAnsi="宋体"/>
                      <w:color w:val="auto"/>
                      <w:kern w:val="2"/>
                      <w:sz w:val="21"/>
                      <w:szCs w:val="21"/>
                      <w:lang w:val="en-US" w:eastAsia="zh-CN"/>
                    </w:rPr>
                    <w:t>现有</w:t>
                  </w:r>
                </w:p>
              </w:tc>
            </w:tr>
            <w:tr w14:paraId="1077FC88">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942" w:hRule="atLeast"/>
              </w:trPr>
              <w:tc>
                <w:tcPr>
                  <w:tcW w:w="774" w:type="dxa"/>
                  <w:vMerge w:val="continue"/>
                  <w:noWrap w:val="0"/>
                  <w:vAlign w:val="center"/>
                </w:tcPr>
                <w:p w14:paraId="3E750C41">
                  <w:pPr>
                    <w:widowControl w:val="0"/>
                    <w:ind w:left="105" w:leftChars="50"/>
                    <w:jc w:val="center"/>
                    <w:rPr>
                      <w:rFonts w:hint="eastAsia" w:ascii="宋体" w:hAnsi="宋体"/>
                      <w:color w:val="auto"/>
                      <w:kern w:val="2"/>
                      <w:sz w:val="21"/>
                      <w:szCs w:val="21"/>
                    </w:rPr>
                  </w:pPr>
                </w:p>
              </w:tc>
              <w:tc>
                <w:tcPr>
                  <w:tcW w:w="842" w:type="dxa"/>
                  <w:noWrap w:val="0"/>
                  <w:vAlign w:val="center"/>
                </w:tcPr>
                <w:p w14:paraId="29C7B558">
                  <w:pPr>
                    <w:keepNext w:val="0"/>
                    <w:keepLines w:val="0"/>
                    <w:pageBreakBefore w:val="0"/>
                    <w:widowControl w:val="0"/>
                    <w:kinsoku/>
                    <w:wordWrap/>
                    <w:overflowPunct/>
                    <w:topLinePunct w:val="0"/>
                    <w:autoSpaceDE/>
                    <w:autoSpaceDN/>
                    <w:bidi w:val="0"/>
                    <w:adjustRightInd/>
                    <w:snapToGrid w:val="0"/>
                    <w:ind w:left="0" w:firstLine="0" w:firstLineChars="0"/>
                    <w:jc w:val="center"/>
                    <w:textAlignment w:val="auto"/>
                    <w:rPr>
                      <w:rFonts w:hint="eastAsia" w:ascii="宋体" w:hAnsi="宋体" w:eastAsia="宋体"/>
                      <w:color w:val="auto"/>
                      <w:kern w:val="10"/>
                      <w:sz w:val="21"/>
                      <w:szCs w:val="21"/>
                      <w:lang w:eastAsia="zh-CN"/>
                    </w:rPr>
                  </w:pPr>
                  <w:r>
                    <w:rPr>
                      <w:rFonts w:hint="eastAsia" w:ascii="宋体" w:hAnsi="宋体"/>
                      <w:color w:val="auto"/>
                      <w:kern w:val="2"/>
                      <w:sz w:val="21"/>
                      <w:szCs w:val="21"/>
                    </w:rPr>
                    <w:t>陈化</w:t>
                  </w:r>
                  <w:r>
                    <w:rPr>
                      <w:rFonts w:hint="eastAsia" w:ascii="宋体" w:hAnsi="宋体"/>
                      <w:color w:val="auto"/>
                      <w:kern w:val="2"/>
                      <w:sz w:val="21"/>
                      <w:szCs w:val="21"/>
                      <w:lang w:eastAsia="zh-CN"/>
                    </w:rPr>
                    <w:t>库</w:t>
                  </w:r>
                </w:p>
              </w:tc>
              <w:tc>
                <w:tcPr>
                  <w:tcW w:w="2558" w:type="dxa"/>
                  <w:noWrap w:val="0"/>
                  <w:vAlign w:val="center"/>
                </w:tcPr>
                <w:p w14:paraId="38E986E6">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color w:val="auto"/>
                      <w:kern w:val="2"/>
                      <w:sz w:val="21"/>
                      <w:szCs w:val="21"/>
                    </w:rPr>
                  </w:pPr>
                  <w:r>
                    <w:rPr>
                      <w:rFonts w:hint="eastAsia" w:ascii="宋体" w:hAnsi="宋体"/>
                      <w:color w:val="auto"/>
                      <w:kern w:val="2"/>
                      <w:sz w:val="21"/>
                      <w:szCs w:val="21"/>
                    </w:rPr>
                    <w:t>位于生产车间南侧，</w:t>
                  </w:r>
                  <w:r>
                    <w:rPr>
                      <w:rFonts w:hint="eastAsia" w:ascii="宋体" w:hAnsi="宋体"/>
                      <w:color w:val="auto"/>
                      <w:kern w:val="2"/>
                      <w:sz w:val="21"/>
                      <w:szCs w:val="21"/>
                      <w:lang w:eastAsia="zh-CN"/>
                    </w:rPr>
                    <w:t>用于原料陈化，占地</w:t>
                  </w:r>
                  <w:r>
                    <w:rPr>
                      <w:rFonts w:hint="eastAsia" w:ascii="宋体" w:hAnsi="宋体"/>
                      <w:color w:val="auto"/>
                      <w:kern w:val="2"/>
                      <w:sz w:val="21"/>
                      <w:szCs w:val="21"/>
                    </w:rPr>
                    <w:t>面积</w:t>
                  </w:r>
                  <w:r>
                    <w:rPr>
                      <w:rFonts w:hint="eastAsia" w:ascii="宋体" w:hAnsi="宋体"/>
                      <w:color w:val="auto"/>
                      <w:kern w:val="2"/>
                      <w:sz w:val="21"/>
                      <w:szCs w:val="21"/>
                      <w:lang w:eastAsia="zh-CN"/>
                    </w:rPr>
                    <w:t>约</w:t>
                  </w:r>
                  <w:r>
                    <w:rPr>
                      <w:rFonts w:hint="eastAsia" w:ascii="宋体" w:hAnsi="宋体"/>
                      <w:color w:val="auto"/>
                      <w:kern w:val="2"/>
                      <w:sz w:val="21"/>
                      <w:szCs w:val="21"/>
                      <w:lang w:val="en-US" w:eastAsia="zh-CN"/>
                    </w:rPr>
                    <w:t>15</w:t>
                  </w:r>
                  <w:r>
                    <w:rPr>
                      <w:rFonts w:hint="eastAsia" w:ascii="宋体" w:hAnsi="宋体"/>
                      <w:color w:val="auto"/>
                      <w:kern w:val="2"/>
                      <w:sz w:val="21"/>
                      <w:szCs w:val="21"/>
                    </w:rPr>
                    <w:t>00m</w:t>
                  </w:r>
                  <w:r>
                    <w:rPr>
                      <w:rFonts w:hint="eastAsia" w:ascii="宋体" w:hAnsi="宋体"/>
                      <w:color w:val="auto"/>
                      <w:kern w:val="2"/>
                      <w:sz w:val="21"/>
                      <w:szCs w:val="21"/>
                      <w:vertAlign w:val="superscript"/>
                    </w:rPr>
                    <w:t>2</w:t>
                  </w:r>
                </w:p>
              </w:tc>
              <w:tc>
                <w:tcPr>
                  <w:tcW w:w="1693" w:type="dxa"/>
                  <w:noWrap w:val="0"/>
                  <w:vAlign w:val="center"/>
                </w:tcPr>
                <w:p w14:paraId="77757DB0">
                  <w:pPr>
                    <w:widowControl w:val="0"/>
                    <w:spacing w:after="120"/>
                    <w:ind w:left="86" w:leftChars="41"/>
                    <w:jc w:val="center"/>
                    <w:rPr>
                      <w:rFonts w:hint="eastAsia" w:ascii="宋体" w:hAnsi="宋体" w:eastAsia="宋体" w:cs="Times New Roman"/>
                      <w:color w:val="auto"/>
                      <w:kern w:val="2"/>
                      <w:sz w:val="21"/>
                      <w:szCs w:val="21"/>
                    </w:rPr>
                  </w:pPr>
                  <w:r>
                    <w:rPr>
                      <w:rFonts w:hint="eastAsia" w:ascii="宋体" w:hAnsi="宋体"/>
                      <w:color w:val="auto"/>
                      <w:kern w:val="2"/>
                      <w:sz w:val="21"/>
                      <w:szCs w:val="21"/>
                      <w:lang w:val="en-US" w:eastAsia="zh-CN"/>
                    </w:rPr>
                    <w:t>/</w:t>
                  </w:r>
                </w:p>
              </w:tc>
              <w:tc>
                <w:tcPr>
                  <w:tcW w:w="1590" w:type="dxa"/>
                  <w:noWrap w:val="0"/>
                  <w:vAlign w:val="center"/>
                </w:tcPr>
                <w:p w14:paraId="3B7C5D87">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Times New Roman"/>
                      <w:color w:val="auto"/>
                      <w:kern w:val="2"/>
                      <w:sz w:val="21"/>
                      <w:szCs w:val="21"/>
                      <w:lang w:eastAsia="zh-CN"/>
                    </w:rPr>
                  </w:pPr>
                  <w:r>
                    <w:rPr>
                      <w:rFonts w:hint="eastAsia" w:ascii="宋体" w:hAnsi="宋体"/>
                      <w:color w:val="auto"/>
                      <w:kern w:val="2"/>
                      <w:sz w:val="21"/>
                      <w:szCs w:val="21"/>
                    </w:rPr>
                    <w:t>位于生产车间南侧，</w:t>
                  </w:r>
                  <w:r>
                    <w:rPr>
                      <w:rFonts w:hint="eastAsia" w:ascii="宋体" w:hAnsi="宋体"/>
                      <w:color w:val="auto"/>
                      <w:kern w:val="2"/>
                      <w:sz w:val="21"/>
                      <w:szCs w:val="21"/>
                      <w:lang w:eastAsia="zh-CN"/>
                    </w:rPr>
                    <w:t>用于原料陈化，占地</w:t>
                  </w:r>
                  <w:r>
                    <w:rPr>
                      <w:rFonts w:hint="eastAsia" w:ascii="宋体" w:hAnsi="宋体"/>
                      <w:color w:val="auto"/>
                      <w:kern w:val="2"/>
                      <w:sz w:val="21"/>
                      <w:szCs w:val="21"/>
                    </w:rPr>
                    <w:t>面积</w:t>
                  </w:r>
                  <w:r>
                    <w:rPr>
                      <w:rFonts w:hint="eastAsia" w:ascii="宋体" w:hAnsi="宋体"/>
                      <w:color w:val="auto"/>
                      <w:kern w:val="2"/>
                      <w:sz w:val="21"/>
                      <w:szCs w:val="21"/>
                      <w:lang w:eastAsia="zh-CN"/>
                    </w:rPr>
                    <w:t>约</w:t>
                  </w:r>
                  <w:r>
                    <w:rPr>
                      <w:rFonts w:hint="eastAsia" w:ascii="宋体" w:hAnsi="宋体"/>
                      <w:color w:val="auto"/>
                      <w:kern w:val="2"/>
                      <w:sz w:val="21"/>
                      <w:szCs w:val="21"/>
                      <w:lang w:val="en-US" w:eastAsia="zh-CN"/>
                    </w:rPr>
                    <w:t>15</w:t>
                  </w:r>
                  <w:r>
                    <w:rPr>
                      <w:rFonts w:hint="eastAsia" w:ascii="宋体" w:hAnsi="宋体"/>
                      <w:color w:val="auto"/>
                      <w:kern w:val="2"/>
                      <w:sz w:val="21"/>
                      <w:szCs w:val="21"/>
                    </w:rPr>
                    <w:t>00m</w:t>
                  </w:r>
                  <w:r>
                    <w:rPr>
                      <w:rFonts w:hint="eastAsia" w:ascii="宋体" w:hAnsi="宋体"/>
                      <w:color w:val="auto"/>
                      <w:kern w:val="2"/>
                      <w:sz w:val="21"/>
                      <w:szCs w:val="21"/>
                      <w:vertAlign w:val="superscript"/>
                    </w:rPr>
                    <w:t>2</w:t>
                  </w:r>
                </w:p>
              </w:tc>
              <w:tc>
                <w:tcPr>
                  <w:tcW w:w="921" w:type="dxa"/>
                  <w:noWrap w:val="0"/>
                  <w:vAlign w:val="center"/>
                </w:tcPr>
                <w:p w14:paraId="7F203D35">
                  <w:pPr>
                    <w:jc w:val="center"/>
                    <w:rPr>
                      <w:rFonts w:hint="eastAsia" w:ascii="宋体" w:hAnsi="宋体"/>
                      <w:color w:val="auto"/>
                      <w:kern w:val="2"/>
                      <w:sz w:val="21"/>
                      <w:szCs w:val="21"/>
                      <w:lang w:eastAsia="zh-CN"/>
                    </w:rPr>
                  </w:pPr>
                  <w:r>
                    <w:rPr>
                      <w:rFonts w:hint="eastAsia" w:ascii="宋体" w:hAnsi="宋体"/>
                      <w:color w:val="auto"/>
                      <w:kern w:val="2"/>
                      <w:sz w:val="21"/>
                      <w:szCs w:val="21"/>
                      <w:lang w:val="en-US" w:eastAsia="zh-CN"/>
                    </w:rPr>
                    <w:t>依托</w:t>
                  </w:r>
                  <w:r>
                    <w:rPr>
                      <w:rFonts w:hint="eastAsia" w:ascii="宋体" w:hAnsi="宋体"/>
                      <w:color w:val="auto"/>
                      <w:kern w:val="2"/>
                      <w:sz w:val="21"/>
                      <w:szCs w:val="21"/>
                      <w:lang w:val="en-US" w:eastAsia="zh-CN"/>
                    </w:rPr>
                    <w:br w:type="textWrapping"/>
                  </w:r>
                  <w:r>
                    <w:rPr>
                      <w:rFonts w:hint="eastAsia" w:ascii="宋体" w:hAnsi="宋体"/>
                      <w:color w:val="auto"/>
                      <w:kern w:val="2"/>
                      <w:sz w:val="21"/>
                      <w:szCs w:val="21"/>
                      <w:lang w:val="en-US" w:eastAsia="zh-CN"/>
                    </w:rPr>
                    <w:t>现有</w:t>
                  </w:r>
                </w:p>
              </w:tc>
            </w:tr>
            <w:tr w14:paraId="2BC19B9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32" w:hRule="atLeast"/>
              </w:trPr>
              <w:tc>
                <w:tcPr>
                  <w:tcW w:w="774" w:type="dxa"/>
                  <w:vMerge w:val="continue"/>
                  <w:noWrap w:val="0"/>
                  <w:vAlign w:val="center"/>
                </w:tcPr>
                <w:p w14:paraId="4B315F65">
                  <w:pPr>
                    <w:widowControl w:val="0"/>
                    <w:ind w:left="105" w:leftChars="50"/>
                    <w:jc w:val="center"/>
                    <w:rPr>
                      <w:rFonts w:hint="eastAsia" w:ascii="宋体" w:hAnsi="宋体"/>
                      <w:color w:val="auto"/>
                      <w:kern w:val="2"/>
                      <w:sz w:val="21"/>
                      <w:szCs w:val="21"/>
                    </w:rPr>
                  </w:pPr>
                </w:p>
              </w:tc>
              <w:tc>
                <w:tcPr>
                  <w:tcW w:w="842" w:type="dxa"/>
                  <w:noWrap w:val="0"/>
                  <w:vAlign w:val="center"/>
                </w:tcPr>
                <w:p w14:paraId="1785F6D5">
                  <w:pPr>
                    <w:keepNext w:val="0"/>
                    <w:keepLines w:val="0"/>
                    <w:pageBreakBefore w:val="0"/>
                    <w:widowControl w:val="0"/>
                    <w:kinsoku/>
                    <w:wordWrap/>
                    <w:overflowPunct/>
                    <w:topLinePunct w:val="0"/>
                    <w:autoSpaceDE/>
                    <w:autoSpaceDN/>
                    <w:bidi w:val="0"/>
                    <w:adjustRightInd/>
                    <w:snapToGrid w:val="0"/>
                    <w:ind w:left="0" w:firstLine="0" w:firstLineChars="0"/>
                    <w:jc w:val="center"/>
                    <w:textAlignment w:val="auto"/>
                    <w:rPr>
                      <w:rFonts w:hint="eastAsia" w:ascii="宋体" w:hAnsi="宋体" w:eastAsia="宋体"/>
                      <w:color w:val="auto"/>
                      <w:kern w:val="10"/>
                      <w:sz w:val="21"/>
                      <w:szCs w:val="21"/>
                      <w:lang w:eastAsia="zh-CN"/>
                    </w:rPr>
                  </w:pPr>
                  <w:r>
                    <w:rPr>
                      <w:rFonts w:hint="eastAsia" w:ascii="宋体" w:hAnsi="宋体"/>
                      <w:color w:val="auto"/>
                      <w:kern w:val="10"/>
                      <w:sz w:val="21"/>
                      <w:szCs w:val="21"/>
                      <w:lang w:val="en-US" w:eastAsia="zh-CN"/>
                    </w:rPr>
                    <w:t>1#</w:t>
                  </w:r>
                  <w:r>
                    <w:rPr>
                      <w:rFonts w:hint="eastAsia" w:ascii="宋体" w:hAnsi="宋体"/>
                      <w:color w:val="auto"/>
                      <w:kern w:val="10"/>
                      <w:sz w:val="21"/>
                      <w:szCs w:val="21"/>
                      <w:lang w:eastAsia="zh-CN"/>
                    </w:rPr>
                    <w:t>晾坯道</w:t>
                  </w:r>
                </w:p>
              </w:tc>
              <w:tc>
                <w:tcPr>
                  <w:tcW w:w="2558" w:type="dxa"/>
                  <w:noWrap w:val="0"/>
                  <w:vAlign w:val="center"/>
                </w:tcPr>
                <w:p w14:paraId="691C2B4E">
                  <w:pPr>
                    <w:widowControl w:val="0"/>
                    <w:jc w:val="center"/>
                    <w:rPr>
                      <w:rFonts w:hint="eastAsia" w:ascii="宋体" w:hAnsi="宋体"/>
                      <w:color w:val="auto"/>
                      <w:kern w:val="2"/>
                      <w:sz w:val="21"/>
                      <w:szCs w:val="21"/>
                    </w:rPr>
                  </w:pPr>
                  <w:r>
                    <w:rPr>
                      <w:rFonts w:hint="eastAsia" w:ascii="宋体" w:hAnsi="宋体"/>
                      <w:color w:val="auto"/>
                      <w:kern w:val="2"/>
                      <w:sz w:val="21"/>
                      <w:szCs w:val="21"/>
                    </w:rPr>
                    <w:t>位于陈化</w:t>
                  </w:r>
                  <w:r>
                    <w:rPr>
                      <w:rFonts w:hint="eastAsia" w:ascii="宋体" w:hAnsi="宋体"/>
                      <w:color w:val="auto"/>
                      <w:kern w:val="2"/>
                      <w:sz w:val="21"/>
                      <w:szCs w:val="21"/>
                      <w:lang w:eastAsia="zh-CN"/>
                    </w:rPr>
                    <w:t>库东</w:t>
                  </w:r>
                  <w:r>
                    <w:rPr>
                      <w:rFonts w:hint="eastAsia" w:ascii="宋体" w:hAnsi="宋体"/>
                      <w:color w:val="auto"/>
                      <w:kern w:val="2"/>
                      <w:sz w:val="21"/>
                      <w:szCs w:val="21"/>
                    </w:rPr>
                    <w:t>侧，</w:t>
                  </w:r>
                  <w:r>
                    <w:rPr>
                      <w:rFonts w:hint="eastAsia" w:ascii="宋体" w:hAnsi="宋体"/>
                      <w:color w:val="auto"/>
                      <w:kern w:val="2"/>
                      <w:sz w:val="21"/>
                      <w:szCs w:val="21"/>
                      <w:lang w:eastAsia="zh-CN"/>
                    </w:rPr>
                    <w:t>用于砖坯的晾干，占地</w:t>
                  </w:r>
                  <w:r>
                    <w:rPr>
                      <w:rFonts w:hint="eastAsia" w:ascii="宋体" w:hAnsi="宋体"/>
                      <w:color w:val="auto"/>
                      <w:kern w:val="2"/>
                      <w:sz w:val="21"/>
                      <w:szCs w:val="21"/>
                    </w:rPr>
                    <w:t>面积</w:t>
                  </w:r>
                  <w:r>
                    <w:rPr>
                      <w:rFonts w:hint="eastAsia" w:ascii="宋体" w:hAnsi="宋体"/>
                      <w:color w:val="auto"/>
                      <w:kern w:val="2"/>
                      <w:sz w:val="21"/>
                      <w:szCs w:val="21"/>
                      <w:lang w:eastAsia="zh-CN"/>
                    </w:rPr>
                    <w:t>约</w:t>
                  </w:r>
                  <w:r>
                    <w:rPr>
                      <w:rFonts w:hint="eastAsia" w:ascii="宋体" w:hAnsi="宋体"/>
                      <w:color w:val="auto"/>
                      <w:kern w:val="2"/>
                      <w:sz w:val="21"/>
                      <w:szCs w:val="21"/>
                      <w:lang w:eastAsia="zh-CN"/>
                    </w:rPr>
                    <w:br w:type="textWrapping"/>
                  </w:r>
                  <w:r>
                    <w:rPr>
                      <w:rFonts w:hint="eastAsia" w:ascii="宋体" w:hAnsi="宋体"/>
                      <w:color w:val="auto"/>
                      <w:kern w:val="2"/>
                      <w:sz w:val="21"/>
                      <w:szCs w:val="21"/>
                      <w:lang w:val="en-US" w:eastAsia="zh-CN"/>
                    </w:rPr>
                    <w:t>75</w:t>
                  </w:r>
                  <w:r>
                    <w:rPr>
                      <w:rFonts w:hint="eastAsia" w:ascii="宋体" w:hAnsi="宋体"/>
                      <w:color w:val="auto"/>
                      <w:kern w:val="2"/>
                      <w:sz w:val="21"/>
                      <w:szCs w:val="21"/>
                    </w:rPr>
                    <w:t>0 m</w:t>
                  </w:r>
                  <w:r>
                    <w:rPr>
                      <w:rFonts w:hint="eastAsia" w:ascii="宋体" w:hAnsi="宋体"/>
                      <w:color w:val="auto"/>
                      <w:kern w:val="2"/>
                      <w:sz w:val="21"/>
                      <w:szCs w:val="21"/>
                      <w:vertAlign w:val="superscript"/>
                    </w:rPr>
                    <w:t>2</w:t>
                  </w:r>
                </w:p>
              </w:tc>
              <w:tc>
                <w:tcPr>
                  <w:tcW w:w="1693" w:type="dxa"/>
                  <w:noWrap w:val="0"/>
                  <w:vAlign w:val="center"/>
                </w:tcPr>
                <w:p w14:paraId="75EE0D70">
                  <w:pPr>
                    <w:widowControl w:val="0"/>
                    <w:spacing w:after="120"/>
                    <w:ind w:left="36" w:leftChars="17"/>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lang w:val="en-US" w:eastAsia="zh-CN"/>
                    </w:rPr>
                    <w:t>/</w:t>
                  </w:r>
                </w:p>
              </w:tc>
              <w:tc>
                <w:tcPr>
                  <w:tcW w:w="1590" w:type="dxa"/>
                  <w:noWrap w:val="0"/>
                  <w:vAlign w:val="center"/>
                </w:tcPr>
                <w:p w14:paraId="054F6E92">
                  <w:pPr>
                    <w:widowControl w:val="0"/>
                    <w:jc w:val="center"/>
                    <w:rPr>
                      <w:rFonts w:hint="eastAsia" w:ascii="宋体" w:hAnsi="宋体" w:eastAsia="宋体" w:cs="Times New Roman"/>
                      <w:color w:val="auto"/>
                      <w:kern w:val="2"/>
                      <w:sz w:val="21"/>
                      <w:szCs w:val="21"/>
                      <w:lang w:eastAsia="zh-CN"/>
                    </w:rPr>
                  </w:pPr>
                  <w:r>
                    <w:rPr>
                      <w:rFonts w:hint="eastAsia" w:ascii="宋体" w:hAnsi="宋体"/>
                      <w:color w:val="auto"/>
                      <w:kern w:val="2"/>
                      <w:sz w:val="21"/>
                      <w:szCs w:val="21"/>
                    </w:rPr>
                    <w:t>位于陈化</w:t>
                  </w:r>
                  <w:r>
                    <w:rPr>
                      <w:rFonts w:hint="eastAsia" w:ascii="宋体" w:hAnsi="宋体"/>
                      <w:color w:val="auto"/>
                      <w:kern w:val="2"/>
                      <w:sz w:val="21"/>
                      <w:szCs w:val="21"/>
                      <w:lang w:eastAsia="zh-CN"/>
                    </w:rPr>
                    <w:t>库东</w:t>
                  </w:r>
                  <w:r>
                    <w:rPr>
                      <w:rFonts w:hint="eastAsia" w:ascii="宋体" w:hAnsi="宋体"/>
                      <w:color w:val="auto"/>
                      <w:kern w:val="2"/>
                      <w:sz w:val="21"/>
                      <w:szCs w:val="21"/>
                    </w:rPr>
                    <w:t>侧，</w:t>
                  </w:r>
                  <w:r>
                    <w:rPr>
                      <w:rFonts w:hint="eastAsia" w:ascii="宋体" w:hAnsi="宋体"/>
                      <w:color w:val="auto"/>
                      <w:kern w:val="2"/>
                      <w:sz w:val="21"/>
                      <w:szCs w:val="21"/>
                      <w:lang w:eastAsia="zh-CN"/>
                    </w:rPr>
                    <w:t>用于砖坯的晾干，占地</w:t>
                  </w:r>
                  <w:r>
                    <w:rPr>
                      <w:rFonts w:hint="eastAsia" w:ascii="宋体" w:hAnsi="宋体"/>
                      <w:color w:val="auto"/>
                      <w:kern w:val="2"/>
                      <w:sz w:val="21"/>
                      <w:szCs w:val="21"/>
                    </w:rPr>
                    <w:t>面积</w:t>
                  </w:r>
                  <w:r>
                    <w:rPr>
                      <w:rFonts w:hint="eastAsia" w:ascii="宋体" w:hAnsi="宋体"/>
                      <w:color w:val="auto"/>
                      <w:kern w:val="2"/>
                      <w:sz w:val="21"/>
                      <w:szCs w:val="21"/>
                      <w:lang w:eastAsia="zh-CN"/>
                    </w:rPr>
                    <w:t>约</w:t>
                  </w:r>
                  <w:r>
                    <w:rPr>
                      <w:rFonts w:hint="eastAsia" w:ascii="宋体" w:hAnsi="宋体"/>
                      <w:color w:val="auto"/>
                      <w:kern w:val="2"/>
                      <w:sz w:val="21"/>
                      <w:szCs w:val="21"/>
                      <w:lang w:val="en-US" w:eastAsia="zh-CN"/>
                    </w:rPr>
                    <w:t>75</w:t>
                  </w:r>
                  <w:r>
                    <w:rPr>
                      <w:rFonts w:hint="eastAsia" w:ascii="宋体" w:hAnsi="宋体"/>
                      <w:color w:val="auto"/>
                      <w:kern w:val="2"/>
                      <w:sz w:val="21"/>
                      <w:szCs w:val="21"/>
                    </w:rPr>
                    <w:t>0 m</w:t>
                  </w:r>
                  <w:r>
                    <w:rPr>
                      <w:rFonts w:hint="eastAsia" w:ascii="宋体" w:hAnsi="宋体"/>
                      <w:color w:val="auto"/>
                      <w:kern w:val="2"/>
                      <w:sz w:val="21"/>
                      <w:szCs w:val="21"/>
                      <w:vertAlign w:val="superscript"/>
                    </w:rPr>
                    <w:t>2</w:t>
                  </w:r>
                </w:p>
              </w:tc>
              <w:tc>
                <w:tcPr>
                  <w:tcW w:w="921" w:type="dxa"/>
                  <w:noWrap w:val="0"/>
                  <w:vAlign w:val="center"/>
                </w:tcPr>
                <w:p w14:paraId="4AA82349">
                  <w:pPr>
                    <w:widowControl w:val="0"/>
                    <w:jc w:val="center"/>
                    <w:rPr>
                      <w:rFonts w:hint="eastAsia" w:ascii="宋体" w:hAnsi="宋体"/>
                      <w:color w:val="auto"/>
                      <w:kern w:val="2"/>
                      <w:sz w:val="21"/>
                      <w:szCs w:val="21"/>
                      <w:lang w:eastAsia="zh-CN"/>
                    </w:rPr>
                  </w:pPr>
                  <w:r>
                    <w:rPr>
                      <w:rFonts w:hint="eastAsia" w:ascii="宋体" w:hAnsi="宋体"/>
                      <w:color w:val="auto"/>
                      <w:kern w:val="2"/>
                      <w:sz w:val="21"/>
                      <w:szCs w:val="21"/>
                      <w:lang w:val="en-US" w:eastAsia="zh-CN"/>
                    </w:rPr>
                    <w:t>依托</w:t>
                  </w:r>
                  <w:r>
                    <w:rPr>
                      <w:rFonts w:hint="eastAsia" w:ascii="宋体" w:hAnsi="宋体"/>
                      <w:color w:val="auto"/>
                      <w:kern w:val="2"/>
                      <w:sz w:val="21"/>
                      <w:szCs w:val="21"/>
                      <w:lang w:val="en-US" w:eastAsia="zh-CN"/>
                    </w:rPr>
                    <w:br w:type="textWrapping"/>
                  </w:r>
                  <w:r>
                    <w:rPr>
                      <w:rFonts w:hint="eastAsia" w:ascii="宋体" w:hAnsi="宋体"/>
                      <w:color w:val="auto"/>
                      <w:kern w:val="2"/>
                      <w:sz w:val="21"/>
                      <w:szCs w:val="21"/>
                      <w:lang w:val="en-US" w:eastAsia="zh-CN"/>
                    </w:rPr>
                    <w:t>现有</w:t>
                  </w:r>
                </w:p>
              </w:tc>
            </w:tr>
            <w:tr w14:paraId="38E15500">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32" w:hRule="atLeast"/>
              </w:trPr>
              <w:tc>
                <w:tcPr>
                  <w:tcW w:w="774" w:type="dxa"/>
                  <w:vMerge w:val="continue"/>
                  <w:noWrap w:val="0"/>
                  <w:vAlign w:val="center"/>
                </w:tcPr>
                <w:p w14:paraId="53669795">
                  <w:pPr>
                    <w:widowControl w:val="0"/>
                    <w:ind w:left="105" w:leftChars="50"/>
                    <w:jc w:val="center"/>
                    <w:rPr>
                      <w:rFonts w:hint="eastAsia" w:ascii="宋体" w:hAnsi="宋体"/>
                      <w:color w:val="auto"/>
                      <w:kern w:val="2"/>
                      <w:sz w:val="21"/>
                      <w:szCs w:val="21"/>
                    </w:rPr>
                  </w:pPr>
                </w:p>
              </w:tc>
              <w:tc>
                <w:tcPr>
                  <w:tcW w:w="842" w:type="dxa"/>
                  <w:noWrap w:val="0"/>
                  <w:vAlign w:val="center"/>
                </w:tcPr>
                <w:p w14:paraId="4ED23142">
                  <w:pPr>
                    <w:keepNext w:val="0"/>
                    <w:keepLines w:val="0"/>
                    <w:pageBreakBefore w:val="0"/>
                    <w:widowControl w:val="0"/>
                    <w:kinsoku/>
                    <w:wordWrap/>
                    <w:overflowPunct/>
                    <w:topLinePunct w:val="0"/>
                    <w:autoSpaceDE/>
                    <w:autoSpaceDN/>
                    <w:bidi w:val="0"/>
                    <w:adjustRightInd/>
                    <w:snapToGrid w:val="0"/>
                    <w:ind w:left="0" w:firstLine="0" w:firstLineChars="0"/>
                    <w:jc w:val="center"/>
                    <w:textAlignment w:val="auto"/>
                    <w:rPr>
                      <w:rFonts w:hint="eastAsia" w:ascii="宋体" w:hAnsi="宋体"/>
                      <w:color w:val="auto"/>
                      <w:kern w:val="10"/>
                      <w:sz w:val="21"/>
                      <w:szCs w:val="21"/>
                      <w:lang w:eastAsia="zh-CN"/>
                    </w:rPr>
                  </w:pPr>
                  <w:r>
                    <w:rPr>
                      <w:rFonts w:hint="eastAsia" w:ascii="宋体" w:hAnsi="宋体"/>
                      <w:color w:val="auto"/>
                      <w:kern w:val="10"/>
                      <w:sz w:val="21"/>
                      <w:szCs w:val="21"/>
                      <w:lang w:val="en-US" w:eastAsia="zh-CN"/>
                    </w:rPr>
                    <w:t>2#</w:t>
                  </w:r>
                  <w:r>
                    <w:rPr>
                      <w:rFonts w:hint="eastAsia" w:ascii="宋体" w:hAnsi="宋体"/>
                      <w:color w:val="auto"/>
                      <w:kern w:val="10"/>
                      <w:sz w:val="21"/>
                      <w:szCs w:val="21"/>
                      <w:lang w:eastAsia="zh-CN"/>
                    </w:rPr>
                    <w:t>晾坯</w:t>
                  </w:r>
                </w:p>
                <w:p w14:paraId="1BC9F0C2">
                  <w:pPr>
                    <w:keepNext w:val="0"/>
                    <w:keepLines w:val="0"/>
                    <w:pageBreakBefore w:val="0"/>
                    <w:widowControl w:val="0"/>
                    <w:kinsoku/>
                    <w:wordWrap/>
                    <w:overflowPunct/>
                    <w:topLinePunct w:val="0"/>
                    <w:autoSpaceDE/>
                    <w:autoSpaceDN/>
                    <w:bidi w:val="0"/>
                    <w:adjustRightInd/>
                    <w:snapToGrid w:val="0"/>
                    <w:ind w:left="0" w:firstLine="0" w:firstLineChars="0"/>
                    <w:jc w:val="center"/>
                    <w:textAlignment w:val="auto"/>
                    <w:rPr>
                      <w:rFonts w:hint="eastAsia" w:ascii="宋体" w:hAnsi="宋体"/>
                      <w:color w:val="auto"/>
                      <w:kern w:val="10"/>
                      <w:sz w:val="21"/>
                      <w:szCs w:val="21"/>
                      <w:lang w:eastAsia="zh-CN"/>
                    </w:rPr>
                  </w:pPr>
                  <w:r>
                    <w:rPr>
                      <w:rFonts w:hint="eastAsia" w:ascii="宋体" w:hAnsi="宋体"/>
                      <w:color w:val="auto"/>
                      <w:kern w:val="10"/>
                      <w:sz w:val="21"/>
                      <w:szCs w:val="21"/>
                      <w:lang w:eastAsia="zh-CN"/>
                    </w:rPr>
                    <w:t>道</w:t>
                  </w:r>
                </w:p>
              </w:tc>
              <w:tc>
                <w:tcPr>
                  <w:tcW w:w="2558" w:type="dxa"/>
                  <w:noWrap w:val="0"/>
                  <w:vAlign w:val="center"/>
                </w:tcPr>
                <w:p w14:paraId="638AE8F2">
                  <w:pPr>
                    <w:widowControl w:val="0"/>
                    <w:jc w:val="center"/>
                    <w:rPr>
                      <w:rFonts w:hint="eastAsia" w:ascii="宋体" w:hAnsi="宋体"/>
                      <w:color w:val="auto"/>
                      <w:kern w:val="2"/>
                      <w:sz w:val="21"/>
                      <w:szCs w:val="21"/>
                    </w:rPr>
                  </w:pPr>
                  <w:r>
                    <w:rPr>
                      <w:rFonts w:hint="eastAsia" w:ascii="宋体" w:hAnsi="宋体"/>
                      <w:color w:val="auto"/>
                      <w:kern w:val="2"/>
                      <w:sz w:val="21"/>
                      <w:szCs w:val="21"/>
                    </w:rPr>
                    <w:t>位于陈化</w:t>
                  </w:r>
                  <w:r>
                    <w:rPr>
                      <w:rFonts w:hint="eastAsia" w:ascii="宋体" w:hAnsi="宋体"/>
                      <w:color w:val="auto"/>
                      <w:kern w:val="2"/>
                      <w:sz w:val="21"/>
                      <w:szCs w:val="21"/>
                      <w:lang w:eastAsia="zh-CN"/>
                    </w:rPr>
                    <w:t>库东</w:t>
                  </w:r>
                  <w:r>
                    <w:rPr>
                      <w:rFonts w:hint="eastAsia" w:ascii="宋体" w:hAnsi="宋体"/>
                      <w:color w:val="auto"/>
                      <w:kern w:val="2"/>
                      <w:sz w:val="21"/>
                      <w:szCs w:val="21"/>
                    </w:rPr>
                    <w:t>侧，</w:t>
                  </w:r>
                  <w:r>
                    <w:rPr>
                      <w:rFonts w:hint="eastAsia" w:ascii="宋体" w:hAnsi="宋体"/>
                      <w:color w:val="auto"/>
                      <w:kern w:val="2"/>
                      <w:sz w:val="21"/>
                      <w:szCs w:val="21"/>
                      <w:lang w:eastAsia="zh-CN"/>
                    </w:rPr>
                    <w:t>用于砖坯的晾干，占地</w:t>
                  </w:r>
                  <w:r>
                    <w:rPr>
                      <w:rFonts w:hint="eastAsia" w:ascii="宋体" w:hAnsi="宋体"/>
                      <w:color w:val="auto"/>
                      <w:kern w:val="2"/>
                      <w:sz w:val="21"/>
                      <w:szCs w:val="21"/>
                    </w:rPr>
                    <w:t>面积</w:t>
                  </w:r>
                  <w:r>
                    <w:rPr>
                      <w:rFonts w:hint="eastAsia" w:ascii="宋体" w:hAnsi="宋体"/>
                      <w:color w:val="auto"/>
                      <w:kern w:val="2"/>
                      <w:sz w:val="21"/>
                      <w:szCs w:val="21"/>
                      <w:lang w:eastAsia="zh-CN"/>
                    </w:rPr>
                    <w:t>约</w:t>
                  </w:r>
                  <w:r>
                    <w:rPr>
                      <w:rFonts w:hint="eastAsia" w:ascii="宋体" w:hAnsi="宋体"/>
                      <w:color w:val="auto"/>
                      <w:kern w:val="2"/>
                      <w:sz w:val="21"/>
                      <w:szCs w:val="21"/>
                      <w:lang w:eastAsia="zh-CN"/>
                    </w:rPr>
                    <w:br w:type="textWrapping"/>
                  </w:r>
                  <w:r>
                    <w:rPr>
                      <w:rFonts w:hint="eastAsia" w:ascii="宋体" w:hAnsi="宋体"/>
                      <w:color w:val="auto"/>
                      <w:kern w:val="2"/>
                      <w:sz w:val="21"/>
                      <w:szCs w:val="21"/>
                      <w:lang w:val="en-US" w:eastAsia="zh-CN"/>
                    </w:rPr>
                    <w:t>200</w:t>
                  </w:r>
                  <w:r>
                    <w:rPr>
                      <w:rFonts w:hint="eastAsia" w:ascii="宋体" w:hAnsi="宋体"/>
                      <w:color w:val="auto"/>
                      <w:kern w:val="2"/>
                      <w:sz w:val="21"/>
                      <w:szCs w:val="21"/>
                    </w:rPr>
                    <w:t>0 m</w:t>
                  </w:r>
                  <w:r>
                    <w:rPr>
                      <w:rFonts w:hint="eastAsia" w:ascii="宋体" w:hAnsi="宋体"/>
                      <w:color w:val="auto"/>
                      <w:kern w:val="2"/>
                      <w:sz w:val="21"/>
                      <w:szCs w:val="21"/>
                      <w:vertAlign w:val="superscript"/>
                    </w:rPr>
                    <w:t>2</w:t>
                  </w:r>
                </w:p>
              </w:tc>
              <w:tc>
                <w:tcPr>
                  <w:tcW w:w="1693" w:type="dxa"/>
                  <w:noWrap w:val="0"/>
                  <w:vAlign w:val="center"/>
                </w:tcPr>
                <w:p w14:paraId="33A54D69">
                  <w:pPr>
                    <w:widowControl w:val="0"/>
                    <w:spacing w:after="120"/>
                    <w:ind w:left="86" w:leftChars="41"/>
                    <w:jc w:val="center"/>
                    <w:rPr>
                      <w:rFonts w:hint="eastAsia" w:ascii="宋体" w:hAnsi="宋体" w:eastAsia="宋体" w:cs="Times New Roman"/>
                      <w:color w:val="auto"/>
                      <w:kern w:val="2"/>
                      <w:sz w:val="21"/>
                      <w:szCs w:val="21"/>
                    </w:rPr>
                  </w:pPr>
                  <w:r>
                    <w:rPr>
                      <w:rFonts w:hint="eastAsia" w:ascii="宋体" w:hAnsi="宋体"/>
                      <w:color w:val="auto"/>
                      <w:kern w:val="2"/>
                      <w:sz w:val="21"/>
                      <w:szCs w:val="21"/>
                      <w:lang w:val="en-US" w:eastAsia="zh-CN"/>
                    </w:rPr>
                    <w:t>/</w:t>
                  </w:r>
                </w:p>
              </w:tc>
              <w:tc>
                <w:tcPr>
                  <w:tcW w:w="1590" w:type="dxa"/>
                  <w:noWrap w:val="0"/>
                  <w:vAlign w:val="center"/>
                </w:tcPr>
                <w:p w14:paraId="29A04178">
                  <w:pPr>
                    <w:widowControl w:val="0"/>
                    <w:jc w:val="center"/>
                    <w:rPr>
                      <w:rFonts w:hint="eastAsia" w:ascii="宋体" w:hAnsi="宋体" w:eastAsia="宋体" w:cs="Times New Roman"/>
                      <w:color w:val="auto"/>
                      <w:kern w:val="2"/>
                      <w:sz w:val="21"/>
                      <w:szCs w:val="21"/>
                      <w:lang w:eastAsia="zh-CN"/>
                    </w:rPr>
                  </w:pPr>
                  <w:r>
                    <w:rPr>
                      <w:rFonts w:hint="eastAsia" w:ascii="宋体" w:hAnsi="宋体"/>
                      <w:color w:val="auto"/>
                      <w:kern w:val="2"/>
                      <w:sz w:val="21"/>
                      <w:szCs w:val="21"/>
                    </w:rPr>
                    <w:t>位于陈化</w:t>
                  </w:r>
                  <w:r>
                    <w:rPr>
                      <w:rFonts w:hint="eastAsia" w:ascii="宋体" w:hAnsi="宋体"/>
                      <w:color w:val="auto"/>
                      <w:kern w:val="2"/>
                      <w:sz w:val="21"/>
                      <w:szCs w:val="21"/>
                      <w:lang w:eastAsia="zh-CN"/>
                    </w:rPr>
                    <w:t>库东</w:t>
                  </w:r>
                  <w:r>
                    <w:rPr>
                      <w:rFonts w:hint="eastAsia" w:ascii="宋体" w:hAnsi="宋体"/>
                      <w:color w:val="auto"/>
                      <w:kern w:val="2"/>
                      <w:sz w:val="21"/>
                      <w:szCs w:val="21"/>
                    </w:rPr>
                    <w:t>侧，</w:t>
                  </w:r>
                  <w:r>
                    <w:rPr>
                      <w:rFonts w:hint="eastAsia" w:ascii="宋体" w:hAnsi="宋体"/>
                      <w:color w:val="auto"/>
                      <w:kern w:val="2"/>
                      <w:sz w:val="21"/>
                      <w:szCs w:val="21"/>
                      <w:lang w:eastAsia="zh-CN"/>
                    </w:rPr>
                    <w:t>用于砖坯的晾干，占地</w:t>
                  </w:r>
                  <w:r>
                    <w:rPr>
                      <w:rFonts w:hint="eastAsia" w:ascii="宋体" w:hAnsi="宋体"/>
                      <w:color w:val="auto"/>
                      <w:kern w:val="2"/>
                      <w:sz w:val="21"/>
                      <w:szCs w:val="21"/>
                    </w:rPr>
                    <w:t>面积</w:t>
                  </w:r>
                  <w:r>
                    <w:rPr>
                      <w:rFonts w:hint="eastAsia" w:ascii="宋体" w:hAnsi="宋体"/>
                      <w:color w:val="auto"/>
                      <w:kern w:val="2"/>
                      <w:sz w:val="21"/>
                      <w:szCs w:val="21"/>
                      <w:lang w:eastAsia="zh-CN"/>
                    </w:rPr>
                    <w:t>约</w:t>
                  </w:r>
                  <w:r>
                    <w:rPr>
                      <w:rFonts w:hint="eastAsia" w:ascii="宋体" w:hAnsi="宋体"/>
                      <w:color w:val="auto"/>
                      <w:kern w:val="2"/>
                      <w:sz w:val="21"/>
                      <w:szCs w:val="21"/>
                      <w:lang w:val="en-US" w:eastAsia="zh-CN"/>
                    </w:rPr>
                    <w:t>200</w:t>
                  </w:r>
                  <w:r>
                    <w:rPr>
                      <w:rFonts w:hint="eastAsia" w:ascii="宋体" w:hAnsi="宋体"/>
                      <w:color w:val="auto"/>
                      <w:kern w:val="2"/>
                      <w:sz w:val="21"/>
                      <w:szCs w:val="21"/>
                    </w:rPr>
                    <w:t>0 m</w:t>
                  </w:r>
                  <w:r>
                    <w:rPr>
                      <w:rFonts w:hint="eastAsia" w:ascii="宋体" w:hAnsi="宋体"/>
                      <w:color w:val="auto"/>
                      <w:kern w:val="2"/>
                      <w:sz w:val="21"/>
                      <w:szCs w:val="21"/>
                      <w:vertAlign w:val="superscript"/>
                    </w:rPr>
                    <w:t>2</w:t>
                  </w:r>
                </w:p>
              </w:tc>
              <w:tc>
                <w:tcPr>
                  <w:tcW w:w="921" w:type="dxa"/>
                  <w:noWrap w:val="0"/>
                  <w:vAlign w:val="center"/>
                </w:tcPr>
                <w:p w14:paraId="67B73997">
                  <w:pPr>
                    <w:widowControl w:val="0"/>
                    <w:jc w:val="center"/>
                    <w:rPr>
                      <w:rFonts w:hint="eastAsia" w:ascii="宋体" w:hAnsi="宋体"/>
                      <w:color w:val="auto"/>
                      <w:kern w:val="2"/>
                      <w:sz w:val="21"/>
                      <w:szCs w:val="21"/>
                      <w:lang w:eastAsia="zh-CN"/>
                    </w:rPr>
                  </w:pPr>
                  <w:r>
                    <w:rPr>
                      <w:rFonts w:hint="eastAsia" w:ascii="宋体" w:hAnsi="宋体"/>
                      <w:color w:val="auto"/>
                      <w:kern w:val="2"/>
                      <w:sz w:val="21"/>
                      <w:szCs w:val="21"/>
                      <w:lang w:val="en-US" w:eastAsia="zh-CN"/>
                    </w:rPr>
                    <w:t>依托</w:t>
                  </w:r>
                  <w:r>
                    <w:rPr>
                      <w:rFonts w:hint="eastAsia" w:ascii="宋体" w:hAnsi="宋体"/>
                      <w:color w:val="auto"/>
                      <w:kern w:val="2"/>
                      <w:sz w:val="21"/>
                      <w:szCs w:val="21"/>
                      <w:lang w:val="en-US" w:eastAsia="zh-CN"/>
                    </w:rPr>
                    <w:br w:type="textWrapping"/>
                  </w:r>
                  <w:r>
                    <w:rPr>
                      <w:rFonts w:hint="eastAsia" w:ascii="宋体" w:hAnsi="宋体"/>
                      <w:color w:val="auto"/>
                      <w:kern w:val="2"/>
                      <w:sz w:val="21"/>
                      <w:szCs w:val="21"/>
                      <w:lang w:val="en-US" w:eastAsia="zh-CN"/>
                    </w:rPr>
                    <w:t>现有</w:t>
                  </w:r>
                </w:p>
              </w:tc>
            </w:tr>
            <w:tr w14:paraId="4E1080D7">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446" w:hRule="atLeast"/>
              </w:trPr>
              <w:tc>
                <w:tcPr>
                  <w:tcW w:w="774" w:type="dxa"/>
                  <w:vMerge w:val="continue"/>
                  <w:noWrap w:val="0"/>
                  <w:vAlign w:val="center"/>
                </w:tcPr>
                <w:p w14:paraId="21AA1544">
                  <w:pPr>
                    <w:widowControl w:val="0"/>
                    <w:ind w:left="105" w:leftChars="50"/>
                    <w:jc w:val="center"/>
                    <w:rPr>
                      <w:rFonts w:hint="eastAsia" w:ascii="宋体" w:hAnsi="宋体"/>
                      <w:color w:val="auto"/>
                      <w:kern w:val="2"/>
                      <w:sz w:val="21"/>
                      <w:szCs w:val="21"/>
                    </w:rPr>
                  </w:pPr>
                </w:p>
              </w:tc>
              <w:tc>
                <w:tcPr>
                  <w:tcW w:w="842" w:type="dxa"/>
                  <w:noWrap w:val="0"/>
                  <w:vAlign w:val="center"/>
                </w:tcPr>
                <w:p w14:paraId="07A25BAA">
                  <w:pPr>
                    <w:keepNext w:val="0"/>
                    <w:keepLines w:val="0"/>
                    <w:pageBreakBefore w:val="0"/>
                    <w:widowControl w:val="0"/>
                    <w:kinsoku/>
                    <w:wordWrap/>
                    <w:overflowPunct/>
                    <w:topLinePunct w:val="0"/>
                    <w:autoSpaceDE/>
                    <w:autoSpaceDN/>
                    <w:bidi w:val="0"/>
                    <w:adjustRightInd/>
                    <w:snapToGrid w:val="0"/>
                    <w:ind w:left="0" w:firstLine="0" w:firstLineChars="0"/>
                    <w:jc w:val="center"/>
                    <w:textAlignment w:val="auto"/>
                    <w:rPr>
                      <w:rFonts w:hint="eastAsia" w:ascii="宋体" w:hAnsi="宋体" w:eastAsia="宋体"/>
                      <w:color w:val="auto"/>
                      <w:kern w:val="10"/>
                      <w:sz w:val="21"/>
                      <w:szCs w:val="21"/>
                      <w:lang w:eastAsia="zh-CN"/>
                    </w:rPr>
                  </w:pPr>
                  <w:r>
                    <w:rPr>
                      <w:rFonts w:hint="eastAsia" w:ascii="宋体" w:hAnsi="宋体"/>
                      <w:color w:val="auto"/>
                      <w:kern w:val="10"/>
                      <w:sz w:val="21"/>
                      <w:szCs w:val="21"/>
                      <w:lang w:eastAsia="zh-CN"/>
                    </w:rPr>
                    <w:t>窑体</w:t>
                  </w:r>
                </w:p>
              </w:tc>
              <w:tc>
                <w:tcPr>
                  <w:tcW w:w="2558" w:type="dxa"/>
                  <w:noWrap w:val="0"/>
                  <w:vAlign w:val="center"/>
                </w:tcPr>
                <w:p w14:paraId="5F4D93E7">
                  <w:pPr>
                    <w:keepNext w:val="0"/>
                    <w:keepLines w:val="0"/>
                    <w:pageBreakBefore w:val="0"/>
                    <w:widowControl w:val="0"/>
                    <w:kinsoku/>
                    <w:wordWrap/>
                    <w:overflowPunct/>
                    <w:topLinePunct w:val="0"/>
                    <w:autoSpaceDE/>
                    <w:autoSpaceDN/>
                    <w:bidi w:val="0"/>
                    <w:adjustRightInd/>
                    <w:snapToGrid w:val="0"/>
                    <w:ind w:left="0" w:firstLine="0" w:firstLineChars="0"/>
                    <w:jc w:val="center"/>
                    <w:textAlignment w:val="auto"/>
                    <w:rPr>
                      <w:rFonts w:hint="eastAsia" w:ascii="宋体" w:hAnsi="宋体"/>
                      <w:color w:val="auto"/>
                      <w:kern w:val="10"/>
                      <w:sz w:val="21"/>
                      <w:szCs w:val="21"/>
                      <w:lang w:eastAsia="zh-CN"/>
                    </w:rPr>
                  </w:pPr>
                  <w:r>
                    <w:rPr>
                      <w:rFonts w:hint="eastAsia" w:ascii="宋体" w:hAnsi="宋体"/>
                      <w:color w:val="auto"/>
                      <w:kern w:val="10"/>
                      <w:sz w:val="21"/>
                      <w:szCs w:val="21"/>
                      <w:lang w:eastAsia="zh-CN"/>
                    </w:rPr>
                    <w:t>建设</w:t>
                  </w:r>
                  <w:r>
                    <w:rPr>
                      <w:rFonts w:hint="eastAsia" w:ascii="宋体" w:hAnsi="宋体"/>
                      <w:color w:val="auto"/>
                      <w:kern w:val="10"/>
                      <w:sz w:val="21"/>
                      <w:szCs w:val="21"/>
                      <w:lang w:val="en-US" w:eastAsia="zh-CN"/>
                    </w:rPr>
                    <w:t>一烘两烧</w:t>
                  </w:r>
                  <w:r>
                    <w:rPr>
                      <w:rFonts w:hint="eastAsia" w:ascii="宋体" w:hAnsi="宋体"/>
                      <w:color w:val="auto"/>
                      <w:kern w:val="10"/>
                      <w:sz w:val="21"/>
                      <w:szCs w:val="21"/>
                      <w:lang w:eastAsia="zh-CN"/>
                    </w:rPr>
                    <w:t>隧道窑，集自动分坯、自动码坯、烘干、烧制一体化，年烧制烘干煤矸石砖</w:t>
                  </w:r>
                  <w:r>
                    <w:rPr>
                      <w:rFonts w:hint="eastAsia" w:ascii="宋体" w:hAnsi="宋体"/>
                      <w:color w:val="auto"/>
                      <w:kern w:val="10"/>
                      <w:sz w:val="21"/>
                      <w:szCs w:val="21"/>
                      <w:lang w:val="en-US" w:eastAsia="zh-CN"/>
                    </w:rPr>
                    <w:t>72</w:t>
                  </w:r>
                  <w:r>
                    <w:rPr>
                      <w:rFonts w:hint="eastAsia" w:ascii="宋体" w:hAnsi="宋体"/>
                      <w:color w:val="auto"/>
                      <w:kern w:val="10"/>
                      <w:sz w:val="21"/>
                      <w:szCs w:val="21"/>
                      <w:lang w:eastAsia="zh-CN"/>
                    </w:rPr>
                    <w:t>00万块</w:t>
                  </w:r>
                </w:p>
              </w:tc>
              <w:tc>
                <w:tcPr>
                  <w:tcW w:w="1693" w:type="dxa"/>
                  <w:noWrap w:val="0"/>
                  <w:vAlign w:val="center"/>
                </w:tcPr>
                <w:p w14:paraId="3B7EE9DB">
                  <w:pPr>
                    <w:keepNext w:val="0"/>
                    <w:keepLines w:val="0"/>
                    <w:pageBreakBefore w:val="0"/>
                    <w:widowControl w:val="0"/>
                    <w:kinsoku/>
                    <w:wordWrap/>
                    <w:overflowPunct/>
                    <w:topLinePunct w:val="0"/>
                    <w:autoSpaceDE/>
                    <w:autoSpaceDN/>
                    <w:bidi w:val="0"/>
                    <w:adjustRightInd/>
                    <w:snapToGrid w:val="0"/>
                    <w:ind w:left="0" w:firstLine="0" w:firstLineChars="0"/>
                    <w:jc w:val="center"/>
                    <w:textAlignment w:val="auto"/>
                    <w:rPr>
                      <w:rFonts w:hint="eastAsia" w:ascii="宋体" w:hAnsi="宋体"/>
                      <w:color w:val="auto"/>
                      <w:kern w:val="10"/>
                      <w:sz w:val="21"/>
                      <w:szCs w:val="21"/>
                      <w:lang w:val="en-US" w:eastAsia="zh-CN"/>
                    </w:rPr>
                  </w:pPr>
                  <w:r>
                    <w:rPr>
                      <w:rFonts w:hint="eastAsia" w:ascii="宋体" w:hAnsi="宋体"/>
                      <w:color w:val="auto"/>
                      <w:kern w:val="10"/>
                      <w:sz w:val="21"/>
                      <w:szCs w:val="21"/>
                      <w:lang w:eastAsia="zh-CN"/>
                    </w:rPr>
                    <w:br w:type="textWrapping"/>
                  </w:r>
                  <w:r>
                    <w:rPr>
                      <w:rFonts w:hint="eastAsia" w:ascii="宋体" w:hAnsi="宋体"/>
                      <w:color w:val="auto"/>
                      <w:kern w:val="10"/>
                      <w:sz w:val="21"/>
                      <w:szCs w:val="21"/>
                      <w:lang w:eastAsia="zh-CN"/>
                    </w:rPr>
                    <w:t>新增年烧制烘干</w:t>
                  </w:r>
                  <w:r>
                    <w:rPr>
                      <w:rFonts w:hint="eastAsia" w:ascii="宋体" w:hAnsi="宋体"/>
                      <w:color w:val="auto"/>
                      <w:kern w:val="10"/>
                      <w:sz w:val="21"/>
                      <w:szCs w:val="21"/>
                      <w:lang w:val="en-US" w:eastAsia="zh-CN"/>
                    </w:rPr>
                    <w:t>18</w:t>
                  </w:r>
                  <w:r>
                    <w:rPr>
                      <w:rFonts w:hint="eastAsia" w:ascii="宋体" w:hAnsi="宋体"/>
                      <w:color w:val="auto"/>
                      <w:kern w:val="10"/>
                      <w:sz w:val="21"/>
                      <w:szCs w:val="21"/>
                      <w:lang w:eastAsia="zh-CN"/>
                    </w:rPr>
                    <w:t>00万块各类烧结砖</w:t>
                  </w:r>
                </w:p>
              </w:tc>
              <w:tc>
                <w:tcPr>
                  <w:tcW w:w="1590" w:type="dxa"/>
                  <w:noWrap w:val="0"/>
                  <w:vAlign w:val="center"/>
                </w:tcPr>
                <w:p w14:paraId="7FAE39F6">
                  <w:pPr>
                    <w:keepNext w:val="0"/>
                    <w:keepLines w:val="0"/>
                    <w:pageBreakBefore w:val="0"/>
                    <w:widowControl w:val="0"/>
                    <w:kinsoku/>
                    <w:wordWrap/>
                    <w:overflowPunct/>
                    <w:topLinePunct w:val="0"/>
                    <w:autoSpaceDE/>
                    <w:autoSpaceDN/>
                    <w:bidi w:val="0"/>
                    <w:adjustRightInd/>
                    <w:snapToGrid w:val="0"/>
                    <w:ind w:left="0" w:firstLine="0" w:firstLineChars="0"/>
                    <w:jc w:val="center"/>
                    <w:textAlignment w:val="auto"/>
                    <w:rPr>
                      <w:rFonts w:hint="eastAsia" w:ascii="宋体" w:hAnsi="宋体"/>
                      <w:color w:val="auto"/>
                      <w:kern w:val="10"/>
                      <w:sz w:val="21"/>
                      <w:szCs w:val="21"/>
                      <w:lang w:val="en-US" w:eastAsia="zh-CN"/>
                    </w:rPr>
                  </w:pPr>
                  <w:r>
                    <w:rPr>
                      <w:rFonts w:hint="eastAsia" w:ascii="宋体" w:hAnsi="宋体"/>
                      <w:color w:val="auto"/>
                      <w:kern w:val="10"/>
                      <w:sz w:val="21"/>
                      <w:szCs w:val="21"/>
                      <w:lang w:eastAsia="zh-CN"/>
                    </w:rPr>
                    <w:t>技改完成后生产能力可达年产</w:t>
                  </w:r>
                  <w:r>
                    <w:rPr>
                      <w:rFonts w:hint="eastAsia" w:ascii="宋体" w:hAnsi="宋体"/>
                      <w:color w:val="auto"/>
                      <w:kern w:val="10"/>
                      <w:sz w:val="21"/>
                      <w:szCs w:val="21"/>
                      <w:lang w:val="en-US" w:eastAsia="zh-CN"/>
                    </w:rPr>
                    <w:t>90</w:t>
                  </w:r>
                  <w:r>
                    <w:rPr>
                      <w:rFonts w:hint="eastAsia" w:ascii="宋体" w:hAnsi="宋体"/>
                      <w:color w:val="auto"/>
                      <w:kern w:val="10"/>
                      <w:sz w:val="21"/>
                      <w:szCs w:val="21"/>
                      <w:lang w:eastAsia="zh-CN"/>
                    </w:rPr>
                    <w:t>00万块各类烧结砖生产能力</w:t>
                  </w:r>
                </w:p>
              </w:tc>
              <w:tc>
                <w:tcPr>
                  <w:tcW w:w="921" w:type="dxa"/>
                  <w:noWrap w:val="0"/>
                  <w:vAlign w:val="center"/>
                </w:tcPr>
                <w:p w14:paraId="658AFF18">
                  <w:pPr>
                    <w:widowControl w:val="0"/>
                    <w:jc w:val="center"/>
                    <w:rPr>
                      <w:rFonts w:hint="eastAsia" w:ascii="宋体" w:hAnsi="宋体" w:eastAsia="宋体" w:cs="Times New Roman"/>
                      <w:color w:val="auto"/>
                      <w:kern w:val="10"/>
                      <w:sz w:val="21"/>
                      <w:szCs w:val="21"/>
                      <w:lang w:eastAsia="zh-CN"/>
                    </w:rPr>
                  </w:pPr>
                  <w:r>
                    <w:rPr>
                      <w:rFonts w:hint="eastAsia" w:ascii="宋体" w:hAnsi="宋体" w:eastAsia="宋体" w:cs="Times New Roman"/>
                      <w:color w:val="auto"/>
                      <w:kern w:val="10"/>
                      <w:sz w:val="21"/>
                      <w:szCs w:val="21"/>
                      <w:lang w:eastAsia="zh-CN"/>
                    </w:rPr>
                    <w:t>生产能力增加</w:t>
                  </w:r>
                </w:p>
              </w:tc>
            </w:tr>
            <w:tr w14:paraId="0FF2ABAC">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872" w:hRule="atLeast"/>
              </w:trPr>
              <w:tc>
                <w:tcPr>
                  <w:tcW w:w="774" w:type="dxa"/>
                  <w:vMerge w:val="continue"/>
                  <w:noWrap w:val="0"/>
                  <w:vAlign w:val="center"/>
                </w:tcPr>
                <w:p w14:paraId="445EB328">
                  <w:pPr>
                    <w:widowControl w:val="0"/>
                    <w:ind w:left="105" w:leftChars="50"/>
                    <w:jc w:val="center"/>
                    <w:rPr>
                      <w:rFonts w:hint="eastAsia" w:ascii="宋体" w:hAnsi="宋体"/>
                      <w:color w:val="auto"/>
                      <w:kern w:val="2"/>
                      <w:sz w:val="21"/>
                      <w:szCs w:val="21"/>
                    </w:rPr>
                  </w:pPr>
                </w:p>
              </w:tc>
              <w:tc>
                <w:tcPr>
                  <w:tcW w:w="842" w:type="dxa"/>
                  <w:noWrap w:val="0"/>
                  <w:vAlign w:val="center"/>
                </w:tcPr>
                <w:p w14:paraId="0A542359">
                  <w:pPr>
                    <w:keepNext w:val="0"/>
                    <w:keepLines w:val="0"/>
                    <w:pageBreakBefore w:val="0"/>
                    <w:widowControl w:val="0"/>
                    <w:kinsoku/>
                    <w:wordWrap/>
                    <w:overflowPunct/>
                    <w:topLinePunct w:val="0"/>
                    <w:autoSpaceDE/>
                    <w:autoSpaceDN/>
                    <w:bidi w:val="0"/>
                    <w:adjustRightInd/>
                    <w:snapToGrid w:val="0"/>
                    <w:ind w:left="0" w:firstLine="0" w:firstLineChars="0"/>
                    <w:jc w:val="center"/>
                    <w:textAlignment w:val="auto"/>
                    <w:rPr>
                      <w:rFonts w:hint="eastAsia" w:ascii="宋体" w:hAnsi="宋体" w:eastAsia="宋体"/>
                      <w:color w:val="auto"/>
                      <w:kern w:val="10"/>
                      <w:sz w:val="21"/>
                      <w:szCs w:val="21"/>
                      <w:lang w:eastAsia="zh-CN"/>
                    </w:rPr>
                  </w:pPr>
                  <w:r>
                    <w:rPr>
                      <w:rFonts w:hint="eastAsia" w:ascii="宋体" w:hAnsi="宋体"/>
                      <w:color w:val="auto"/>
                      <w:kern w:val="10"/>
                      <w:sz w:val="21"/>
                      <w:szCs w:val="21"/>
                      <w:lang w:eastAsia="zh-CN"/>
                    </w:rPr>
                    <w:t>成品装载区</w:t>
                  </w:r>
                </w:p>
              </w:tc>
              <w:tc>
                <w:tcPr>
                  <w:tcW w:w="2558" w:type="dxa"/>
                  <w:noWrap w:val="0"/>
                  <w:vAlign w:val="center"/>
                </w:tcPr>
                <w:p w14:paraId="520EC9A5">
                  <w:pPr>
                    <w:widowControl w:val="0"/>
                    <w:jc w:val="center"/>
                    <w:rPr>
                      <w:rFonts w:hint="eastAsia" w:ascii="宋体" w:hAnsi="宋体"/>
                      <w:color w:val="auto"/>
                      <w:kern w:val="2"/>
                      <w:sz w:val="21"/>
                      <w:szCs w:val="21"/>
                    </w:rPr>
                  </w:pPr>
                  <w:r>
                    <w:rPr>
                      <w:rFonts w:hint="eastAsia" w:ascii="宋体" w:hAnsi="宋体"/>
                      <w:color w:val="auto"/>
                      <w:kern w:val="2"/>
                      <w:sz w:val="21"/>
                      <w:szCs w:val="21"/>
                      <w:lang w:eastAsia="zh-CN"/>
                    </w:rPr>
                    <w:t>用于成品的装载，占地</w:t>
                  </w:r>
                  <w:r>
                    <w:rPr>
                      <w:rFonts w:hint="eastAsia" w:ascii="宋体" w:hAnsi="宋体"/>
                      <w:color w:val="auto"/>
                      <w:kern w:val="2"/>
                      <w:sz w:val="21"/>
                      <w:szCs w:val="21"/>
                    </w:rPr>
                    <w:t>面积</w:t>
                  </w:r>
                  <w:r>
                    <w:rPr>
                      <w:rFonts w:hint="eastAsia" w:ascii="宋体" w:hAnsi="宋体"/>
                      <w:color w:val="auto"/>
                      <w:kern w:val="2"/>
                      <w:sz w:val="21"/>
                      <w:szCs w:val="21"/>
                      <w:lang w:eastAsia="zh-CN"/>
                    </w:rPr>
                    <w:t>约</w:t>
                  </w:r>
                  <w:r>
                    <w:rPr>
                      <w:rFonts w:hint="eastAsia" w:ascii="宋体" w:hAnsi="宋体"/>
                      <w:color w:val="auto"/>
                      <w:kern w:val="2"/>
                      <w:sz w:val="21"/>
                      <w:szCs w:val="21"/>
                      <w:lang w:val="en-US" w:eastAsia="zh-CN"/>
                    </w:rPr>
                    <w:t>300</w:t>
                  </w:r>
                  <w:r>
                    <w:rPr>
                      <w:rFonts w:hint="eastAsia" w:ascii="宋体" w:hAnsi="宋体"/>
                      <w:color w:val="auto"/>
                      <w:kern w:val="2"/>
                      <w:sz w:val="21"/>
                      <w:szCs w:val="21"/>
                    </w:rPr>
                    <w:t>0 m</w:t>
                  </w:r>
                  <w:r>
                    <w:rPr>
                      <w:rFonts w:hint="eastAsia" w:ascii="宋体" w:hAnsi="宋体"/>
                      <w:color w:val="auto"/>
                      <w:kern w:val="2"/>
                      <w:sz w:val="21"/>
                      <w:szCs w:val="21"/>
                      <w:vertAlign w:val="superscript"/>
                    </w:rPr>
                    <w:t>2</w:t>
                  </w:r>
                </w:p>
              </w:tc>
              <w:tc>
                <w:tcPr>
                  <w:tcW w:w="1693" w:type="dxa"/>
                  <w:noWrap w:val="0"/>
                  <w:vAlign w:val="center"/>
                </w:tcPr>
                <w:p w14:paraId="511793ED">
                  <w:pPr>
                    <w:widowControl w:val="0"/>
                    <w:spacing w:after="120"/>
                    <w:ind w:left="36" w:leftChars="17"/>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w:t>
                  </w:r>
                </w:p>
              </w:tc>
              <w:tc>
                <w:tcPr>
                  <w:tcW w:w="1590" w:type="dxa"/>
                  <w:noWrap w:val="0"/>
                  <w:vAlign w:val="center"/>
                </w:tcPr>
                <w:p w14:paraId="3E89EA8F">
                  <w:pPr>
                    <w:widowControl w:val="0"/>
                    <w:jc w:val="center"/>
                    <w:rPr>
                      <w:rFonts w:hint="eastAsia" w:ascii="宋体" w:hAnsi="宋体" w:eastAsia="宋体" w:cs="Times New Roman"/>
                      <w:color w:val="auto"/>
                      <w:kern w:val="2"/>
                      <w:sz w:val="21"/>
                      <w:szCs w:val="21"/>
                      <w:lang w:val="en-US" w:eastAsia="zh-CN" w:bidi="ar-SA"/>
                    </w:rPr>
                  </w:pPr>
                  <w:r>
                    <w:rPr>
                      <w:rFonts w:hint="eastAsia" w:ascii="宋体" w:hAnsi="宋体"/>
                      <w:color w:val="auto"/>
                      <w:kern w:val="2"/>
                      <w:sz w:val="21"/>
                      <w:szCs w:val="21"/>
                      <w:lang w:eastAsia="zh-CN"/>
                    </w:rPr>
                    <w:t>用于成品的装载，占地</w:t>
                  </w:r>
                  <w:r>
                    <w:rPr>
                      <w:rFonts w:hint="eastAsia" w:ascii="宋体" w:hAnsi="宋体"/>
                      <w:color w:val="auto"/>
                      <w:kern w:val="2"/>
                      <w:sz w:val="21"/>
                      <w:szCs w:val="21"/>
                    </w:rPr>
                    <w:t>面积</w:t>
                  </w:r>
                  <w:r>
                    <w:rPr>
                      <w:rFonts w:hint="eastAsia" w:ascii="宋体" w:hAnsi="宋体"/>
                      <w:color w:val="auto"/>
                      <w:kern w:val="2"/>
                      <w:sz w:val="21"/>
                      <w:szCs w:val="21"/>
                      <w:lang w:eastAsia="zh-CN"/>
                    </w:rPr>
                    <w:t>约</w:t>
                  </w:r>
                  <w:r>
                    <w:rPr>
                      <w:rFonts w:hint="eastAsia" w:ascii="宋体" w:hAnsi="宋体"/>
                      <w:color w:val="auto"/>
                      <w:kern w:val="2"/>
                      <w:sz w:val="21"/>
                      <w:szCs w:val="21"/>
                      <w:lang w:val="en-US" w:eastAsia="zh-CN"/>
                    </w:rPr>
                    <w:t>300</w:t>
                  </w:r>
                  <w:r>
                    <w:rPr>
                      <w:rFonts w:hint="eastAsia" w:ascii="宋体" w:hAnsi="宋体"/>
                      <w:color w:val="auto"/>
                      <w:kern w:val="2"/>
                      <w:sz w:val="21"/>
                      <w:szCs w:val="21"/>
                    </w:rPr>
                    <w:t>0 m</w:t>
                  </w:r>
                  <w:r>
                    <w:rPr>
                      <w:rFonts w:hint="eastAsia" w:ascii="宋体" w:hAnsi="宋体"/>
                      <w:color w:val="auto"/>
                      <w:kern w:val="2"/>
                      <w:sz w:val="21"/>
                      <w:szCs w:val="21"/>
                      <w:vertAlign w:val="superscript"/>
                    </w:rPr>
                    <w:t>2</w:t>
                  </w:r>
                </w:p>
              </w:tc>
              <w:tc>
                <w:tcPr>
                  <w:tcW w:w="921" w:type="dxa"/>
                  <w:noWrap w:val="0"/>
                  <w:vAlign w:val="center"/>
                </w:tcPr>
                <w:p w14:paraId="0836CB66">
                  <w:pPr>
                    <w:widowControl w:val="0"/>
                    <w:jc w:val="center"/>
                    <w:rPr>
                      <w:rFonts w:hint="eastAsia" w:ascii="宋体" w:hAnsi="宋体"/>
                      <w:color w:val="auto"/>
                      <w:kern w:val="2"/>
                      <w:sz w:val="21"/>
                      <w:szCs w:val="21"/>
                      <w:lang w:eastAsia="zh-CN"/>
                    </w:rPr>
                  </w:pPr>
                  <w:r>
                    <w:rPr>
                      <w:rFonts w:hint="eastAsia" w:ascii="宋体" w:hAnsi="宋体"/>
                      <w:color w:val="auto"/>
                      <w:kern w:val="2"/>
                      <w:sz w:val="21"/>
                      <w:szCs w:val="21"/>
                      <w:lang w:val="en-US" w:eastAsia="zh-CN"/>
                    </w:rPr>
                    <w:t>依托</w:t>
                  </w:r>
                  <w:r>
                    <w:rPr>
                      <w:rFonts w:hint="eastAsia" w:ascii="宋体" w:hAnsi="宋体"/>
                      <w:color w:val="auto"/>
                      <w:kern w:val="2"/>
                      <w:sz w:val="21"/>
                      <w:szCs w:val="21"/>
                      <w:lang w:val="en-US" w:eastAsia="zh-CN"/>
                    </w:rPr>
                    <w:br w:type="textWrapping"/>
                  </w:r>
                  <w:r>
                    <w:rPr>
                      <w:rFonts w:hint="eastAsia" w:ascii="宋体" w:hAnsi="宋体"/>
                      <w:color w:val="auto"/>
                      <w:kern w:val="2"/>
                      <w:sz w:val="21"/>
                      <w:szCs w:val="21"/>
                      <w:lang w:val="en-US" w:eastAsia="zh-CN"/>
                    </w:rPr>
                    <w:t>现有</w:t>
                  </w:r>
                </w:p>
              </w:tc>
            </w:tr>
            <w:tr w14:paraId="327E2F28">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932" w:hRule="atLeast"/>
              </w:trPr>
              <w:tc>
                <w:tcPr>
                  <w:tcW w:w="774" w:type="dxa"/>
                  <w:vMerge w:val="continue"/>
                  <w:noWrap w:val="0"/>
                  <w:vAlign w:val="center"/>
                </w:tcPr>
                <w:p w14:paraId="1A37E688">
                  <w:pPr>
                    <w:widowControl w:val="0"/>
                    <w:ind w:left="105" w:leftChars="50"/>
                    <w:jc w:val="center"/>
                    <w:rPr>
                      <w:rFonts w:hint="eastAsia" w:ascii="宋体" w:hAnsi="宋体"/>
                      <w:color w:val="auto"/>
                      <w:kern w:val="2"/>
                      <w:sz w:val="21"/>
                      <w:szCs w:val="21"/>
                    </w:rPr>
                  </w:pPr>
                </w:p>
              </w:tc>
              <w:tc>
                <w:tcPr>
                  <w:tcW w:w="842" w:type="dxa"/>
                  <w:noWrap w:val="0"/>
                  <w:vAlign w:val="center"/>
                </w:tcPr>
                <w:p w14:paraId="660609D1">
                  <w:pPr>
                    <w:keepNext w:val="0"/>
                    <w:keepLines w:val="0"/>
                    <w:pageBreakBefore w:val="0"/>
                    <w:widowControl w:val="0"/>
                    <w:kinsoku/>
                    <w:wordWrap/>
                    <w:overflowPunct/>
                    <w:topLinePunct w:val="0"/>
                    <w:autoSpaceDE/>
                    <w:autoSpaceDN/>
                    <w:bidi w:val="0"/>
                    <w:adjustRightInd/>
                    <w:snapToGrid w:val="0"/>
                    <w:ind w:left="0" w:firstLine="0" w:firstLineChars="0"/>
                    <w:jc w:val="center"/>
                    <w:textAlignment w:val="auto"/>
                    <w:rPr>
                      <w:rFonts w:hint="eastAsia" w:ascii="宋体" w:hAnsi="宋体"/>
                      <w:color w:val="auto"/>
                      <w:kern w:val="10"/>
                      <w:sz w:val="21"/>
                      <w:szCs w:val="21"/>
                    </w:rPr>
                  </w:pPr>
                  <w:r>
                    <w:rPr>
                      <w:rFonts w:hint="eastAsia" w:ascii="宋体" w:hAnsi="宋体"/>
                      <w:color w:val="auto"/>
                      <w:kern w:val="10"/>
                      <w:sz w:val="21"/>
                      <w:szCs w:val="21"/>
                      <w:lang w:eastAsia="zh-CN"/>
                    </w:rPr>
                    <w:t>成品打包区</w:t>
                  </w:r>
                </w:p>
              </w:tc>
              <w:tc>
                <w:tcPr>
                  <w:tcW w:w="2558" w:type="dxa"/>
                  <w:noWrap w:val="0"/>
                  <w:vAlign w:val="center"/>
                </w:tcPr>
                <w:p w14:paraId="001F9A01">
                  <w:pPr>
                    <w:widowControl w:val="0"/>
                    <w:jc w:val="center"/>
                    <w:rPr>
                      <w:rFonts w:hint="eastAsia" w:ascii="宋体" w:hAnsi="宋体"/>
                      <w:color w:val="auto"/>
                      <w:kern w:val="2"/>
                      <w:sz w:val="21"/>
                      <w:szCs w:val="21"/>
                    </w:rPr>
                  </w:pPr>
                  <w:r>
                    <w:rPr>
                      <w:rFonts w:hint="eastAsia" w:ascii="宋体" w:hAnsi="宋体"/>
                      <w:color w:val="auto"/>
                      <w:kern w:val="2"/>
                      <w:sz w:val="21"/>
                      <w:szCs w:val="21"/>
                      <w:lang w:eastAsia="zh-CN"/>
                    </w:rPr>
                    <w:t>用于成品的打包，占地</w:t>
                  </w:r>
                  <w:r>
                    <w:rPr>
                      <w:rFonts w:hint="eastAsia" w:ascii="宋体" w:hAnsi="宋体"/>
                      <w:color w:val="auto"/>
                      <w:kern w:val="2"/>
                      <w:sz w:val="21"/>
                      <w:szCs w:val="21"/>
                    </w:rPr>
                    <w:t>面积</w:t>
                  </w:r>
                  <w:r>
                    <w:rPr>
                      <w:rFonts w:hint="eastAsia" w:ascii="宋体" w:hAnsi="宋体"/>
                      <w:color w:val="auto"/>
                      <w:kern w:val="2"/>
                      <w:sz w:val="21"/>
                      <w:szCs w:val="21"/>
                      <w:lang w:eastAsia="zh-CN"/>
                    </w:rPr>
                    <w:t>约</w:t>
                  </w:r>
                  <w:r>
                    <w:rPr>
                      <w:rFonts w:hint="eastAsia" w:ascii="宋体" w:hAnsi="宋体"/>
                      <w:color w:val="auto"/>
                      <w:kern w:val="2"/>
                      <w:sz w:val="21"/>
                      <w:szCs w:val="21"/>
                      <w:lang w:val="en-US" w:eastAsia="zh-CN"/>
                    </w:rPr>
                    <w:t>200</w:t>
                  </w:r>
                  <w:r>
                    <w:rPr>
                      <w:rFonts w:hint="eastAsia" w:ascii="宋体" w:hAnsi="宋体"/>
                      <w:color w:val="auto"/>
                      <w:kern w:val="2"/>
                      <w:sz w:val="21"/>
                      <w:szCs w:val="21"/>
                    </w:rPr>
                    <w:t>0 m</w:t>
                  </w:r>
                  <w:r>
                    <w:rPr>
                      <w:rFonts w:hint="eastAsia" w:ascii="宋体" w:hAnsi="宋体"/>
                      <w:color w:val="auto"/>
                      <w:kern w:val="2"/>
                      <w:sz w:val="21"/>
                      <w:szCs w:val="21"/>
                      <w:vertAlign w:val="superscript"/>
                    </w:rPr>
                    <w:t>2</w:t>
                  </w:r>
                </w:p>
              </w:tc>
              <w:tc>
                <w:tcPr>
                  <w:tcW w:w="1693" w:type="dxa"/>
                  <w:noWrap w:val="0"/>
                  <w:vAlign w:val="center"/>
                </w:tcPr>
                <w:p w14:paraId="17AA9CEA">
                  <w:pPr>
                    <w:widowControl w:val="0"/>
                    <w:spacing w:after="120"/>
                    <w:ind w:left="36" w:leftChars="17"/>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w:t>
                  </w:r>
                </w:p>
              </w:tc>
              <w:tc>
                <w:tcPr>
                  <w:tcW w:w="1590" w:type="dxa"/>
                  <w:noWrap w:val="0"/>
                  <w:vAlign w:val="center"/>
                </w:tcPr>
                <w:p w14:paraId="1526F9C2">
                  <w:pPr>
                    <w:widowControl w:val="0"/>
                    <w:jc w:val="center"/>
                    <w:rPr>
                      <w:rFonts w:hint="eastAsia" w:ascii="宋体" w:hAnsi="宋体" w:eastAsia="宋体" w:cs="Times New Roman"/>
                      <w:color w:val="auto"/>
                      <w:kern w:val="2"/>
                      <w:sz w:val="21"/>
                      <w:szCs w:val="21"/>
                      <w:lang w:val="en-US" w:eastAsia="zh-CN" w:bidi="ar-SA"/>
                    </w:rPr>
                  </w:pPr>
                  <w:r>
                    <w:rPr>
                      <w:rFonts w:hint="eastAsia" w:ascii="宋体" w:hAnsi="宋体"/>
                      <w:color w:val="auto"/>
                      <w:kern w:val="2"/>
                      <w:sz w:val="21"/>
                      <w:szCs w:val="21"/>
                      <w:lang w:eastAsia="zh-CN"/>
                    </w:rPr>
                    <w:t>用于成品的打包，占地</w:t>
                  </w:r>
                  <w:r>
                    <w:rPr>
                      <w:rFonts w:hint="eastAsia" w:ascii="宋体" w:hAnsi="宋体"/>
                      <w:color w:val="auto"/>
                      <w:kern w:val="2"/>
                      <w:sz w:val="21"/>
                      <w:szCs w:val="21"/>
                    </w:rPr>
                    <w:t>面积</w:t>
                  </w:r>
                  <w:r>
                    <w:rPr>
                      <w:rFonts w:hint="eastAsia" w:ascii="宋体" w:hAnsi="宋体"/>
                      <w:color w:val="auto"/>
                      <w:kern w:val="2"/>
                      <w:sz w:val="21"/>
                      <w:szCs w:val="21"/>
                      <w:lang w:eastAsia="zh-CN"/>
                    </w:rPr>
                    <w:t>约</w:t>
                  </w:r>
                  <w:r>
                    <w:rPr>
                      <w:rFonts w:hint="eastAsia" w:ascii="宋体" w:hAnsi="宋体"/>
                      <w:color w:val="auto"/>
                      <w:kern w:val="2"/>
                      <w:sz w:val="21"/>
                      <w:szCs w:val="21"/>
                      <w:lang w:val="en-US" w:eastAsia="zh-CN"/>
                    </w:rPr>
                    <w:t>200</w:t>
                  </w:r>
                  <w:r>
                    <w:rPr>
                      <w:rFonts w:hint="eastAsia" w:ascii="宋体" w:hAnsi="宋体"/>
                      <w:color w:val="auto"/>
                      <w:kern w:val="2"/>
                      <w:sz w:val="21"/>
                      <w:szCs w:val="21"/>
                    </w:rPr>
                    <w:t>0 m</w:t>
                  </w:r>
                  <w:r>
                    <w:rPr>
                      <w:rFonts w:hint="eastAsia" w:ascii="宋体" w:hAnsi="宋体"/>
                      <w:color w:val="auto"/>
                      <w:kern w:val="2"/>
                      <w:sz w:val="21"/>
                      <w:szCs w:val="21"/>
                      <w:vertAlign w:val="superscript"/>
                    </w:rPr>
                    <w:t>2</w:t>
                  </w:r>
                </w:p>
              </w:tc>
              <w:tc>
                <w:tcPr>
                  <w:tcW w:w="921" w:type="dxa"/>
                  <w:noWrap w:val="0"/>
                  <w:vAlign w:val="center"/>
                </w:tcPr>
                <w:p w14:paraId="0CA2E51F">
                  <w:pPr>
                    <w:widowControl w:val="0"/>
                    <w:jc w:val="center"/>
                    <w:rPr>
                      <w:rFonts w:hint="eastAsia" w:ascii="宋体" w:hAnsi="宋体"/>
                      <w:color w:val="auto"/>
                      <w:kern w:val="2"/>
                      <w:sz w:val="21"/>
                      <w:szCs w:val="21"/>
                      <w:lang w:eastAsia="zh-CN"/>
                    </w:rPr>
                  </w:pPr>
                  <w:r>
                    <w:rPr>
                      <w:rFonts w:hint="eastAsia" w:ascii="宋体" w:hAnsi="宋体"/>
                      <w:color w:val="auto"/>
                      <w:kern w:val="2"/>
                      <w:sz w:val="21"/>
                      <w:szCs w:val="21"/>
                      <w:lang w:val="en-US" w:eastAsia="zh-CN"/>
                    </w:rPr>
                    <w:t>依托</w:t>
                  </w:r>
                  <w:r>
                    <w:rPr>
                      <w:rFonts w:hint="eastAsia" w:ascii="宋体" w:hAnsi="宋体"/>
                      <w:color w:val="auto"/>
                      <w:kern w:val="2"/>
                      <w:sz w:val="21"/>
                      <w:szCs w:val="21"/>
                      <w:lang w:val="en-US" w:eastAsia="zh-CN"/>
                    </w:rPr>
                    <w:br w:type="textWrapping"/>
                  </w:r>
                  <w:r>
                    <w:rPr>
                      <w:rFonts w:hint="eastAsia" w:ascii="宋体" w:hAnsi="宋体"/>
                      <w:color w:val="auto"/>
                      <w:kern w:val="2"/>
                      <w:sz w:val="21"/>
                      <w:szCs w:val="21"/>
                      <w:lang w:val="en-US" w:eastAsia="zh-CN"/>
                    </w:rPr>
                    <w:t>现有</w:t>
                  </w:r>
                </w:p>
              </w:tc>
            </w:tr>
            <w:tr w14:paraId="2BB44413">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86" w:hRule="atLeast"/>
              </w:trPr>
              <w:tc>
                <w:tcPr>
                  <w:tcW w:w="774" w:type="dxa"/>
                  <w:vMerge w:val="restart"/>
                  <w:noWrap w:val="0"/>
                  <w:vAlign w:val="center"/>
                </w:tcPr>
                <w:p w14:paraId="06AE82FE">
                  <w:pPr>
                    <w:widowControl w:val="0"/>
                    <w:ind w:left="53" w:leftChars="25"/>
                    <w:jc w:val="center"/>
                    <w:rPr>
                      <w:rFonts w:ascii="宋体" w:hAnsi="宋体"/>
                      <w:color w:val="auto"/>
                      <w:kern w:val="2"/>
                      <w:sz w:val="21"/>
                      <w:szCs w:val="21"/>
                    </w:rPr>
                  </w:pPr>
                  <w:r>
                    <w:rPr>
                      <w:rFonts w:ascii="宋体" w:hAnsi="宋体"/>
                      <w:color w:val="auto"/>
                      <w:kern w:val="2"/>
                      <w:sz w:val="21"/>
                      <w:szCs w:val="21"/>
                    </w:rPr>
                    <w:t>辅助工程</w:t>
                  </w:r>
                </w:p>
              </w:tc>
              <w:tc>
                <w:tcPr>
                  <w:tcW w:w="842" w:type="dxa"/>
                  <w:noWrap w:val="0"/>
                  <w:vAlign w:val="center"/>
                </w:tcPr>
                <w:p w14:paraId="080C1D08">
                  <w:pPr>
                    <w:widowControl w:val="0"/>
                    <w:jc w:val="center"/>
                    <w:rPr>
                      <w:rFonts w:hint="eastAsia" w:ascii="宋体" w:hAnsi="宋体" w:eastAsia="宋体"/>
                      <w:color w:val="auto"/>
                      <w:kern w:val="2"/>
                      <w:sz w:val="21"/>
                      <w:szCs w:val="21"/>
                      <w:lang w:eastAsia="zh-CN"/>
                    </w:rPr>
                  </w:pPr>
                  <w:r>
                    <w:rPr>
                      <w:rFonts w:hint="eastAsia" w:ascii="宋体" w:hAnsi="宋体"/>
                      <w:color w:val="auto"/>
                      <w:kern w:val="2"/>
                      <w:sz w:val="21"/>
                      <w:szCs w:val="21"/>
                    </w:rPr>
                    <w:t>办公</w:t>
                  </w:r>
                  <w:r>
                    <w:rPr>
                      <w:rFonts w:hint="eastAsia" w:ascii="宋体" w:hAnsi="宋体"/>
                      <w:color w:val="auto"/>
                      <w:kern w:val="2"/>
                      <w:sz w:val="21"/>
                      <w:szCs w:val="21"/>
                      <w:lang w:eastAsia="zh-CN"/>
                    </w:rPr>
                    <w:t>楼</w:t>
                  </w:r>
                </w:p>
              </w:tc>
              <w:tc>
                <w:tcPr>
                  <w:tcW w:w="2558" w:type="dxa"/>
                  <w:noWrap w:val="0"/>
                  <w:vAlign w:val="center"/>
                </w:tcPr>
                <w:p w14:paraId="4F29890A">
                  <w:pPr>
                    <w:widowControl w:val="0"/>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一栋</w:t>
                  </w:r>
                  <w:r>
                    <w:rPr>
                      <w:rFonts w:hint="eastAsia" w:ascii="宋体" w:hAnsi="宋体"/>
                      <w:color w:val="auto"/>
                      <w:kern w:val="2"/>
                      <w:sz w:val="21"/>
                      <w:szCs w:val="21"/>
                      <w:highlight w:val="none"/>
                      <w:lang w:val="en-US" w:eastAsia="zh-CN"/>
                    </w:rPr>
                    <w:t>2</w:t>
                  </w:r>
                  <w:r>
                    <w:rPr>
                      <w:rFonts w:hint="eastAsia" w:ascii="宋体" w:hAnsi="宋体"/>
                      <w:color w:val="auto"/>
                      <w:kern w:val="2"/>
                      <w:sz w:val="21"/>
                      <w:szCs w:val="21"/>
                      <w:highlight w:val="none"/>
                    </w:rPr>
                    <w:t>层办公楼，</w:t>
                  </w:r>
                  <w:r>
                    <w:rPr>
                      <w:rFonts w:hint="eastAsia" w:ascii="宋体" w:hAnsi="宋体"/>
                      <w:color w:val="auto"/>
                      <w:kern w:val="2"/>
                      <w:sz w:val="21"/>
                      <w:szCs w:val="21"/>
                      <w:highlight w:val="none"/>
                      <w:lang w:eastAsia="zh-CN"/>
                    </w:rPr>
                    <w:t>用于会议、生产调度等，</w:t>
                  </w:r>
                  <w:r>
                    <w:rPr>
                      <w:rFonts w:hint="eastAsia" w:ascii="宋体" w:hAnsi="宋体" w:eastAsia="宋体" w:cs="Times New Roman"/>
                      <w:color w:val="auto"/>
                      <w:kern w:val="2"/>
                      <w:sz w:val="21"/>
                      <w:szCs w:val="21"/>
                      <w:highlight w:val="none"/>
                    </w:rPr>
                    <w:t>建筑面积</w:t>
                  </w:r>
                  <w:r>
                    <w:rPr>
                      <w:rFonts w:hint="eastAsia" w:ascii="宋体" w:hAnsi="宋体"/>
                      <w:color w:val="auto"/>
                      <w:kern w:val="2"/>
                      <w:sz w:val="21"/>
                      <w:szCs w:val="21"/>
                      <w:highlight w:val="none"/>
                      <w:lang w:val="en-US" w:eastAsia="zh-CN"/>
                    </w:rPr>
                    <w:t>176</w:t>
                  </w:r>
                  <w:r>
                    <w:rPr>
                      <w:rFonts w:hint="eastAsia" w:ascii="宋体" w:hAnsi="宋体"/>
                      <w:color w:val="auto"/>
                      <w:kern w:val="2"/>
                      <w:sz w:val="21"/>
                      <w:szCs w:val="21"/>
                      <w:highlight w:val="none"/>
                    </w:rPr>
                    <w:t>0m</w:t>
                  </w:r>
                  <w:r>
                    <w:rPr>
                      <w:rFonts w:hint="eastAsia" w:ascii="宋体" w:hAnsi="宋体"/>
                      <w:color w:val="auto"/>
                      <w:kern w:val="2"/>
                      <w:sz w:val="21"/>
                      <w:szCs w:val="21"/>
                      <w:highlight w:val="none"/>
                      <w:vertAlign w:val="superscript"/>
                    </w:rPr>
                    <w:t>2</w:t>
                  </w:r>
                </w:p>
              </w:tc>
              <w:tc>
                <w:tcPr>
                  <w:tcW w:w="1693" w:type="dxa"/>
                  <w:noWrap w:val="0"/>
                  <w:vAlign w:val="center"/>
                </w:tcPr>
                <w:p w14:paraId="4D537BA1">
                  <w:pPr>
                    <w:widowControl w:val="0"/>
                    <w:spacing w:after="120"/>
                    <w:ind w:left="36" w:leftChars="17"/>
                    <w:jc w:val="center"/>
                    <w:rPr>
                      <w:rFonts w:hint="eastAsia" w:ascii="宋体" w:hAnsi="宋体" w:eastAsia="宋体" w:cs="Times New Roman"/>
                      <w:color w:val="auto"/>
                      <w:kern w:val="2"/>
                      <w:sz w:val="21"/>
                      <w:szCs w:val="21"/>
                      <w:highlight w:val="none"/>
                      <w:lang w:eastAsia="zh-CN"/>
                    </w:rPr>
                  </w:pPr>
                  <w:r>
                    <w:rPr>
                      <w:rFonts w:hint="eastAsia" w:ascii="宋体" w:hAnsi="宋体" w:eastAsia="宋体" w:cs="Times New Roman"/>
                      <w:color w:val="auto"/>
                      <w:kern w:val="2"/>
                      <w:sz w:val="21"/>
                      <w:szCs w:val="21"/>
                      <w:highlight w:val="none"/>
                      <w:lang w:eastAsia="zh-CN"/>
                    </w:rPr>
                    <w:t>新建</w:t>
                  </w:r>
                  <w:r>
                    <w:rPr>
                      <w:rFonts w:hint="eastAsia" w:ascii="宋体" w:hAnsi="宋体" w:eastAsia="宋体" w:cs="Times New Roman"/>
                      <w:color w:val="auto"/>
                      <w:kern w:val="2"/>
                      <w:sz w:val="21"/>
                      <w:szCs w:val="21"/>
                      <w:highlight w:val="none"/>
                    </w:rPr>
                    <w:t>办公</w:t>
                  </w:r>
                  <w:r>
                    <w:rPr>
                      <w:rFonts w:hint="eastAsia" w:ascii="宋体" w:hAnsi="宋体" w:cs="Times New Roman"/>
                      <w:color w:val="auto"/>
                      <w:kern w:val="2"/>
                      <w:sz w:val="21"/>
                      <w:szCs w:val="21"/>
                      <w:highlight w:val="none"/>
                      <w:lang w:eastAsia="zh-CN"/>
                    </w:rPr>
                    <w:t>室</w:t>
                  </w:r>
                  <w:r>
                    <w:rPr>
                      <w:rFonts w:hint="eastAsia" w:ascii="宋体" w:hAnsi="宋体" w:eastAsia="宋体" w:cs="Times New Roman"/>
                      <w:color w:val="auto"/>
                      <w:kern w:val="2"/>
                      <w:sz w:val="21"/>
                      <w:szCs w:val="21"/>
                      <w:highlight w:val="none"/>
                    </w:rPr>
                    <w:t>，用于会议、生产调度等</w:t>
                  </w:r>
                  <w:r>
                    <w:rPr>
                      <w:rFonts w:hint="eastAsia" w:ascii="宋体" w:hAnsi="宋体" w:eastAsia="宋体" w:cs="Times New Roman"/>
                      <w:color w:val="auto"/>
                      <w:kern w:val="2"/>
                      <w:sz w:val="21"/>
                      <w:szCs w:val="21"/>
                      <w:highlight w:val="none"/>
                      <w:lang w:eastAsia="zh-CN"/>
                    </w:rPr>
                    <w:t>，</w:t>
                  </w:r>
                  <w:r>
                    <w:rPr>
                      <w:rFonts w:hint="eastAsia" w:ascii="宋体" w:hAnsi="宋体" w:eastAsia="宋体" w:cs="Times New Roman"/>
                      <w:color w:val="auto"/>
                      <w:kern w:val="2"/>
                      <w:sz w:val="21"/>
                      <w:szCs w:val="21"/>
                      <w:highlight w:val="none"/>
                    </w:rPr>
                    <w:t>建筑面积</w:t>
                  </w:r>
                  <w:r>
                    <w:rPr>
                      <w:rFonts w:hint="eastAsia" w:ascii="宋体" w:hAnsi="宋体" w:eastAsia="宋体" w:cs="Times New Roman"/>
                      <w:color w:val="auto"/>
                      <w:kern w:val="2"/>
                      <w:sz w:val="21"/>
                      <w:szCs w:val="21"/>
                      <w:highlight w:val="none"/>
                      <w:lang w:eastAsia="zh-CN"/>
                    </w:rPr>
                    <w:t>约</w:t>
                  </w:r>
                  <w:r>
                    <w:rPr>
                      <w:rFonts w:hint="eastAsia" w:ascii="宋体" w:hAnsi="宋体" w:cs="Times New Roman"/>
                      <w:color w:val="auto"/>
                      <w:kern w:val="2"/>
                      <w:sz w:val="21"/>
                      <w:szCs w:val="21"/>
                      <w:highlight w:val="none"/>
                      <w:lang w:val="en-US" w:eastAsia="zh-CN"/>
                    </w:rPr>
                    <w:t>1</w:t>
                  </w:r>
                  <w:r>
                    <w:rPr>
                      <w:rFonts w:hint="eastAsia" w:ascii="宋体" w:hAnsi="宋体" w:eastAsia="宋体" w:cs="Times New Roman"/>
                      <w:color w:val="auto"/>
                      <w:kern w:val="2"/>
                      <w:sz w:val="21"/>
                      <w:szCs w:val="21"/>
                      <w:highlight w:val="none"/>
                      <w:lang w:val="en-US" w:eastAsia="zh-CN"/>
                    </w:rPr>
                    <w:t>2</w:t>
                  </w:r>
                  <w:r>
                    <w:rPr>
                      <w:rFonts w:hint="eastAsia" w:ascii="宋体" w:hAnsi="宋体" w:eastAsia="宋体" w:cs="Times New Roman"/>
                      <w:color w:val="auto"/>
                      <w:kern w:val="2"/>
                      <w:sz w:val="21"/>
                      <w:szCs w:val="21"/>
                      <w:highlight w:val="none"/>
                    </w:rPr>
                    <w:t>0m</w:t>
                  </w:r>
                  <w:r>
                    <w:rPr>
                      <w:rFonts w:hint="eastAsia" w:ascii="宋体" w:hAnsi="宋体" w:eastAsia="宋体" w:cs="Times New Roman"/>
                      <w:color w:val="auto"/>
                      <w:kern w:val="2"/>
                      <w:sz w:val="21"/>
                      <w:szCs w:val="21"/>
                      <w:highlight w:val="none"/>
                      <w:vertAlign w:val="superscript"/>
                    </w:rPr>
                    <w:t>2</w:t>
                  </w:r>
                </w:p>
              </w:tc>
              <w:tc>
                <w:tcPr>
                  <w:tcW w:w="1590" w:type="dxa"/>
                  <w:noWrap w:val="0"/>
                  <w:vAlign w:val="center"/>
                </w:tcPr>
                <w:p w14:paraId="3FCBB779">
                  <w:pPr>
                    <w:widowControl w:val="0"/>
                    <w:spacing w:after="120"/>
                    <w:ind w:left="36" w:leftChars="17"/>
                    <w:jc w:val="center"/>
                    <w:rPr>
                      <w:rFonts w:hint="default"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2处办公</w:t>
                  </w:r>
                  <w:r>
                    <w:rPr>
                      <w:rFonts w:hint="eastAsia" w:ascii="宋体" w:hAnsi="宋体" w:cs="Times New Roman"/>
                      <w:color w:val="auto"/>
                      <w:kern w:val="2"/>
                      <w:sz w:val="21"/>
                      <w:szCs w:val="21"/>
                      <w:highlight w:val="none"/>
                      <w:lang w:val="en-US" w:eastAsia="zh-CN"/>
                    </w:rPr>
                    <w:t>地点</w:t>
                  </w:r>
                  <w:r>
                    <w:rPr>
                      <w:rFonts w:hint="eastAsia" w:ascii="宋体" w:hAnsi="宋体" w:eastAsia="宋体" w:cs="Times New Roman"/>
                      <w:color w:val="auto"/>
                      <w:kern w:val="2"/>
                      <w:sz w:val="21"/>
                      <w:szCs w:val="21"/>
                      <w:highlight w:val="none"/>
                      <w:lang w:val="en-US" w:eastAsia="zh-CN"/>
                    </w:rPr>
                    <w:t>，用于会议、生产调度等，建筑面积分别为100</w:t>
                  </w:r>
                  <w:r>
                    <w:rPr>
                      <w:rFonts w:hint="eastAsia" w:ascii="宋体" w:hAnsi="宋体" w:eastAsia="宋体" w:cs="Times New Roman"/>
                      <w:color w:val="auto"/>
                      <w:kern w:val="2"/>
                      <w:sz w:val="21"/>
                      <w:szCs w:val="21"/>
                      <w:highlight w:val="none"/>
                    </w:rPr>
                    <w:t>m</w:t>
                  </w:r>
                  <w:r>
                    <w:rPr>
                      <w:rFonts w:hint="eastAsia" w:ascii="宋体" w:hAnsi="宋体" w:eastAsia="宋体" w:cs="Times New Roman"/>
                      <w:color w:val="auto"/>
                      <w:kern w:val="2"/>
                      <w:sz w:val="21"/>
                      <w:szCs w:val="21"/>
                      <w:highlight w:val="none"/>
                      <w:vertAlign w:val="superscript"/>
                    </w:rPr>
                    <w:t>2</w:t>
                  </w:r>
                  <w:r>
                    <w:rPr>
                      <w:rFonts w:hint="eastAsia" w:ascii="宋体" w:hAnsi="宋体" w:eastAsia="宋体" w:cs="Times New Roman"/>
                      <w:color w:val="auto"/>
                      <w:kern w:val="2"/>
                      <w:sz w:val="21"/>
                      <w:szCs w:val="21"/>
                      <w:highlight w:val="none"/>
                      <w:lang w:eastAsia="zh-CN"/>
                    </w:rPr>
                    <w:t>，</w:t>
                  </w:r>
                  <w:r>
                    <w:rPr>
                      <w:rFonts w:hint="eastAsia" w:ascii="宋体" w:hAnsi="宋体" w:eastAsia="宋体" w:cs="Times New Roman"/>
                      <w:color w:val="auto"/>
                      <w:kern w:val="2"/>
                      <w:sz w:val="21"/>
                      <w:szCs w:val="21"/>
                      <w:highlight w:val="none"/>
                      <w:lang w:val="en-US" w:eastAsia="zh-CN"/>
                    </w:rPr>
                    <w:t>2</w:t>
                  </w:r>
                  <w:r>
                    <w:rPr>
                      <w:rFonts w:hint="eastAsia" w:ascii="宋体" w:hAnsi="宋体" w:eastAsia="宋体" w:cs="Times New Roman"/>
                      <w:color w:val="auto"/>
                      <w:kern w:val="2"/>
                      <w:sz w:val="21"/>
                      <w:szCs w:val="21"/>
                      <w:highlight w:val="none"/>
                    </w:rPr>
                    <w:t>00m</w:t>
                  </w:r>
                  <w:r>
                    <w:rPr>
                      <w:rFonts w:hint="eastAsia" w:ascii="宋体" w:hAnsi="宋体" w:eastAsia="宋体" w:cs="Times New Roman"/>
                      <w:color w:val="auto"/>
                      <w:kern w:val="2"/>
                      <w:sz w:val="21"/>
                      <w:szCs w:val="21"/>
                      <w:highlight w:val="none"/>
                      <w:vertAlign w:val="superscript"/>
                    </w:rPr>
                    <w:t>2</w:t>
                  </w:r>
                </w:p>
              </w:tc>
              <w:tc>
                <w:tcPr>
                  <w:tcW w:w="921" w:type="dxa"/>
                  <w:noWrap w:val="0"/>
                  <w:vAlign w:val="center"/>
                </w:tcPr>
                <w:p w14:paraId="770735E9">
                  <w:pPr>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新增</w:t>
                  </w:r>
                  <w:r>
                    <w:rPr>
                      <w:rFonts w:hint="eastAsia" w:ascii="宋体" w:hAnsi="宋体"/>
                      <w:color w:val="auto"/>
                      <w:sz w:val="21"/>
                      <w:szCs w:val="21"/>
                      <w:highlight w:val="none"/>
                      <w:lang w:val="en-US" w:eastAsia="zh-CN"/>
                    </w:rPr>
                    <w:t>办公区</w:t>
                  </w:r>
                </w:p>
              </w:tc>
            </w:tr>
            <w:tr w14:paraId="2B9E4D6D">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37" w:hRule="atLeast"/>
              </w:trPr>
              <w:tc>
                <w:tcPr>
                  <w:tcW w:w="774" w:type="dxa"/>
                  <w:vMerge w:val="continue"/>
                  <w:noWrap w:val="0"/>
                  <w:vAlign w:val="center"/>
                </w:tcPr>
                <w:p w14:paraId="28970D43">
                  <w:pPr>
                    <w:widowControl w:val="0"/>
                    <w:ind w:left="420" w:leftChars="200"/>
                    <w:jc w:val="center"/>
                    <w:rPr>
                      <w:rFonts w:ascii="宋体" w:hAnsi="宋体"/>
                      <w:color w:val="auto"/>
                      <w:kern w:val="2"/>
                      <w:sz w:val="21"/>
                      <w:szCs w:val="21"/>
                    </w:rPr>
                  </w:pPr>
                </w:p>
              </w:tc>
              <w:tc>
                <w:tcPr>
                  <w:tcW w:w="842" w:type="dxa"/>
                  <w:noWrap w:val="0"/>
                  <w:vAlign w:val="center"/>
                </w:tcPr>
                <w:p w14:paraId="653BD258">
                  <w:pPr>
                    <w:widowControl w:val="0"/>
                    <w:jc w:val="center"/>
                    <w:rPr>
                      <w:rFonts w:hint="eastAsia" w:ascii="宋体" w:hAnsi="宋体"/>
                      <w:color w:val="auto"/>
                      <w:kern w:val="2"/>
                      <w:sz w:val="21"/>
                      <w:szCs w:val="21"/>
                      <w:lang w:eastAsia="zh-CN"/>
                    </w:rPr>
                  </w:pPr>
                  <w:r>
                    <w:rPr>
                      <w:rFonts w:hint="eastAsia" w:ascii="宋体" w:hAnsi="宋体"/>
                      <w:color w:val="auto"/>
                      <w:kern w:val="2"/>
                      <w:sz w:val="21"/>
                      <w:szCs w:val="21"/>
                      <w:lang w:eastAsia="zh-CN"/>
                    </w:rPr>
                    <w:t>宿舍</w:t>
                  </w:r>
                </w:p>
              </w:tc>
              <w:tc>
                <w:tcPr>
                  <w:tcW w:w="2558" w:type="dxa"/>
                  <w:noWrap w:val="0"/>
                  <w:vAlign w:val="center"/>
                </w:tcPr>
                <w:p w14:paraId="15D8A66A">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宋体" w:hAnsi="宋体"/>
                      <w:color w:val="auto"/>
                      <w:kern w:val="2"/>
                      <w:sz w:val="21"/>
                      <w:szCs w:val="21"/>
                      <w:lang w:val="en-US" w:eastAsia="zh-CN"/>
                    </w:rPr>
                  </w:pPr>
                  <w:r>
                    <w:rPr>
                      <w:rFonts w:hint="eastAsia" w:ascii="宋体" w:hAnsi="宋体"/>
                      <w:color w:val="auto"/>
                      <w:kern w:val="2"/>
                      <w:sz w:val="21"/>
                      <w:szCs w:val="21"/>
                      <w:lang w:val="en-US" w:eastAsia="zh-CN"/>
                    </w:rPr>
                    <w:t>/</w:t>
                  </w:r>
                </w:p>
              </w:tc>
              <w:tc>
                <w:tcPr>
                  <w:tcW w:w="1693" w:type="dxa"/>
                  <w:noWrap w:val="0"/>
                  <w:vAlign w:val="center"/>
                </w:tcPr>
                <w:p w14:paraId="686A7384">
                  <w:pPr>
                    <w:widowControl w:val="0"/>
                    <w:spacing w:after="120"/>
                    <w:ind w:left="86" w:leftChars="41"/>
                    <w:jc w:val="center"/>
                    <w:rPr>
                      <w:rFonts w:hint="eastAsia" w:ascii="宋体" w:hAnsi="宋体" w:eastAsia="宋体"/>
                      <w:color w:val="auto"/>
                      <w:kern w:val="2"/>
                      <w:sz w:val="21"/>
                      <w:szCs w:val="21"/>
                      <w:lang w:val="en-US" w:eastAsia="zh-CN"/>
                    </w:rPr>
                  </w:pPr>
                  <w:r>
                    <w:rPr>
                      <w:rFonts w:hint="eastAsia" w:ascii="宋体" w:hAnsi="宋体"/>
                      <w:color w:val="auto"/>
                      <w:kern w:val="2"/>
                      <w:sz w:val="21"/>
                      <w:szCs w:val="21"/>
                      <w:lang w:val="en-US" w:eastAsia="zh-CN"/>
                    </w:rPr>
                    <w:t>新</w:t>
                  </w:r>
                  <w:r>
                    <w:rPr>
                      <w:rFonts w:hint="eastAsia" w:ascii="宋体" w:hAnsi="宋体"/>
                      <w:color w:val="auto"/>
                      <w:kern w:val="2"/>
                      <w:sz w:val="21"/>
                      <w:szCs w:val="21"/>
                      <w:highlight w:val="none"/>
                      <w:lang w:val="en-US" w:eastAsia="zh-CN"/>
                    </w:rPr>
                    <w:t>建</w:t>
                  </w:r>
                  <w:r>
                    <w:rPr>
                      <w:rFonts w:hint="eastAsia" w:ascii="宋体" w:hAnsi="宋体" w:eastAsia="宋体" w:cs="Times New Roman"/>
                      <w:color w:val="auto"/>
                      <w:kern w:val="2"/>
                      <w:sz w:val="21"/>
                      <w:szCs w:val="21"/>
                      <w:highlight w:val="none"/>
                    </w:rPr>
                    <w:t>建筑面积</w:t>
                  </w:r>
                  <w:r>
                    <w:rPr>
                      <w:rFonts w:hint="eastAsia" w:ascii="宋体" w:hAnsi="宋体" w:eastAsia="宋体" w:cs="Times New Roman"/>
                      <w:color w:val="auto"/>
                      <w:kern w:val="2"/>
                      <w:sz w:val="21"/>
                      <w:szCs w:val="21"/>
                      <w:highlight w:val="none"/>
                      <w:lang w:eastAsia="zh-CN"/>
                    </w:rPr>
                    <w:t>约</w:t>
                  </w:r>
                  <w:r>
                    <w:rPr>
                      <w:rFonts w:hint="eastAsia" w:ascii="宋体" w:hAnsi="宋体"/>
                      <w:color w:val="auto"/>
                      <w:kern w:val="2"/>
                      <w:sz w:val="21"/>
                      <w:szCs w:val="21"/>
                      <w:highlight w:val="none"/>
                      <w:lang w:val="en-US" w:eastAsia="zh-CN"/>
                    </w:rPr>
                    <w:t>90</w:t>
                  </w:r>
                  <w:r>
                    <w:rPr>
                      <w:rFonts w:hint="eastAsia" w:ascii="宋体" w:hAnsi="宋体" w:eastAsia="宋体" w:cs="Times New Roman"/>
                      <w:color w:val="auto"/>
                      <w:kern w:val="2"/>
                      <w:sz w:val="21"/>
                      <w:szCs w:val="21"/>
                      <w:highlight w:val="none"/>
                    </w:rPr>
                    <w:t>m</w:t>
                  </w:r>
                  <w:r>
                    <w:rPr>
                      <w:rFonts w:hint="eastAsia" w:ascii="宋体" w:hAnsi="宋体" w:eastAsia="宋体" w:cs="Times New Roman"/>
                      <w:color w:val="auto"/>
                      <w:kern w:val="2"/>
                      <w:sz w:val="21"/>
                      <w:szCs w:val="21"/>
                      <w:highlight w:val="none"/>
                      <w:vertAlign w:val="superscript"/>
                    </w:rPr>
                    <w:t>2</w:t>
                  </w:r>
                  <w:r>
                    <w:rPr>
                      <w:rFonts w:hint="eastAsia" w:ascii="宋体" w:hAnsi="宋体" w:cs="Times New Roman"/>
                      <w:color w:val="auto"/>
                      <w:kern w:val="2"/>
                      <w:sz w:val="21"/>
                      <w:szCs w:val="21"/>
                      <w:highlight w:val="none"/>
                      <w:vertAlign w:val="baseline"/>
                      <w:lang w:eastAsia="zh-CN"/>
                    </w:rPr>
                    <w:t>宿舍，用于部分职工休息</w:t>
                  </w:r>
                </w:p>
              </w:tc>
              <w:tc>
                <w:tcPr>
                  <w:tcW w:w="1590" w:type="dxa"/>
                  <w:noWrap w:val="0"/>
                  <w:vAlign w:val="center"/>
                </w:tcPr>
                <w:p w14:paraId="3DB5F1FC">
                  <w:pPr>
                    <w:widowControl w:val="0"/>
                    <w:spacing w:after="120"/>
                    <w:ind w:left="86" w:leftChars="41"/>
                    <w:jc w:val="center"/>
                    <w:rPr>
                      <w:rFonts w:hint="eastAsia" w:ascii="宋体" w:hAnsi="宋体"/>
                      <w:color w:val="auto"/>
                      <w:kern w:val="2"/>
                      <w:sz w:val="21"/>
                      <w:szCs w:val="21"/>
                      <w:lang w:eastAsia="zh-CN"/>
                    </w:rPr>
                  </w:pPr>
                  <w:r>
                    <w:rPr>
                      <w:rFonts w:hint="eastAsia" w:ascii="宋体" w:hAnsi="宋体" w:eastAsia="宋体" w:cs="Times New Roman"/>
                      <w:color w:val="auto"/>
                      <w:kern w:val="2"/>
                      <w:sz w:val="21"/>
                      <w:szCs w:val="21"/>
                      <w:highlight w:val="none"/>
                    </w:rPr>
                    <w:t>建筑面积</w:t>
                  </w:r>
                  <w:r>
                    <w:rPr>
                      <w:rFonts w:hint="eastAsia" w:ascii="宋体" w:hAnsi="宋体" w:eastAsia="宋体" w:cs="Times New Roman"/>
                      <w:color w:val="auto"/>
                      <w:kern w:val="2"/>
                      <w:sz w:val="21"/>
                      <w:szCs w:val="21"/>
                      <w:highlight w:val="none"/>
                      <w:lang w:eastAsia="zh-CN"/>
                    </w:rPr>
                    <w:t>约</w:t>
                  </w:r>
                  <w:r>
                    <w:rPr>
                      <w:rFonts w:hint="eastAsia" w:ascii="宋体" w:hAnsi="宋体"/>
                      <w:color w:val="auto"/>
                      <w:kern w:val="2"/>
                      <w:sz w:val="21"/>
                      <w:szCs w:val="21"/>
                      <w:highlight w:val="none"/>
                      <w:lang w:val="en-US" w:eastAsia="zh-CN"/>
                    </w:rPr>
                    <w:t>90</w:t>
                  </w:r>
                  <w:r>
                    <w:rPr>
                      <w:rFonts w:hint="eastAsia" w:ascii="宋体" w:hAnsi="宋体" w:eastAsia="宋体" w:cs="Times New Roman"/>
                      <w:color w:val="auto"/>
                      <w:kern w:val="2"/>
                      <w:sz w:val="21"/>
                      <w:szCs w:val="21"/>
                      <w:highlight w:val="none"/>
                    </w:rPr>
                    <w:t>m</w:t>
                  </w:r>
                  <w:r>
                    <w:rPr>
                      <w:rFonts w:hint="eastAsia" w:ascii="宋体" w:hAnsi="宋体" w:eastAsia="宋体" w:cs="Times New Roman"/>
                      <w:color w:val="auto"/>
                      <w:kern w:val="2"/>
                      <w:sz w:val="21"/>
                      <w:szCs w:val="21"/>
                      <w:highlight w:val="none"/>
                      <w:vertAlign w:val="superscript"/>
                    </w:rPr>
                    <w:t>2</w:t>
                  </w:r>
                  <w:r>
                    <w:rPr>
                      <w:rFonts w:hint="eastAsia" w:ascii="宋体" w:hAnsi="宋体" w:cs="Times New Roman"/>
                      <w:color w:val="auto"/>
                      <w:kern w:val="2"/>
                      <w:sz w:val="21"/>
                      <w:szCs w:val="21"/>
                      <w:highlight w:val="none"/>
                      <w:vertAlign w:val="baseline"/>
                      <w:lang w:eastAsia="zh-CN"/>
                    </w:rPr>
                    <w:t>宿舍，用于部分职工休息</w:t>
                  </w:r>
                </w:p>
              </w:tc>
              <w:tc>
                <w:tcPr>
                  <w:tcW w:w="921" w:type="dxa"/>
                  <w:noWrap w:val="0"/>
                  <w:vAlign w:val="center"/>
                </w:tcPr>
                <w:p w14:paraId="01E14008">
                  <w:pPr>
                    <w:jc w:val="center"/>
                    <w:rPr>
                      <w:rFonts w:hint="eastAsia" w:ascii="宋体" w:hAnsi="宋体"/>
                      <w:color w:val="auto"/>
                      <w:kern w:val="2"/>
                      <w:sz w:val="21"/>
                      <w:szCs w:val="21"/>
                      <w:lang w:val="en-US" w:eastAsia="zh-CN"/>
                    </w:rPr>
                  </w:pPr>
                  <w:r>
                    <w:rPr>
                      <w:rFonts w:hint="eastAsia" w:ascii="宋体" w:hAnsi="宋体"/>
                      <w:color w:val="auto"/>
                      <w:kern w:val="2"/>
                      <w:sz w:val="21"/>
                      <w:szCs w:val="21"/>
                      <w:lang w:val="en-US" w:eastAsia="zh-CN"/>
                    </w:rPr>
                    <w:t>新</w:t>
                  </w:r>
                  <w:r>
                    <w:rPr>
                      <w:rFonts w:hint="eastAsia" w:ascii="宋体" w:hAnsi="宋体"/>
                      <w:color w:val="auto"/>
                      <w:kern w:val="2"/>
                      <w:sz w:val="21"/>
                      <w:szCs w:val="21"/>
                      <w:highlight w:val="none"/>
                      <w:lang w:val="en-US" w:eastAsia="zh-CN"/>
                    </w:rPr>
                    <w:t>建</w:t>
                  </w:r>
                </w:p>
              </w:tc>
            </w:tr>
            <w:tr w14:paraId="6B7DAEB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37" w:hRule="atLeast"/>
              </w:trPr>
              <w:tc>
                <w:tcPr>
                  <w:tcW w:w="774" w:type="dxa"/>
                  <w:vMerge w:val="continue"/>
                  <w:noWrap w:val="0"/>
                  <w:vAlign w:val="center"/>
                </w:tcPr>
                <w:p w14:paraId="2FE4EAD6">
                  <w:pPr>
                    <w:widowControl w:val="0"/>
                    <w:ind w:left="420" w:leftChars="200"/>
                    <w:jc w:val="center"/>
                    <w:rPr>
                      <w:rFonts w:ascii="宋体" w:hAnsi="宋体"/>
                      <w:color w:val="auto"/>
                      <w:kern w:val="2"/>
                      <w:sz w:val="21"/>
                      <w:szCs w:val="21"/>
                    </w:rPr>
                  </w:pPr>
                </w:p>
              </w:tc>
              <w:tc>
                <w:tcPr>
                  <w:tcW w:w="842" w:type="dxa"/>
                  <w:noWrap w:val="0"/>
                  <w:vAlign w:val="center"/>
                </w:tcPr>
                <w:p w14:paraId="025246BA">
                  <w:pPr>
                    <w:widowControl w:val="0"/>
                    <w:jc w:val="center"/>
                    <w:rPr>
                      <w:rFonts w:hint="eastAsia" w:ascii="宋体" w:hAnsi="宋体" w:eastAsia="宋体"/>
                      <w:color w:val="auto"/>
                      <w:kern w:val="2"/>
                      <w:sz w:val="21"/>
                      <w:szCs w:val="21"/>
                      <w:lang w:eastAsia="zh-CN"/>
                    </w:rPr>
                  </w:pPr>
                  <w:r>
                    <w:rPr>
                      <w:rFonts w:hint="eastAsia" w:ascii="宋体" w:hAnsi="宋体"/>
                      <w:color w:val="auto"/>
                      <w:kern w:val="2"/>
                      <w:sz w:val="21"/>
                      <w:szCs w:val="21"/>
                      <w:lang w:eastAsia="zh-CN"/>
                    </w:rPr>
                    <w:t>停车区</w:t>
                  </w:r>
                </w:p>
              </w:tc>
              <w:tc>
                <w:tcPr>
                  <w:tcW w:w="2558" w:type="dxa"/>
                  <w:noWrap w:val="0"/>
                  <w:vAlign w:val="center"/>
                </w:tcPr>
                <w:p w14:paraId="22B6D43D">
                  <w:pPr>
                    <w:keepNext w:val="0"/>
                    <w:keepLines w:val="0"/>
                    <w:pageBreakBefore w:val="0"/>
                    <w:widowControl w:val="0"/>
                    <w:kinsoku/>
                    <w:wordWrap/>
                    <w:overflowPunct/>
                    <w:topLinePunct w:val="0"/>
                    <w:autoSpaceDE/>
                    <w:autoSpaceDN/>
                    <w:bidi w:val="0"/>
                    <w:adjustRightInd/>
                    <w:snapToGrid/>
                    <w:ind w:left="0" w:leftChars="0"/>
                    <w:jc w:val="center"/>
                    <w:textAlignment w:val="auto"/>
                    <w:rPr>
                      <w:rFonts w:ascii="宋体" w:hAnsi="宋体"/>
                      <w:color w:val="auto"/>
                      <w:kern w:val="2"/>
                      <w:sz w:val="21"/>
                      <w:szCs w:val="21"/>
                    </w:rPr>
                  </w:pPr>
                  <w:r>
                    <w:rPr>
                      <w:rFonts w:hint="eastAsia" w:ascii="宋体" w:hAnsi="宋体"/>
                      <w:color w:val="auto"/>
                      <w:kern w:val="2"/>
                      <w:sz w:val="21"/>
                      <w:szCs w:val="21"/>
                      <w:lang w:eastAsia="zh-CN"/>
                    </w:rPr>
                    <w:t>占地</w:t>
                  </w:r>
                  <w:r>
                    <w:rPr>
                      <w:rFonts w:hint="eastAsia" w:ascii="宋体" w:hAnsi="宋体"/>
                      <w:color w:val="auto"/>
                      <w:kern w:val="2"/>
                      <w:sz w:val="21"/>
                      <w:szCs w:val="21"/>
                    </w:rPr>
                    <w:t>面积</w:t>
                  </w:r>
                  <w:r>
                    <w:rPr>
                      <w:rFonts w:hint="eastAsia" w:ascii="宋体" w:hAnsi="宋体"/>
                      <w:color w:val="auto"/>
                      <w:kern w:val="2"/>
                      <w:sz w:val="21"/>
                      <w:szCs w:val="21"/>
                      <w:lang w:val="en-US" w:eastAsia="zh-CN"/>
                    </w:rPr>
                    <w:t>35</w:t>
                  </w:r>
                  <w:r>
                    <w:rPr>
                      <w:rFonts w:hint="eastAsia" w:ascii="宋体" w:hAnsi="宋体"/>
                      <w:color w:val="auto"/>
                      <w:kern w:val="2"/>
                      <w:sz w:val="21"/>
                      <w:szCs w:val="21"/>
                    </w:rPr>
                    <w:t>0m</w:t>
                  </w:r>
                  <w:r>
                    <w:rPr>
                      <w:rFonts w:hint="eastAsia" w:ascii="宋体" w:hAnsi="宋体"/>
                      <w:color w:val="auto"/>
                      <w:kern w:val="2"/>
                      <w:sz w:val="21"/>
                      <w:szCs w:val="21"/>
                      <w:vertAlign w:val="superscript"/>
                    </w:rPr>
                    <w:t>2</w:t>
                  </w:r>
                </w:p>
              </w:tc>
              <w:tc>
                <w:tcPr>
                  <w:tcW w:w="1693" w:type="dxa"/>
                  <w:noWrap w:val="0"/>
                  <w:vAlign w:val="center"/>
                </w:tcPr>
                <w:p w14:paraId="56E3F3FB">
                  <w:pPr>
                    <w:widowControl w:val="0"/>
                    <w:spacing w:after="120"/>
                    <w:ind w:left="86" w:leftChars="41"/>
                    <w:jc w:val="center"/>
                    <w:rPr>
                      <w:rFonts w:hint="eastAsia" w:ascii="宋体" w:hAnsi="宋体" w:eastAsia="宋体"/>
                      <w:color w:val="auto"/>
                      <w:kern w:val="2"/>
                      <w:sz w:val="21"/>
                      <w:szCs w:val="21"/>
                      <w:lang w:val="en-US" w:eastAsia="zh-CN"/>
                    </w:rPr>
                  </w:pPr>
                  <w:r>
                    <w:rPr>
                      <w:rFonts w:hint="eastAsia" w:ascii="宋体" w:hAnsi="宋体"/>
                      <w:color w:val="auto"/>
                      <w:kern w:val="2"/>
                      <w:sz w:val="21"/>
                      <w:szCs w:val="21"/>
                      <w:lang w:val="en-US" w:eastAsia="zh-CN"/>
                    </w:rPr>
                    <w:t>/</w:t>
                  </w:r>
                </w:p>
              </w:tc>
              <w:tc>
                <w:tcPr>
                  <w:tcW w:w="1590" w:type="dxa"/>
                  <w:noWrap w:val="0"/>
                  <w:vAlign w:val="center"/>
                </w:tcPr>
                <w:p w14:paraId="730F290B">
                  <w:pPr>
                    <w:widowControl w:val="0"/>
                    <w:spacing w:after="120"/>
                    <w:ind w:left="86" w:leftChars="41"/>
                    <w:jc w:val="center"/>
                    <w:rPr>
                      <w:rFonts w:hint="eastAsia" w:ascii="宋体" w:hAnsi="宋体"/>
                      <w:color w:val="auto"/>
                      <w:kern w:val="2"/>
                      <w:sz w:val="21"/>
                      <w:szCs w:val="21"/>
                    </w:rPr>
                  </w:pPr>
                  <w:r>
                    <w:rPr>
                      <w:rFonts w:hint="eastAsia" w:ascii="宋体" w:hAnsi="宋体"/>
                      <w:color w:val="auto"/>
                      <w:kern w:val="2"/>
                      <w:sz w:val="21"/>
                      <w:szCs w:val="21"/>
                      <w:lang w:eastAsia="zh-CN"/>
                    </w:rPr>
                    <w:t>占地</w:t>
                  </w:r>
                  <w:r>
                    <w:rPr>
                      <w:rFonts w:hint="eastAsia" w:ascii="宋体" w:hAnsi="宋体"/>
                      <w:color w:val="auto"/>
                      <w:kern w:val="2"/>
                      <w:sz w:val="21"/>
                      <w:szCs w:val="21"/>
                    </w:rPr>
                    <w:t>面积</w:t>
                  </w:r>
                  <w:r>
                    <w:rPr>
                      <w:rFonts w:hint="eastAsia" w:ascii="宋体" w:hAnsi="宋体"/>
                      <w:color w:val="auto"/>
                      <w:kern w:val="2"/>
                      <w:sz w:val="21"/>
                      <w:szCs w:val="21"/>
                      <w:lang w:val="en-US" w:eastAsia="zh-CN"/>
                    </w:rPr>
                    <w:t>35</w:t>
                  </w:r>
                  <w:r>
                    <w:rPr>
                      <w:rFonts w:hint="eastAsia" w:ascii="宋体" w:hAnsi="宋体"/>
                      <w:color w:val="auto"/>
                      <w:kern w:val="2"/>
                      <w:sz w:val="21"/>
                      <w:szCs w:val="21"/>
                    </w:rPr>
                    <w:t>0m</w:t>
                  </w:r>
                  <w:r>
                    <w:rPr>
                      <w:rFonts w:hint="eastAsia" w:ascii="宋体" w:hAnsi="宋体"/>
                      <w:color w:val="auto"/>
                      <w:kern w:val="2"/>
                      <w:sz w:val="21"/>
                      <w:szCs w:val="21"/>
                      <w:vertAlign w:val="superscript"/>
                    </w:rPr>
                    <w:t>2</w:t>
                  </w:r>
                </w:p>
              </w:tc>
              <w:tc>
                <w:tcPr>
                  <w:tcW w:w="921" w:type="dxa"/>
                  <w:noWrap w:val="0"/>
                  <w:vAlign w:val="center"/>
                </w:tcPr>
                <w:p w14:paraId="774CB879">
                  <w:pPr>
                    <w:jc w:val="center"/>
                    <w:rPr>
                      <w:rFonts w:hint="default" w:ascii="宋体" w:hAnsi="宋体" w:eastAsia="宋体"/>
                      <w:color w:val="auto"/>
                      <w:kern w:val="2"/>
                      <w:sz w:val="21"/>
                      <w:szCs w:val="21"/>
                      <w:lang w:val="en-US" w:eastAsia="zh-CN"/>
                    </w:rPr>
                  </w:pPr>
                  <w:r>
                    <w:rPr>
                      <w:rFonts w:hint="eastAsia" w:ascii="宋体" w:hAnsi="宋体"/>
                      <w:color w:val="auto"/>
                      <w:kern w:val="2"/>
                      <w:sz w:val="21"/>
                      <w:szCs w:val="21"/>
                      <w:lang w:val="en-US" w:eastAsia="zh-CN"/>
                    </w:rPr>
                    <w:t>依托</w:t>
                  </w:r>
                  <w:r>
                    <w:rPr>
                      <w:rFonts w:hint="eastAsia" w:ascii="宋体" w:hAnsi="宋体"/>
                      <w:color w:val="auto"/>
                      <w:kern w:val="2"/>
                      <w:sz w:val="21"/>
                      <w:szCs w:val="21"/>
                      <w:lang w:val="en-US" w:eastAsia="zh-CN"/>
                    </w:rPr>
                    <w:br w:type="textWrapping"/>
                  </w:r>
                  <w:r>
                    <w:rPr>
                      <w:rFonts w:hint="eastAsia" w:ascii="宋体" w:hAnsi="宋体"/>
                      <w:color w:val="auto"/>
                      <w:kern w:val="2"/>
                      <w:sz w:val="21"/>
                      <w:szCs w:val="21"/>
                      <w:lang w:val="en-US" w:eastAsia="zh-CN"/>
                    </w:rPr>
                    <w:t>现有</w:t>
                  </w:r>
                </w:p>
              </w:tc>
            </w:tr>
            <w:tr w14:paraId="031F6683">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37" w:hRule="atLeast"/>
              </w:trPr>
              <w:tc>
                <w:tcPr>
                  <w:tcW w:w="774" w:type="dxa"/>
                  <w:vMerge w:val="continue"/>
                  <w:noWrap w:val="0"/>
                  <w:vAlign w:val="center"/>
                </w:tcPr>
                <w:p w14:paraId="275849D8">
                  <w:pPr>
                    <w:widowControl w:val="0"/>
                    <w:ind w:left="420" w:leftChars="200"/>
                    <w:jc w:val="center"/>
                    <w:rPr>
                      <w:rFonts w:ascii="宋体" w:hAnsi="宋体"/>
                      <w:color w:val="auto"/>
                      <w:kern w:val="2"/>
                      <w:sz w:val="21"/>
                      <w:szCs w:val="21"/>
                    </w:rPr>
                  </w:pPr>
                </w:p>
              </w:tc>
              <w:tc>
                <w:tcPr>
                  <w:tcW w:w="842" w:type="dxa"/>
                  <w:noWrap w:val="0"/>
                  <w:vAlign w:val="center"/>
                </w:tcPr>
                <w:p w14:paraId="43FB16B4">
                  <w:pPr>
                    <w:widowControl w:val="0"/>
                    <w:jc w:val="center"/>
                    <w:rPr>
                      <w:rFonts w:ascii="宋体" w:hAnsi="宋体"/>
                      <w:color w:val="auto"/>
                      <w:kern w:val="2"/>
                      <w:sz w:val="21"/>
                      <w:szCs w:val="21"/>
                    </w:rPr>
                  </w:pPr>
                  <w:r>
                    <w:rPr>
                      <w:rFonts w:hint="eastAsia" w:ascii="宋体" w:hAnsi="宋体"/>
                      <w:color w:val="auto"/>
                      <w:kern w:val="2"/>
                      <w:sz w:val="21"/>
                      <w:szCs w:val="21"/>
                    </w:rPr>
                    <w:t>门卫</w:t>
                  </w:r>
                </w:p>
              </w:tc>
              <w:tc>
                <w:tcPr>
                  <w:tcW w:w="2558" w:type="dxa"/>
                  <w:noWrap w:val="0"/>
                  <w:vAlign w:val="center"/>
                </w:tcPr>
                <w:p w14:paraId="30FD1550">
                  <w:pPr>
                    <w:keepNext w:val="0"/>
                    <w:keepLines w:val="0"/>
                    <w:pageBreakBefore w:val="0"/>
                    <w:widowControl w:val="0"/>
                    <w:kinsoku/>
                    <w:wordWrap/>
                    <w:overflowPunct/>
                    <w:topLinePunct w:val="0"/>
                    <w:autoSpaceDE/>
                    <w:autoSpaceDN/>
                    <w:bidi w:val="0"/>
                    <w:adjustRightInd/>
                    <w:snapToGrid/>
                    <w:ind w:left="0" w:leftChars="0"/>
                    <w:jc w:val="center"/>
                    <w:textAlignment w:val="auto"/>
                    <w:rPr>
                      <w:rFonts w:ascii="宋体" w:hAnsi="宋体"/>
                      <w:color w:val="auto"/>
                      <w:kern w:val="2"/>
                      <w:sz w:val="21"/>
                      <w:szCs w:val="21"/>
                    </w:rPr>
                  </w:pPr>
                  <w:r>
                    <w:rPr>
                      <w:rFonts w:hint="eastAsia" w:ascii="宋体" w:hAnsi="宋体"/>
                      <w:color w:val="auto"/>
                      <w:kern w:val="2"/>
                      <w:sz w:val="21"/>
                      <w:szCs w:val="21"/>
                    </w:rPr>
                    <w:t>建筑面积</w:t>
                  </w:r>
                  <w:r>
                    <w:rPr>
                      <w:rFonts w:ascii="宋体" w:hAnsi="宋体"/>
                      <w:color w:val="auto"/>
                      <w:kern w:val="2"/>
                      <w:sz w:val="21"/>
                      <w:szCs w:val="21"/>
                    </w:rPr>
                    <w:t>2</w:t>
                  </w:r>
                  <w:r>
                    <w:rPr>
                      <w:rFonts w:hint="eastAsia" w:ascii="宋体" w:hAnsi="宋体"/>
                      <w:color w:val="auto"/>
                      <w:kern w:val="2"/>
                      <w:sz w:val="21"/>
                      <w:szCs w:val="21"/>
                    </w:rPr>
                    <w:t>0m</w:t>
                  </w:r>
                  <w:r>
                    <w:rPr>
                      <w:rFonts w:hint="eastAsia" w:ascii="宋体" w:hAnsi="宋体"/>
                      <w:color w:val="auto"/>
                      <w:kern w:val="2"/>
                      <w:sz w:val="21"/>
                      <w:szCs w:val="21"/>
                      <w:vertAlign w:val="superscript"/>
                    </w:rPr>
                    <w:t>2</w:t>
                  </w:r>
                </w:p>
              </w:tc>
              <w:tc>
                <w:tcPr>
                  <w:tcW w:w="1693" w:type="dxa"/>
                  <w:noWrap w:val="0"/>
                  <w:vAlign w:val="center"/>
                </w:tcPr>
                <w:p w14:paraId="03FF7ECC">
                  <w:pPr>
                    <w:widowControl w:val="0"/>
                    <w:spacing w:after="120"/>
                    <w:ind w:left="86" w:leftChars="41"/>
                    <w:jc w:val="center"/>
                    <w:rPr>
                      <w:rFonts w:hint="eastAsia" w:ascii="宋体" w:hAnsi="宋体"/>
                      <w:color w:val="auto"/>
                      <w:kern w:val="2"/>
                      <w:sz w:val="21"/>
                      <w:szCs w:val="21"/>
                    </w:rPr>
                  </w:pPr>
                  <w:r>
                    <w:rPr>
                      <w:rFonts w:hint="eastAsia" w:ascii="宋体" w:hAnsi="宋体"/>
                      <w:color w:val="auto"/>
                      <w:kern w:val="2"/>
                      <w:sz w:val="21"/>
                      <w:szCs w:val="21"/>
                      <w:lang w:val="en-US" w:eastAsia="zh-CN"/>
                    </w:rPr>
                    <w:t>/</w:t>
                  </w:r>
                </w:p>
              </w:tc>
              <w:tc>
                <w:tcPr>
                  <w:tcW w:w="1590" w:type="dxa"/>
                  <w:noWrap w:val="0"/>
                  <w:vAlign w:val="center"/>
                </w:tcPr>
                <w:p w14:paraId="3ED0B7D2">
                  <w:pPr>
                    <w:keepNext w:val="0"/>
                    <w:keepLines w:val="0"/>
                    <w:pageBreakBefore w:val="0"/>
                    <w:widowControl w:val="0"/>
                    <w:kinsoku/>
                    <w:wordWrap/>
                    <w:overflowPunct/>
                    <w:topLinePunct w:val="0"/>
                    <w:autoSpaceDE/>
                    <w:autoSpaceDN/>
                    <w:bidi w:val="0"/>
                    <w:adjustRightInd/>
                    <w:snapToGrid/>
                    <w:ind w:left="86" w:leftChars="41"/>
                    <w:jc w:val="center"/>
                    <w:textAlignment w:val="auto"/>
                    <w:rPr>
                      <w:rFonts w:hint="eastAsia" w:ascii="宋体" w:hAnsi="宋体"/>
                      <w:color w:val="auto"/>
                      <w:kern w:val="2"/>
                      <w:sz w:val="21"/>
                      <w:szCs w:val="21"/>
                    </w:rPr>
                  </w:pPr>
                  <w:r>
                    <w:rPr>
                      <w:rFonts w:hint="eastAsia" w:ascii="宋体" w:hAnsi="宋体"/>
                      <w:color w:val="auto"/>
                      <w:kern w:val="2"/>
                      <w:sz w:val="21"/>
                      <w:szCs w:val="21"/>
                    </w:rPr>
                    <w:t>建筑面积</w:t>
                  </w:r>
                  <w:r>
                    <w:rPr>
                      <w:rFonts w:ascii="宋体" w:hAnsi="宋体"/>
                      <w:color w:val="auto"/>
                      <w:kern w:val="2"/>
                      <w:sz w:val="21"/>
                      <w:szCs w:val="21"/>
                    </w:rPr>
                    <w:t>2</w:t>
                  </w:r>
                  <w:r>
                    <w:rPr>
                      <w:rFonts w:hint="eastAsia" w:ascii="宋体" w:hAnsi="宋体"/>
                      <w:color w:val="auto"/>
                      <w:kern w:val="2"/>
                      <w:sz w:val="21"/>
                      <w:szCs w:val="21"/>
                    </w:rPr>
                    <w:t>0m</w:t>
                  </w:r>
                  <w:r>
                    <w:rPr>
                      <w:rFonts w:hint="eastAsia" w:ascii="宋体" w:hAnsi="宋体"/>
                      <w:color w:val="auto"/>
                      <w:kern w:val="2"/>
                      <w:sz w:val="21"/>
                      <w:szCs w:val="21"/>
                      <w:vertAlign w:val="superscript"/>
                    </w:rPr>
                    <w:t>2</w:t>
                  </w:r>
                </w:p>
              </w:tc>
              <w:tc>
                <w:tcPr>
                  <w:tcW w:w="921" w:type="dxa"/>
                  <w:noWrap w:val="0"/>
                  <w:vAlign w:val="center"/>
                </w:tcPr>
                <w:p w14:paraId="3376F17E">
                  <w:pPr>
                    <w:jc w:val="center"/>
                    <w:rPr>
                      <w:rFonts w:ascii="宋体" w:hAnsi="宋体"/>
                      <w:color w:val="auto"/>
                      <w:kern w:val="2"/>
                      <w:sz w:val="21"/>
                      <w:szCs w:val="21"/>
                    </w:rPr>
                  </w:pPr>
                  <w:r>
                    <w:rPr>
                      <w:rFonts w:hint="eastAsia" w:ascii="宋体" w:hAnsi="宋体"/>
                      <w:color w:val="auto"/>
                      <w:kern w:val="2"/>
                      <w:sz w:val="21"/>
                      <w:szCs w:val="21"/>
                      <w:lang w:val="en-US" w:eastAsia="zh-CN"/>
                    </w:rPr>
                    <w:t>依托</w:t>
                  </w:r>
                  <w:r>
                    <w:rPr>
                      <w:rFonts w:hint="eastAsia" w:ascii="宋体" w:hAnsi="宋体"/>
                      <w:color w:val="auto"/>
                      <w:kern w:val="2"/>
                      <w:sz w:val="21"/>
                      <w:szCs w:val="21"/>
                      <w:lang w:val="en-US" w:eastAsia="zh-CN"/>
                    </w:rPr>
                    <w:br w:type="textWrapping"/>
                  </w:r>
                  <w:r>
                    <w:rPr>
                      <w:rFonts w:hint="eastAsia" w:ascii="宋体" w:hAnsi="宋体"/>
                      <w:color w:val="auto"/>
                      <w:kern w:val="2"/>
                      <w:sz w:val="21"/>
                      <w:szCs w:val="21"/>
                      <w:lang w:val="en-US" w:eastAsia="zh-CN"/>
                    </w:rPr>
                    <w:t>现有</w:t>
                  </w:r>
                </w:p>
              </w:tc>
            </w:tr>
            <w:tr w14:paraId="09D47B89">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024" w:hRule="atLeast"/>
              </w:trPr>
              <w:tc>
                <w:tcPr>
                  <w:tcW w:w="774" w:type="dxa"/>
                  <w:vMerge w:val="continue"/>
                  <w:noWrap w:val="0"/>
                  <w:vAlign w:val="center"/>
                </w:tcPr>
                <w:p w14:paraId="3838A920">
                  <w:pPr>
                    <w:widowControl w:val="0"/>
                    <w:spacing w:after="120"/>
                    <w:ind w:left="53" w:leftChars="25"/>
                    <w:jc w:val="center"/>
                    <w:rPr>
                      <w:rFonts w:hint="eastAsia" w:ascii="宋体" w:hAnsi="宋体"/>
                      <w:color w:val="auto"/>
                      <w:kern w:val="2"/>
                      <w:sz w:val="21"/>
                      <w:szCs w:val="21"/>
                    </w:rPr>
                  </w:pPr>
                </w:p>
              </w:tc>
              <w:tc>
                <w:tcPr>
                  <w:tcW w:w="842" w:type="dxa"/>
                  <w:noWrap w:val="0"/>
                  <w:vAlign w:val="center"/>
                </w:tcPr>
                <w:p w14:paraId="7553B36A">
                  <w:pPr>
                    <w:widowControl w:val="0"/>
                    <w:jc w:val="center"/>
                    <w:rPr>
                      <w:rFonts w:hint="default" w:ascii="宋体" w:hAnsi="宋体" w:eastAsia="宋体"/>
                      <w:color w:val="auto"/>
                      <w:kern w:val="2"/>
                      <w:sz w:val="21"/>
                      <w:szCs w:val="21"/>
                      <w:lang w:val="en-US" w:eastAsia="zh-CN"/>
                    </w:rPr>
                  </w:pPr>
                  <w:r>
                    <w:rPr>
                      <w:rFonts w:hint="eastAsia" w:ascii="宋体" w:hAnsi="宋体"/>
                      <w:color w:val="auto"/>
                      <w:kern w:val="2"/>
                      <w:sz w:val="21"/>
                      <w:szCs w:val="21"/>
                      <w:lang w:val="en-US" w:eastAsia="zh-CN"/>
                    </w:rPr>
                    <w:t>1#物料库</w:t>
                  </w:r>
                </w:p>
              </w:tc>
              <w:tc>
                <w:tcPr>
                  <w:tcW w:w="2558" w:type="dxa"/>
                  <w:noWrap w:val="0"/>
                  <w:vAlign w:val="center"/>
                </w:tcPr>
                <w:p w14:paraId="31949713">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olor w:val="auto"/>
                      <w:kern w:val="2"/>
                      <w:sz w:val="21"/>
                      <w:szCs w:val="21"/>
                      <w:vertAlign w:val="baseline"/>
                      <w:lang w:eastAsia="zh-CN"/>
                    </w:rPr>
                  </w:pPr>
                  <w:r>
                    <w:rPr>
                      <w:rFonts w:hint="eastAsia" w:ascii="宋体" w:hAnsi="宋体"/>
                      <w:color w:val="auto"/>
                      <w:kern w:val="2"/>
                      <w:sz w:val="21"/>
                      <w:szCs w:val="21"/>
                    </w:rPr>
                    <w:t>建筑面积</w:t>
                  </w:r>
                  <w:r>
                    <w:rPr>
                      <w:rFonts w:hint="eastAsia" w:ascii="宋体" w:hAnsi="宋体"/>
                      <w:color w:val="auto"/>
                      <w:kern w:val="2"/>
                      <w:sz w:val="21"/>
                      <w:szCs w:val="21"/>
                      <w:lang w:eastAsia="zh-CN"/>
                    </w:rPr>
                    <w:t>约</w:t>
                  </w:r>
                  <w:r>
                    <w:rPr>
                      <w:rFonts w:hint="eastAsia" w:ascii="宋体" w:hAnsi="宋体"/>
                      <w:color w:val="auto"/>
                      <w:kern w:val="2"/>
                      <w:sz w:val="21"/>
                      <w:szCs w:val="21"/>
                      <w:lang w:val="en-US" w:eastAsia="zh-CN"/>
                    </w:rPr>
                    <w:t>600</w:t>
                  </w:r>
                  <w:r>
                    <w:rPr>
                      <w:rFonts w:hint="eastAsia" w:ascii="宋体" w:hAnsi="宋体"/>
                      <w:color w:val="auto"/>
                      <w:kern w:val="2"/>
                      <w:sz w:val="21"/>
                      <w:szCs w:val="21"/>
                    </w:rPr>
                    <w:t>0m</w:t>
                  </w:r>
                  <w:r>
                    <w:rPr>
                      <w:rFonts w:hint="eastAsia" w:ascii="宋体" w:hAnsi="宋体"/>
                      <w:color w:val="auto"/>
                      <w:kern w:val="2"/>
                      <w:sz w:val="21"/>
                      <w:szCs w:val="21"/>
                      <w:vertAlign w:val="superscript"/>
                    </w:rPr>
                    <w:t>2</w:t>
                  </w:r>
                  <w:r>
                    <w:rPr>
                      <w:rFonts w:hint="eastAsia" w:ascii="宋体" w:hAnsi="宋体"/>
                      <w:color w:val="auto"/>
                      <w:kern w:val="2"/>
                      <w:sz w:val="21"/>
                      <w:szCs w:val="21"/>
                      <w:vertAlign w:val="baseline"/>
                      <w:lang w:eastAsia="zh-CN"/>
                    </w:rPr>
                    <w:t>，用于存放煤矸石（一次性存放量约</w:t>
                  </w:r>
                  <w:r>
                    <w:rPr>
                      <w:rFonts w:hint="eastAsia" w:ascii="宋体" w:hAnsi="宋体"/>
                      <w:color w:val="auto"/>
                      <w:kern w:val="2"/>
                      <w:sz w:val="21"/>
                      <w:szCs w:val="21"/>
                      <w:vertAlign w:val="baseline"/>
                      <w:lang w:val="en-US" w:eastAsia="zh-CN"/>
                    </w:rPr>
                    <w:t>2000</w:t>
                  </w:r>
                  <w:r>
                    <w:rPr>
                      <w:rFonts w:hint="eastAsia" w:ascii="宋体" w:hAnsi="宋体"/>
                      <w:color w:val="auto"/>
                      <w:kern w:val="2"/>
                      <w:sz w:val="21"/>
                      <w:szCs w:val="21"/>
                      <w:vertAlign w:val="baseline"/>
                      <w:lang w:eastAsia="zh-CN"/>
                    </w:rPr>
                    <w:t>t，周期</w:t>
                  </w:r>
                  <w:r>
                    <w:rPr>
                      <w:rFonts w:hint="eastAsia" w:ascii="宋体" w:hAnsi="宋体"/>
                      <w:color w:val="auto"/>
                      <w:kern w:val="2"/>
                      <w:sz w:val="21"/>
                      <w:szCs w:val="21"/>
                      <w:vertAlign w:val="baseline"/>
                      <w:lang w:val="en-US" w:eastAsia="zh-CN"/>
                    </w:rPr>
                    <w:t>90</w:t>
                  </w:r>
                  <w:r>
                    <w:rPr>
                      <w:rFonts w:hint="eastAsia" w:ascii="宋体" w:hAnsi="宋体"/>
                      <w:color w:val="auto"/>
                      <w:kern w:val="2"/>
                      <w:sz w:val="21"/>
                      <w:szCs w:val="21"/>
                      <w:vertAlign w:val="baseline"/>
                      <w:lang w:eastAsia="zh-CN"/>
                    </w:rPr>
                    <w:t>天）</w:t>
                  </w:r>
                </w:p>
              </w:tc>
              <w:tc>
                <w:tcPr>
                  <w:tcW w:w="1693" w:type="dxa"/>
                  <w:noWrap w:val="0"/>
                  <w:vAlign w:val="center"/>
                </w:tcPr>
                <w:p w14:paraId="1A6D1261">
                  <w:pPr>
                    <w:widowControl w:val="0"/>
                    <w:spacing w:after="120"/>
                    <w:ind w:left="86" w:leftChars="41"/>
                    <w:jc w:val="center"/>
                    <w:rPr>
                      <w:rFonts w:hint="eastAsia" w:ascii="宋体" w:hAnsi="宋体"/>
                      <w:color w:val="auto"/>
                      <w:kern w:val="2"/>
                      <w:sz w:val="21"/>
                      <w:szCs w:val="21"/>
                    </w:rPr>
                  </w:pPr>
                  <w:r>
                    <w:rPr>
                      <w:rFonts w:hint="eastAsia" w:ascii="宋体" w:hAnsi="宋体"/>
                      <w:color w:val="auto"/>
                      <w:kern w:val="2"/>
                      <w:sz w:val="21"/>
                      <w:szCs w:val="21"/>
                      <w:lang w:val="en-US" w:eastAsia="zh-CN"/>
                    </w:rPr>
                    <w:t>/</w:t>
                  </w:r>
                </w:p>
              </w:tc>
              <w:tc>
                <w:tcPr>
                  <w:tcW w:w="1590" w:type="dxa"/>
                  <w:noWrap w:val="0"/>
                  <w:vAlign w:val="center"/>
                </w:tcPr>
                <w:p w14:paraId="172323E3">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color w:val="auto"/>
                      <w:kern w:val="2"/>
                      <w:sz w:val="21"/>
                      <w:szCs w:val="21"/>
                    </w:rPr>
                  </w:pPr>
                  <w:r>
                    <w:rPr>
                      <w:rFonts w:hint="eastAsia" w:ascii="宋体" w:hAnsi="宋体"/>
                      <w:color w:val="auto"/>
                      <w:kern w:val="2"/>
                      <w:sz w:val="21"/>
                      <w:szCs w:val="21"/>
                    </w:rPr>
                    <w:t>建筑面积</w:t>
                  </w:r>
                  <w:r>
                    <w:rPr>
                      <w:rFonts w:hint="eastAsia" w:ascii="宋体" w:hAnsi="宋体"/>
                      <w:color w:val="auto"/>
                      <w:kern w:val="2"/>
                      <w:sz w:val="21"/>
                      <w:szCs w:val="21"/>
                      <w:lang w:eastAsia="zh-CN"/>
                    </w:rPr>
                    <w:t>约</w:t>
                  </w:r>
                  <w:r>
                    <w:rPr>
                      <w:rFonts w:hint="eastAsia" w:ascii="宋体" w:hAnsi="宋体"/>
                      <w:color w:val="auto"/>
                      <w:kern w:val="2"/>
                      <w:sz w:val="21"/>
                      <w:szCs w:val="21"/>
                      <w:lang w:val="en-US" w:eastAsia="zh-CN"/>
                    </w:rPr>
                    <w:t>600</w:t>
                  </w:r>
                  <w:r>
                    <w:rPr>
                      <w:rFonts w:hint="eastAsia" w:ascii="宋体" w:hAnsi="宋体"/>
                      <w:color w:val="auto"/>
                      <w:kern w:val="2"/>
                      <w:sz w:val="21"/>
                      <w:szCs w:val="21"/>
                    </w:rPr>
                    <w:t>0m</w:t>
                  </w:r>
                  <w:r>
                    <w:rPr>
                      <w:rFonts w:hint="eastAsia" w:ascii="宋体" w:hAnsi="宋体"/>
                      <w:color w:val="auto"/>
                      <w:kern w:val="2"/>
                      <w:sz w:val="21"/>
                      <w:szCs w:val="21"/>
                      <w:vertAlign w:val="superscript"/>
                    </w:rPr>
                    <w:t>2</w:t>
                  </w:r>
                  <w:r>
                    <w:rPr>
                      <w:rFonts w:hint="eastAsia" w:ascii="宋体" w:hAnsi="宋体"/>
                      <w:color w:val="auto"/>
                      <w:kern w:val="2"/>
                      <w:sz w:val="21"/>
                      <w:szCs w:val="21"/>
                      <w:vertAlign w:val="baseline"/>
                      <w:lang w:eastAsia="zh-CN"/>
                    </w:rPr>
                    <w:t>，用于存放煤矸石（一次性存放量约</w:t>
                  </w:r>
                  <w:r>
                    <w:rPr>
                      <w:rFonts w:hint="eastAsia" w:ascii="宋体" w:hAnsi="宋体"/>
                      <w:color w:val="auto"/>
                      <w:kern w:val="2"/>
                      <w:sz w:val="21"/>
                      <w:szCs w:val="21"/>
                      <w:vertAlign w:val="baseline"/>
                      <w:lang w:val="en-US" w:eastAsia="zh-CN"/>
                    </w:rPr>
                    <w:t>2000</w:t>
                  </w:r>
                  <w:r>
                    <w:rPr>
                      <w:rFonts w:hint="eastAsia" w:ascii="宋体" w:hAnsi="宋体"/>
                      <w:color w:val="auto"/>
                      <w:kern w:val="2"/>
                      <w:sz w:val="21"/>
                      <w:szCs w:val="21"/>
                      <w:vertAlign w:val="baseline"/>
                      <w:lang w:eastAsia="zh-CN"/>
                    </w:rPr>
                    <w:t>t，周期</w:t>
                  </w:r>
                  <w:r>
                    <w:rPr>
                      <w:rFonts w:hint="eastAsia" w:ascii="宋体" w:hAnsi="宋体"/>
                      <w:color w:val="auto"/>
                      <w:kern w:val="2"/>
                      <w:sz w:val="21"/>
                      <w:szCs w:val="21"/>
                      <w:vertAlign w:val="baseline"/>
                      <w:lang w:val="en-US" w:eastAsia="zh-CN"/>
                    </w:rPr>
                    <w:t>90</w:t>
                  </w:r>
                  <w:r>
                    <w:rPr>
                      <w:rFonts w:hint="eastAsia" w:ascii="宋体" w:hAnsi="宋体"/>
                      <w:color w:val="auto"/>
                      <w:kern w:val="2"/>
                      <w:sz w:val="21"/>
                      <w:szCs w:val="21"/>
                      <w:vertAlign w:val="baseline"/>
                      <w:lang w:eastAsia="zh-CN"/>
                    </w:rPr>
                    <w:t>天）</w:t>
                  </w:r>
                </w:p>
              </w:tc>
              <w:tc>
                <w:tcPr>
                  <w:tcW w:w="921" w:type="dxa"/>
                  <w:noWrap w:val="0"/>
                  <w:vAlign w:val="center"/>
                </w:tcPr>
                <w:p w14:paraId="24C4BF8B">
                  <w:pPr>
                    <w:jc w:val="center"/>
                    <w:rPr>
                      <w:rFonts w:hint="eastAsia" w:ascii="宋体" w:hAnsi="宋体"/>
                      <w:color w:val="auto"/>
                      <w:kern w:val="2"/>
                      <w:sz w:val="21"/>
                      <w:szCs w:val="21"/>
                      <w:lang w:val="en-US" w:eastAsia="zh-CN"/>
                    </w:rPr>
                  </w:pPr>
                  <w:r>
                    <w:rPr>
                      <w:rFonts w:hint="eastAsia" w:ascii="宋体" w:hAnsi="宋体"/>
                      <w:color w:val="auto"/>
                      <w:kern w:val="2"/>
                      <w:sz w:val="21"/>
                      <w:szCs w:val="21"/>
                      <w:lang w:val="en-US" w:eastAsia="zh-CN"/>
                    </w:rPr>
                    <w:t>依托</w:t>
                  </w:r>
                  <w:r>
                    <w:rPr>
                      <w:rFonts w:hint="eastAsia" w:ascii="宋体" w:hAnsi="宋体"/>
                      <w:color w:val="auto"/>
                      <w:kern w:val="2"/>
                      <w:sz w:val="21"/>
                      <w:szCs w:val="21"/>
                      <w:lang w:val="en-US" w:eastAsia="zh-CN"/>
                    </w:rPr>
                    <w:br w:type="textWrapping"/>
                  </w:r>
                  <w:r>
                    <w:rPr>
                      <w:rFonts w:hint="eastAsia" w:ascii="宋体" w:hAnsi="宋体"/>
                      <w:color w:val="auto"/>
                      <w:kern w:val="2"/>
                      <w:sz w:val="21"/>
                      <w:szCs w:val="21"/>
                      <w:lang w:val="en-US" w:eastAsia="zh-CN"/>
                    </w:rPr>
                    <w:t>现有</w:t>
                  </w:r>
                </w:p>
              </w:tc>
            </w:tr>
            <w:tr w14:paraId="6FF99833">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738" w:hRule="atLeast"/>
              </w:trPr>
              <w:tc>
                <w:tcPr>
                  <w:tcW w:w="774" w:type="dxa"/>
                  <w:vMerge w:val="continue"/>
                  <w:noWrap w:val="0"/>
                  <w:vAlign w:val="center"/>
                </w:tcPr>
                <w:p w14:paraId="3192F1E2">
                  <w:pPr>
                    <w:widowControl w:val="0"/>
                    <w:spacing w:after="120"/>
                    <w:ind w:left="53" w:leftChars="25"/>
                    <w:jc w:val="center"/>
                    <w:rPr>
                      <w:rFonts w:hint="eastAsia" w:ascii="宋体" w:hAnsi="宋体"/>
                      <w:color w:val="auto"/>
                      <w:kern w:val="2"/>
                      <w:sz w:val="21"/>
                      <w:szCs w:val="21"/>
                    </w:rPr>
                  </w:pPr>
                </w:p>
              </w:tc>
              <w:tc>
                <w:tcPr>
                  <w:tcW w:w="842" w:type="dxa"/>
                  <w:noWrap w:val="0"/>
                  <w:vAlign w:val="center"/>
                </w:tcPr>
                <w:p w14:paraId="2EE8F28F">
                  <w:pPr>
                    <w:widowControl w:val="0"/>
                    <w:jc w:val="center"/>
                    <w:rPr>
                      <w:rFonts w:hint="eastAsia" w:ascii="宋体" w:hAnsi="宋体"/>
                      <w:color w:val="auto"/>
                      <w:kern w:val="2"/>
                      <w:sz w:val="21"/>
                      <w:szCs w:val="21"/>
                      <w:lang w:val="en-US" w:eastAsia="zh-CN"/>
                    </w:rPr>
                  </w:pPr>
                  <w:r>
                    <w:rPr>
                      <w:rFonts w:hint="eastAsia" w:ascii="宋体" w:hAnsi="宋体"/>
                      <w:color w:val="auto"/>
                      <w:kern w:val="2"/>
                      <w:sz w:val="21"/>
                      <w:szCs w:val="21"/>
                      <w:lang w:val="en-US" w:eastAsia="zh-CN"/>
                    </w:rPr>
                    <w:t>2#物料库</w:t>
                  </w:r>
                </w:p>
              </w:tc>
              <w:tc>
                <w:tcPr>
                  <w:tcW w:w="2558" w:type="dxa"/>
                  <w:noWrap w:val="0"/>
                  <w:vAlign w:val="center"/>
                </w:tcPr>
                <w:p w14:paraId="105F5614">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color w:val="auto"/>
                      <w:kern w:val="2"/>
                      <w:sz w:val="21"/>
                      <w:szCs w:val="21"/>
                    </w:rPr>
                  </w:pPr>
                  <w:r>
                    <w:rPr>
                      <w:rFonts w:hint="eastAsia" w:ascii="宋体" w:hAnsi="宋体"/>
                      <w:color w:val="auto"/>
                      <w:kern w:val="2"/>
                      <w:sz w:val="21"/>
                      <w:szCs w:val="21"/>
                    </w:rPr>
                    <w:t>建筑面积</w:t>
                  </w:r>
                  <w:r>
                    <w:rPr>
                      <w:rFonts w:hint="eastAsia" w:ascii="宋体" w:hAnsi="宋体"/>
                      <w:color w:val="auto"/>
                      <w:kern w:val="2"/>
                      <w:sz w:val="21"/>
                      <w:szCs w:val="21"/>
                      <w:lang w:eastAsia="zh-CN"/>
                    </w:rPr>
                    <w:t>约</w:t>
                  </w:r>
                  <w:r>
                    <w:rPr>
                      <w:rFonts w:hint="eastAsia" w:ascii="宋体" w:hAnsi="宋体"/>
                      <w:color w:val="auto"/>
                      <w:kern w:val="2"/>
                      <w:sz w:val="21"/>
                      <w:szCs w:val="21"/>
                      <w:lang w:val="en-US" w:eastAsia="zh-CN"/>
                    </w:rPr>
                    <w:t>6300</w:t>
                  </w:r>
                  <w:r>
                    <w:rPr>
                      <w:rFonts w:hint="eastAsia" w:ascii="宋体" w:hAnsi="宋体"/>
                      <w:color w:val="auto"/>
                      <w:kern w:val="2"/>
                      <w:sz w:val="21"/>
                      <w:szCs w:val="21"/>
                    </w:rPr>
                    <w:t>m</w:t>
                  </w:r>
                  <w:r>
                    <w:rPr>
                      <w:rFonts w:hint="eastAsia" w:ascii="宋体" w:hAnsi="宋体"/>
                      <w:color w:val="auto"/>
                      <w:kern w:val="2"/>
                      <w:sz w:val="21"/>
                      <w:szCs w:val="21"/>
                      <w:vertAlign w:val="superscript"/>
                    </w:rPr>
                    <w:t>2</w:t>
                  </w:r>
                  <w:r>
                    <w:rPr>
                      <w:rFonts w:hint="eastAsia" w:ascii="宋体" w:hAnsi="宋体"/>
                      <w:color w:val="auto"/>
                      <w:kern w:val="2"/>
                      <w:sz w:val="21"/>
                      <w:szCs w:val="21"/>
                      <w:vertAlign w:val="baseline"/>
                      <w:lang w:eastAsia="zh-CN"/>
                    </w:rPr>
                    <w:t>，用于存放煤矸石（一次性存放量约</w:t>
                  </w:r>
                  <w:r>
                    <w:rPr>
                      <w:rFonts w:hint="eastAsia" w:ascii="宋体" w:hAnsi="宋体"/>
                      <w:color w:val="auto"/>
                      <w:kern w:val="2"/>
                      <w:sz w:val="21"/>
                      <w:szCs w:val="21"/>
                      <w:vertAlign w:val="baseline"/>
                      <w:lang w:val="en-US" w:eastAsia="zh-CN"/>
                    </w:rPr>
                    <w:t>2000</w:t>
                  </w:r>
                  <w:r>
                    <w:rPr>
                      <w:rFonts w:hint="eastAsia" w:ascii="宋体" w:hAnsi="宋体"/>
                      <w:color w:val="auto"/>
                      <w:kern w:val="2"/>
                      <w:sz w:val="21"/>
                      <w:szCs w:val="21"/>
                      <w:vertAlign w:val="baseline"/>
                      <w:lang w:eastAsia="zh-CN"/>
                    </w:rPr>
                    <w:t>t，周期</w:t>
                  </w:r>
                  <w:r>
                    <w:rPr>
                      <w:rFonts w:hint="eastAsia" w:ascii="宋体" w:hAnsi="宋体"/>
                      <w:color w:val="auto"/>
                      <w:kern w:val="2"/>
                      <w:sz w:val="21"/>
                      <w:szCs w:val="21"/>
                      <w:vertAlign w:val="baseline"/>
                      <w:lang w:val="en-US" w:eastAsia="zh-CN"/>
                    </w:rPr>
                    <w:t>90</w:t>
                  </w:r>
                  <w:r>
                    <w:rPr>
                      <w:rFonts w:hint="eastAsia" w:ascii="宋体" w:hAnsi="宋体"/>
                      <w:color w:val="auto"/>
                      <w:kern w:val="2"/>
                      <w:sz w:val="21"/>
                      <w:szCs w:val="21"/>
                      <w:vertAlign w:val="baseline"/>
                      <w:lang w:eastAsia="zh-CN"/>
                    </w:rPr>
                    <w:t>天）</w:t>
                  </w:r>
                </w:p>
              </w:tc>
              <w:tc>
                <w:tcPr>
                  <w:tcW w:w="1693" w:type="dxa"/>
                  <w:noWrap w:val="0"/>
                  <w:vAlign w:val="center"/>
                </w:tcPr>
                <w:p w14:paraId="274CE0F6">
                  <w:pPr>
                    <w:widowControl w:val="0"/>
                    <w:spacing w:after="120"/>
                    <w:ind w:left="86" w:leftChars="41"/>
                    <w:jc w:val="center"/>
                    <w:rPr>
                      <w:rFonts w:hint="eastAsia" w:ascii="宋体" w:hAnsi="宋体"/>
                      <w:color w:val="auto"/>
                      <w:kern w:val="2"/>
                      <w:sz w:val="21"/>
                      <w:szCs w:val="21"/>
                    </w:rPr>
                  </w:pPr>
                  <w:r>
                    <w:rPr>
                      <w:rFonts w:hint="eastAsia" w:ascii="宋体" w:hAnsi="宋体"/>
                      <w:color w:val="auto"/>
                      <w:kern w:val="2"/>
                      <w:sz w:val="21"/>
                      <w:szCs w:val="21"/>
                    </w:rPr>
                    <w:t>建筑面积</w:t>
                  </w:r>
                  <w:r>
                    <w:rPr>
                      <w:rFonts w:hint="eastAsia" w:ascii="宋体" w:hAnsi="宋体"/>
                      <w:color w:val="auto"/>
                      <w:kern w:val="2"/>
                      <w:sz w:val="21"/>
                      <w:szCs w:val="21"/>
                      <w:lang w:eastAsia="zh-CN"/>
                    </w:rPr>
                    <w:t>约</w:t>
                  </w:r>
                  <w:r>
                    <w:rPr>
                      <w:rFonts w:hint="eastAsia" w:ascii="宋体" w:hAnsi="宋体"/>
                      <w:color w:val="auto"/>
                      <w:kern w:val="2"/>
                      <w:sz w:val="21"/>
                      <w:szCs w:val="21"/>
                      <w:lang w:val="en-US" w:eastAsia="zh-CN"/>
                    </w:rPr>
                    <w:t>6300</w:t>
                  </w:r>
                  <w:r>
                    <w:rPr>
                      <w:rFonts w:hint="eastAsia" w:ascii="宋体" w:hAnsi="宋体"/>
                      <w:color w:val="auto"/>
                      <w:kern w:val="2"/>
                      <w:sz w:val="21"/>
                      <w:szCs w:val="21"/>
                    </w:rPr>
                    <w:t>m</w:t>
                  </w:r>
                  <w:r>
                    <w:rPr>
                      <w:rFonts w:hint="eastAsia" w:ascii="宋体" w:hAnsi="宋体"/>
                      <w:color w:val="auto"/>
                      <w:kern w:val="2"/>
                      <w:sz w:val="21"/>
                      <w:szCs w:val="21"/>
                      <w:vertAlign w:val="superscript"/>
                    </w:rPr>
                    <w:t>2</w:t>
                  </w:r>
                  <w:r>
                    <w:rPr>
                      <w:rFonts w:hint="eastAsia" w:ascii="宋体" w:hAnsi="宋体"/>
                      <w:color w:val="auto"/>
                      <w:kern w:val="2"/>
                      <w:sz w:val="21"/>
                      <w:szCs w:val="21"/>
                      <w:vertAlign w:val="baseline"/>
                      <w:lang w:eastAsia="zh-CN"/>
                    </w:rPr>
                    <w:t>，其中污泥库占地面积约</w:t>
                  </w:r>
                  <w:r>
                    <w:rPr>
                      <w:rFonts w:hint="eastAsia" w:ascii="宋体" w:hAnsi="宋体"/>
                      <w:color w:val="auto"/>
                      <w:kern w:val="2"/>
                      <w:sz w:val="21"/>
                      <w:szCs w:val="21"/>
                      <w:vertAlign w:val="baseline"/>
                      <w:lang w:val="en-US" w:eastAsia="zh-CN"/>
                    </w:rPr>
                    <w:t>1500</w:t>
                  </w:r>
                  <w:r>
                    <w:rPr>
                      <w:rFonts w:hint="eastAsia" w:ascii="宋体" w:hAnsi="宋体"/>
                      <w:color w:val="auto"/>
                      <w:kern w:val="2"/>
                      <w:sz w:val="21"/>
                      <w:szCs w:val="21"/>
                    </w:rPr>
                    <w:t>m</w:t>
                  </w:r>
                  <w:r>
                    <w:rPr>
                      <w:rFonts w:hint="eastAsia" w:ascii="宋体" w:hAnsi="宋体"/>
                      <w:color w:val="auto"/>
                      <w:kern w:val="2"/>
                      <w:sz w:val="21"/>
                      <w:szCs w:val="21"/>
                      <w:vertAlign w:val="superscript"/>
                    </w:rPr>
                    <w:t>2</w:t>
                  </w:r>
                  <w:r>
                    <w:rPr>
                      <w:rFonts w:hint="eastAsia" w:ascii="宋体" w:hAnsi="宋体"/>
                      <w:color w:val="auto"/>
                      <w:kern w:val="2"/>
                      <w:sz w:val="21"/>
                      <w:szCs w:val="21"/>
                      <w:vertAlign w:val="baseline"/>
                      <w:lang w:eastAsia="zh-CN"/>
                    </w:rPr>
                    <w:t>，用于存放建筑弃土（一次性存放量约</w:t>
                  </w:r>
                  <w:r>
                    <w:rPr>
                      <w:rFonts w:hint="eastAsia" w:ascii="宋体" w:hAnsi="宋体"/>
                      <w:color w:val="auto"/>
                      <w:kern w:val="2"/>
                      <w:sz w:val="21"/>
                      <w:szCs w:val="21"/>
                      <w:vertAlign w:val="baseline"/>
                      <w:lang w:val="en-US" w:eastAsia="zh-CN"/>
                    </w:rPr>
                    <w:t>9000</w:t>
                  </w:r>
                  <w:r>
                    <w:rPr>
                      <w:rFonts w:hint="eastAsia" w:ascii="宋体" w:hAnsi="宋体"/>
                      <w:color w:val="auto"/>
                      <w:kern w:val="2"/>
                      <w:sz w:val="21"/>
                      <w:szCs w:val="21"/>
                      <w:vertAlign w:val="baseline"/>
                      <w:lang w:eastAsia="zh-CN"/>
                    </w:rPr>
                    <w:t>t，周期</w:t>
                  </w:r>
                  <w:r>
                    <w:rPr>
                      <w:rFonts w:hint="eastAsia" w:ascii="宋体" w:hAnsi="宋体"/>
                      <w:color w:val="auto"/>
                      <w:kern w:val="2"/>
                      <w:sz w:val="21"/>
                      <w:szCs w:val="21"/>
                      <w:vertAlign w:val="baseline"/>
                      <w:lang w:val="en-US" w:eastAsia="zh-CN"/>
                    </w:rPr>
                    <w:t>60</w:t>
                  </w:r>
                  <w:r>
                    <w:rPr>
                      <w:rFonts w:hint="eastAsia" w:ascii="宋体" w:hAnsi="宋体"/>
                      <w:color w:val="auto"/>
                      <w:kern w:val="2"/>
                      <w:sz w:val="21"/>
                      <w:szCs w:val="21"/>
                      <w:vertAlign w:val="baseline"/>
                      <w:lang w:eastAsia="zh-CN"/>
                    </w:rPr>
                    <w:t>天）、污泥（一次性存放量约</w:t>
                  </w:r>
                  <w:r>
                    <w:rPr>
                      <w:rFonts w:hint="eastAsia" w:ascii="宋体" w:hAnsi="宋体"/>
                      <w:color w:val="auto"/>
                      <w:kern w:val="2"/>
                      <w:sz w:val="21"/>
                      <w:szCs w:val="21"/>
                      <w:vertAlign w:val="baseline"/>
                      <w:lang w:val="en-US" w:eastAsia="zh-CN"/>
                    </w:rPr>
                    <w:t>1500</w:t>
                  </w:r>
                  <w:r>
                    <w:rPr>
                      <w:rFonts w:hint="eastAsia" w:ascii="宋体" w:hAnsi="宋体"/>
                      <w:color w:val="auto"/>
                      <w:kern w:val="2"/>
                      <w:sz w:val="21"/>
                      <w:szCs w:val="21"/>
                      <w:vertAlign w:val="baseline"/>
                      <w:lang w:eastAsia="zh-CN"/>
                    </w:rPr>
                    <w:t>t，周期</w:t>
                  </w:r>
                  <w:r>
                    <w:rPr>
                      <w:rFonts w:hint="eastAsia" w:ascii="宋体" w:hAnsi="宋体"/>
                      <w:color w:val="auto"/>
                      <w:kern w:val="2"/>
                      <w:sz w:val="21"/>
                      <w:szCs w:val="21"/>
                      <w:vertAlign w:val="baseline"/>
                      <w:lang w:val="en-US" w:eastAsia="zh-CN"/>
                    </w:rPr>
                    <w:t>30</w:t>
                  </w:r>
                  <w:r>
                    <w:rPr>
                      <w:rFonts w:hint="eastAsia" w:ascii="宋体" w:hAnsi="宋体"/>
                      <w:color w:val="auto"/>
                      <w:kern w:val="2"/>
                      <w:sz w:val="21"/>
                      <w:szCs w:val="21"/>
                      <w:vertAlign w:val="baseline"/>
                      <w:lang w:eastAsia="zh-CN"/>
                    </w:rPr>
                    <w:t>天）</w:t>
                  </w:r>
                </w:p>
              </w:tc>
              <w:tc>
                <w:tcPr>
                  <w:tcW w:w="1590" w:type="dxa"/>
                  <w:noWrap w:val="0"/>
                  <w:vAlign w:val="center"/>
                </w:tcPr>
                <w:p w14:paraId="73F44B81">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color w:val="auto"/>
                      <w:kern w:val="2"/>
                      <w:sz w:val="21"/>
                      <w:szCs w:val="21"/>
                    </w:rPr>
                  </w:pPr>
                  <w:r>
                    <w:rPr>
                      <w:rFonts w:hint="eastAsia" w:ascii="宋体" w:hAnsi="宋体"/>
                      <w:color w:val="auto"/>
                      <w:kern w:val="2"/>
                      <w:sz w:val="21"/>
                      <w:szCs w:val="21"/>
                    </w:rPr>
                    <w:t>建筑面积</w:t>
                  </w:r>
                  <w:r>
                    <w:rPr>
                      <w:rFonts w:hint="eastAsia" w:ascii="宋体" w:hAnsi="宋体"/>
                      <w:color w:val="auto"/>
                      <w:kern w:val="2"/>
                      <w:sz w:val="21"/>
                      <w:szCs w:val="21"/>
                      <w:lang w:eastAsia="zh-CN"/>
                    </w:rPr>
                    <w:t>约</w:t>
                  </w:r>
                  <w:r>
                    <w:rPr>
                      <w:rFonts w:hint="eastAsia" w:ascii="宋体" w:hAnsi="宋体"/>
                      <w:color w:val="auto"/>
                      <w:kern w:val="2"/>
                      <w:sz w:val="21"/>
                      <w:szCs w:val="21"/>
                      <w:lang w:val="en-US" w:eastAsia="zh-CN"/>
                    </w:rPr>
                    <w:t>6300</w:t>
                  </w:r>
                  <w:r>
                    <w:rPr>
                      <w:rFonts w:hint="eastAsia" w:ascii="宋体" w:hAnsi="宋体"/>
                      <w:color w:val="auto"/>
                      <w:kern w:val="2"/>
                      <w:sz w:val="21"/>
                      <w:szCs w:val="21"/>
                    </w:rPr>
                    <w:t>m</w:t>
                  </w:r>
                  <w:r>
                    <w:rPr>
                      <w:rFonts w:hint="eastAsia" w:ascii="宋体" w:hAnsi="宋体"/>
                      <w:color w:val="auto"/>
                      <w:kern w:val="2"/>
                      <w:sz w:val="21"/>
                      <w:szCs w:val="21"/>
                      <w:vertAlign w:val="superscript"/>
                    </w:rPr>
                    <w:t>2</w:t>
                  </w:r>
                  <w:r>
                    <w:rPr>
                      <w:rFonts w:hint="eastAsia" w:ascii="宋体" w:hAnsi="宋体"/>
                      <w:color w:val="auto"/>
                      <w:kern w:val="2"/>
                      <w:sz w:val="21"/>
                      <w:szCs w:val="21"/>
                      <w:vertAlign w:val="baseline"/>
                      <w:lang w:eastAsia="zh-CN"/>
                    </w:rPr>
                    <w:t>，其中污泥库占地面积约</w:t>
                  </w:r>
                  <w:r>
                    <w:rPr>
                      <w:rFonts w:hint="eastAsia" w:ascii="宋体" w:hAnsi="宋体"/>
                      <w:color w:val="auto"/>
                      <w:kern w:val="2"/>
                      <w:sz w:val="21"/>
                      <w:szCs w:val="21"/>
                      <w:vertAlign w:val="baseline"/>
                      <w:lang w:val="en-US" w:eastAsia="zh-CN"/>
                    </w:rPr>
                    <w:t>1500</w:t>
                  </w:r>
                  <w:r>
                    <w:rPr>
                      <w:rFonts w:hint="eastAsia" w:ascii="宋体" w:hAnsi="宋体"/>
                      <w:color w:val="auto"/>
                      <w:kern w:val="2"/>
                      <w:sz w:val="21"/>
                      <w:szCs w:val="21"/>
                    </w:rPr>
                    <w:t>m</w:t>
                  </w:r>
                  <w:r>
                    <w:rPr>
                      <w:rFonts w:hint="eastAsia" w:ascii="宋体" w:hAnsi="宋体"/>
                      <w:color w:val="auto"/>
                      <w:kern w:val="2"/>
                      <w:sz w:val="21"/>
                      <w:szCs w:val="21"/>
                      <w:vertAlign w:val="superscript"/>
                    </w:rPr>
                    <w:t>2</w:t>
                  </w:r>
                  <w:r>
                    <w:rPr>
                      <w:rFonts w:hint="eastAsia" w:ascii="宋体" w:hAnsi="宋体"/>
                      <w:color w:val="auto"/>
                      <w:kern w:val="2"/>
                      <w:sz w:val="21"/>
                      <w:szCs w:val="21"/>
                      <w:vertAlign w:val="baseline"/>
                      <w:lang w:eastAsia="zh-CN"/>
                    </w:rPr>
                    <w:t>，用于存放建筑弃土（一次性存放量约</w:t>
                  </w:r>
                  <w:r>
                    <w:rPr>
                      <w:rFonts w:hint="eastAsia" w:ascii="宋体" w:hAnsi="宋体"/>
                      <w:color w:val="auto"/>
                      <w:kern w:val="2"/>
                      <w:sz w:val="21"/>
                      <w:szCs w:val="21"/>
                      <w:vertAlign w:val="baseline"/>
                      <w:lang w:val="en-US" w:eastAsia="zh-CN"/>
                    </w:rPr>
                    <w:t>9000</w:t>
                  </w:r>
                  <w:r>
                    <w:rPr>
                      <w:rFonts w:hint="eastAsia" w:ascii="宋体" w:hAnsi="宋体"/>
                      <w:color w:val="auto"/>
                      <w:kern w:val="2"/>
                      <w:sz w:val="21"/>
                      <w:szCs w:val="21"/>
                      <w:vertAlign w:val="baseline"/>
                      <w:lang w:eastAsia="zh-CN"/>
                    </w:rPr>
                    <w:t>t，周期</w:t>
                  </w:r>
                  <w:r>
                    <w:rPr>
                      <w:rFonts w:hint="eastAsia" w:ascii="宋体" w:hAnsi="宋体"/>
                      <w:color w:val="auto"/>
                      <w:kern w:val="2"/>
                      <w:sz w:val="21"/>
                      <w:szCs w:val="21"/>
                      <w:vertAlign w:val="baseline"/>
                      <w:lang w:val="en-US" w:eastAsia="zh-CN"/>
                    </w:rPr>
                    <w:t>60</w:t>
                  </w:r>
                  <w:r>
                    <w:rPr>
                      <w:rFonts w:hint="eastAsia" w:ascii="宋体" w:hAnsi="宋体"/>
                      <w:color w:val="auto"/>
                      <w:kern w:val="2"/>
                      <w:sz w:val="21"/>
                      <w:szCs w:val="21"/>
                      <w:vertAlign w:val="baseline"/>
                      <w:lang w:eastAsia="zh-CN"/>
                    </w:rPr>
                    <w:t>天）、污泥（一次性存放量约</w:t>
                  </w:r>
                  <w:r>
                    <w:rPr>
                      <w:rFonts w:hint="eastAsia" w:ascii="宋体" w:hAnsi="宋体"/>
                      <w:color w:val="auto"/>
                      <w:kern w:val="2"/>
                      <w:sz w:val="21"/>
                      <w:szCs w:val="21"/>
                      <w:vertAlign w:val="baseline"/>
                      <w:lang w:val="en-US" w:eastAsia="zh-CN"/>
                    </w:rPr>
                    <w:t>1500</w:t>
                  </w:r>
                  <w:r>
                    <w:rPr>
                      <w:rFonts w:hint="eastAsia" w:ascii="宋体" w:hAnsi="宋体"/>
                      <w:color w:val="auto"/>
                      <w:kern w:val="2"/>
                      <w:sz w:val="21"/>
                      <w:szCs w:val="21"/>
                      <w:vertAlign w:val="baseline"/>
                      <w:lang w:eastAsia="zh-CN"/>
                    </w:rPr>
                    <w:t>t，周期</w:t>
                  </w:r>
                  <w:r>
                    <w:rPr>
                      <w:rFonts w:hint="eastAsia" w:ascii="宋体" w:hAnsi="宋体"/>
                      <w:color w:val="auto"/>
                      <w:kern w:val="2"/>
                      <w:sz w:val="21"/>
                      <w:szCs w:val="21"/>
                      <w:vertAlign w:val="baseline"/>
                      <w:lang w:val="en-US" w:eastAsia="zh-CN"/>
                    </w:rPr>
                    <w:t>30</w:t>
                  </w:r>
                  <w:r>
                    <w:rPr>
                      <w:rFonts w:hint="eastAsia" w:ascii="宋体" w:hAnsi="宋体"/>
                      <w:color w:val="auto"/>
                      <w:kern w:val="2"/>
                      <w:sz w:val="21"/>
                      <w:szCs w:val="21"/>
                      <w:vertAlign w:val="baseline"/>
                      <w:lang w:eastAsia="zh-CN"/>
                    </w:rPr>
                    <w:t>天），不再存放煤矸石</w:t>
                  </w:r>
                </w:p>
              </w:tc>
              <w:tc>
                <w:tcPr>
                  <w:tcW w:w="921" w:type="dxa"/>
                  <w:noWrap w:val="0"/>
                  <w:vAlign w:val="center"/>
                </w:tcPr>
                <w:p w14:paraId="5BD12606">
                  <w:pPr>
                    <w:jc w:val="center"/>
                    <w:rPr>
                      <w:rFonts w:hint="eastAsia" w:ascii="宋体" w:hAnsi="宋体"/>
                      <w:color w:val="auto"/>
                      <w:kern w:val="2"/>
                      <w:sz w:val="21"/>
                      <w:szCs w:val="21"/>
                      <w:lang w:val="en-US" w:eastAsia="zh-CN"/>
                    </w:rPr>
                  </w:pPr>
                  <w:r>
                    <w:rPr>
                      <w:rFonts w:hint="eastAsia" w:ascii="宋体" w:hAnsi="宋体"/>
                      <w:color w:val="auto"/>
                      <w:kern w:val="2"/>
                      <w:sz w:val="21"/>
                      <w:szCs w:val="21"/>
                      <w:lang w:val="en-US" w:eastAsia="zh-CN"/>
                    </w:rPr>
                    <w:t>依托</w:t>
                  </w:r>
                  <w:r>
                    <w:rPr>
                      <w:rFonts w:hint="eastAsia" w:ascii="宋体" w:hAnsi="宋体"/>
                      <w:color w:val="auto"/>
                      <w:kern w:val="2"/>
                      <w:sz w:val="21"/>
                      <w:szCs w:val="21"/>
                      <w:lang w:val="en-US" w:eastAsia="zh-CN"/>
                    </w:rPr>
                    <w:br w:type="textWrapping"/>
                  </w:r>
                  <w:r>
                    <w:rPr>
                      <w:rFonts w:hint="eastAsia" w:ascii="宋体" w:hAnsi="宋体"/>
                      <w:color w:val="auto"/>
                      <w:kern w:val="2"/>
                      <w:sz w:val="21"/>
                      <w:szCs w:val="21"/>
                      <w:lang w:val="en-US" w:eastAsia="zh-CN"/>
                    </w:rPr>
                    <w:t>现有，拆分1500</w:t>
                  </w:r>
                  <w:r>
                    <w:rPr>
                      <w:rFonts w:hint="eastAsia" w:ascii="宋体" w:hAnsi="宋体"/>
                      <w:color w:val="auto"/>
                      <w:kern w:val="2"/>
                      <w:sz w:val="21"/>
                      <w:szCs w:val="21"/>
                    </w:rPr>
                    <w:t>m</w:t>
                  </w:r>
                  <w:r>
                    <w:rPr>
                      <w:rFonts w:hint="eastAsia" w:ascii="宋体" w:hAnsi="宋体"/>
                      <w:color w:val="auto"/>
                      <w:kern w:val="2"/>
                      <w:sz w:val="21"/>
                      <w:szCs w:val="21"/>
                      <w:vertAlign w:val="superscript"/>
                    </w:rPr>
                    <w:t>2</w:t>
                  </w:r>
                  <w:r>
                    <w:rPr>
                      <w:rFonts w:hint="eastAsia" w:ascii="宋体" w:hAnsi="宋体"/>
                      <w:color w:val="auto"/>
                      <w:kern w:val="2"/>
                      <w:sz w:val="21"/>
                      <w:szCs w:val="21"/>
                      <w:lang w:val="en-US" w:eastAsia="zh-CN"/>
                    </w:rPr>
                    <w:t>污泥库</w:t>
                  </w:r>
                </w:p>
              </w:tc>
            </w:tr>
            <w:tr w14:paraId="585EB96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738" w:hRule="atLeast"/>
              </w:trPr>
              <w:tc>
                <w:tcPr>
                  <w:tcW w:w="774" w:type="dxa"/>
                  <w:vMerge w:val="continue"/>
                  <w:noWrap w:val="0"/>
                  <w:vAlign w:val="center"/>
                </w:tcPr>
                <w:p w14:paraId="11EC5EE8">
                  <w:pPr>
                    <w:widowControl w:val="0"/>
                    <w:spacing w:after="120"/>
                    <w:ind w:left="53" w:leftChars="25"/>
                    <w:jc w:val="center"/>
                    <w:rPr>
                      <w:rFonts w:hint="eastAsia" w:ascii="宋体" w:hAnsi="宋体"/>
                      <w:color w:val="auto"/>
                      <w:kern w:val="2"/>
                      <w:sz w:val="21"/>
                      <w:szCs w:val="21"/>
                    </w:rPr>
                  </w:pPr>
                </w:p>
              </w:tc>
              <w:tc>
                <w:tcPr>
                  <w:tcW w:w="842" w:type="dxa"/>
                  <w:noWrap w:val="0"/>
                  <w:vAlign w:val="center"/>
                </w:tcPr>
                <w:p w14:paraId="1A097DCF">
                  <w:pPr>
                    <w:widowControl w:val="0"/>
                    <w:jc w:val="center"/>
                    <w:rPr>
                      <w:rFonts w:hint="eastAsia" w:ascii="宋体" w:hAnsi="宋体"/>
                      <w:color w:val="auto"/>
                      <w:kern w:val="2"/>
                      <w:sz w:val="21"/>
                      <w:szCs w:val="21"/>
                      <w:lang w:val="en-US" w:eastAsia="zh-CN"/>
                    </w:rPr>
                  </w:pPr>
                  <w:r>
                    <w:rPr>
                      <w:rFonts w:hint="eastAsia" w:ascii="宋体" w:hAnsi="宋体"/>
                      <w:color w:val="auto"/>
                      <w:kern w:val="2"/>
                      <w:sz w:val="21"/>
                      <w:szCs w:val="21"/>
                      <w:lang w:val="en-US" w:eastAsia="zh-CN"/>
                    </w:rPr>
                    <w:t>3#物料库</w:t>
                  </w:r>
                </w:p>
              </w:tc>
              <w:tc>
                <w:tcPr>
                  <w:tcW w:w="2558" w:type="dxa"/>
                  <w:noWrap w:val="0"/>
                  <w:vAlign w:val="center"/>
                </w:tcPr>
                <w:p w14:paraId="01000C88">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color w:val="auto"/>
                      <w:kern w:val="2"/>
                      <w:sz w:val="21"/>
                      <w:szCs w:val="21"/>
                    </w:rPr>
                  </w:pPr>
                  <w:r>
                    <w:rPr>
                      <w:rFonts w:hint="eastAsia" w:ascii="宋体" w:hAnsi="宋体"/>
                      <w:color w:val="auto"/>
                      <w:kern w:val="2"/>
                      <w:sz w:val="21"/>
                      <w:szCs w:val="21"/>
                      <w:lang w:val="en-US" w:eastAsia="zh-CN"/>
                    </w:rPr>
                    <w:t>/</w:t>
                  </w:r>
                </w:p>
              </w:tc>
              <w:tc>
                <w:tcPr>
                  <w:tcW w:w="1693" w:type="dxa"/>
                  <w:noWrap w:val="0"/>
                  <w:vAlign w:val="center"/>
                </w:tcPr>
                <w:p w14:paraId="17CCE79F">
                  <w:pPr>
                    <w:widowControl w:val="0"/>
                    <w:spacing w:after="120"/>
                    <w:ind w:left="86" w:leftChars="41"/>
                    <w:jc w:val="center"/>
                    <w:rPr>
                      <w:rFonts w:hint="eastAsia" w:ascii="宋体" w:hAnsi="宋体"/>
                      <w:color w:val="auto"/>
                      <w:kern w:val="2"/>
                      <w:sz w:val="21"/>
                      <w:szCs w:val="21"/>
                    </w:rPr>
                  </w:pPr>
                  <w:r>
                    <w:rPr>
                      <w:rFonts w:hint="eastAsia" w:ascii="宋体" w:hAnsi="宋体"/>
                      <w:color w:val="auto"/>
                      <w:kern w:val="2"/>
                      <w:sz w:val="21"/>
                      <w:szCs w:val="21"/>
                      <w:lang w:eastAsia="zh-CN"/>
                    </w:rPr>
                    <w:t>用于存放煤矸石，</w:t>
                  </w:r>
                  <w:r>
                    <w:rPr>
                      <w:rFonts w:hint="eastAsia" w:ascii="宋体" w:hAnsi="宋体"/>
                      <w:color w:val="auto"/>
                      <w:kern w:val="2"/>
                      <w:sz w:val="21"/>
                      <w:szCs w:val="21"/>
                    </w:rPr>
                    <w:t>建筑面积</w:t>
                  </w:r>
                  <w:r>
                    <w:rPr>
                      <w:rFonts w:hint="eastAsia" w:ascii="宋体" w:hAnsi="宋体"/>
                      <w:color w:val="auto"/>
                      <w:kern w:val="2"/>
                      <w:sz w:val="21"/>
                      <w:szCs w:val="21"/>
                      <w:lang w:eastAsia="zh-CN"/>
                    </w:rPr>
                    <w:t>约</w:t>
                  </w:r>
                  <w:r>
                    <w:rPr>
                      <w:rFonts w:hint="eastAsia" w:ascii="宋体" w:hAnsi="宋体"/>
                      <w:color w:val="auto"/>
                      <w:kern w:val="2"/>
                      <w:sz w:val="21"/>
                      <w:szCs w:val="21"/>
                      <w:lang w:val="en-US" w:eastAsia="zh-CN"/>
                    </w:rPr>
                    <w:t>4000</w:t>
                  </w:r>
                  <w:r>
                    <w:rPr>
                      <w:rFonts w:hint="eastAsia" w:ascii="宋体" w:hAnsi="宋体"/>
                      <w:color w:val="auto"/>
                      <w:kern w:val="2"/>
                      <w:sz w:val="21"/>
                      <w:szCs w:val="21"/>
                    </w:rPr>
                    <w:t>m</w:t>
                  </w:r>
                  <w:r>
                    <w:rPr>
                      <w:rFonts w:hint="eastAsia" w:ascii="宋体" w:hAnsi="宋体"/>
                      <w:color w:val="auto"/>
                      <w:kern w:val="2"/>
                      <w:sz w:val="21"/>
                      <w:szCs w:val="21"/>
                      <w:vertAlign w:val="superscript"/>
                    </w:rPr>
                    <w:t>2</w:t>
                  </w:r>
                </w:p>
              </w:tc>
              <w:tc>
                <w:tcPr>
                  <w:tcW w:w="1590" w:type="dxa"/>
                  <w:noWrap w:val="0"/>
                  <w:vAlign w:val="center"/>
                </w:tcPr>
                <w:p w14:paraId="2B0D156F">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color w:val="auto"/>
                      <w:kern w:val="2"/>
                      <w:sz w:val="21"/>
                      <w:szCs w:val="21"/>
                    </w:rPr>
                  </w:pPr>
                  <w:r>
                    <w:rPr>
                      <w:rFonts w:hint="eastAsia" w:ascii="宋体" w:hAnsi="宋体"/>
                      <w:color w:val="auto"/>
                      <w:kern w:val="2"/>
                      <w:sz w:val="21"/>
                      <w:szCs w:val="21"/>
                      <w:lang w:eastAsia="zh-CN"/>
                    </w:rPr>
                    <w:t>用于存放煤矸石，</w:t>
                  </w:r>
                  <w:r>
                    <w:rPr>
                      <w:rFonts w:hint="eastAsia" w:ascii="宋体" w:hAnsi="宋体"/>
                      <w:color w:val="auto"/>
                      <w:kern w:val="2"/>
                      <w:sz w:val="21"/>
                      <w:szCs w:val="21"/>
                    </w:rPr>
                    <w:t>建筑面积</w:t>
                  </w:r>
                  <w:r>
                    <w:rPr>
                      <w:rFonts w:hint="eastAsia" w:ascii="宋体" w:hAnsi="宋体"/>
                      <w:color w:val="auto"/>
                      <w:kern w:val="2"/>
                      <w:sz w:val="21"/>
                      <w:szCs w:val="21"/>
                      <w:lang w:eastAsia="zh-CN"/>
                    </w:rPr>
                    <w:t>约</w:t>
                  </w:r>
                  <w:r>
                    <w:rPr>
                      <w:rFonts w:hint="eastAsia" w:ascii="宋体" w:hAnsi="宋体"/>
                      <w:color w:val="auto"/>
                      <w:kern w:val="2"/>
                      <w:sz w:val="21"/>
                      <w:szCs w:val="21"/>
                      <w:lang w:val="en-US" w:eastAsia="zh-CN"/>
                    </w:rPr>
                    <w:t>4000</w:t>
                  </w:r>
                  <w:r>
                    <w:rPr>
                      <w:rFonts w:hint="eastAsia" w:ascii="宋体" w:hAnsi="宋体"/>
                      <w:color w:val="auto"/>
                      <w:kern w:val="2"/>
                      <w:sz w:val="21"/>
                      <w:szCs w:val="21"/>
                    </w:rPr>
                    <w:t>m</w:t>
                  </w:r>
                  <w:r>
                    <w:rPr>
                      <w:rFonts w:hint="eastAsia" w:ascii="宋体" w:hAnsi="宋体"/>
                      <w:color w:val="auto"/>
                      <w:kern w:val="2"/>
                      <w:sz w:val="21"/>
                      <w:szCs w:val="21"/>
                      <w:vertAlign w:val="superscript"/>
                    </w:rPr>
                    <w:t>2</w:t>
                  </w:r>
                  <w:r>
                    <w:rPr>
                      <w:rFonts w:hint="eastAsia" w:ascii="宋体" w:hAnsi="宋体"/>
                      <w:color w:val="auto"/>
                      <w:kern w:val="2"/>
                      <w:sz w:val="21"/>
                      <w:szCs w:val="21"/>
                      <w:vertAlign w:val="baseline"/>
                      <w:lang w:eastAsia="zh-CN"/>
                    </w:rPr>
                    <w:t>，用于存放煤矸石（一次性存放量约</w:t>
                  </w:r>
                  <w:r>
                    <w:rPr>
                      <w:rFonts w:hint="eastAsia" w:ascii="宋体" w:hAnsi="宋体"/>
                      <w:color w:val="auto"/>
                      <w:kern w:val="2"/>
                      <w:sz w:val="21"/>
                      <w:szCs w:val="21"/>
                      <w:vertAlign w:val="baseline"/>
                      <w:lang w:val="en-US" w:eastAsia="zh-CN"/>
                    </w:rPr>
                    <w:t>15000</w:t>
                  </w:r>
                  <w:r>
                    <w:rPr>
                      <w:rFonts w:hint="eastAsia" w:ascii="宋体" w:hAnsi="宋体"/>
                      <w:color w:val="auto"/>
                      <w:kern w:val="2"/>
                      <w:sz w:val="21"/>
                      <w:szCs w:val="21"/>
                      <w:vertAlign w:val="baseline"/>
                      <w:lang w:eastAsia="zh-CN"/>
                    </w:rPr>
                    <w:t>t，周期</w:t>
                  </w:r>
                  <w:r>
                    <w:rPr>
                      <w:rFonts w:hint="eastAsia" w:ascii="宋体" w:hAnsi="宋体"/>
                      <w:color w:val="auto"/>
                      <w:kern w:val="2"/>
                      <w:sz w:val="21"/>
                      <w:szCs w:val="21"/>
                      <w:vertAlign w:val="baseline"/>
                      <w:lang w:val="en-US" w:eastAsia="zh-CN"/>
                    </w:rPr>
                    <w:t>90</w:t>
                  </w:r>
                  <w:r>
                    <w:rPr>
                      <w:rFonts w:hint="eastAsia" w:ascii="宋体" w:hAnsi="宋体"/>
                      <w:color w:val="auto"/>
                      <w:kern w:val="2"/>
                      <w:sz w:val="21"/>
                      <w:szCs w:val="21"/>
                      <w:vertAlign w:val="baseline"/>
                      <w:lang w:eastAsia="zh-CN"/>
                    </w:rPr>
                    <w:t>天）</w:t>
                  </w:r>
                </w:p>
              </w:tc>
              <w:tc>
                <w:tcPr>
                  <w:tcW w:w="921" w:type="dxa"/>
                  <w:noWrap w:val="0"/>
                  <w:vAlign w:val="center"/>
                </w:tcPr>
                <w:p w14:paraId="2845FF6F">
                  <w:pPr>
                    <w:jc w:val="center"/>
                    <w:rPr>
                      <w:rFonts w:hint="eastAsia" w:ascii="宋体" w:hAnsi="宋体"/>
                      <w:color w:val="auto"/>
                      <w:kern w:val="2"/>
                      <w:sz w:val="21"/>
                      <w:szCs w:val="21"/>
                      <w:lang w:val="en-US" w:eastAsia="zh-CN"/>
                    </w:rPr>
                  </w:pPr>
                  <w:r>
                    <w:rPr>
                      <w:rFonts w:hint="eastAsia" w:ascii="宋体" w:hAnsi="宋体"/>
                      <w:color w:val="auto"/>
                      <w:kern w:val="2"/>
                      <w:sz w:val="21"/>
                      <w:szCs w:val="21"/>
                      <w:lang w:val="en-US" w:eastAsia="zh-CN"/>
                    </w:rPr>
                    <w:t>新建</w:t>
                  </w:r>
                </w:p>
              </w:tc>
            </w:tr>
            <w:tr w14:paraId="0BAD374E">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738" w:hRule="atLeast"/>
              </w:trPr>
              <w:tc>
                <w:tcPr>
                  <w:tcW w:w="774" w:type="dxa"/>
                  <w:vMerge w:val="continue"/>
                  <w:noWrap w:val="0"/>
                  <w:vAlign w:val="center"/>
                </w:tcPr>
                <w:p w14:paraId="380970B5">
                  <w:pPr>
                    <w:widowControl w:val="0"/>
                    <w:spacing w:after="120"/>
                    <w:ind w:left="53" w:leftChars="25"/>
                    <w:jc w:val="center"/>
                    <w:rPr>
                      <w:rFonts w:hint="eastAsia" w:ascii="宋体" w:hAnsi="宋体"/>
                      <w:color w:val="auto"/>
                      <w:kern w:val="2"/>
                      <w:sz w:val="21"/>
                      <w:szCs w:val="21"/>
                    </w:rPr>
                  </w:pPr>
                </w:p>
              </w:tc>
              <w:tc>
                <w:tcPr>
                  <w:tcW w:w="842" w:type="dxa"/>
                  <w:noWrap w:val="0"/>
                  <w:vAlign w:val="center"/>
                </w:tcPr>
                <w:p w14:paraId="2E2DB955">
                  <w:pPr>
                    <w:widowControl w:val="0"/>
                    <w:jc w:val="center"/>
                    <w:rPr>
                      <w:rFonts w:hint="eastAsia" w:ascii="宋体" w:hAnsi="宋体"/>
                      <w:color w:val="auto"/>
                      <w:kern w:val="2"/>
                      <w:sz w:val="21"/>
                      <w:szCs w:val="21"/>
                      <w:lang w:val="en-US" w:eastAsia="zh-CN"/>
                    </w:rPr>
                  </w:pPr>
                  <w:r>
                    <w:rPr>
                      <w:rFonts w:hint="eastAsia" w:ascii="宋体" w:hAnsi="宋体"/>
                      <w:color w:val="auto"/>
                      <w:kern w:val="2"/>
                      <w:sz w:val="21"/>
                      <w:szCs w:val="21"/>
                      <w:lang w:val="en-US" w:eastAsia="zh-CN"/>
                    </w:rPr>
                    <w:t>4#物料库</w:t>
                  </w:r>
                </w:p>
              </w:tc>
              <w:tc>
                <w:tcPr>
                  <w:tcW w:w="2558" w:type="dxa"/>
                  <w:noWrap w:val="0"/>
                  <w:vAlign w:val="center"/>
                </w:tcPr>
                <w:p w14:paraId="58072047">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color w:val="auto"/>
                      <w:kern w:val="2"/>
                      <w:sz w:val="21"/>
                      <w:szCs w:val="21"/>
                    </w:rPr>
                  </w:pPr>
                  <w:r>
                    <w:rPr>
                      <w:rFonts w:hint="eastAsia" w:ascii="宋体" w:hAnsi="宋体"/>
                      <w:color w:val="auto"/>
                      <w:kern w:val="2"/>
                      <w:sz w:val="21"/>
                      <w:szCs w:val="21"/>
                      <w:lang w:val="en-US" w:eastAsia="zh-CN"/>
                    </w:rPr>
                    <w:t>/</w:t>
                  </w:r>
                </w:p>
              </w:tc>
              <w:tc>
                <w:tcPr>
                  <w:tcW w:w="1693" w:type="dxa"/>
                  <w:noWrap w:val="0"/>
                  <w:vAlign w:val="center"/>
                </w:tcPr>
                <w:p w14:paraId="7046FDD5">
                  <w:pPr>
                    <w:widowControl w:val="0"/>
                    <w:spacing w:after="120"/>
                    <w:ind w:left="86" w:leftChars="41"/>
                    <w:jc w:val="center"/>
                    <w:rPr>
                      <w:rFonts w:hint="eastAsia" w:ascii="宋体" w:hAnsi="宋体"/>
                      <w:color w:val="auto"/>
                      <w:kern w:val="2"/>
                      <w:sz w:val="21"/>
                      <w:szCs w:val="21"/>
                    </w:rPr>
                  </w:pPr>
                  <w:r>
                    <w:rPr>
                      <w:rFonts w:hint="eastAsia" w:ascii="宋体" w:hAnsi="宋体"/>
                      <w:color w:val="auto"/>
                      <w:kern w:val="2"/>
                      <w:sz w:val="21"/>
                      <w:szCs w:val="21"/>
                      <w:lang w:eastAsia="zh-CN"/>
                    </w:rPr>
                    <w:t>用于存放煤矸石，</w:t>
                  </w:r>
                  <w:r>
                    <w:rPr>
                      <w:rFonts w:hint="eastAsia" w:ascii="宋体" w:hAnsi="宋体"/>
                      <w:color w:val="auto"/>
                      <w:kern w:val="2"/>
                      <w:sz w:val="21"/>
                      <w:szCs w:val="21"/>
                    </w:rPr>
                    <w:t>建筑面积</w:t>
                  </w:r>
                  <w:r>
                    <w:rPr>
                      <w:rFonts w:hint="eastAsia" w:ascii="宋体" w:hAnsi="宋体"/>
                      <w:color w:val="auto"/>
                      <w:kern w:val="2"/>
                      <w:sz w:val="21"/>
                      <w:szCs w:val="21"/>
                      <w:lang w:eastAsia="zh-CN"/>
                    </w:rPr>
                    <w:t>约</w:t>
                  </w:r>
                  <w:r>
                    <w:rPr>
                      <w:rFonts w:hint="eastAsia" w:ascii="宋体" w:hAnsi="宋体"/>
                      <w:color w:val="auto"/>
                      <w:kern w:val="2"/>
                      <w:sz w:val="21"/>
                      <w:szCs w:val="21"/>
                      <w:lang w:val="en-US" w:eastAsia="zh-CN"/>
                    </w:rPr>
                    <w:t>6300</w:t>
                  </w:r>
                  <w:r>
                    <w:rPr>
                      <w:rFonts w:hint="eastAsia" w:ascii="宋体" w:hAnsi="宋体"/>
                      <w:color w:val="auto"/>
                      <w:kern w:val="2"/>
                      <w:sz w:val="21"/>
                      <w:szCs w:val="21"/>
                    </w:rPr>
                    <w:t>m</w:t>
                  </w:r>
                  <w:r>
                    <w:rPr>
                      <w:rFonts w:hint="eastAsia" w:ascii="宋体" w:hAnsi="宋体"/>
                      <w:color w:val="auto"/>
                      <w:kern w:val="2"/>
                      <w:sz w:val="21"/>
                      <w:szCs w:val="21"/>
                      <w:vertAlign w:val="superscript"/>
                    </w:rPr>
                    <w:t>2</w:t>
                  </w:r>
                </w:p>
              </w:tc>
              <w:tc>
                <w:tcPr>
                  <w:tcW w:w="1590" w:type="dxa"/>
                  <w:noWrap w:val="0"/>
                  <w:vAlign w:val="center"/>
                </w:tcPr>
                <w:p w14:paraId="1444B9C9">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color w:val="auto"/>
                      <w:kern w:val="2"/>
                      <w:sz w:val="21"/>
                      <w:szCs w:val="21"/>
                    </w:rPr>
                  </w:pPr>
                  <w:r>
                    <w:rPr>
                      <w:rFonts w:hint="eastAsia" w:ascii="宋体" w:hAnsi="宋体"/>
                      <w:color w:val="auto"/>
                      <w:kern w:val="2"/>
                      <w:sz w:val="21"/>
                      <w:szCs w:val="21"/>
                      <w:lang w:eastAsia="zh-CN"/>
                    </w:rPr>
                    <w:t>用于存放煤矸石，</w:t>
                  </w:r>
                  <w:r>
                    <w:rPr>
                      <w:rFonts w:hint="eastAsia" w:ascii="宋体" w:hAnsi="宋体"/>
                      <w:color w:val="auto"/>
                      <w:kern w:val="2"/>
                      <w:sz w:val="21"/>
                      <w:szCs w:val="21"/>
                    </w:rPr>
                    <w:t>建筑面积</w:t>
                  </w:r>
                  <w:r>
                    <w:rPr>
                      <w:rFonts w:hint="eastAsia" w:ascii="宋体" w:hAnsi="宋体"/>
                      <w:color w:val="auto"/>
                      <w:kern w:val="2"/>
                      <w:sz w:val="21"/>
                      <w:szCs w:val="21"/>
                      <w:lang w:eastAsia="zh-CN"/>
                    </w:rPr>
                    <w:t>约</w:t>
                  </w:r>
                  <w:r>
                    <w:rPr>
                      <w:rFonts w:hint="eastAsia" w:ascii="宋体" w:hAnsi="宋体"/>
                      <w:color w:val="auto"/>
                      <w:kern w:val="2"/>
                      <w:sz w:val="21"/>
                      <w:szCs w:val="21"/>
                      <w:lang w:val="en-US" w:eastAsia="zh-CN"/>
                    </w:rPr>
                    <w:t>6300</w:t>
                  </w:r>
                  <w:r>
                    <w:rPr>
                      <w:rFonts w:hint="eastAsia" w:ascii="宋体" w:hAnsi="宋体"/>
                      <w:color w:val="auto"/>
                      <w:kern w:val="2"/>
                      <w:sz w:val="21"/>
                      <w:szCs w:val="21"/>
                    </w:rPr>
                    <w:t>m</w:t>
                  </w:r>
                  <w:r>
                    <w:rPr>
                      <w:rFonts w:hint="eastAsia" w:ascii="宋体" w:hAnsi="宋体"/>
                      <w:color w:val="auto"/>
                      <w:kern w:val="2"/>
                      <w:sz w:val="21"/>
                      <w:szCs w:val="21"/>
                      <w:vertAlign w:val="superscript"/>
                    </w:rPr>
                    <w:t>2</w:t>
                  </w:r>
                  <w:r>
                    <w:rPr>
                      <w:rFonts w:hint="eastAsia" w:ascii="宋体" w:hAnsi="宋体"/>
                      <w:color w:val="auto"/>
                      <w:kern w:val="2"/>
                      <w:sz w:val="21"/>
                      <w:szCs w:val="21"/>
                      <w:vertAlign w:val="baseline"/>
                      <w:lang w:eastAsia="zh-CN"/>
                    </w:rPr>
                    <w:t>，用于存放煤矸石（一次性存放量约</w:t>
                  </w:r>
                  <w:r>
                    <w:rPr>
                      <w:rFonts w:hint="eastAsia" w:ascii="宋体" w:hAnsi="宋体"/>
                      <w:color w:val="auto"/>
                      <w:kern w:val="2"/>
                      <w:sz w:val="21"/>
                      <w:szCs w:val="21"/>
                      <w:vertAlign w:val="baseline"/>
                      <w:lang w:val="en-US" w:eastAsia="zh-CN"/>
                    </w:rPr>
                    <w:t>20000</w:t>
                  </w:r>
                  <w:r>
                    <w:rPr>
                      <w:rFonts w:hint="eastAsia" w:ascii="宋体" w:hAnsi="宋体"/>
                      <w:color w:val="auto"/>
                      <w:kern w:val="2"/>
                      <w:sz w:val="21"/>
                      <w:szCs w:val="21"/>
                      <w:vertAlign w:val="baseline"/>
                      <w:lang w:eastAsia="zh-CN"/>
                    </w:rPr>
                    <w:t>t，周期</w:t>
                  </w:r>
                  <w:r>
                    <w:rPr>
                      <w:rFonts w:hint="eastAsia" w:ascii="宋体" w:hAnsi="宋体"/>
                      <w:color w:val="auto"/>
                      <w:kern w:val="2"/>
                      <w:sz w:val="21"/>
                      <w:szCs w:val="21"/>
                      <w:vertAlign w:val="baseline"/>
                      <w:lang w:val="en-US" w:eastAsia="zh-CN"/>
                    </w:rPr>
                    <w:t>90</w:t>
                  </w:r>
                  <w:r>
                    <w:rPr>
                      <w:rFonts w:hint="eastAsia" w:ascii="宋体" w:hAnsi="宋体"/>
                      <w:color w:val="auto"/>
                      <w:kern w:val="2"/>
                      <w:sz w:val="21"/>
                      <w:szCs w:val="21"/>
                      <w:vertAlign w:val="baseline"/>
                      <w:lang w:eastAsia="zh-CN"/>
                    </w:rPr>
                    <w:t>天）</w:t>
                  </w:r>
                </w:p>
              </w:tc>
              <w:tc>
                <w:tcPr>
                  <w:tcW w:w="921" w:type="dxa"/>
                  <w:noWrap w:val="0"/>
                  <w:vAlign w:val="center"/>
                </w:tcPr>
                <w:p w14:paraId="13665B62">
                  <w:pPr>
                    <w:jc w:val="center"/>
                    <w:rPr>
                      <w:rFonts w:hint="eastAsia" w:ascii="宋体" w:hAnsi="宋体"/>
                      <w:color w:val="auto"/>
                      <w:kern w:val="2"/>
                      <w:sz w:val="21"/>
                      <w:szCs w:val="21"/>
                      <w:lang w:val="en-US" w:eastAsia="zh-CN"/>
                    </w:rPr>
                  </w:pPr>
                  <w:r>
                    <w:rPr>
                      <w:rFonts w:hint="eastAsia" w:ascii="宋体" w:hAnsi="宋体"/>
                      <w:color w:val="auto"/>
                      <w:kern w:val="2"/>
                      <w:sz w:val="21"/>
                      <w:szCs w:val="21"/>
                      <w:lang w:val="en-US" w:eastAsia="zh-CN"/>
                    </w:rPr>
                    <w:t>新建</w:t>
                  </w:r>
                </w:p>
              </w:tc>
            </w:tr>
            <w:tr w14:paraId="032C494D">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738" w:hRule="atLeast"/>
              </w:trPr>
              <w:tc>
                <w:tcPr>
                  <w:tcW w:w="774" w:type="dxa"/>
                  <w:vMerge w:val="continue"/>
                  <w:noWrap w:val="0"/>
                  <w:vAlign w:val="center"/>
                </w:tcPr>
                <w:p w14:paraId="7F21EB3E">
                  <w:pPr>
                    <w:widowControl w:val="0"/>
                    <w:spacing w:after="120"/>
                    <w:ind w:left="420" w:leftChars="200"/>
                    <w:jc w:val="center"/>
                    <w:rPr>
                      <w:rFonts w:ascii="宋体" w:hAnsi="宋体"/>
                      <w:color w:val="auto"/>
                      <w:kern w:val="2"/>
                      <w:sz w:val="21"/>
                      <w:szCs w:val="21"/>
                    </w:rPr>
                  </w:pPr>
                </w:p>
              </w:tc>
              <w:tc>
                <w:tcPr>
                  <w:tcW w:w="842" w:type="dxa"/>
                  <w:noWrap w:val="0"/>
                  <w:vAlign w:val="center"/>
                </w:tcPr>
                <w:p w14:paraId="326A8BC6">
                  <w:pPr>
                    <w:widowControl w:val="0"/>
                    <w:jc w:val="center"/>
                    <w:rPr>
                      <w:rFonts w:ascii="宋体" w:hAnsi="宋体"/>
                      <w:color w:val="auto"/>
                      <w:kern w:val="2"/>
                      <w:sz w:val="21"/>
                      <w:szCs w:val="21"/>
                    </w:rPr>
                  </w:pPr>
                  <w:r>
                    <w:rPr>
                      <w:rFonts w:hint="eastAsia" w:ascii="宋体" w:hAnsi="宋体"/>
                      <w:color w:val="auto"/>
                      <w:kern w:val="2"/>
                      <w:sz w:val="21"/>
                      <w:szCs w:val="21"/>
                      <w:lang w:eastAsia="zh-CN"/>
                    </w:rPr>
                    <w:t>化学品库</w:t>
                  </w:r>
                </w:p>
              </w:tc>
              <w:tc>
                <w:tcPr>
                  <w:tcW w:w="2558" w:type="dxa"/>
                  <w:noWrap w:val="0"/>
                  <w:vAlign w:val="center"/>
                </w:tcPr>
                <w:p w14:paraId="556B9F73">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color w:val="auto"/>
                      <w:kern w:val="2"/>
                      <w:sz w:val="21"/>
                      <w:szCs w:val="21"/>
                    </w:rPr>
                  </w:pPr>
                  <w:r>
                    <w:rPr>
                      <w:rFonts w:hint="eastAsia" w:ascii="宋体" w:hAnsi="宋体"/>
                      <w:color w:val="auto"/>
                      <w:kern w:val="2"/>
                      <w:sz w:val="21"/>
                      <w:szCs w:val="21"/>
                      <w:lang w:val="en-US" w:eastAsia="zh-CN"/>
                    </w:rPr>
                    <w:t>/</w:t>
                  </w:r>
                </w:p>
              </w:tc>
              <w:tc>
                <w:tcPr>
                  <w:tcW w:w="1693" w:type="dxa"/>
                  <w:noWrap w:val="0"/>
                  <w:vAlign w:val="center"/>
                </w:tcPr>
                <w:p w14:paraId="7A7980B4">
                  <w:pPr>
                    <w:widowControl w:val="0"/>
                    <w:spacing w:after="120"/>
                    <w:ind w:left="86" w:leftChars="41"/>
                    <w:jc w:val="center"/>
                    <w:rPr>
                      <w:rFonts w:hint="default" w:ascii="宋体" w:hAnsi="宋体" w:eastAsia="宋体"/>
                      <w:color w:val="auto"/>
                      <w:kern w:val="2"/>
                      <w:sz w:val="21"/>
                      <w:szCs w:val="21"/>
                      <w:lang w:val="en-US" w:eastAsia="zh-CN"/>
                    </w:rPr>
                  </w:pPr>
                  <w:r>
                    <w:rPr>
                      <w:rFonts w:hint="eastAsia" w:ascii="宋体" w:hAnsi="宋体"/>
                      <w:color w:val="auto"/>
                      <w:kern w:val="2"/>
                      <w:sz w:val="21"/>
                      <w:szCs w:val="21"/>
                      <w:lang w:val="en-US" w:eastAsia="zh-CN"/>
                    </w:rPr>
                    <w:t>位于厂区东北侧，占地面积约10</w:t>
                  </w:r>
                  <w:r>
                    <w:rPr>
                      <w:rFonts w:hint="eastAsia" w:ascii="宋体" w:hAnsi="宋体"/>
                      <w:color w:val="auto"/>
                      <w:kern w:val="2"/>
                      <w:sz w:val="21"/>
                      <w:szCs w:val="21"/>
                    </w:rPr>
                    <w:t>m</w:t>
                  </w:r>
                  <w:r>
                    <w:rPr>
                      <w:rFonts w:hint="eastAsia" w:ascii="宋体" w:hAnsi="宋体"/>
                      <w:color w:val="auto"/>
                      <w:kern w:val="2"/>
                      <w:sz w:val="21"/>
                      <w:szCs w:val="21"/>
                      <w:vertAlign w:val="superscript"/>
                    </w:rPr>
                    <w:t>2</w:t>
                  </w:r>
                  <w:r>
                    <w:rPr>
                      <w:rFonts w:hint="eastAsia" w:ascii="宋体" w:hAnsi="宋体"/>
                      <w:color w:val="auto"/>
                      <w:kern w:val="2"/>
                      <w:sz w:val="21"/>
                      <w:szCs w:val="21"/>
                      <w:lang w:val="en-US" w:eastAsia="zh-CN"/>
                    </w:rPr>
                    <w:t>，用于存放尿素</w:t>
                  </w:r>
                  <w:r>
                    <w:rPr>
                      <w:rFonts w:hint="eastAsia" w:ascii="宋体" w:hAnsi="宋体"/>
                      <w:color w:val="auto"/>
                      <w:kern w:val="2"/>
                      <w:sz w:val="21"/>
                      <w:szCs w:val="21"/>
                      <w:vertAlign w:val="baseline"/>
                      <w:lang w:eastAsia="zh-CN"/>
                    </w:rPr>
                    <w:t>（一次性存放量约</w:t>
                  </w:r>
                  <w:r>
                    <w:rPr>
                      <w:rFonts w:hint="eastAsia" w:ascii="宋体" w:hAnsi="宋体"/>
                      <w:color w:val="auto"/>
                      <w:kern w:val="2"/>
                      <w:sz w:val="21"/>
                      <w:szCs w:val="21"/>
                      <w:vertAlign w:val="baseline"/>
                      <w:lang w:val="en-US" w:eastAsia="zh-CN"/>
                    </w:rPr>
                    <w:t>5</w:t>
                  </w:r>
                  <w:r>
                    <w:rPr>
                      <w:rFonts w:hint="eastAsia" w:ascii="宋体" w:hAnsi="宋体"/>
                      <w:color w:val="auto"/>
                      <w:kern w:val="2"/>
                      <w:sz w:val="21"/>
                      <w:szCs w:val="21"/>
                      <w:vertAlign w:val="baseline"/>
                      <w:lang w:eastAsia="zh-CN"/>
                    </w:rPr>
                    <w:t>t，周期</w:t>
                  </w:r>
                  <w:r>
                    <w:rPr>
                      <w:rFonts w:hint="eastAsia" w:ascii="宋体" w:hAnsi="宋体"/>
                      <w:color w:val="auto"/>
                      <w:kern w:val="2"/>
                      <w:sz w:val="21"/>
                      <w:szCs w:val="21"/>
                      <w:vertAlign w:val="baseline"/>
                      <w:lang w:val="en-US" w:eastAsia="zh-CN"/>
                    </w:rPr>
                    <w:t>4</w:t>
                  </w:r>
                  <w:r>
                    <w:rPr>
                      <w:rFonts w:hint="eastAsia" w:ascii="宋体" w:hAnsi="宋体"/>
                      <w:color w:val="auto"/>
                      <w:kern w:val="2"/>
                      <w:sz w:val="21"/>
                      <w:szCs w:val="21"/>
                      <w:vertAlign w:val="baseline"/>
                      <w:lang w:eastAsia="zh-CN"/>
                    </w:rPr>
                    <w:t>天）</w:t>
                  </w:r>
                </w:p>
              </w:tc>
              <w:tc>
                <w:tcPr>
                  <w:tcW w:w="1590" w:type="dxa"/>
                  <w:noWrap w:val="0"/>
                  <w:vAlign w:val="center"/>
                </w:tcPr>
                <w:p w14:paraId="7E996F8C">
                  <w:pPr>
                    <w:widowControl w:val="0"/>
                    <w:spacing w:after="120"/>
                    <w:ind w:left="86" w:leftChars="41"/>
                    <w:jc w:val="center"/>
                    <w:rPr>
                      <w:rFonts w:hint="eastAsia" w:ascii="宋体" w:hAnsi="宋体"/>
                      <w:color w:val="auto"/>
                      <w:kern w:val="2"/>
                      <w:sz w:val="21"/>
                      <w:szCs w:val="21"/>
                    </w:rPr>
                  </w:pPr>
                  <w:r>
                    <w:rPr>
                      <w:rFonts w:hint="eastAsia" w:ascii="宋体" w:hAnsi="宋体"/>
                      <w:color w:val="auto"/>
                      <w:kern w:val="2"/>
                      <w:sz w:val="21"/>
                      <w:szCs w:val="21"/>
                      <w:lang w:val="en-US" w:eastAsia="zh-CN"/>
                    </w:rPr>
                    <w:t>位于厂区东北侧，占地面积约10</w:t>
                  </w:r>
                  <w:r>
                    <w:rPr>
                      <w:rFonts w:hint="eastAsia" w:ascii="宋体" w:hAnsi="宋体"/>
                      <w:color w:val="auto"/>
                      <w:kern w:val="2"/>
                      <w:sz w:val="21"/>
                      <w:szCs w:val="21"/>
                    </w:rPr>
                    <w:t>m</w:t>
                  </w:r>
                  <w:r>
                    <w:rPr>
                      <w:rFonts w:hint="eastAsia" w:ascii="宋体" w:hAnsi="宋体"/>
                      <w:color w:val="auto"/>
                      <w:kern w:val="2"/>
                      <w:sz w:val="21"/>
                      <w:szCs w:val="21"/>
                      <w:vertAlign w:val="superscript"/>
                    </w:rPr>
                    <w:t>2</w:t>
                  </w:r>
                  <w:r>
                    <w:rPr>
                      <w:rFonts w:hint="eastAsia" w:ascii="宋体" w:hAnsi="宋体"/>
                      <w:color w:val="auto"/>
                      <w:kern w:val="2"/>
                      <w:sz w:val="21"/>
                      <w:szCs w:val="21"/>
                      <w:lang w:val="en-US" w:eastAsia="zh-CN"/>
                    </w:rPr>
                    <w:t>，用于存放尿素</w:t>
                  </w:r>
                  <w:r>
                    <w:rPr>
                      <w:rFonts w:hint="eastAsia" w:ascii="宋体" w:hAnsi="宋体"/>
                      <w:color w:val="auto"/>
                      <w:kern w:val="2"/>
                      <w:sz w:val="21"/>
                      <w:szCs w:val="21"/>
                      <w:vertAlign w:val="baseline"/>
                      <w:lang w:eastAsia="zh-CN"/>
                    </w:rPr>
                    <w:t>（一次性存放量约</w:t>
                  </w:r>
                  <w:r>
                    <w:rPr>
                      <w:rFonts w:hint="eastAsia" w:ascii="宋体" w:hAnsi="宋体"/>
                      <w:color w:val="auto"/>
                      <w:kern w:val="2"/>
                      <w:sz w:val="21"/>
                      <w:szCs w:val="21"/>
                      <w:vertAlign w:val="baseline"/>
                      <w:lang w:val="en-US" w:eastAsia="zh-CN"/>
                    </w:rPr>
                    <w:t>5</w:t>
                  </w:r>
                  <w:r>
                    <w:rPr>
                      <w:rFonts w:hint="eastAsia" w:ascii="宋体" w:hAnsi="宋体"/>
                      <w:color w:val="auto"/>
                      <w:kern w:val="2"/>
                      <w:sz w:val="21"/>
                      <w:szCs w:val="21"/>
                      <w:vertAlign w:val="baseline"/>
                      <w:lang w:eastAsia="zh-CN"/>
                    </w:rPr>
                    <w:t>t，周期</w:t>
                  </w:r>
                  <w:r>
                    <w:rPr>
                      <w:rFonts w:hint="eastAsia" w:ascii="宋体" w:hAnsi="宋体"/>
                      <w:color w:val="auto"/>
                      <w:kern w:val="2"/>
                      <w:sz w:val="21"/>
                      <w:szCs w:val="21"/>
                      <w:vertAlign w:val="baseline"/>
                      <w:lang w:val="en-US" w:eastAsia="zh-CN"/>
                    </w:rPr>
                    <w:t>4</w:t>
                  </w:r>
                  <w:r>
                    <w:rPr>
                      <w:rFonts w:hint="eastAsia" w:ascii="宋体" w:hAnsi="宋体"/>
                      <w:color w:val="auto"/>
                      <w:kern w:val="2"/>
                      <w:sz w:val="21"/>
                      <w:szCs w:val="21"/>
                      <w:vertAlign w:val="baseline"/>
                      <w:lang w:eastAsia="zh-CN"/>
                    </w:rPr>
                    <w:t>天）</w:t>
                  </w:r>
                </w:p>
              </w:tc>
              <w:tc>
                <w:tcPr>
                  <w:tcW w:w="921" w:type="dxa"/>
                  <w:noWrap w:val="0"/>
                  <w:vAlign w:val="center"/>
                </w:tcPr>
                <w:p w14:paraId="6D340738">
                  <w:pPr>
                    <w:jc w:val="center"/>
                    <w:rPr>
                      <w:rFonts w:ascii="宋体" w:hAnsi="宋体"/>
                      <w:color w:val="auto"/>
                      <w:sz w:val="21"/>
                      <w:szCs w:val="21"/>
                    </w:rPr>
                  </w:pPr>
                  <w:r>
                    <w:rPr>
                      <w:rFonts w:hint="eastAsia" w:ascii="宋体" w:hAnsi="宋体"/>
                      <w:color w:val="auto"/>
                      <w:kern w:val="2"/>
                      <w:sz w:val="21"/>
                      <w:szCs w:val="21"/>
                      <w:lang w:val="en-US" w:eastAsia="zh-CN"/>
                    </w:rPr>
                    <w:t>依托</w:t>
                  </w:r>
                  <w:r>
                    <w:rPr>
                      <w:rFonts w:hint="eastAsia" w:ascii="宋体" w:hAnsi="宋体"/>
                      <w:color w:val="auto"/>
                      <w:kern w:val="2"/>
                      <w:sz w:val="21"/>
                      <w:szCs w:val="21"/>
                      <w:lang w:val="en-US" w:eastAsia="zh-CN"/>
                    </w:rPr>
                    <w:br w:type="textWrapping"/>
                  </w:r>
                  <w:r>
                    <w:rPr>
                      <w:rFonts w:hint="eastAsia" w:ascii="宋体" w:hAnsi="宋体"/>
                      <w:color w:val="auto"/>
                      <w:kern w:val="2"/>
                      <w:sz w:val="21"/>
                      <w:szCs w:val="21"/>
                      <w:lang w:val="en-US" w:eastAsia="zh-CN"/>
                    </w:rPr>
                    <w:t>现有</w:t>
                  </w:r>
                </w:p>
              </w:tc>
            </w:tr>
            <w:tr w14:paraId="3FEA1D41">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738" w:hRule="atLeast"/>
              </w:trPr>
              <w:tc>
                <w:tcPr>
                  <w:tcW w:w="774" w:type="dxa"/>
                  <w:vMerge w:val="restart"/>
                  <w:noWrap w:val="0"/>
                  <w:vAlign w:val="center"/>
                </w:tcPr>
                <w:p w14:paraId="19E6FE68">
                  <w:pPr>
                    <w:widowControl w:val="0"/>
                    <w:spacing w:after="120"/>
                    <w:ind w:left="210" w:hanging="210" w:hangingChars="100"/>
                    <w:jc w:val="center"/>
                    <w:rPr>
                      <w:rFonts w:ascii="宋体" w:hAnsi="宋体"/>
                      <w:color w:val="auto"/>
                      <w:kern w:val="2"/>
                      <w:sz w:val="21"/>
                      <w:szCs w:val="21"/>
                    </w:rPr>
                  </w:pPr>
                  <w:r>
                    <w:rPr>
                      <w:rFonts w:hint="eastAsia" w:ascii="宋体" w:hAnsi="宋体"/>
                      <w:color w:val="auto"/>
                      <w:kern w:val="2"/>
                      <w:sz w:val="21"/>
                      <w:szCs w:val="21"/>
                    </w:rPr>
                    <w:t>公用</w:t>
                  </w:r>
                </w:p>
                <w:p w14:paraId="067E1510">
                  <w:pPr>
                    <w:widowControl w:val="0"/>
                    <w:spacing w:after="120"/>
                    <w:jc w:val="center"/>
                    <w:rPr>
                      <w:rFonts w:hint="eastAsia" w:ascii="宋体" w:hAnsi="宋体"/>
                      <w:color w:val="auto"/>
                      <w:kern w:val="2"/>
                      <w:sz w:val="21"/>
                      <w:szCs w:val="21"/>
                    </w:rPr>
                  </w:pPr>
                  <w:r>
                    <w:rPr>
                      <w:rFonts w:hint="eastAsia" w:ascii="宋体" w:hAnsi="宋体"/>
                      <w:color w:val="auto"/>
                      <w:kern w:val="2"/>
                      <w:sz w:val="21"/>
                      <w:szCs w:val="21"/>
                    </w:rPr>
                    <w:t>工程</w:t>
                  </w:r>
                </w:p>
              </w:tc>
              <w:tc>
                <w:tcPr>
                  <w:tcW w:w="842" w:type="dxa"/>
                  <w:noWrap w:val="0"/>
                  <w:vAlign w:val="center"/>
                </w:tcPr>
                <w:p w14:paraId="612998E6">
                  <w:pPr>
                    <w:widowControl w:val="0"/>
                    <w:jc w:val="center"/>
                    <w:rPr>
                      <w:rFonts w:hint="eastAsia" w:ascii="宋体" w:hAnsi="宋体"/>
                      <w:color w:val="auto"/>
                      <w:kern w:val="2"/>
                      <w:sz w:val="21"/>
                      <w:szCs w:val="21"/>
                    </w:rPr>
                  </w:pPr>
                  <w:r>
                    <w:rPr>
                      <w:rFonts w:hint="eastAsia" w:ascii="宋体" w:hAnsi="宋体"/>
                      <w:color w:val="auto"/>
                      <w:kern w:val="2"/>
                      <w:sz w:val="21"/>
                      <w:szCs w:val="21"/>
                    </w:rPr>
                    <w:t>给水</w:t>
                  </w:r>
                </w:p>
              </w:tc>
              <w:tc>
                <w:tcPr>
                  <w:tcW w:w="2558" w:type="dxa"/>
                  <w:noWrap w:val="0"/>
                  <w:vAlign w:val="center"/>
                </w:tcPr>
                <w:p w14:paraId="0DCA7AE0">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olor w:val="auto"/>
                      <w:kern w:val="2"/>
                      <w:sz w:val="21"/>
                      <w:szCs w:val="21"/>
                      <w:lang w:eastAsia="zh-CN"/>
                    </w:rPr>
                  </w:pPr>
                  <w:r>
                    <w:rPr>
                      <w:rFonts w:hint="eastAsia" w:ascii="宋体" w:hAnsi="宋体"/>
                      <w:color w:val="auto"/>
                      <w:kern w:val="2"/>
                      <w:sz w:val="21"/>
                      <w:szCs w:val="21"/>
                    </w:rPr>
                    <w:t>由刘桥镇自来水厂供给</w:t>
                  </w:r>
                </w:p>
              </w:tc>
              <w:tc>
                <w:tcPr>
                  <w:tcW w:w="1693" w:type="dxa"/>
                  <w:noWrap w:val="0"/>
                  <w:vAlign w:val="center"/>
                </w:tcPr>
                <w:p w14:paraId="56FD4AC6">
                  <w:pPr>
                    <w:widowControl w:val="0"/>
                    <w:spacing w:after="120"/>
                    <w:ind w:left="86" w:leftChars="41"/>
                    <w:jc w:val="center"/>
                    <w:rPr>
                      <w:rFonts w:hint="eastAsia" w:ascii="宋体" w:hAnsi="宋体"/>
                      <w:color w:val="auto"/>
                      <w:kern w:val="2"/>
                      <w:sz w:val="21"/>
                      <w:szCs w:val="21"/>
                    </w:rPr>
                  </w:pPr>
                  <w:r>
                    <w:rPr>
                      <w:rFonts w:hint="eastAsia" w:ascii="宋体" w:hAnsi="宋体"/>
                      <w:color w:val="auto"/>
                      <w:kern w:val="2"/>
                      <w:sz w:val="21"/>
                      <w:szCs w:val="21"/>
                      <w:lang w:val="en-US" w:eastAsia="zh-CN"/>
                    </w:rPr>
                    <w:t>/</w:t>
                  </w:r>
                </w:p>
              </w:tc>
              <w:tc>
                <w:tcPr>
                  <w:tcW w:w="1590" w:type="dxa"/>
                  <w:noWrap w:val="0"/>
                  <w:vAlign w:val="center"/>
                </w:tcPr>
                <w:p w14:paraId="4DB5041D">
                  <w:pPr>
                    <w:widowControl w:val="0"/>
                    <w:spacing w:after="120"/>
                    <w:ind w:left="86" w:leftChars="41"/>
                    <w:jc w:val="center"/>
                    <w:rPr>
                      <w:rFonts w:hint="eastAsia" w:ascii="宋体" w:hAnsi="宋体"/>
                      <w:color w:val="auto"/>
                      <w:kern w:val="2"/>
                      <w:sz w:val="21"/>
                      <w:szCs w:val="21"/>
                    </w:rPr>
                  </w:pPr>
                  <w:r>
                    <w:rPr>
                      <w:rFonts w:hint="eastAsia" w:ascii="宋体" w:hAnsi="宋体"/>
                      <w:color w:val="auto"/>
                      <w:kern w:val="2"/>
                      <w:sz w:val="21"/>
                      <w:szCs w:val="21"/>
                    </w:rPr>
                    <w:t>由刘桥镇自来水厂供给</w:t>
                  </w:r>
                </w:p>
              </w:tc>
              <w:tc>
                <w:tcPr>
                  <w:tcW w:w="921" w:type="dxa"/>
                  <w:noWrap w:val="0"/>
                  <w:vAlign w:val="center"/>
                </w:tcPr>
                <w:p w14:paraId="068B3C40">
                  <w:pPr>
                    <w:jc w:val="center"/>
                    <w:rPr>
                      <w:rFonts w:hint="eastAsia" w:ascii="宋体" w:hAnsi="宋体"/>
                      <w:color w:val="auto"/>
                      <w:kern w:val="2"/>
                      <w:sz w:val="21"/>
                      <w:szCs w:val="21"/>
                    </w:rPr>
                  </w:pPr>
                  <w:r>
                    <w:rPr>
                      <w:rFonts w:hint="eastAsia" w:ascii="宋体" w:hAnsi="宋体"/>
                      <w:color w:val="auto"/>
                      <w:kern w:val="2"/>
                      <w:sz w:val="21"/>
                      <w:szCs w:val="21"/>
                      <w:lang w:val="en-US" w:eastAsia="zh-CN"/>
                    </w:rPr>
                    <w:t>依托</w:t>
                  </w:r>
                  <w:r>
                    <w:rPr>
                      <w:rFonts w:hint="eastAsia" w:ascii="宋体" w:hAnsi="宋体"/>
                      <w:color w:val="auto"/>
                      <w:kern w:val="2"/>
                      <w:sz w:val="21"/>
                      <w:szCs w:val="21"/>
                      <w:lang w:val="en-US" w:eastAsia="zh-CN"/>
                    </w:rPr>
                    <w:br w:type="textWrapping"/>
                  </w:r>
                  <w:r>
                    <w:rPr>
                      <w:rFonts w:hint="eastAsia" w:ascii="宋体" w:hAnsi="宋体"/>
                      <w:color w:val="auto"/>
                      <w:kern w:val="2"/>
                      <w:sz w:val="21"/>
                      <w:szCs w:val="21"/>
                      <w:lang w:val="en-US" w:eastAsia="zh-CN"/>
                    </w:rPr>
                    <w:t>现有</w:t>
                  </w:r>
                </w:p>
              </w:tc>
            </w:tr>
            <w:tr w14:paraId="67996517">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516" w:hRule="atLeast"/>
              </w:trPr>
              <w:tc>
                <w:tcPr>
                  <w:tcW w:w="774" w:type="dxa"/>
                  <w:vMerge w:val="continue"/>
                  <w:noWrap w:val="0"/>
                  <w:vAlign w:val="center"/>
                </w:tcPr>
                <w:p w14:paraId="6223FB22">
                  <w:pPr>
                    <w:widowControl w:val="0"/>
                    <w:spacing w:after="120"/>
                    <w:ind w:left="420" w:leftChars="200"/>
                    <w:jc w:val="center"/>
                    <w:rPr>
                      <w:rFonts w:hint="eastAsia" w:ascii="宋体" w:hAnsi="宋体"/>
                      <w:color w:val="auto"/>
                      <w:kern w:val="2"/>
                      <w:sz w:val="21"/>
                      <w:szCs w:val="21"/>
                    </w:rPr>
                  </w:pPr>
                </w:p>
              </w:tc>
              <w:tc>
                <w:tcPr>
                  <w:tcW w:w="842" w:type="dxa"/>
                  <w:noWrap w:val="0"/>
                  <w:vAlign w:val="center"/>
                </w:tcPr>
                <w:p w14:paraId="6827DA35">
                  <w:pPr>
                    <w:widowControl w:val="0"/>
                    <w:jc w:val="center"/>
                    <w:rPr>
                      <w:rFonts w:hint="eastAsia" w:ascii="宋体" w:hAnsi="宋体"/>
                      <w:color w:val="auto"/>
                      <w:kern w:val="2"/>
                      <w:sz w:val="21"/>
                      <w:szCs w:val="21"/>
                    </w:rPr>
                  </w:pPr>
                  <w:r>
                    <w:rPr>
                      <w:rFonts w:hint="eastAsia" w:ascii="宋体" w:hAnsi="宋体"/>
                      <w:color w:val="auto"/>
                      <w:kern w:val="2"/>
                      <w:sz w:val="21"/>
                      <w:szCs w:val="21"/>
                    </w:rPr>
                    <w:t>排水</w:t>
                  </w:r>
                </w:p>
              </w:tc>
              <w:tc>
                <w:tcPr>
                  <w:tcW w:w="2558" w:type="dxa"/>
                  <w:noWrap w:val="0"/>
                  <w:vAlign w:val="center"/>
                </w:tcPr>
                <w:p w14:paraId="382F34FA">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olor w:val="auto"/>
                      <w:kern w:val="2"/>
                      <w:sz w:val="21"/>
                      <w:szCs w:val="21"/>
                      <w:lang w:eastAsia="zh-CN"/>
                    </w:rPr>
                  </w:pPr>
                  <w:r>
                    <w:rPr>
                      <w:rFonts w:hint="eastAsia" w:ascii="宋体" w:hAnsi="宋体"/>
                      <w:color w:val="auto"/>
                      <w:kern w:val="2"/>
                      <w:sz w:val="21"/>
                      <w:szCs w:val="21"/>
                    </w:rPr>
                    <w:t>雨污分流制，雨水</w:t>
                  </w:r>
                  <w:r>
                    <w:rPr>
                      <w:rFonts w:hint="eastAsia" w:ascii="宋体" w:hAnsi="宋体"/>
                      <w:color w:val="auto"/>
                      <w:kern w:val="2"/>
                      <w:sz w:val="21"/>
                      <w:szCs w:val="21"/>
                      <w:lang w:eastAsia="zh-CN"/>
                    </w:rPr>
                    <w:t>经</w:t>
                  </w:r>
                  <w:r>
                    <w:rPr>
                      <w:rFonts w:hint="eastAsia" w:ascii="宋体" w:hAnsi="宋体"/>
                      <w:color w:val="auto"/>
                      <w:kern w:val="2"/>
                      <w:sz w:val="21"/>
                      <w:szCs w:val="21"/>
                    </w:rPr>
                    <w:t>区内雨水管网</w:t>
                  </w:r>
                  <w:r>
                    <w:rPr>
                      <w:rFonts w:hint="eastAsia" w:ascii="宋体" w:hAnsi="宋体"/>
                      <w:color w:val="auto"/>
                      <w:kern w:val="2"/>
                      <w:sz w:val="21"/>
                      <w:szCs w:val="21"/>
                      <w:lang w:eastAsia="zh-CN"/>
                    </w:rPr>
                    <w:t>收集后排入附近沟渠</w:t>
                  </w:r>
                  <w:r>
                    <w:rPr>
                      <w:rFonts w:hint="eastAsia" w:ascii="宋体" w:hAnsi="宋体"/>
                      <w:color w:val="auto"/>
                      <w:kern w:val="2"/>
                      <w:sz w:val="21"/>
                      <w:szCs w:val="21"/>
                    </w:rPr>
                    <w:t>；生活污水</w:t>
                  </w:r>
                  <w:r>
                    <w:rPr>
                      <w:rFonts w:hint="eastAsia" w:ascii="宋体" w:hAnsi="宋体"/>
                      <w:color w:val="auto"/>
                      <w:kern w:val="2"/>
                      <w:sz w:val="21"/>
                      <w:szCs w:val="21"/>
                      <w:lang w:eastAsia="zh-CN"/>
                    </w:rPr>
                    <w:t>经化粪池处理后，定期清掏，不外排</w:t>
                  </w:r>
                </w:p>
              </w:tc>
              <w:tc>
                <w:tcPr>
                  <w:tcW w:w="1693" w:type="dxa"/>
                  <w:noWrap w:val="0"/>
                  <w:vAlign w:val="center"/>
                </w:tcPr>
                <w:p w14:paraId="1207E155">
                  <w:pPr>
                    <w:widowControl w:val="0"/>
                    <w:spacing w:after="120"/>
                    <w:ind w:left="86" w:leftChars="41"/>
                    <w:jc w:val="center"/>
                    <w:rPr>
                      <w:rFonts w:hint="eastAsia" w:ascii="宋体" w:hAnsi="宋体"/>
                      <w:color w:val="auto"/>
                      <w:kern w:val="2"/>
                      <w:sz w:val="21"/>
                      <w:szCs w:val="21"/>
                    </w:rPr>
                  </w:pPr>
                  <w:r>
                    <w:rPr>
                      <w:rFonts w:hint="eastAsia" w:ascii="宋体" w:hAnsi="宋体"/>
                      <w:color w:val="auto"/>
                      <w:kern w:val="2"/>
                      <w:sz w:val="21"/>
                      <w:szCs w:val="21"/>
                      <w:lang w:val="en-US" w:eastAsia="zh-CN"/>
                    </w:rPr>
                    <w:t>/</w:t>
                  </w:r>
                </w:p>
              </w:tc>
              <w:tc>
                <w:tcPr>
                  <w:tcW w:w="1590" w:type="dxa"/>
                  <w:noWrap w:val="0"/>
                  <w:vAlign w:val="center"/>
                </w:tcPr>
                <w:p w14:paraId="4AEB846C">
                  <w:pPr>
                    <w:widowControl w:val="0"/>
                    <w:spacing w:after="120"/>
                    <w:ind w:left="86" w:leftChars="41"/>
                    <w:jc w:val="center"/>
                    <w:rPr>
                      <w:rFonts w:hint="eastAsia" w:ascii="宋体" w:hAnsi="宋体"/>
                      <w:color w:val="auto"/>
                      <w:kern w:val="2"/>
                      <w:sz w:val="21"/>
                      <w:szCs w:val="21"/>
                    </w:rPr>
                  </w:pPr>
                  <w:r>
                    <w:rPr>
                      <w:rFonts w:hint="eastAsia" w:ascii="宋体" w:hAnsi="宋体"/>
                      <w:color w:val="auto"/>
                      <w:kern w:val="2"/>
                      <w:sz w:val="21"/>
                      <w:szCs w:val="21"/>
                    </w:rPr>
                    <w:t>雨污分流制，雨水</w:t>
                  </w:r>
                  <w:r>
                    <w:rPr>
                      <w:rFonts w:hint="eastAsia" w:ascii="宋体" w:hAnsi="宋体"/>
                      <w:color w:val="auto"/>
                      <w:kern w:val="2"/>
                      <w:sz w:val="21"/>
                      <w:szCs w:val="21"/>
                      <w:lang w:eastAsia="zh-CN"/>
                    </w:rPr>
                    <w:t>经</w:t>
                  </w:r>
                  <w:r>
                    <w:rPr>
                      <w:rFonts w:hint="eastAsia" w:ascii="宋体" w:hAnsi="宋体"/>
                      <w:color w:val="auto"/>
                      <w:kern w:val="2"/>
                      <w:sz w:val="21"/>
                      <w:szCs w:val="21"/>
                    </w:rPr>
                    <w:t>区内雨水管网</w:t>
                  </w:r>
                  <w:r>
                    <w:rPr>
                      <w:rFonts w:hint="eastAsia" w:ascii="宋体" w:hAnsi="宋体"/>
                      <w:color w:val="auto"/>
                      <w:kern w:val="2"/>
                      <w:sz w:val="21"/>
                      <w:szCs w:val="21"/>
                      <w:lang w:eastAsia="zh-CN"/>
                    </w:rPr>
                    <w:t>收集后排入附近沟渠</w:t>
                  </w:r>
                  <w:r>
                    <w:rPr>
                      <w:rFonts w:hint="eastAsia" w:ascii="宋体" w:hAnsi="宋体"/>
                      <w:color w:val="auto"/>
                      <w:kern w:val="2"/>
                      <w:sz w:val="21"/>
                      <w:szCs w:val="21"/>
                    </w:rPr>
                    <w:t>；生活污水</w:t>
                  </w:r>
                  <w:r>
                    <w:rPr>
                      <w:rFonts w:hint="eastAsia" w:ascii="宋体" w:hAnsi="宋体"/>
                      <w:color w:val="auto"/>
                      <w:kern w:val="2"/>
                      <w:sz w:val="21"/>
                      <w:szCs w:val="21"/>
                      <w:lang w:eastAsia="zh-CN"/>
                    </w:rPr>
                    <w:t>经化粪池处理后，定期清掏，不外排</w:t>
                  </w:r>
                </w:p>
              </w:tc>
              <w:tc>
                <w:tcPr>
                  <w:tcW w:w="921" w:type="dxa"/>
                  <w:noWrap w:val="0"/>
                  <w:vAlign w:val="center"/>
                </w:tcPr>
                <w:p w14:paraId="4E4EB3B3">
                  <w:pPr>
                    <w:jc w:val="center"/>
                    <w:rPr>
                      <w:rFonts w:hint="eastAsia" w:ascii="宋体" w:hAnsi="宋体"/>
                      <w:color w:val="auto"/>
                      <w:kern w:val="2"/>
                      <w:sz w:val="21"/>
                      <w:szCs w:val="21"/>
                    </w:rPr>
                  </w:pPr>
                  <w:r>
                    <w:rPr>
                      <w:rFonts w:hint="eastAsia" w:ascii="宋体" w:hAnsi="宋体"/>
                      <w:color w:val="auto"/>
                      <w:kern w:val="2"/>
                      <w:sz w:val="21"/>
                      <w:szCs w:val="21"/>
                      <w:lang w:val="en-US" w:eastAsia="zh-CN"/>
                    </w:rPr>
                    <w:t>依托</w:t>
                  </w:r>
                  <w:r>
                    <w:rPr>
                      <w:rFonts w:hint="eastAsia" w:ascii="宋体" w:hAnsi="宋体"/>
                      <w:color w:val="auto"/>
                      <w:kern w:val="2"/>
                      <w:sz w:val="21"/>
                      <w:szCs w:val="21"/>
                      <w:lang w:val="en-US" w:eastAsia="zh-CN"/>
                    </w:rPr>
                    <w:br w:type="textWrapping"/>
                  </w:r>
                  <w:r>
                    <w:rPr>
                      <w:rFonts w:hint="eastAsia" w:ascii="宋体" w:hAnsi="宋体"/>
                      <w:color w:val="auto"/>
                      <w:kern w:val="2"/>
                      <w:sz w:val="21"/>
                      <w:szCs w:val="21"/>
                      <w:lang w:val="en-US" w:eastAsia="zh-CN"/>
                    </w:rPr>
                    <w:t>现有</w:t>
                  </w:r>
                </w:p>
              </w:tc>
            </w:tr>
            <w:tr w14:paraId="4CE33F31">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861" w:hRule="atLeast"/>
              </w:trPr>
              <w:tc>
                <w:tcPr>
                  <w:tcW w:w="774" w:type="dxa"/>
                  <w:vMerge w:val="continue"/>
                  <w:noWrap w:val="0"/>
                  <w:vAlign w:val="center"/>
                </w:tcPr>
                <w:p w14:paraId="7BC80786">
                  <w:pPr>
                    <w:widowControl w:val="0"/>
                    <w:spacing w:after="120"/>
                    <w:ind w:left="420" w:leftChars="200"/>
                    <w:jc w:val="center"/>
                    <w:rPr>
                      <w:rFonts w:hint="eastAsia" w:ascii="宋体" w:hAnsi="宋体"/>
                      <w:color w:val="auto"/>
                      <w:kern w:val="2"/>
                      <w:sz w:val="21"/>
                      <w:szCs w:val="21"/>
                    </w:rPr>
                  </w:pPr>
                </w:p>
              </w:tc>
              <w:tc>
                <w:tcPr>
                  <w:tcW w:w="842" w:type="dxa"/>
                  <w:noWrap w:val="0"/>
                  <w:vAlign w:val="center"/>
                </w:tcPr>
                <w:p w14:paraId="06CAB122">
                  <w:pPr>
                    <w:widowControl w:val="0"/>
                    <w:jc w:val="center"/>
                    <w:rPr>
                      <w:rFonts w:hint="eastAsia" w:ascii="宋体" w:hAnsi="宋体"/>
                      <w:color w:val="auto"/>
                      <w:kern w:val="2"/>
                      <w:sz w:val="21"/>
                      <w:szCs w:val="21"/>
                    </w:rPr>
                  </w:pPr>
                  <w:r>
                    <w:rPr>
                      <w:rFonts w:hint="eastAsia" w:ascii="宋体" w:hAnsi="宋体"/>
                      <w:color w:val="auto"/>
                      <w:kern w:val="2"/>
                      <w:sz w:val="21"/>
                      <w:szCs w:val="21"/>
                    </w:rPr>
                    <w:t>供电</w:t>
                  </w:r>
                </w:p>
              </w:tc>
              <w:tc>
                <w:tcPr>
                  <w:tcW w:w="2558" w:type="dxa"/>
                  <w:noWrap w:val="0"/>
                  <w:vAlign w:val="center"/>
                </w:tcPr>
                <w:p w14:paraId="0EF8A98B">
                  <w:pPr>
                    <w:widowControl w:val="0"/>
                    <w:spacing w:after="120"/>
                    <w:ind w:left="86" w:leftChars="41"/>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年耗电量</w:t>
                  </w:r>
                  <w:r>
                    <w:rPr>
                      <w:rFonts w:hint="eastAsia" w:ascii="宋体" w:hAnsi="宋体"/>
                      <w:color w:val="auto"/>
                      <w:kern w:val="2"/>
                      <w:sz w:val="21"/>
                      <w:szCs w:val="21"/>
                      <w:highlight w:val="none"/>
                      <w:lang w:val="en-US" w:eastAsia="zh-CN"/>
                    </w:rPr>
                    <w:t>280</w:t>
                  </w:r>
                  <w:r>
                    <w:rPr>
                      <w:rFonts w:hint="eastAsia" w:ascii="宋体" w:hAnsi="宋体"/>
                      <w:color w:val="auto"/>
                      <w:kern w:val="2"/>
                      <w:sz w:val="21"/>
                      <w:szCs w:val="21"/>
                      <w:highlight w:val="none"/>
                    </w:rPr>
                    <w:t>万</w:t>
                  </w:r>
                  <w:r>
                    <w:rPr>
                      <w:rFonts w:ascii="宋体" w:hAnsi="宋体"/>
                      <w:color w:val="auto"/>
                      <w:kern w:val="2"/>
                      <w:sz w:val="21"/>
                      <w:szCs w:val="21"/>
                      <w:highlight w:val="none"/>
                    </w:rPr>
                    <w:t>Kw</w:t>
                  </w:r>
                  <w:r>
                    <w:rPr>
                      <w:rFonts w:hint="eastAsia" w:ascii="宋体" w:hAnsi="宋体"/>
                      <w:color w:val="auto"/>
                      <w:kern w:val="2"/>
                      <w:sz w:val="21"/>
                      <w:szCs w:val="21"/>
                      <w:highlight w:val="none"/>
                    </w:rPr>
                    <w:t>·</w:t>
                  </w:r>
                  <w:r>
                    <w:rPr>
                      <w:rFonts w:ascii="宋体" w:hAnsi="宋体"/>
                      <w:color w:val="auto"/>
                      <w:kern w:val="2"/>
                      <w:sz w:val="21"/>
                      <w:szCs w:val="21"/>
                      <w:highlight w:val="none"/>
                    </w:rPr>
                    <w:t>h</w:t>
                  </w:r>
                  <w:r>
                    <w:rPr>
                      <w:rFonts w:hint="eastAsia" w:ascii="宋体" w:hAnsi="宋体"/>
                      <w:color w:val="auto"/>
                      <w:kern w:val="2"/>
                      <w:sz w:val="21"/>
                      <w:szCs w:val="21"/>
                      <w:highlight w:val="none"/>
                    </w:rPr>
                    <w:t>，接入濉溪县刘桥镇供电管网</w:t>
                  </w:r>
                </w:p>
              </w:tc>
              <w:tc>
                <w:tcPr>
                  <w:tcW w:w="1693" w:type="dxa"/>
                  <w:noWrap w:val="0"/>
                  <w:vAlign w:val="center"/>
                </w:tcPr>
                <w:p w14:paraId="5EDEE148">
                  <w:pPr>
                    <w:widowControl w:val="0"/>
                    <w:spacing w:after="120"/>
                    <w:ind w:left="86" w:leftChars="41"/>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lang w:val="en-US" w:eastAsia="zh-CN"/>
                    </w:rPr>
                    <w:t>/</w:t>
                  </w:r>
                </w:p>
              </w:tc>
              <w:tc>
                <w:tcPr>
                  <w:tcW w:w="1590" w:type="dxa"/>
                  <w:noWrap w:val="0"/>
                  <w:vAlign w:val="center"/>
                </w:tcPr>
                <w:p w14:paraId="3FE5767B">
                  <w:pPr>
                    <w:widowControl w:val="0"/>
                    <w:spacing w:after="120"/>
                    <w:ind w:left="86" w:leftChars="41"/>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年耗电量</w:t>
                  </w:r>
                  <w:r>
                    <w:rPr>
                      <w:rFonts w:hint="eastAsia" w:ascii="宋体" w:hAnsi="宋体"/>
                      <w:color w:val="auto"/>
                      <w:kern w:val="2"/>
                      <w:sz w:val="21"/>
                      <w:szCs w:val="21"/>
                      <w:highlight w:val="none"/>
                      <w:lang w:val="en-US" w:eastAsia="zh-CN"/>
                    </w:rPr>
                    <w:t>315</w:t>
                  </w:r>
                  <w:r>
                    <w:rPr>
                      <w:rFonts w:hint="eastAsia" w:ascii="宋体" w:hAnsi="宋体"/>
                      <w:color w:val="auto"/>
                      <w:kern w:val="2"/>
                      <w:sz w:val="21"/>
                      <w:szCs w:val="21"/>
                      <w:highlight w:val="none"/>
                    </w:rPr>
                    <w:t>万</w:t>
                  </w:r>
                  <w:r>
                    <w:rPr>
                      <w:rFonts w:ascii="宋体" w:hAnsi="宋体"/>
                      <w:color w:val="auto"/>
                      <w:kern w:val="2"/>
                      <w:sz w:val="21"/>
                      <w:szCs w:val="21"/>
                      <w:highlight w:val="none"/>
                    </w:rPr>
                    <w:t>Kw</w:t>
                  </w:r>
                  <w:r>
                    <w:rPr>
                      <w:rFonts w:hint="eastAsia" w:ascii="宋体" w:hAnsi="宋体"/>
                      <w:color w:val="auto"/>
                      <w:kern w:val="2"/>
                      <w:sz w:val="21"/>
                      <w:szCs w:val="21"/>
                      <w:highlight w:val="none"/>
                    </w:rPr>
                    <w:t>·</w:t>
                  </w:r>
                  <w:r>
                    <w:rPr>
                      <w:rFonts w:ascii="宋体" w:hAnsi="宋体"/>
                      <w:color w:val="auto"/>
                      <w:kern w:val="2"/>
                      <w:sz w:val="21"/>
                      <w:szCs w:val="21"/>
                      <w:highlight w:val="none"/>
                    </w:rPr>
                    <w:t>h</w:t>
                  </w:r>
                  <w:r>
                    <w:rPr>
                      <w:rFonts w:hint="eastAsia" w:ascii="宋体" w:hAnsi="宋体"/>
                      <w:color w:val="auto"/>
                      <w:kern w:val="2"/>
                      <w:sz w:val="21"/>
                      <w:szCs w:val="21"/>
                      <w:highlight w:val="none"/>
                    </w:rPr>
                    <w:t>，接入濉溪县刘桥镇供电管网</w:t>
                  </w:r>
                </w:p>
              </w:tc>
              <w:tc>
                <w:tcPr>
                  <w:tcW w:w="921" w:type="dxa"/>
                  <w:noWrap w:val="0"/>
                  <w:vAlign w:val="center"/>
                </w:tcPr>
                <w:p w14:paraId="7D104940">
                  <w:pPr>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lang w:val="en-US" w:eastAsia="zh-CN"/>
                    </w:rPr>
                    <w:t>依托</w:t>
                  </w:r>
                  <w:r>
                    <w:rPr>
                      <w:rFonts w:hint="eastAsia" w:ascii="宋体" w:hAnsi="宋体"/>
                      <w:color w:val="auto"/>
                      <w:kern w:val="2"/>
                      <w:sz w:val="21"/>
                      <w:szCs w:val="21"/>
                      <w:highlight w:val="none"/>
                      <w:lang w:val="en-US" w:eastAsia="zh-CN"/>
                    </w:rPr>
                    <w:br w:type="textWrapping"/>
                  </w:r>
                  <w:r>
                    <w:rPr>
                      <w:rFonts w:hint="eastAsia" w:ascii="宋体" w:hAnsi="宋体"/>
                      <w:color w:val="auto"/>
                      <w:kern w:val="2"/>
                      <w:sz w:val="21"/>
                      <w:szCs w:val="21"/>
                      <w:highlight w:val="none"/>
                      <w:lang w:val="en-US" w:eastAsia="zh-CN"/>
                    </w:rPr>
                    <w:t>现有</w:t>
                  </w:r>
                </w:p>
              </w:tc>
            </w:tr>
            <w:tr w14:paraId="15E641A0">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923" w:hRule="atLeast"/>
              </w:trPr>
              <w:tc>
                <w:tcPr>
                  <w:tcW w:w="774" w:type="dxa"/>
                  <w:vMerge w:val="restart"/>
                  <w:noWrap w:val="0"/>
                  <w:vAlign w:val="center"/>
                </w:tcPr>
                <w:p w14:paraId="6852E679">
                  <w:pPr>
                    <w:widowControl w:val="0"/>
                    <w:spacing w:after="120"/>
                    <w:ind w:left="105" w:leftChars="50"/>
                    <w:jc w:val="center"/>
                    <w:rPr>
                      <w:rFonts w:ascii="宋体" w:hAnsi="宋体"/>
                      <w:color w:val="auto"/>
                      <w:kern w:val="2"/>
                      <w:sz w:val="21"/>
                      <w:szCs w:val="21"/>
                    </w:rPr>
                  </w:pPr>
                  <w:r>
                    <w:rPr>
                      <w:rFonts w:ascii="宋体" w:hAnsi="宋体"/>
                      <w:color w:val="auto"/>
                      <w:kern w:val="2"/>
                      <w:sz w:val="21"/>
                      <w:szCs w:val="21"/>
                    </w:rPr>
                    <w:t>环保工程</w:t>
                  </w:r>
                </w:p>
              </w:tc>
              <w:tc>
                <w:tcPr>
                  <w:tcW w:w="842" w:type="dxa"/>
                  <w:noWrap w:val="0"/>
                  <w:vAlign w:val="center"/>
                </w:tcPr>
                <w:p w14:paraId="73E7398D">
                  <w:pPr>
                    <w:widowControl w:val="0"/>
                    <w:spacing w:after="120"/>
                    <w:jc w:val="center"/>
                    <w:rPr>
                      <w:rFonts w:hint="eastAsia" w:ascii="宋体" w:hAnsi="宋体"/>
                      <w:color w:val="auto"/>
                      <w:kern w:val="2"/>
                      <w:sz w:val="21"/>
                      <w:szCs w:val="21"/>
                    </w:rPr>
                  </w:pPr>
                  <w:r>
                    <w:rPr>
                      <w:rFonts w:ascii="宋体" w:hAnsi="宋体"/>
                      <w:color w:val="auto"/>
                      <w:kern w:val="2"/>
                      <w:sz w:val="21"/>
                      <w:szCs w:val="21"/>
                    </w:rPr>
                    <w:t>废水</w:t>
                  </w:r>
                </w:p>
              </w:tc>
              <w:tc>
                <w:tcPr>
                  <w:tcW w:w="2558" w:type="dxa"/>
                  <w:noWrap w:val="0"/>
                  <w:vAlign w:val="center"/>
                </w:tcPr>
                <w:p w14:paraId="2CAB86C7">
                  <w:pPr>
                    <w:widowControl w:val="0"/>
                    <w:spacing w:after="120"/>
                    <w:ind w:left="86" w:leftChars="41"/>
                    <w:jc w:val="center"/>
                    <w:rPr>
                      <w:rFonts w:hint="eastAsia" w:ascii="宋体" w:hAnsi="宋体"/>
                      <w:color w:val="auto"/>
                      <w:kern w:val="2"/>
                      <w:sz w:val="21"/>
                      <w:szCs w:val="21"/>
                    </w:rPr>
                  </w:pPr>
                  <w:r>
                    <w:rPr>
                      <w:rFonts w:hint="eastAsia" w:ascii="宋体" w:hAnsi="宋体"/>
                      <w:color w:val="auto"/>
                      <w:kern w:val="2"/>
                      <w:sz w:val="21"/>
                      <w:szCs w:val="21"/>
                    </w:rPr>
                    <w:t>生活污水</w:t>
                  </w:r>
                  <w:r>
                    <w:rPr>
                      <w:rFonts w:hint="eastAsia" w:ascii="宋体" w:hAnsi="宋体"/>
                      <w:color w:val="auto"/>
                      <w:kern w:val="2"/>
                      <w:sz w:val="21"/>
                      <w:szCs w:val="21"/>
                      <w:lang w:eastAsia="zh-CN"/>
                    </w:rPr>
                    <w:t>经化粪池处理后，定期清掏，不外排</w:t>
                  </w:r>
                </w:p>
              </w:tc>
              <w:tc>
                <w:tcPr>
                  <w:tcW w:w="1693" w:type="dxa"/>
                  <w:noWrap w:val="0"/>
                  <w:vAlign w:val="center"/>
                </w:tcPr>
                <w:p w14:paraId="671ADAAA">
                  <w:pPr>
                    <w:widowControl w:val="0"/>
                    <w:spacing w:after="120"/>
                    <w:ind w:left="86" w:leftChars="41"/>
                    <w:jc w:val="center"/>
                    <w:rPr>
                      <w:rFonts w:hint="eastAsia" w:ascii="宋体" w:hAnsi="宋体"/>
                      <w:color w:val="auto"/>
                      <w:kern w:val="2"/>
                      <w:sz w:val="21"/>
                      <w:szCs w:val="21"/>
                    </w:rPr>
                  </w:pPr>
                  <w:r>
                    <w:rPr>
                      <w:rFonts w:hint="eastAsia" w:ascii="宋体" w:hAnsi="宋体"/>
                      <w:color w:val="auto"/>
                      <w:kern w:val="2"/>
                      <w:sz w:val="21"/>
                      <w:szCs w:val="21"/>
                      <w:lang w:val="en-US" w:eastAsia="zh-CN"/>
                    </w:rPr>
                    <w:t>/</w:t>
                  </w:r>
                </w:p>
              </w:tc>
              <w:tc>
                <w:tcPr>
                  <w:tcW w:w="1590" w:type="dxa"/>
                  <w:noWrap w:val="0"/>
                  <w:vAlign w:val="center"/>
                </w:tcPr>
                <w:p w14:paraId="6FFDDC28">
                  <w:pPr>
                    <w:widowControl w:val="0"/>
                    <w:spacing w:after="120"/>
                    <w:ind w:left="86" w:leftChars="41"/>
                    <w:jc w:val="center"/>
                    <w:rPr>
                      <w:rFonts w:hint="eastAsia" w:ascii="宋体" w:hAnsi="宋体"/>
                      <w:color w:val="auto"/>
                      <w:kern w:val="2"/>
                      <w:sz w:val="21"/>
                      <w:szCs w:val="21"/>
                    </w:rPr>
                  </w:pPr>
                  <w:r>
                    <w:rPr>
                      <w:rFonts w:hint="eastAsia" w:ascii="宋体" w:hAnsi="宋体"/>
                      <w:color w:val="auto"/>
                      <w:kern w:val="2"/>
                      <w:sz w:val="21"/>
                      <w:szCs w:val="21"/>
                    </w:rPr>
                    <w:t>生活污水</w:t>
                  </w:r>
                  <w:r>
                    <w:rPr>
                      <w:rFonts w:hint="eastAsia" w:ascii="宋体" w:hAnsi="宋体"/>
                      <w:color w:val="auto"/>
                      <w:kern w:val="2"/>
                      <w:sz w:val="21"/>
                      <w:szCs w:val="21"/>
                      <w:lang w:eastAsia="zh-CN"/>
                    </w:rPr>
                    <w:t>经化粪池处理后，定期清掏，不外排</w:t>
                  </w:r>
                </w:p>
              </w:tc>
              <w:tc>
                <w:tcPr>
                  <w:tcW w:w="921" w:type="dxa"/>
                  <w:noWrap w:val="0"/>
                  <w:vAlign w:val="center"/>
                </w:tcPr>
                <w:p w14:paraId="5470F9B9">
                  <w:pPr>
                    <w:widowControl w:val="0"/>
                    <w:spacing w:after="120"/>
                    <w:ind w:left="-8" w:leftChars="-4"/>
                    <w:jc w:val="center"/>
                    <w:rPr>
                      <w:rFonts w:ascii="宋体" w:hAnsi="宋体"/>
                      <w:color w:val="auto"/>
                      <w:kern w:val="2"/>
                      <w:sz w:val="21"/>
                      <w:szCs w:val="21"/>
                    </w:rPr>
                  </w:pPr>
                  <w:r>
                    <w:rPr>
                      <w:rFonts w:hint="eastAsia" w:ascii="宋体" w:hAnsi="宋体"/>
                      <w:color w:val="auto"/>
                      <w:kern w:val="2"/>
                      <w:sz w:val="21"/>
                      <w:szCs w:val="21"/>
                      <w:lang w:val="en-US" w:eastAsia="zh-CN"/>
                    </w:rPr>
                    <w:t>依托</w:t>
                  </w:r>
                  <w:r>
                    <w:rPr>
                      <w:rFonts w:hint="eastAsia" w:ascii="宋体" w:hAnsi="宋体"/>
                      <w:color w:val="auto"/>
                      <w:kern w:val="2"/>
                      <w:sz w:val="21"/>
                      <w:szCs w:val="21"/>
                      <w:lang w:val="en-US" w:eastAsia="zh-CN"/>
                    </w:rPr>
                    <w:br w:type="textWrapping"/>
                  </w:r>
                  <w:r>
                    <w:rPr>
                      <w:rFonts w:hint="eastAsia" w:ascii="宋体" w:hAnsi="宋体"/>
                      <w:color w:val="auto"/>
                      <w:kern w:val="2"/>
                      <w:sz w:val="21"/>
                      <w:szCs w:val="21"/>
                      <w:lang w:val="en-US" w:eastAsia="zh-CN"/>
                    </w:rPr>
                    <w:t>现有</w:t>
                  </w:r>
                </w:p>
              </w:tc>
            </w:tr>
            <w:tr w14:paraId="437D0B3F">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339" w:hRule="atLeast"/>
              </w:trPr>
              <w:tc>
                <w:tcPr>
                  <w:tcW w:w="774" w:type="dxa"/>
                  <w:vMerge w:val="continue"/>
                  <w:noWrap w:val="0"/>
                  <w:vAlign w:val="center"/>
                </w:tcPr>
                <w:p w14:paraId="2A8F20A8">
                  <w:pPr>
                    <w:widowControl w:val="0"/>
                    <w:spacing w:after="120"/>
                    <w:ind w:left="420" w:leftChars="200"/>
                    <w:jc w:val="center"/>
                    <w:rPr>
                      <w:rFonts w:ascii="宋体" w:hAnsi="宋体"/>
                      <w:color w:val="auto"/>
                      <w:kern w:val="2"/>
                      <w:sz w:val="21"/>
                      <w:szCs w:val="21"/>
                    </w:rPr>
                  </w:pPr>
                </w:p>
              </w:tc>
              <w:tc>
                <w:tcPr>
                  <w:tcW w:w="842" w:type="dxa"/>
                  <w:noWrap w:val="0"/>
                  <w:vAlign w:val="center"/>
                </w:tcPr>
                <w:p w14:paraId="072D8A78">
                  <w:pPr>
                    <w:widowControl w:val="0"/>
                    <w:spacing w:after="120"/>
                    <w:ind w:left="36" w:leftChars="17"/>
                    <w:jc w:val="center"/>
                    <w:rPr>
                      <w:rFonts w:ascii="宋体" w:hAnsi="宋体"/>
                      <w:color w:val="auto"/>
                      <w:kern w:val="2"/>
                      <w:sz w:val="21"/>
                      <w:szCs w:val="21"/>
                    </w:rPr>
                  </w:pPr>
                  <w:r>
                    <w:rPr>
                      <w:rFonts w:ascii="宋体" w:hAnsi="宋体"/>
                      <w:color w:val="auto"/>
                      <w:kern w:val="2"/>
                      <w:sz w:val="21"/>
                      <w:szCs w:val="21"/>
                    </w:rPr>
                    <w:t>废气</w:t>
                  </w:r>
                </w:p>
              </w:tc>
              <w:tc>
                <w:tcPr>
                  <w:tcW w:w="2558" w:type="dxa"/>
                  <w:noWrap w:val="0"/>
                  <w:vAlign w:val="center"/>
                </w:tcPr>
                <w:p w14:paraId="277B8FAB">
                  <w:pPr>
                    <w:widowControl w:val="0"/>
                    <w:spacing w:after="120"/>
                    <w:ind w:left="86" w:leftChars="41"/>
                    <w:jc w:val="center"/>
                    <w:rPr>
                      <w:rFonts w:hint="eastAsia" w:ascii="宋体" w:hAnsi="宋体"/>
                      <w:color w:val="auto"/>
                      <w:kern w:val="2"/>
                      <w:sz w:val="21"/>
                      <w:szCs w:val="21"/>
                    </w:rPr>
                  </w:pPr>
                  <w:r>
                    <w:rPr>
                      <w:rFonts w:hint="eastAsia" w:ascii="宋体" w:hAnsi="宋体"/>
                      <w:color w:val="auto"/>
                      <w:kern w:val="2"/>
                      <w:sz w:val="21"/>
                      <w:szCs w:val="21"/>
                      <w:lang w:eastAsia="zh-CN"/>
                    </w:rPr>
                    <w:t>上料、</w:t>
                  </w:r>
                  <w:r>
                    <w:rPr>
                      <w:rFonts w:ascii="宋体" w:hAnsi="宋体"/>
                      <w:color w:val="auto"/>
                      <w:kern w:val="2"/>
                      <w:sz w:val="21"/>
                      <w:szCs w:val="21"/>
                    </w:rPr>
                    <w:t>破碎、筛分产生的粉尘通过在设备上安装布袋除尘器处理后经</w:t>
                  </w:r>
                  <w:r>
                    <w:rPr>
                      <w:rFonts w:hint="eastAsia" w:ascii="宋体" w:hAnsi="宋体"/>
                      <w:color w:val="auto"/>
                      <w:kern w:val="2"/>
                      <w:sz w:val="21"/>
                      <w:szCs w:val="21"/>
                    </w:rPr>
                    <w:t>1</w:t>
                  </w:r>
                  <w:r>
                    <w:rPr>
                      <w:rFonts w:ascii="宋体" w:hAnsi="宋体"/>
                      <w:color w:val="auto"/>
                      <w:kern w:val="2"/>
                      <w:sz w:val="21"/>
                      <w:szCs w:val="21"/>
                    </w:rPr>
                    <w:t>5m高排气筒排放；</w:t>
                  </w:r>
                  <w:r>
                    <w:rPr>
                      <w:rFonts w:hint="eastAsia" w:ascii="宋体" w:hAnsi="宋体"/>
                      <w:color w:val="auto"/>
                      <w:kern w:val="2"/>
                      <w:sz w:val="21"/>
                      <w:szCs w:val="21"/>
                      <w:lang w:eastAsia="zh-CN"/>
                    </w:rPr>
                    <w:t>隧</w:t>
                  </w:r>
                  <w:r>
                    <w:rPr>
                      <w:rFonts w:ascii="宋体" w:hAnsi="宋体"/>
                      <w:color w:val="auto"/>
                      <w:kern w:val="2"/>
                      <w:sz w:val="21"/>
                      <w:szCs w:val="21"/>
                    </w:rPr>
                    <w:t>道窑焙烧废气通过除尘脱硫脱硝</w:t>
                  </w:r>
                  <w:r>
                    <w:rPr>
                      <w:rFonts w:hint="eastAsia" w:ascii="宋体" w:hAnsi="宋体"/>
                      <w:color w:val="auto"/>
                      <w:kern w:val="2"/>
                      <w:sz w:val="21"/>
                      <w:szCs w:val="21"/>
                    </w:rPr>
                    <w:t>一体化设施处理，处理达标后经</w:t>
                  </w:r>
                  <w:r>
                    <w:rPr>
                      <w:rFonts w:hint="eastAsia" w:ascii="宋体" w:hAnsi="宋体"/>
                      <w:color w:val="auto"/>
                      <w:kern w:val="2"/>
                      <w:sz w:val="21"/>
                      <w:szCs w:val="21"/>
                      <w:lang w:val="en-US" w:eastAsia="zh-CN"/>
                    </w:rPr>
                    <w:t>26</w:t>
                  </w:r>
                  <w:r>
                    <w:rPr>
                      <w:rFonts w:hint="eastAsia" w:ascii="宋体" w:hAnsi="宋体"/>
                      <w:color w:val="auto"/>
                      <w:kern w:val="2"/>
                      <w:sz w:val="21"/>
                      <w:szCs w:val="21"/>
                    </w:rPr>
                    <w:t>m高烟囱排放</w:t>
                  </w:r>
                </w:p>
              </w:tc>
              <w:tc>
                <w:tcPr>
                  <w:tcW w:w="1693" w:type="dxa"/>
                  <w:noWrap w:val="0"/>
                  <w:vAlign w:val="center"/>
                </w:tcPr>
                <w:p w14:paraId="25762F6E">
                  <w:pPr>
                    <w:widowControl w:val="0"/>
                    <w:spacing w:after="120"/>
                    <w:ind w:left="86" w:leftChars="41"/>
                    <w:jc w:val="center"/>
                    <w:rPr>
                      <w:rFonts w:ascii="宋体" w:hAnsi="宋体"/>
                      <w:color w:val="auto"/>
                      <w:kern w:val="2"/>
                      <w:sz w:val="21"/>
                      <w:szCs w:val="21"/>
                    </w:rPr>
                  </w:pPr>
                  <w:r>
                    <w:rPr>
                      <w:rFonts w:hint="eastAsia" w:ascii="宋体" w:hAnsi="宋体"/>
                      <w:color w:val="auto"/>
                      <w:kern w:val="2"/>
                      <w:sz w:val="21"/>
                      <w:szCs w:val="21"/>
                      <w:lang w:val="en-US" w:eastAsia="zh-CN"/>
                    </w:rPr>
                    <w:t>/</w:t>
                  </w:r>
                </w:p>
              </w:tc>
              <w:tc>
                <w:tcPr>
                  <w:tcW w:w="1590" w:type="dxa"/>
                  <w:noWrap w:val="0"/>
                  <w:vAlign w:val="center"/>
                </w:tcPr>
                <w:p w14:paraId="5F3FD1E1">
                  <w:pPr>
                    <w:widowControl w:val="0"/>
                    <w:spacing w:after="120"/>
                    <w:ind w:left="86" w:leftChars="41"/>
                    <w:jc w:val="center"/>
                    <w:rPr>
                      <w:rFonts w:ascii="宋体" w:hAnsi="宋体"/>
                      <w:color w:val="auto"/>
                      <w:kern w:val="2"/>
                      <w:sz w:val="21"/>
                      <w:szCs w:val="21"/>
                    </w:rPr>
                  </w:pPr>
                  <w:r>
                    <w:rPr>
                      <w:rFonts w:hint="eastAsia" w:ascii="宋体" w:hAnsi="宋体"/>
                      <w:color w:val="auto"/>
                      <w:kern w:val="2"/>
                      <w:sz w:val="21"/>
                      <w:szCs w:val="21"/>
                      <w:lang w:eastAsia="zh-CN"/>
                    </w:rPr>
                    <w:t>上料、</w:t>
                  </w:r>
                  <w:r>
                    <w:rPr>
                      <w:rFonts w:ascii="宋体" w:hAnsi="宋体"/>
                      <w:color w:val="auto"/>
                      <w:kern w:val="2"/>
                      <w:sz w:val="21"/>
                      <w:szCs w:val="21"/>
                    </w:rPr>
                    <w:t>破碎、筛分等产生的粉尘通过在设备上安装布袋除尘器处理后经</w:t>
                  </w:r>
                  <w:r>
                    <w:rPr>
                      <w:rFonts w:hint="eastAsia" w:ascii="宋体" w:hAnsi="宋体"/>
                      <w:color w:val="auto"/>
                      <w:kern w:val="2"/>
                      <w:sz w:val="21"/>
                      <w:szCs w:val="21"/>
                    </w:rPr>
                    <w:t>1</w:t>
                  </w:r>
                  <w:r>
                    <w:rPr>
                      <w:rFonts w:ascii="宋体" w:hAnsi="宋体"/>
                      <w:color w:val="auto"/>
                      <w:kern w:val="2"/>
                      <w:sz w:val="21"/>
                      <w:szCs w:val="21"/>
                    </w:rPr>
                    <w:t>5m高排气筒排放；</w:t>
                  </w:r>
                  <w:r>
                    <w:rPr>
                      <w:rFonts w:hint="eastAsia" w:ascii="宋体" w:hAnsi="宋体"/>
                      <w:color w:val="auto"/>
                      <w:kern w:val="2"/>
                      <w:sz w:val="21"/>
                      <w:szCs w:val="21"/>
                      <w:lang w:eastAsia="zh-CN"/>
                    </w:rPr>
                    <w:t>隧</w:t>
                  </w:r>
                  <w:r>
                    <w:rPr>
                      <w:rFonts w:ascii="宋体" w:hAnsi="宋体"/>
                      <w:color w:val="auto"/>
                      <w:kern w:val="2"/>
                      <w:sz w:val="21"/>
                      <w:szCs w:val="21"/>
                    </w:rPr>
                    <w:t>道窑焙烧废气通过除尘脱硫脱硝</w:t>
                  </w:r>
                  <w:r>
                    <w:rPr>
                      <w:rFonts w:hint="eastAsia" w:ascii="宋体" w:hAnsi="宋体"/>
                      <w:color w:val="auto"/>
                      <w:kern w:val="2"/>
                      <w:sz w:val="21"/>
                      <w:szCs w:val="21"/>
                    </w:rPr>
                    <w:t>一体化设施处理，处理达标后经</w:t>
                  </w:r>
                  <w:r>
                    <w:rPr>
                      <w:rFonts w:hint="eastAsia" w:ascii="宋体" w:hAnsi="宋体"/>
                      <w:color w:val="auto"/>
                      <w:kern w:val="2"/>
                      <w:sz w:val="21"/>
                      <w:szCs w:val="21"/>
                      <w:lang w:val="en-US" w:eastAsia="zh-CN"/>
                    </w:rPr>
                    <w:t>26</w:t>
                  </w:r>
                  <w:r>
                    <w:rPr>
                      <w:rFonts w:hint="eastAsia" w:ascii="宋体" w:hAnsi="宋体"/>
                      <w:color w:val="auto"/>
                      <w:kern w:val="2"/>
                      <w:sz w:val="21"/>
                      <w:szCs w:val="21"/>
                    </w:rPr>
                    <w:t>m高烟囱排放</w:t>
                  </w:r>
                </w:p>
              </w:tc>
              <w:tc>
                <w:tcPr>
                  <w:tcW w:w="921" w:type="dxa"/>
                  <w:noWrap w:val="0"/>
                  <w:vAlign w:val="center"/>
                </w:tcPr>
                <w:p w14:paraId="0885DE9D">
                  <w:pPr>
                    <w:widowControl w:val="0"/>
                    <w:spacing w:after="120"/>
                    <w:ind w:left="-8" w:leftChars="-4"/>
                    <w:jc w:val="center"/>
                    <w:rPr>
                      <w:rFonts w:ascii="宋体" w:hAnsi="宋体"/>
                      <w:color w:val="auto"/>
                      <w:kern w:val="2"/>
                      <w:sz w:val="21"/>
                      <w:szCs w:val="21"/>
                    </w:rPr>
                  </w:pPr>
                  <w:r>
                    <w:rPr>
                      <w:rFonts w:hint="eastAsia" w:ascii="宋体" w:hAnsi="宋体"/>
                      <w:color w:val="auto"/>
                      <w:kern w:val="2"/>
                      <w:sz w:val="21"/>
                      <w:szCs w:val="21"/>
                      <w:lang w:val="en-US" w:eastAsia="zh-CN"/>
                    </w:rPr>
                    <w:t>依托</w:t>
                  </w:r>
                  <w:r>
                    <w:rPr>
                      <w:rFonts w:hint="eastAsia" w:ascii="宋体" w:hAnsi="宋体"/>
                      <w:color w:val="auto"/>
                      <w:kern w:val="2"/>
                      <w:sz w:val="21"/>
                      <w:szCs w:val="21"/>
                      <w:lang w:val="en-US" w:eastAsia="zh-CN"/>
                    </w:rPr>
                    <w:br w:type="textWrapping"/>
                  </w:r>
                  <w:r>
                    <w:rPr>
                      <w:rFonts w:hint="eastAsia" w:ascii="宋体" w:hAnsi="宋体"/>
                      <w:color w:val="auto"/>
                      <w:kern w:val="2"/>
                      <w:sz w:val="21"/>
                      <w:szCs w:val="21"/>
                      <w:lang w:val="en-US" w:eastAsia="zh-CN"/>
                    </w:rPr>
                    <w:t>现有</w:t>
                  </w:r>
                </w:p>
              </w:tc>
            </w:tr>
            <w:tr w14:paraId="18FF2A41">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738" w:hRule="atLeast"/>
              </w:trPr>
              <w:tc>
                <w:tcPr>
                  <w:tcW w:w="774" w:type="dxa"/>
                  <w:vMerge w:val="continue"/>
                  <w:noWrap w:val="0"/>
                  <w:vAlign w:val="center"/>
                </w:tcPr>
                <w:p w14:paraId="2291393D">
                  <w:pPr>
                    <w:widowControl w:val="0"/>
                    <w:spacing w:after="120"/>
                    <w:ind w:left="420" w:leftChars="200"/>
                    <w:jc w:val="center"/>
                    <w:rPr>
                      <w:rFonts w:ascii="宋体" w:hAnsi="宋体"/>
                      <w:color w:val="auto"/>
                      <w:kern w:val="2"/>
                      <w:sz w:val="21"/>
                      <w:szCs w:val="21"/>
                    </w:rPr>
                  </w:pPr>
                </w:p>
              </w:tc>
              <w:tc>
                <w:tcPr>
                  <w:tcW w:w="842" w:type="dxa"/>
                  <w:noWrap w:val="0"/>
                  <w:vAlign w:val="center"/>
                </w:tcPr>
                <w:p w14:paraId="154389F7">
                  <w:pPr>
                    <w:widowControl w:val="0"/>
                    <w:spacing w:after="120"/>
                    <w:ind w:left="36" w:leftChars="17"/>
                    <w:jc w:val="center"/>
                    <w:rPr>
                      <w:rFonts w:ascii="宋体" w:hAnsi="宋体"/>
                      <w:color w:val="auto"/>
                      <w:kern w:val="2"/>
                      <w:sz w:val="21"/>
                      <w:szCs w:val="21"/>
                    </w:rPr>
                  </w:pPr>
                  <w:r>
                    <w:rPr>
                      <w:rFonts w:hint="eastAsia" w:ascii="宋体" w:hAnsi="宋体"/>
                      <w:color w:val="auto"/>
                      <w:kern w:val="2"/>
                      <w:sz w:val="21"/>
                      <w:szCs w:val="21"/>
                    </w:rPr>
                    <w:t>噪声</w:t>
                  </w:r>
                </w:p>
              </w:tc>
              <w:tc>
                <w:tcPr>
                  <w:tcW w:w="2558" w:type="dxa"/>
                  <w:noWrap w:val="0"/>
                  <w:vAlign w:val="center"/>
                </w:tcPr>
                <w:p w14:paraId="1DC4444B">
                  <w:pPr>
                    <w:widowControl w:val="0"/>
                    <w:spacing w:after="120"/>
                    <w:ind w:left="86" w:leftChars="41"/>
                    <w:jc w:val="center"/>
                    <w:rPr>
                      <w:rFonts w:ascii="宋体" w:hAnsi="宋体"/>
                      <w:color w:val="auto"/>
                      <w:kern w:val="2"/>
                      <w:sz w:val="21"/>
                      <w:szCs w:val="21"/>
                    </w:rPr>
                  </w:pPr>
                  <w:r>
                    <w:rPr>
                      <w:rFonts w:hint="eastAsia" w:ascii="宋体" w:hAnsi="宋体"/>
                      <w:color w:val="auto"/>
                      <w:kern w:val="2"/>
                      <w:sz w:val="21"/>
                      <w:szCs w:val="21"/>
                    </w:rPr>
                    <w:t>合理布设、减震安装、厂房隔声和距离衰减</w:t>
                  </w:r>
                </w:p>
              </w:tc>
              <w:tc>
                <w:tcPr>
                  <w:tcW w:w="1693" w:type="dxa"/>
                  <w:noWrap w:val="0"/>
                  <w:vAlign w:val="center"/>
                </w:tcPr>
                <w:p w14:paraId="4D344819">
                  <w:pPr>
                    <w:widowControl w:val="0"/>
                    <w:spacing w:after="120"/>
                    <w:ind w:left="86" w:leftChars="41"/>
                    <w:jc w:val="center"/>
                    <w:rPr>
                      <w:rFonts w:hint="eastAsia" w:ascii="宋体" w:hAnsi="宋体"/>
                      <w:color w:val="auto"/>
                      <w:kern w:val="2"/>
                      <w:sz w:val="21"/>
                      <w:szCs w:val="21"/>
                    </w:rPr>
                  </w:pPr>
                  <w:r>
                    <w:rPr>
                      <w:rFonts w:hint="eastAsia" w:ascii="宋体" w:hAnsi="宋体"/>
                      <w:color w:val="auto"/>
                      <w:kern w:val="2"/>
                      <w:sz w:val="21"/>
                      <w:szCs w:val="21"/>
                    </w:rPr>
                    <w:t>合理布设、减震安装、厂房隔声和距离衰减</w:t>
                  </w:r>
                </w:p>
              </w:tc>
              <w:tc>
                <w:tcPr>
                  <w:tcW w:w="1590" w:type="dxa"/>
                  <w:noWrap w:val="0"/>
                  <w:vAlign w:val="center"/>
                </w:tcPr>
                <w:p w14:paraId="264F1517">
                  <w:pPr>
                    <w:widowControl w:val="0"/>
                    <w:spacing w:after="120"/>
                    <w:ind w:left="86" w:leftChars="41"/>
                    <w:jc w:val="center"/>
                    <w:rPr>
                      <w:rFonts w:hint="eastAsia" w:ascii="宋体" w:hAnsi="宋体"/>
                      <w:color w:val="auto"/>
                      <w:kern w:val="2"/>
                      <w:sz w:val="21"/>
                      <w:szCs w:val="21"/>
                    </w:rPr>
                  </w:pPr>
                  <w:r>
                    <w:rPr>
                      <w:rFonts w:hint="eastAsia" w:ascii="宋体" w:hAnsi="宋体"/>
                      <w:color w:val="auto"/>
                      <w:kern w:val="2"/>
                      <w:sz w:val="21"/>
                      <w:szCs w:val="21"/>
                    </w:rPr>
                    <w:t>合理布设、减震安装、厂房隔声和距离衰减</w:t>
                  </w:r>
                </w:p>
              </w:tc>
              <w:tc>
                <w:tcPr>
                  <w:tcW w:w="921" w:type="dxa"/>
                  <w:noWrap w:val="0"/>
                  <w:vAlign w:val="center"/>
                </w:tcPr>
                <w:p w14:paraId="2A3841B7">
                  <w:pPr>
                    <w:widowControl w:val="0"/>
                    <w:spacing w:after="120"/>
                    <w:ind w:left="-8" w:leftChars="-4"/>
                    <w:jc w:val="center"/>
                    <w:rPr>
                      <w:rFonts w:ascii="宋体" w:hAnsi="宋体"/>
                      <w:color w:val="auto"/>
                      <w:kern w:val="2"/>
                      <w:sz w:val="21"/>
                      <w:szCs w:val="21"/>
                    </w:rPr>
                  </w:pPr>
                  <w:r>
                    <w:rPr>
                      <w:rFonts w:hint="eastAsia" w:ascii="宋体" w:hAnsi="宋体"/>
                      <w:color w:val="auto"/>
                      <w:kern w:val="2"/>
                      <w:sz w:val="21"/>
                      <w:szCs w:val="21"/>
                      <w:lang w:val="en-US" w:eastAsia="zh-CN"/>
                    </w:rPr>
                    <w:t>依托</w:t>
                  </w:r>
                  <w:r>
                    <w:rPr>
                      <w:rFonts w:hint="eastAsia" w:ascii="宋体" w:hAnsi="宋体"/>
                      <w:color w:val="auto"/>
                      <w:kern w:val="2"/>
                      <w:sz w:val="21"/>
                      <w:szCs w:val="21"/>
                      <w:lang w:val="en-US" w:eastAsia="zh-CN"/>
                    </w:rPr>
                    <w:br w:type="textWrapping"/>
                  </w:r>
                  <w:r>
                    <w:rPr>
                      <w:rFonts w:hint="eastAsia" w:ascii="宋体" w:hAnsi="宋体"/>
                      <w:color w:val="auto"/>
                      <w:kern w:val="2"/>
                      <w:sz w:val="21"/>
                      <w:szCs w:val="21"/>
                      <w:lang w:val="en-US" w:eastAsia="zh-CN"/>
                    </w:rPr>
                    <w:t>现有，新增新建</w:t>
                  </w:r>
                </w:p>
              </w:tc>
            </w:tr>
            <w:tr w14:paraId="09C14465">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340" w:hRule="atLeast"/>
              </w:trPr>
              <w:tc>
                <w:tcPr>
                  <w:tcW w:w="774" w:type="dxa"/>
                  <w:vMerge w:val="continue"/>
                  <w:noWrap w:val="0"/>
                  <w:vAlign w:val="center"/>
                </w:tcPr>
                <w:p w14:paraId="78849C1F">
                  <w:pPr>
                    <w:widowControl w:val="0"/>
                    <w:spacing w:after="120"/>
                    <w:ind w:left="420" w:leftChars="200"/>
                    <w:jc w:val="center"/>
                    <w:rPr>
                      <w:rFonts w:ascii="宋体" w:hAnsi="宋体"/>
                      <w:color w:val="auto"/>
                      <w:kern w:val="2"/>
                      <w:sz w:val="21"/>
                      <w:szCs w:val="21"/>
                    </w:rPr>
                  </w:pPr>
                </w:p>
              </w:tc>
              <w:tc>
                <w:tcPr>
                  <w:tcW w:w="842" w:type="dxa"/>
                  <w:noWrap w:val="0"/>
                  <w:vAlign w:val="center"/>
                </w:tcPr>
                <w:p w14:paraId="38BF11C0">
                  <w:pPr>
                    <w:widowControl w:val="0"/>
                    <w:spacing w:after="120"/>
                    <w:ind w:left="36" w:leftChars="17"/>
                    <w:jc w:val="center"/>
                    <w:rPr>
                      <w:rFonts w:ascii="宋体" w:hAnsi="宋体"/>
                      <w:color w:val="auto"/>
                      <w:kern w:val="2"/>
                      <w:sz w:val="21"/>
                      <w:szCs w:val="21"/>
                    </w:rPr>
                  </w:pPr>
                  <w:r>
                    <w:rPr>
                      <w:rFonts w:hint="eastAsia" w:ascii="宋体" w:hAnsi="宋体"/>
                      <w:color w:val="auto"/>
                      <w:kern w:val="2"/>
                      <w:sz w:val="21"/>
                      <w:szCs w:val="21"/>
                    </w:rPr>
                    <w:t>固废</w:t>
                  </w:r>
                </w:p>
              </w:tc>
              <w:tc>
                <w:tcPr>
                  <w:tcW w:w="2558" w:type="dxa"/>
                  <w:noWrap w:val="0"/>
                  <w:vAlign w:val="center"/>
                </w:tcPr>
                <w:p w14:paraId="6D3D0F0C">
                  <w:pPr>
                    <w:widowControl w:val="0"/>
                    <w:spacing w:after="120"/>
                    <w:ind w:left="86" w:leftChars="41"/>
                    <w:jc w:val="center"/>
                    <w:rPr>
                      <w:rFonts w:hint="eastAsia" w:ascii="宋体" w:hAnsi="宋体"/>
                      <w:color w:val="auto"/>
                      <w:kern w:val="2"/>
                      <w:sz w:val="21"/>
                      <w:szCs w:val="21"/>
                    </w:rPr>
                  </w:pPr>
                  <w:r>
                    <w:rPr>
                      <w:rFonts w:hint="eastAsia" w:ascii="宋体" w:hAnsi="宋体"/>
                      <w:color w:val="auto"/>
                      <w:kern w:val="2"/>
                      <w:sz w:val="21"/>
                      <w:szCs w:val="21"/>
                    </w:rPr>
                    <w:t>生活垃圾交由环卫部门统一处理处置；除尘器收集粉尘作为原料回用；不合格产品</w:t>
                  </w:r>
                  <w:r>
                    <w:rPr>
                      <w:rFonts w:hint="eastAsia" w:ascii="宋体" w:hAnsi="宋体"/>
                      <w:color w:val="auto"/>
                      <w:kern w:val="2"/>
                      <w:sz w:val="21"/>
                      <w:szCs w:val="21"/>
                      <w:lang w:eastAsia="zh-CN"/>
                    </w:rPr>
                    <w:t>、</w:t>
                  </w:r>
                  <w:r>
                    <w:rPr>
                      <w:rFonts w:hint="eastAsia" w:ascii="宋体" w:hAnsi="宋体"/>
                      <w:color w:val="auto"/>
                      <w:kern w:val="2"/>
                      <w:sz w:val="21"/>
                      <w:szCs w:val="21"/>
                    </w:rPr>
                    <w:t>脱硫脱硝废渣综合利用</w:t>
                  </w:r>
                </w:p>
              </w:tc>
              <w:tc>
                <w:tcPr>
                  <w:tcW w:w="1693" w:type="dxa"/>
                  <w:noWrap w:val="0"/>
                  <w:vAlign w:val="center"/>
                </w:tcPr>
                <w:p w14:paraId="4C99E997">
                  <w:pPr>
                    <w:widowControl w:val="0"/>
                    <w:spacing w:after="120"/>
                    <w:ind w:left="86" w:leftChars="41"/>
                    <w:jc w:val="center"/>
                    <w:rPr>
                      <w:rFonts w:hint="eastAsia" w:ascii="宋体" w:hAnsi="宋体"/>
                      <w:color w:val="auto"/>
                      <w:kern w:val="2"/>
                      <w:sz w:val="21"/>
                      <w:szCs w:val="21"/>
                      <w:lang w:val="en-US" w:eastAsia="zh-CN"/>
                    </w:rPr>
                  </w:pPr>
                  <w:r>
                    <w:rPr>
                      <w:rFonts w:hint="eastAsia" w:ascii="宋体" w:hAnsi="宋体"/>
                      <w:color w:val="auto"/>
                      <w:kern w:val="2"/>
                      <w:sz w:val="21"/>
                      <w:szCs w:val="21"/>
                      <w:lang w:val="en-US" w:eastAsia="zh-CN"/>
                    </w:rPr>
                    <w:t>/</w:t>
                  </w:r>
                </w:p>
              </w:tc>
              <w:tc>
                <w:tcPr>
                  <w:tcW w:w="1590" w:type="dxa"/>
                  <w:noWrap w:val="0"/>
                  <w:vAlign w:val="center"/>
                </w:tcPr>
                <w:p w14:paraId="4474B97D">
                  <w:pPr>
                    <w:widowControl w:val="0"/>
                    <w:spacing w:after="120"/>
                    <w:ind w:left="86" w:leftChars="41"/>
                    <w:jc w:val="center"/>
                    <w:rPr>
                      <w:rFonts w:hint="eastAsia" w:ascii="宋体" w:hAnsi="宋体"/>
                      <w:color w:val="auto"/>
                      <w:kern w:val="2"/>
                      <w:sz w:val="21"/>
                      <w:szCs w:val="21"/>
                    </w:rPr>
                  </w:pPr>
                  <w:r>
                    <w:rPr>
                      <w:rFonts w:hint="eastAsia" w:ascii="宋体" w:hAnsi="宋体"/>
                      <w:color w:val="auto"/>
                      <w:kern w:val="2"/>
                      <w:sz w:val="21"/>
                      <w:szCs w:val="21"/>
                    </w:rPr>
                    <w:t>生活垃圾交由环卫部门统一处理处置；除尘器收集粉尘作为原料回用；不合格产品</w:t>
                  </w:r>
                  <w:r>
                    <w:rPr>
                      <w:rFonts w:hint="eastAsia" w:ascii="宋体" w:hAnsi="宋体"/>
                      <w:color w:val="auto"/>
                      <w:kern w:val="2"/>
                      <w:sz w:val="21"/>
                      <w:szCs w:val="21"/>
                      <w:lang w:eastAsia="zh-CN"/>
                    </w:rPr>
                    <w:t>、</w:t>
                  </w:r>
                  <w:r>
                    <w:rPr>
                      <w:rFonts w:hint="eastAsia" w:ascii="宋体" w:hAnsi="宋体"/>
                      <w:color w:val="auto"/>
                      <w:kern w:val="2"/>
                      <w:sz w:val="21"/>
                      <w:szCs w:val="21"/>
                    </w:rPr>
                    <w:t>脱硫脱硝废渣综合利用</w:t>
                  </w:r>
                </w:p>
              </w:tc>
              <w:tc>
                <w:tcPr>
                  <w:tcW w:w="921" w:type="dxa"/>
                  <w:noWrap w:val="0"/>
                  <w:vAlign w:val="center"/>
                </w:tcPr>
                <w:p w14:paraId="0727E2C3">
                  <w:pPr>
                    <w:widowControl w:val="0"/>
                    <w:spacing w:after="120"/>
                    <w:ind w:left="-8" w:leftChars="-4"/>
                    <w:jc w:val="center"/>
                    <w:rPr>
                      <w:rFonts w:ascii="宋体" w:hAnsi="宋体"/>
                      <w:color w:val="auto"/>
                      <w:kern w:val="2"/>
                      <w:sz w:val="21"/>
                      <w:szCs w:val="21"/>
                    </w:rPr>
                  </w:pPr>
                  <w:r>
                    <w:rPr>
                      <w:rFonts w:hint="eastAsia" w:ascii="宋体" w:hAnsi="宋体"/>
                      <w:color w:val="auto"/>
                      <w:kern w:val="2"/>
                      <w:sz w:val="21"/>
                      <w:szCs w:val="21"/>
                      <w:lang w:val="en-US" w:eastAsia="zh-CN"/>
                    </w:rPr>
                    <w:t>依托</w:t>
                  </w:r>
                  <w:r>
                    <w:rPr>
                      <w:rFonts w:hint="eastAsia" w:ascii="宋体" w:hAnsi="宋体"/>
                      <w:color w:val="auto"/>
                      <w:kern w:val="2"/>
                      <w:sz w:val="21"/>
                      <w:szCs w:val="21"/>
                      <w:lang w:val="en-US" w:eastAsia="zh-CN"/>
                    </w:rPr>
                    <w:br w:type="textWrapping"/>
                  </w:r>
                  <w:r>
                    <w:rPr>
                      <w:rFonts w:hint="eastAsia" w:ascii="宋体" w:hAnsi="宋体"/>
                      <w:color w:val="auto"/>
                      <w:kern w:val="2"/>
                      <w:sz w:val="21"/>
                      <w:szCs w:val="21"/>
                      <w:lang w:val="en-US" w:eastAsia="zh-CN"/>
                    </w:rPr>
                    <w:t>现有</w:t>
                  </w:r>
                </w:p>
              </w:tc>
            </w:tr>
            <w:tr w14:paraId="13B1801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369" w:hRule="atLeast"/>
              </w:trPr>
              <w:tc>
                <w:tcPr>
                  <w:tcW w:w="774" w:type="dxa"/>
                  <w:vMerge w:val="continue"/>
                  <w:noWrap w:val="0"/>
                  <w:vAlign w:val="center"/>
                </w:tcPr>
                <w:p w14:paraId="025475AF">
                  <w:pPr>
                    <w:widowControl w:val="0"/>
                    <w:spacing w:after="120"/>
                    <w:ind w:left="420" w:leftChars="200"/>
                    <w:jc w:val="center"/>
                    <w:rPr>
                      <w:rFonts w:ascii="宋体" w:hAnsi="宋体"/>
                      <w:color w:val="auto"/>
                      <w:kern w:val="2"/>
                      <w:sz w:val="21"/>
                      <w:szCs w:val="21"/>
                    </w:rPr>
                  </w:pPr>
                </w:p>
              </w:tc>
              <w:tc>
                <w:tcPr>
                  <w:tcW w:w="842" w:type="dxa"/>
                  <w:vMerge w:val="restart"/>
                  <w:noWrap w:val="0"/>
                  <w:vAlign w:val="center"/>
                </w:tcPr>
                <w:p w14:paraId="30130C69">
                  <w:pPr>
                    <w:widowControl w:val="0"/>
                    <w:spacing w:after="120"/>
                    <w:ind w:left="36" w:leftChars="17"/>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地下水及土壤</w:t>
                  </w:r>
                </w:p>
              </w:tc>
              <w:tc>
                <w:tcPr>
                  <w:tcW w:w="2558" w:type="dxa"/>
                  <w:noWrap w:val="0"/>
                  <w:vAlign w:val="center"/>
                </w:tcPr>
                <w:p w14:paraId="57E15195">
                  <w:pPr>
                    <w:widowControl w:val="0"/>
                    <w:spacing w:after="120"/>
                    <w:ind w:left="86" w:leftChars="41"/>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采取分区防渗措施</w:t>
                  </w:r>
                  <w:r>
                    <w:rPr>
                      <w:rFonts w:hint="eastAsia" w:ascii="宋体" w:hAnsi="宋体" w:eastAsia="宋体" w:cs="Times New Roman"/>
                      <w:color w:val="auto"/>
                      <w:kern w:val="2"/>
                      <w:sz w:val="21"/>
                      <w:szCs w:val="21"/>
                      <w:lang w:eastAsia="zh-CN"/>
                    </w:rPr>
                    <w:t>，</w:t>
                  </w:r>
                  <w:r>
                    <w:rPr>
                      <w:rFonts w:hint="eastAsia" w:ascii="宋体" w:hAnsi="宋体" w:eastAsia="宋体" w:cs="Times New Roman"/>
                      <w:color w:val="auto"/>
                      <w:kern w:val="2"/>
                      <w:sz w:val="21"/>
                      <w:szCs w:val="21"/>
                    </w:rPr>
                    <w:t>设置</w:t>
                  </w:r>
                  <w:r>
                    <w:rPr>
                      <w:rFonts w:hint="eastAsia" w:ascii="宋体" w:hAnsi="宋体" w:eastAsia="宋体" w:cs="Times New Roman"/>
                      <w:color w:val="auto"/>
                      <w:kern w:val="2"/>
                      <w:sz w:val="21"/>
                      <w:szCs w:val="21"/>
                      <w:lang w:eastAsia="zh-CN"/>
                    </w:rPr>
                    <w:t>车辆冲洗平台沉淀池、化粪池重点防渗区；</w:t>
                  </w:r>
                  <w:r>
                    <w:rPr>
                      <w:rFonts w:hint="eastAsia" w:ascii="宋体" w:hAnsi="宋体" w:eastAsia="宋体" w:cs="Times New Roman"/>
                      <w:color w:val="auto"/>
                      <w:kern w:val="2"/>
                      <w:sz w:val="21"/>
                      <w:szCs w:val="21"/>
                    </w:rPr>
                    <w:t>生产车间内设置一般防渗区</w:t>
                  </w:r>
                  <w:r>
                    <w:rPr>
                      <w:rFonts w:hint="eastAsia" w:ascii="宋体" w:hAnsi="宋体" w:eastAsia="宋体" w:cs="Times New Roman"/>
                      <w:color w:val="auto"/>
                      <w:kern w:val="2"/>
                      <w:sz w:val="21"/>
                      <w:szCs w:val="21"/>
                      <w:lang w:eastAsia="zh-CN"/>
                    </w:rPr>
                    <w:t>，</w:t>
                  </w:r>
                  <w:r>
                    <w:rPr>
                      <w:rFonts w:hint="eastAsia" w:ascii="宋体" w:hAnsi="宋体" w:eastAsia="宋体" w:cs="Times New Roman"/>
                      <w:color w:val="auto"/>
                      <w:kern w:val="2"/>
                      <w:sz w:val="21"/>
                      <w:szCs w:val="21"/>
                    </w:rPr>
                    <w:t>办公区及其他区域设置简单防渗区。</w:t>
                  </w:r>
                </w:p>
              </w:tc>
              <w:tc>
                <w:tcPr>
                  <w:tcW w:w="1693" w:type="dxa"/>
                  <w:shd w:val="clear" w:color="auto" w:fill="auto"/>
                  <w:noWrap w:val="0"/>
                  <w:vAlign w:val="center"/>
                </w:tcPr>
                <w:p w14:paraId="01B31A5B">
                  <w:pPr>
                    <w:jc w:val="center"/>
                    <w:rPr>
                      <w:rFonts w:hint="eastAsia" w:ascii="宋体" w:hAnsi="宋体" w:eastAsia="宋体"/>
                      <w:color w:val="auto"/>
                      <w:kern w:val="2"/>
                      <w:sz w:val="21"/>
                      <w:szCs w:val="21"/>
                      <w:lang w:val="en-US" w:eastAsia="zh-CN"/>
                    </w:rPr>
                  </w:pPr>
                  <w:r>
                    <w:rPr>
                      <w:rFonts w:hint="eastAsia" w:ascii="宋体" w:hAnsi="宋体" w:eastAsia="宋体" w:cs="Times New Roman"/>
                      <w:color w:val="auto"/>
                      <w:kern w:val="2"/>
                      <w:sz w:val="21"/>
                      <w:szCs w:val="21"/>
                    </w:rPr>
                    <w:t>新建</w:t>
                  </w:r>
                  <w:r>
                    <w:rPr>
                      <w:rFonts w:hint="eastAsia" w:ascii="宋体" w:hAnsi="宋体" w:cs="Times New Roman"/>
                      <w:color w:val="auto"/>
                      <w:kern w:val="2"/>
                      <w:sz w:val="21"/>
                      <w:szCs w:val="21"/>
                      <w:lang w:eastAsia="zh-CN"/>
                    </w:rPr>
                    <w:t>物料库</w:t>
                  </w:r>
                  <w:r>
                    <w:rPr>
                      <w:rFonts w:hint="eastAsia" w:ascii="宋体" w:hAnsi="宋体" w:eastAsia="宋体" w:cs="Times New Roman"/>
                      <w:color w:val="auto"/>
                      <w:kern w:val="2"/>
                      <w:sz w:val="21"/>
                      <w:szCs w:val="21"/>
                    </w:rPr>
                    <w:t>设置为一般防渗区；新建化学品储库设置为重点防渗区。</w:t>
                  </w:r>
                </w:p>
              </w:tc>
              <w:tc>
                <w:tcPr>
                  <w:tcW w:w="1590" w:type="dxa"/>
                  <w:noWrap w:val="0"/>
                  <w:vAlign w:val="center"/>
                </w:tcPr>
                <w:p w14:paraId="5BF4CBC2">
                  <w:pPr>
                    <w:widowControl w:val="0"/>
                    <w:spacing w:after="120"/>
                    <w:ind w:left="86" w:leftChars="41"/>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rPr>
                    <w:t>办公区及其他区域设置为简单防渗区；各</w:t>
                  </w:r>
                  <w:r>
                    <w:rPr>
                      <w:rFonts w:hint="eastAsia" w:ascii="宋体" w:hAnsi="宋体" w:cs="Times New Roman"/>
                      <w:color w:val="auto"/>
                      <w:kern w:val="2"/>
                      <w:sz w:val="21"/>
                      <w:szCs w:val="21"/>
                      <w:lang w:eastAsia="zh-CN"/>
                    </w:rPr>
                    <w:t>物料库</w:t>
                  </w:r>
                  <w:r>
                    <w:rPr>
                      <w:rFonts w:hint="eastAsia" w:ascii="宋体" w:hAnsi="宋体" w:eastAsia="宋体" w:cs="Times New Roman"/>
                      <w:color w:val="auto"/>
                      <w:kern w:val="2"/>
                      <w:sz w:val="21"/>
                      <w:szCs w:val="21"/>
                    </w:rPr>
                    <w:t>及各车间（新增新建）设置为一般防渗区；污水管线（依托现有）、化粪池（依托现有）、车辆冲洗平台沉淀池（依托现有）、化学品储库（新建）设置为重点防渗区。</w:t>
                  </w:r>
                </w:p>
              </w:tc>
              <w:tc>
                <w:tcPr>
                  <w:tcW w:w="921" w:type="dxa"/>
                  <w:vMerge w:val="restart"/>
                  <w:noWrap w:val="0"/>
                  <w:vAlign w:val="center"/>
                </w:tcPr>
                <w:p w14:paraId="2B9DACDA">
                  <w:pPr>
                    <w:widowControl w:val="0"/>
                    <w:spacing w:after="120"/>
                    <w:ind w:left="-8" w:leftChars="-4"/>
                    <w:jc w:val="center"/>
                    <w:rPr>
                      <w:rFonts w:ascii="宋体" w:hAnsi="宋体"/>
                      <w:color w:val="auto"/>
                      <w:kern w:val="2"/>
                      <w:sz w:val="21"/>
                      <w:szCs w:val="21"/>
                    </w:rPr>
                  </w:pPr>
                  <w:r>
                    <w:rPr>
                      <w:rFonts w:hint="eastAsia" w:ascii="宋体" w:hAnsi="宋体"/>
                      <w:color w:val="auto"/>
                      <w:kern w:val="2"/>
                      <w:sz w:val="21"/>
                      <w:szCs w:val="21"/>
                      <w:lang w:val="en-US" w:eastAsia="zh-CN"/>
                    </w:rPr>
                    <w:t>依托</w:t>
                  </w:r>
                  <w:r>
                    <w:rPr>
                      <w:rFonts w:hint="eastAsia" w:ascii="宋体" w:hAnsi="宋体"/>
                      <w:color w:val="auto"/>
                      <w:kern w:val="2"/>
                      <w:sz w:val="21"/>
                      <w:szCs w:val="21"/>
                      <w:lang w:val="en-US" w:eastAsia="zh-CN"/>
                    </w:rPr>
                    <w:br w:type="textWrapping"/>
                  </w:r>
                  <w:r>
                    <w:rPr>
                      <w:rFonts w:hint="eastAsia" w:ascii="宋体" w:hAnsi="宋体"/>
                      <w:color w:val="auto"/>
                      <w:kern w:val="2"/>
                      <w:sz w:val="21"/>
                      <w:szCs w:val="21"/>
                      <w:lang w:val="en-US" w:eastAsia="zh-CN"/>
                    </w:rPr>
                    <w:t>现有，部分新建</w:t>
                  </w:r>
                </w:p>
              </w:tc>
            </w:tr>
            <w:tr w14:paraId="5DDB9313">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369" w:hRule="atLeast"/>
              </w:trPr>
              <w:tc>
                <w:tcPr>
                  <w:tcW w:w="774" w:type="dxa"/>
                  <w:vMerge w:val="continue"/>
                  <w:noWrap w:val="0"/>
                  <w:vAlign w:val="center"/>
                </w:tcPr>
                <w:p w14:paraId="36ECD7A8">
                  <w:pPr>
                    <w:widowControl w:val="0"/>
                    <w:spacing w:after="120"/>
                    <w:ind w:left="86" w:leftChars="41"/>
                    <w:jc w:val="center"/>
                    <w:rPr>
                      <w:color w:val="auto"/>
                    </w:rPr>
                  </w:pPr>
                </w:p>
              </w:tc>
              <w:tc>
                <w:tcPr>
                  <w:tcW w:w="842" w:type="dxa"/>
                  <w:vMerge w:val="continue"/>
                  <w:noWrap w:val="0"/>
                  <w:vAlign w:val="center"/>
                </w:tcPr>
                <w:p w14:paraId="52B29584">
                  <w:pPr>
                    <w:widowControl w:val="0"/>
                    <w:spacing w:after="120"/>
                    <w:ind w:left="86" w:leftChars="41"/>
                    <w:jc w:val="center"/>
                    <w:rPr>
                      <w:color w:val="auto"/>
                    </w:rPr>
                  </w:pPr>
                </w:p>
              </w:tc>
              <w:tc>
                <w:tcPr>
                  <w:tcW w:w="2558" w:type="dxa"/>
                  <w:noWrap w:val="0"/>
                  <w:vAlign w:val="center"/>
                </w:tcPr>
                <w:p w14:paraId="5209EFB2">
                  <w:pPr>
                    <w:widowControl w:val="0"/>
                    <w:spacing w:after="120"/>
                    <w:ind w:left="86" w:leftChars="41"/>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简单防渗区采取地面硬化；一般防渗区采用双层复合防渗结构，基础防渗层为至少1.5米厚粘土层（渗透系数≤10</w:t>
                  </w:r>
                  <w:r>
                    <w:rPr>
                      <w:rFonts w:hint="eastAsia" w:ascii="宋体" w:hAnsi="宋体" w:eastAsia="宋体" w:cs="宋体"/>
                      <w:color w:val="auto"/>
                      <w:sz w:val="21"/>
                      <w:szCs w:val="21"/>
                      <w:vertAlign w:val="superscript"/>
                      <w:lang w:val="en-US" w:eastAsia="zh-CN"/>
                    </w:rPr>
                    <w:t>-7</w:t>
                  </w:r>
                  <w:r>
                    <w:rPr>
                      <w:rFonts w:hint="eastAsia" w:ascii="宋体" w:hAnsi="宋体" w:eastAsia="宋体" w:cs="宋体"/>
                      <w:color w:val="auto"/>
                      <w:sz w:val="21"/>
                      <w:szCs w:val="21"/>
                      <w:lang w:val="en-US" w:eastAsia="zh-CN"/>
                    </w:rPr>
                    <w:t>cm/s）；重点防渗区可采用性能应不低于2m厚渗透系数≤1.0×10</w:t>
                  </w:r>
                  <w:r>
                    <w:rPr>
                      <w:rFonts w:hint="eastAsia" w:ascii="宋体" w:hAnsi="宋体" w:eastAsia="宋体" w:cs="宋体"/>
                      <w:color w:val="auto"/>
                      <w:sz w:val="21"/>
                      <w:szCs w:val="21"/>
                      <w:vertAlign w:val="superscript"/>
                      <w:lang w:val="en-US" w:eastAsia="zh-CN"/>
                    </w:rPr>
                    <w:t>-10</w:t>
                  </w:r>
                  <w:r>
                    <w:rPr>
                      <w:rFonts w:hint="eastAsia" w:ascii="宋体" w:hAnsi="宋体" w:eastAsia="宋体" w:cs="宋体"/>
                      <w:color w:val="auto"/>
                      <w:sz w:val="21"/>
                      <w:szCs w:val="21"/>
                      <w:lang w:val="en-US" w:eastAsia="zh-CN"/>
                    </w:rPr>
                    <w:t>cm/s的天然材料防渗结构或厚度不低于1.5mm的土工膜+厚度不低于100mm的抗渗混凝土（渗透系数≤1.0×10</w:t>
                  </w:r>
                  <w:r>
                    <w:rPr>
                      <w:rFonts w:hint="eastAsia" w:ascii="宋体" w:hAnsi="宋体" w:eastAsia="宋体" w:cs="宋体"/>
                      <w:color w:val="auto"/>
                      <w:sz w:val="21"/>
                      <w:szCs w:val="21"/>
                      <w:vertAlign w:val="superscript"/>
                      <w:lang w:val="en-US" w:eastAsia="zh-CN"/>
                    </w:rPr>
                    <w:t>-10</w:t>
                  </w:r>
                  <w:r>
                    <w:rPr>
                      <w:rFonts w:hint="eastAsia" w:ascii="宋体" w:hAnsi="宋体" w:eastAsia="宋体" w:cs="宋体"/>
                      <w:color w:val="auto"/>
                      <w:sz w:val="21"/>
                      <w:szCs w:val="21"/>
                      <w:lang w:val="en-US" w:eastAsia="zh-CN"/>
                    </w:rPr>
                    <w:t>cm/s</w:t>
                  </w:r>
                </w:p>
              </w:tc>
              <w:tc>
                <w:tcPr>
                  <w:tcW w:w="1693" w:type="dxa"/>
                  <w:shd w:val="clear" w:color="auto" w:fill="auto"/>
                  <w:noWrap w:val="0"/>
                  <w:vAlign w:val="center"/>
                </w:tcPr>
                <w:p w14:paraId="22DAF103">
                  <w:pPr>
                    <w:widowControl w:val="0"/>
                    <w:spacing w:after="120"/>
                    <w:ind w:left="86" w:leftChars="41"/>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一般防渗区采用双层复合防渗结构，基础防渗层为至少1.5米厚粘土层（渗透系数≤10</w:t>
                  </w:r>
                  <w:r>
                    <w:rPr>
                      <w:rFonts w:hint="eastAsia" w:ascii="宋体" w:hAnsi="宋体" w:eastAsia="宋体" w:cs="宋体"/>
                      <w:color w:val="auto"/>
                      <w:sz w:val="21"/>
                      <w:szCs w:val="21"/>
                      <w:vertAlign w:val="superscript"/>
                      <w:lang w:val="en-US" w:eastAsia="zh-CN"/>
                    </w:rPr>
                    <w:t>-7</w:t>
                  </w:r>
                  <w:r>
                    <w:rPr>
                      <w:rFonts w:hint="eastAsia" w:ascii="宋体" w:hAnsi="宋体" w:eastAsia="宋体" w:cs="宋体"/>
                      <w:color w:val="auto"/>
                      <w:sz w:val="21"/>
                      <w:szCs w:val="21"/>
                      <w:lang w:val="en-US" w:eastAsia="zh-CN"/>
                    </w:rPr>
                    <w:t>cm/s）；重点防渗区可采用性能应不低于2m厚渗透系数≤1.0×10</w:t>
                  </w:r>
                  <w:r>
                    <w:rPr>
                      <w:rFonts w:hint="eastAsia" w:ascii="宋体" w:hAnsi="宋体" w:eastAsia="宋体" w:cs="宋体"/>
                      <w:color w:val="auto"/>
                      <w:sz w:val="21"/>
                      <w:szCs w:val="21"/>
                      <w:vertAlign w:val="superscript"/>
                      <w:lang w:val="en-US" w:eastAsia="zh-CN"/>
                    </w:rPr>
                    <w:t>-10</w:t>
                  </w:r>
                  <w:r>
                    <w:rPr>
                      <w:rFonts w:hint="eastAsia" w:ascii="宋体" w:hAnsi="宋体" w:eastAsia="宋体" w:cs="宋体"/>
                      <w:color w:val="auto"/>
                      <w:sz w:val="21"/>
                      <w:szCs w:val="21"/>
                      <w:lang w:val="en-US" w:eastAsia="zh-CN"/>
                    </w:rPr>
                    <w:t>cm/s的天然材料防渗结构或厚度不低于1.5mm的土工膜+厚度不低于100mm的抗渗混凝土（渗透系数≤1.0×10</w:t>
                  </w:r>
                  <w:r>
                    <w:rPr>
                      <w:rFonts w:hint="eastAsia" w:ascii="宋体" w:hAnsi="宋体" w:eastAsia="宋体" w:cs="宋体"/>
                      <w:color w:val="auto"/>
                      <w:sz w:val="21"/>
                      <w:szCs w:val="21"/>
                      <w:vertAlign w:val="superscript"/>
                      <w:lang w:val="en-US" w:eastAsia="zh-CN"/>
                    </w:rPr>
                    <w:t>-10</w:t>
                  </w:r>
                  <w:r>
                    <w:rPr>
                      <w:rFonts w:hint="eastAsia" w:ascii="宋体" w:hAnsi="宋体" w:eastAsia="宋体" w:cs="宋体"/>
                      <w:color w:val="auto"/>
                      <w:sz w:val="21"/>
                      <w:szCs w:val="21"/>
                      <w:lang w:val="en-US" w:eastAsia="zh-CN"/>
                    </w:rPr>
                    <w:t>cm/s</w:t>
                  </w:r>
                </w:p>
              </w:tc>
              <w:tc>
                <w:tcPr>
                  <w:tcW w:w="1590" w:type="dxa"/>
                  <w:noWrap w:val="0"/>
                  <w:vAlign w:val="center"/>
                </w:tcPr>
                <w:p w14:paraId="34D11184">
                  <w:pPr>
                    <w:widowControl w:val="0"/>
                    <w:spacing w:after="120"/>
                    <w:ind w:left="86" w:leftChars="41"/>
                    <w:jc w:val="center"/>
                    <w:rPr>
                      <w:rFonts w:hint="eastAsia" w:ascii="宋体" w:hAnsi="宋体" w:eastAsia="宋体" w:cs="宋体"/>
                      <w:color w:val="auto"/>
                      <w:kern w:val="2"/>
                      <w:sz w:val="21"/>
                      <w:szCs w:val="21"/>
                    </w:rPr>
                  </w:pPr>
                  <w:r>
                    <w:rPr>
                      <w:rFonts w:hint="eastAsia" w:ascii="宋体" w:hAnsi="宋体" w:eastAsia="宋体" w:cs="宋体"/>
                      <w:color w:val="auto"/>
                      <w:sz w:val="21"/>
                      <w:szCs w:val="21"/>
                      <w:lang w:val="en-US" w:eastAsia="zh-CN"/>
                    </w:rPr>
                    <w:t>；一般防渗区采用双层复合防渗结构，基础防渗层为至少1.5米厚粘土层（渗透系数≤10</w:t>
                  </w:r>
                  <w:r>
                    <w:rPr>
                      <w:rFonts w:hint="eastAsia" w:ascii="宋体" w:hAnsi="宋体" w:eastAsia="宋体" w:cs="宋体"/>
                      <w:color w:val="auto"/>
                      <w:sz w:val="21"/>
                      <w:szCs w:val="21"/>
                      <w:vertAlign w:val="superscript"/>
                      <w:lang w:val="en-US" w:eastAsia="zh-CN"/>
                    </w:rPr>
                    <w:t>-7</w:t>
                  </w:r>
                  <w:r>
                    <w:rPr>
                      <w:rFonts w:hint="eastAsia" w:ascii="宋体" w:hAnsi="宋体" w:eastAsia="宋体" w:cs="宋体"/>
                      <w:color w:val="auto"/>
                      <w:sz w:val="21"/>
                      <w:szCs w:val="21"/>
                      <w:lang w:val="en-US" w:eastAsia="zh-CN"/>
                    </w:rPr>
                    <w:t>cm/s）；重点防渗区可采用性能应不低于2m厚渗透系数≤1.0×10</w:t>
                  </w:r>
                  <w:r>
                    <w:rPr>
                      <w:rFonts w:hint="eastAsia" w:ascii="宋体" w:hAnsi="宋体" w:eastAsia="宋体" w:cs="宋体"/>
                      <w:color w:val="auto"/>
                      <w:sz w:val="21"/>
                      <w:szCs w:val="21"/>
                      <w:vertAlign w:val="superscript"/>
                      <w:lang w:val="en-US" w:eastAsia="zh-CN"/>
                    </w:rPr>
                    <w:t>-10</w:t>
                  </w:r>
                  <w:r>
                    <w:rPr>
                      <w:rFonts w:hint="eastAsia" w:ascii="宋体" w:hAnsi="宋体" w:eastAsia="宋体" w:cs="宋体"/>
                      <w:color w:val="auto"/>
                      <w:sz w:val="21"/>
                      <w:szCs w:val="21"/>
                      <w:lang w:val="en-US" w:eastAsia="zh-CN"/>
                    </w:rPr>
                    <w:t>cm/s的天然材料防渗结构或厚度不低于1.5mm的土工膜+厚度不低于100mm的抗渗混凝土（渗透系数≤1.0×10</w:t>
                  </w:r>
                  <w:r>
                    <w:rPr>
                      <w:rFonts w:hint="eastAsia" w:ascii="宋体" w:hAnsi="宋体" w:eastAsia="宋体" w:cs="宋体"/>
                      <w:color w:val="auto"/>
                      <w:sz w:val="21"/>
                      <w:szCs w:val="21"/>
                      <w:vertAlign w:val="superscript"/>
                      <w:lang w:val="en-US" w:eastAsia="zh-CN"/>
                    </w:rPr>
                    <w:t>-10</w:t>
                  </w:r>
                  <w:r>
                    <w:rPr>
                      <w:rFonts w:hint="eastAsia" w:ascii="宋体" w:hAnsi="宋体" w:eastAsia="宋体" w:cs="宋体"/>
                      <w:color w:val="auto"/>
                      <w:sz w:val="21"/>
                      <w:szCs w:val="21"/>
                      <w:lang w:val="en-US" w:eastAsia="zh-CN"/>
                    </w:rPr>
                    <w:t>cm/s）</w:t>
                  </w:r>
                </w:p>
              </w:tc>
              <w:tc>
                <w:tcPr>
                  <w:tcW w:w="921" w:type="dxa"/>
                  <w:vMerge w:val="continue"/>
                  <w:noWrap w:val="0"/>
                  <w:vAlign w:val="center"/>
                </w:tcPr>
                <w:p w14:paraId="0422F6DB">
                  <w:pPr>
                    <w:widowControl w:val="0"/>
                    <w:spacing w:after="120"/>
                    <w:ind w:left="86" w:leftChars="41"/>
                    <w:jc w:val="center"/>
                    <w:rPr>
                      <w:rFonts w:hint="eastAsia" w:ascii="宋体" w:hAnsi="宋体" w:eastAsia="宋体" w:cs="Times New Roman"/>
                      <w:color w:val="auto"/>
                      <w:kern w:val="2"/>
                      <w:sz w:val="21"/>
                      <w:szCs w:val="21"/>
                    </w:rPr>
                  </w:pPr>
                </w:p>
              </w:tc>
            </w:tr>
            <w:tr w14:paraId="1AC859C2">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28" w:hRule="atLeast"/>
              </w:trPr>
              <w:tc>
                <w:tcPr>
                  <w:tcW w:w="774" w:type="dxa"/>
                  <w:vMerge w:val="continue"/>
                  <w:noWrap w:val="0"/>
                  <w:vAlign w:val="center"/>
                </w:tcPr>
                <w:p w14:paraId="2015811F">
                  <w:pPr>
                    <w:widowControl w:val="0"/>
                    <w:spacing w:after="120"/>
                    <w:ind w:left="420" w:leftChars="200"/>
                    <w:jc w:val="center"/>
                    <w:rPr>
                      <w:rFonts w:ascii="宋体" w:hAnsi="宋体"/>
                      <w:color w:val="auto"/>
                      <w:kern w:val="2"/>
                      <w:sz w:val="21"/>
                      <w:szCs w:val="21"/>
                    </w:rPr>
                  </w:pPr>
                </w:p>
              </w:tc>
              <w:tc>
                <w:tcPr>
                  <w:tcW w:w="842" w:type="dxa"/>
                  <w:noWrap w:val="0"/>
                  <w:vAlign w:val="center"/>
                </w:tcPr>
                <w:p w14:paraId="7EB049A7">
                  <w:pPr>
                    <w:widowControl w:val="0"/>
                    <w:spacing w:after="120"/>
                    <w:ind w:left="36" w:leftChars="17"/>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环境风险防范措施</w:t>
                  </w:r>
                </w:p>
              </w:tc>
              <w:tc>
                <w:tcPr>
                  <w:tcW w:w="2558" w:type="dxa"/>
                  <w:noWrap w:val="0"/>
                  <w:vAlign w:val="center"/>
                </w:tcPr>
                <w:p w14:paraId="028E69E2">
                  <w:pPr>
                    <w:widowControl w:val="0"/>
                    <w:spacing w:after="120"/>
                    <w:ind w:left="86" w:leftChars="41"/>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设置安全警示</w:t>
                  </w:r>
                  <w:r>
                    <w:rPr>
                      <w:rFonts w:hint="eastAsia" w:ascii="宋体" w:hAnsi="宋体" w:eastAsia="宋体" w:cs="Times New Roman"/>
                      <w:color w:val="auto"/>
                      <w:kern w:val="2"/>
                      <w:sz w:val="21"/>
                      <w:szCs w:val="21"/>
                      <w:lang w:eastAsia="zh-CN"/>
                    </w:rPr>
                    <w:t>，</w:t>
                  </w:r>
                  <w:r>
                    <w:rPr>
                      <w:rFonts w:hint="eastAsia" w:ascii="宋体" w:hAnsi="宋体" w:eastAsia="宋体" w:cs="Times New Roman"/>
                      <w:color w:val="auto"/>
                      <w:kern w:val="2"/>
                      <w:sz w:val="21"/>
                      <w:szCs w:val="21"/>
                    </w:rPr>
                    <w:t>按《建筑设计防火规范》</w:t>
                  </w:r>
                  <w:r>
                    <w:rPr>
                      <w:rFonts w:hint="eastAsia" w:ascii="宋体" w:hAnsi="宋体" w:eastAsia="宋体" w:cs="Times New Roman"/>
                      <w:color w:val="auto"/>
                      <w:kern w:val="2"/>
                      <w:sz w:val="21"/>
                      <w:szCs w:val="21"/>
                      <w:lang w:eastAsia="zh-CN"/>
                    </w:rPr>
                    <w:t>（</w:t>
                  </w:r>
                  <w:r>
                    <w:rPr>
                      <w:rFonts w:hint="eastAsia" w:ascii="宋体" w:hAnsi="宋体" w:eastAsia="宋体" w:cs="Times New Roman"/>
                      <w:color w:val="auto"/>
                      <w:kern w:val="2"/>
                      <w:sz w:val="21"/>
                      <w:szCs w:val="21"/>
                    </w:rPr>
                    <w:t>GB50016-2014</w:t>
                  </w:r>
                  <w:r>
                    <w:rPr>
                      <w:rFonts w:hint="eastAsia" w:ascii="宋体" w:hAnsi="宋体" w:eastAsia="宋体" w:cs="Times New Roman"/>
                      <w:color w:val="auto"/>
                      <w:kern w:val="2"/>
                      <w:sz w:val="21"/>
                      <w:szCs w:val="21"/>
                      <w:lang w:eastAsia="zh-CN"/>
                    </w:rPr>
                    <w:t>）</w:t>
                  </w:r>
                  <w:r>
                    <w:rPr>
                      <w:rFonts w:hint="eastAsia" w:ascii="宋体" w:hAnsi="宋体" w:eastAsia="宋体" w:cs="Times New Roman"/>
                      <w:color w:val="auto"/>
                      <w:kern w:val="2"/>
                      <w:sz w:val="21"/>
                      <w:szCs w:val="21"/>
                    </w:rPr>
                    <w:t>设置消火栓</w:t>
                  </w:r>
                  <w:r>
                    <w:rPr>
                      <w:rFonts w:hint="eastAsia" w:ascii="宋体" w:hAnsi="宋体" w:eastAsia="宋体" w:cs="Times New Roman"/>
                      <w:color w:val="auto"/>
                      <w:kern w:val="2"/>
                      <w:sz w:val="21"/>
                      <w:szCs w:val="21"/>
                      <w:lang w:val="en-US" w:eastAsia="zh-CN"/>
                    </w:rPr>
                    <w:t>、</w:t>
                  </w:r>
                  <w:r>
                    <w:rPr>
                      <w:rFonts w:hint="eastAsia" w:ascii="宋体" w:hAnsi="宋体" w:eastAsia="宋体" w:cs="Times New Roman"/>
                      <w:color w:val="auto"/>
                      <w:kern w:val="2"/>
                      <w:sz w:val="21"/>
                      <w:szCs w:val="21"/>
                    </w:rPr>
                    <w:t>消防</w:t>
                  </w:r>
                  <w:r>
                    <w:rPr>
                      <w:rFonts w:hint="eastAsia" w:ascii="宋体" w:hAnsi="宋体" w:eastAsia="宋体" w:cs="Times New Roman"/>
                      <w:color w:val="auto"/>
                      <w:kern w:val="2"/>
                      <w:sz w:val="21"/>
                      <w:szCs w:val="21"/>
                      <w:lang w:val="en-US" w:eastAsia="zh-CN"/>
                    </w:rPr>
                    <w:t>器材。</w:t>
                  </w:r>
                </w:p>
              </w:tc>
              <w:tc>
                <w:tcPr>
                  <w:tcW w:w="1693" w:type="dxa"/>
                  <w:noWrap w:val="0"/>
                  <w:vAlign w:val="center"/>
                </w:tcPr>
                <w:p w14:paraId="72621652">
                  <w:pPr>
                    <w:adjustRightInd w:val="0"/>
                    <w:snapToGrid w:val="0"/>
                    <w:jc w:val="center"/>
                    <w:rPr>
                      <w:rFonts w:hint="eastAsia" w:ascii="宋体" w:hAnsi="宋体" w:eastAsia="宋体"/>
                      <w:color w:val="auto"/>
                      <w:kern w:val="2"/>
                      <w:sz w:val="21"/>
                      <w:szCs w:val="21"/>
                      <w:lang w:val="en-US" w:eastAsia="zh-CN"/>
                    </w:rPr>
                  </w:pPr>
                  <w:r>
                    <w:rPr>
                      <w:rFonts w:hint="eastAsia" w:ascii="宋体" w:hAnsi="宋体"/>
                      <w:color w:val="auto"/>
                      <w:kern w:val="2"/>
                      <w:sz w:val="21"/>
                      <w:szCs w:val="21"/>
                      <w:lang w:val="en-US" w:eastAsia="zh-CN"/>
                    </w:rPr>
                    <w:t>/</w:t>
                  </w:r>
                </w:p>
              </w:tc>
              <w:tc>
                <w:tcPr>
                  <w:tcW w:w="1590" w:type="dxa"/>
                  <w:noWrap w:val="0"/>
                  <w:vAlign w:val="center"/>
                </w:tcPr>
                <w:p w14:paraId="2C009B06">
                  <w:pPr>
                    <w:widowControl w:val="0"/>
                    <w:spacing w:after="120"/>
                    <w:ind w:left="86" w:leftChars="41"/>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rPr>
                    <w:t>设置安全警示</w:t>
                  </w:r>
                  <w:r>
                    <w:rPr>
                      <w:rFonts w:hint="eastAsia" w:ascii="宋体" w:hAnsi="宋体" w:eastAsia="宋体" w:cs="Times New Roman"/>
                      <w:color w:val="auto"/>
                      <w:kern w:val="2"/>
                      <w:sz w:val="21"/>
                      <w:szCs w:val="21"/>
                      <w:lang w:eastAsia="zh-CN"/>
                    </w:rPr>
                    <w:t>，</w:t>
                  </w:r>
                  <w:r>
                    <w:rPr>
                      <w:rFonts w:hint="eastAsia" w:ascii="宋体" w:hAnsi="宋体" w:eastAsia="宋体" w:cs="Times New Roman"/>
                      <w:color w:val="auto"/>
                      <w:kern w:val="2"/>
                      <w:sz w:val="21"/>
                      <w:szCs w:val="21"/>
                    </w:rPr>
                    <w:t>按《建筑设计防火规范》</w:t>
                  </w:r>
                  <w:r>
                    <w:rPr>
                      <w:rFonts w:hint="eastAsia" w:ascii="宋体" w:hAnsi="宋体" w:eastAsia="宋体" w:cs="Times New Roman"/>
                      <w:color w:val="auto"/>
                      <w:kern w:val="2"/>
                      <w:sz w:val="21"/>
                      <w:szCs w:val="21"/>
                      <w:lang w:eastAsia="zh-CN"/>
                    </w:rPr>
                    <w:t>（</w:t>
                  </w:r>
                  <w:r>
                    <w:rPr>
                      <w:rFonts w:hint="eastAsia" w:ascii="宋体" w:hAnsi="宋体" w:eastAsia="宋体" w:cs="Times New Roman"/>
                      <w:color w:val="auto"/>
                      <w:kern w:val="2"/>
                      <w:sz w:val="21"/>
                      <w:szCs w:val="21"/>
                    </w:rPr>
                    <w:t>GB50016-2014</w:t>
                  </w:r>
                  <w:r>
                    <w:rPr>
                      <w:rFonts w:hint="eastAsia" w:ascii="宋体" w:hAnsi="宋体" w:eastAsia="宋体" w:cs="Times New Roman"/>
                      <w:color w:val="auto"/>
                      <w:kern w:val="2"/>
                      <w:sz w:val="21"/>
                      <w:szCs w:val="21"/>
                      <w:lang w:eastAsia="zh-CN"/>
                    </w:rPr>
                    <w:t>）</w:t>
                  </w:r>
                  <w:r>
                    <w:rPr>
                      <w:rFonts w:hint="eastAsia" w:ascii="宋体" w:hAnsi="宋体" w:eastAsia="宋体" w:cs="Times New Roman"/>
                      <w:color w:val="auto"/>
                      <w:kern w:val="2"/>
                      <w:sz w:val="21"/>
                      <w:szCs w:val="21"/>
                    </w:rPr>
                    <w:t>设置消火栓</w:t>
                  </w:r>
                  <w:r>
                    <w:rPr>
                      <w:rFonts w:hint="eastAsia" w:ascii="宋体" w:hAnsi="宋体" w:eastAsia="宋体" w:cs="Times New Roman"/>
                      <w:color w:val="auto"/>
                      <w:kern w:val="2"/>
                      <w:sz w:val="21"/>
                      <w:szCs w:val="21"/>
                      <w:lang w:val="en-US" w:eastAsia="zh-CN"/>
                    </w:rPr>
                    <w:t>、</w:t>
                  </w:r>
                  <w:r>
                    <w:rPr>
                      <w:rFonts w:hint="eastAsia" w:ascii="宋体" w:hAnsi="宋体" w:eastAsia="宋体" w:cs="Times New Roman"/>
                      <w:color w:val="auto"/>
                      <w:kern w:val="2"/>
                      <w:sz w:val="21"/>
                      <w:szCs w:val="21"/>
                    </w:rPr>
                    <w:t>消防</w:t>
                  </w:r>
                  <w:r>
                    <w:rPr>
                      <w:rFonts w:hint="eastAsia" w:ascii="宋体" w:hAnsi="宋体" w:eastAsia="宋体" w:cs="Times New Roman"/>
                      <w:color w:val="auto"/>
                      <w:kern w:val="2"/>
                      <w:sz w:val="21"/>
                      <w:szCs w:val="21"/>
                      <w:lang w:val="en-US" w:eastAsia="zh-CN"/>
                    </w:rPr>
                    <w:t>器材</w:t>
                  </w:r>
                  <w:r>
                    <w:rPr>
                      <w:rFonts w:hint="eastAsia" w:ascii="宋体" w:hAnsi="宋体" w:cs="Times New Roman"/>
                      <w:color w:val="auto"/>
                      <w:kern w:val="2"/>
                      <w:sz w:val="21"/>
                      <w:szCs w:val="21"/>
                      <w:lang w:val="en-US" w:eastAsia="zh-CN"/>
                    </w:rPr>
                    <w:t>；编制突发环境事件应急预案并报当地环保主管部门备案</w:t>
                  </w:r>
                </w:p>
              </w:tc>
              <w:tc>
                <w:tcPr>
                  <w:tcW w:w="921" w:type="dxa"/>
                  <w:noWrap w:val="0"/>
                  <w:vAlign w:val="center"/>
                </w:tcPr>
                <w:p w14:paraId="0FF77F9F">
                  <w:pPr>
                    <w:widowControl w:val="0"/>
                    <w:spacing w:after="120"/>
                    <w:ind w:left="-8" w:leftChars="-4"/>
                    <w:jc w:val="center"/>
                    <w:rPr>
                      <w:rFonts w:ascii="宋体" w:hAnsi="宋体"/>
                      <w:color w:val="auto"/>
                      <w:kern w:val="2"/>
                      <w:sz w:val="21"/>
                      <w:szCs w:val="21"/>
                    </w:rPr>
                  </w:pPr>
                  <w:r>
                    <w:rPr>
                      <w:rFonts w:hint="eastAsia" w:ascii="宋体" w:hAnsi="宋体"/>
                      <w:color w:val="auto"/>
                      <w:kern w:val="2"/>
                      <w:sz w:val="21"/>
                      <w:szCs w:val="21"/>
                      <w:lang w:val="en-US" w:eastAsia="zh-CN"/>
                    </w:rPr>
                    <w:t>依托</w:t>
                  </w:r>
                  <w:r>
                    <w:rPr>
                      <w:rFonts w:hint="eastAsia" w:ascii="宋体" w:hAnsi="宋体"/>
                      <w:color w:val="auto"/>
                      <w:kern w:val="2"/>
                      <w:sz w:val="21"/>
                      <w:szCs w:val="21"/>
                      <w:lang w:val="en-US" w:eastAsia="zh-CN"/>
                    </w:rPr>
                    <w:br w:type="textWrapping"/>
                  </w:r>
                  <w:r>
                    <w:rPr>
                      <w:rFonts w:hint="eastAsia" w:ascii="宋体" w:hAnsi="宋体"/>
                      <w:color w:val="auto"/>
                      <w:kern w:val="2"/>
                      <w:sz w:val="21"/>
                      <w:szCs w:val="21"/>
                      <w:lang w:val="en-US" w:eastAsia="zh-CN"/>
                    </w:rPr>
                    <w:t>现有，</w:t>
                  </w:r>
                  <w:r>
                    <w:rPr>
                      <w:rFonts w:hint="eastAsia" w:ascii="宋体" w:hAnsi="宋体" w:cs="Times New Roman"/>
                      <w:color w:val="auto"/>
                      <w:kern w:val="2"/>
                      <w:sz w:val="21"/>
                      <w:szCs w:val="21"/>
                      <w:lang w:val="en-US" w:eastAsia="zh-CN"/>
                    </w:rPr>
                    <w:t>新增新建，并编制突发环境事件应急预案并报当地环保主管部门备案</w:t>
                  </w:r>
                </w:p>
              </w:tc>
            </w:tr>
          </w:tbl>
          <w:p w14:paraId="0BB4ED69">
            <w:pPr>
              <w:spacing w:line="360" w:lineRule="auto"/>
              <w:jc w:val="center"/>
              <w:rPr>
                <w:rFonts w:hint="eastAsia" w:cs="Times New Roman"/>
                <w:b/>
                <w:bCs/>
                <w:color w:val="auto"/>
                <w:sz w:val="21"/>
                <w:szCs w:val="18"/>
                <w:lang w:eastAsia="zh-CN"/>
              </w:rPr>
            </w:pPr>
          </w:p>
          <w:p w14:paraId="4A3FB126">
            <w:pPr>
              <w:spacing w:before="312" w:beforeLines="100" w:line="360" w:lineRule="auto"/>
              <w:ind w:firstLine="482" w:firstLineChars="200"/>
              <w:rPr>
                <w:rFonts w:ascii="Times New Roman" w:hAnsi="Times New Roman" w:cs="Times New Roman"/>
                <w:b/>
                <w:bCs/>
                <w:color w:val="auto"/>
                <w:sz w:val="24"/>
              </w:rPr>
            </w:pPr>
            <w:r>
              <w:rPr>
                <w:rFonts w:hint="eastAsia" w:ascii="Times New Roman" w:hAnsi="Times New Roman" w:cs="Times New Roman"/>
                <w:b/>
                <w:bCs/>
                <w:color w:val="auto"/>
                <w:sz w:val="24"/>
              </w:rPr>
              <w:t>3</w:t>
            </w:r>
            <w:r>
              <w:rPr>
                <w:rFonts w:ascii="Times New Roman" w:hAnsi="Times New Roman" w:cs="Times New Roman"/>
                <w:b/>
                <w:bCs/>
                <w:color w:val="auto"/>
                <w:sz w:val="24"/>
              </w:rPr>
              <w:t>、</w:t>
            </w:r>
            <w:r>
              <w:rPr>
                <w:rFonts w:hint="eastAsia" w:ascii="Times New Roman" w:hAnsi="Times New Roman" w:cs="Times New Roman"/>
                <w:b/>
                <w:bCs/>
                <w:color w:val="auto"/>
                <w:sz w:val="24"/>
              </w:rPr>
              <w:t>产品方案</w:t>
            </w:r>
          </w:p>
          <w:p w14:paraId="64ADD47D">
            <w:pPr>
              <w:spacing w:line="360" w:lineRule="auto"/>
              <w:ind w:firstLine="480" w:firstLineChars="200"/>
              <w:jc w:val="both"/>
              <w:rPr>
                <w:rFonts w:ascii="Times New Roman" w:hAnsi="Times New Roman" w:cs="Times New Roman"/>
                <w:color w:val="auto"/>
                <w:sz w:val="24"/>
              </w:rPr>
            </w:pPr>
            <w:r>
              <w:rPr>
                <w:rFonts w:ascii="Times New Roman" w:hAnsi="Times New Roman" w:cs="Times New Roman"/>
                <w:color w:val="auto"/>
                <w:sz w:val="24"/>
              </w:rPr>
              <w:t>根据建设单位提供的资料</w:t>
            </w:r>
            <w:r>
              <w:rPr>
                <w:rFonts w:hint="eastAsia" w:cs="Times New Roman"/>
                <w:color w:val="auto"/>
                <w:sz w:val="24"/>
                <w:lang w:eastAsia="zh-CN"/>
              </w:rPr>
              <w:t>，</w:t>
            </w:r>
            <w:r>
              <w:rPr>
                <w:rFonts w:ascii="Times New Roman" w:hAnsi="Times New Roman" w:cs="Times New Roman"/>
                <w:color w:val="auto"/>
                <w:sz w:val="24"/>
              </w:rPr>
              <w:t>本项目产品及产能见下表2.</w:t>
            </w:r>
            <w:r>
              <w:rPr>
                <w:rFonts w:hint="eastAsia" w:ascii="Times New Roman" w:hAnsi="Times New Roman" w:cs="Times New Roman"/>
                <w:color w:val="auto"/>
                <w:sz w:val="24"/>
              </w:rPr>
              <w:t>5</w:t>
            </w:r>
            <w:r>
              <w:rPr>
                <w:rFonts w:ascii="Times New Roman" w:hAnsi="Times New Roman" w:cs="Times New Roman"/>
                <w:color w:val="auto"/>
                <w:sz w:val="24"/>
              </w:rPr>
              <w:t>。</w:t>
            </w:r>
          </w:p>
          <w:p w14:paraId="3572FFD4">
            <w:pPr>
              <w:spacing w:line="360" w:lineRule="auto"/>
              <w:ind w:firstLine="422" w:firstLineChars="200"/>
              <w:jc w:val="center"/>
              <w:rPr>
                <w:rFonts w:hint="eastAsia" w:cs="Times New Roman"/>
                <w:b/>
                <w:bCs/>
                <w:color w:val="auto"/>
                <w:sz w:val="21"/>
                <w:szCs w:val="18"/>
                <w:lang w:eastAsia="zh-CN"/>
              </w:rPr>
            </w:pPr>
            <w:r>
              <w:rPr>
                <w:rFonts w:hint="eastAsia" w:cs="Times New Roman"/>
                <w:b/>
                <w:bCs/>
                <w:color w:val="auto"/>
                <w:sz w:val="21"/>
                <w:szCs w:val="18"/>
                <w:lang w:eastAsia="zh-CN"/>
              </w:rPr>
              <w:t>表2</w:t>
            </w:r>
            <w:r>
              <w:rPr>
                <w:rFonts w:hint="eastAsia" w:cs="Times New Roman"/>
                <w:b/>
                <w:bCs/>
                <w:color w:val="auto"/>
                <w:sz w:val="21"/>
                <w:szCs w:val="18"/>
                <w:lang w:val="en-US" w:eastAsia="zh-CN"/>
              </w:rPr>
              <w:t>-2</w:t>
            </w:r>
            <w:r>
              <w:rPr>
                <w:rFonts w:hint="eastAsia" w:cs="Times New Roman"/>
                <w:b/>
                <w:bCs/>
                <w:color w:val="auto"/>
                <w:sz w:val="21"/>
                <w:szCs w:val="18"/>
                <w:lang w:eastAsia="zh-CN"/>
              </w:rPr>
              <w:t xml:space="preserve">  产品方案一览表</w:t>
            </w:r>
          </w:p>
          <w:tbl>
            <w:tblPr>
              <w:tblStyle w:val="38"/>
              <w:tblW w:w="8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534"/>
              <w:gridCol w:w="1922"/>
              <w:gridCol w:w="1368"/>
              <w:gridCol w:w="1191"/>
              <w:gridCol w:w="1145"/>
            </w:tblGrid>
            <w:tr w14:paraId="2655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77" w:type="dxa"/>
                  <w:noWrap w:val="0"/>
                  <w:vAlign w:val="center"/>
                </w:tcPr>
                <w:p w14:paraId="5D2C4494">
                  <w:pPr>
                    <w:autoSpaceDE w:val="0"/>
                    <w:autoSpaceDN w:val="0"/>
                    <w:jc w:val="center"/>
                    <w:rPr>
                      <w:rFonts w:ascii="Times New Roman" w:hAnsi="Times New Roman" w:cs="Times New Roman"/>
                      <w:color w:val="auto"/>
                      <w:sz w:val="21"/>
                      <w:szCs w:val="21"/>
                    </w:rPr>
                  </w:pPr>
                  <w:r>
                    <w:rPr>
                      <w:rFonts w:ascii="Times New Roman" w:hAnsi="Times New Roman" w:cs="Times New Roman"/>
                      <w:color w:val="auto"/>
                      <w:sz w:val="21"/>
                      <w:szCs w:val="21"/>
                    </w:rPr>
                    <w:t>序号</w:t>
                  </w:r>
                </w:p>
              </w:tc>
              <w:tc>
                <w:tcPr>
                  <w:tcW w:w="1534" w:type="dxa"/>
                  <w:noWrap w:val="0"/>
                  <w:vAlign w:val="center"/>
                </w:tcPr>
                <w:p w14:paraId="3D0C5B62">
                  <w:pPr>
                    <w:autoSpaceDE w:val="0"/>
                    <w:autoSpaceDN w:val="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产品</w:t>
                  </w:r>
                  <w:r>
                    <w:rPr>
                      <w:rFonts w:hint="eastAsia" w:ascii="Times New Roman" w:hAnsi="Times New Roman" w:cs="Times New Roman"/>
                      <w:color w:val="auto"/>
                      <w:sz w:val="21"/>
                      <w:szCs w:val="21"/>
                      <w:lang w:eastAsia="zh-CN"/>
                    </w:rPr>
                    <w:br w:type="textWrapping"/>
                  </w:r>
                  <w:r>
                    <w:rPr>
                      <w:rFonts w:hint="eastAsia" w:ascii="Times New Roman" w:hAnsi="Times New Roman" w:cs="Times New Roman"/>
                      <w:color w:val="auto"/>
                      <w:sz w:val="21"/>
                      <w:szCs w:val="21"/>
                      <w:lang w:eastAsia="zh-CN"/>
                    </w:rPr>
                    <w:t>名称</w:t>
                  </w:r>
                </w:p>
              </w:tc>
              <w:tc>
                <w:tcPr>
                  <w:tcW w:w="1922" w:type="dxa"/>
                  <w:noWrap w:val="0"/>
                  <w:vAlign w:val="center"/>
                </w:tcPr>
                <w:p w14:paraId="4C80BAB5">
                  <w:pPr>
                    <w:autoSpaceDE w:val="0"/>
                    <w:autoSpaceDN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产品规格</w:t>
                  </w:r>
                </w:p>
              </w:tc>
              <w:tc>
                <w:tcPr>
                  <w:tcW w:w="1368" w:type="dxa"/>
                  <w:noWrap w:val="0"/>
                  <w:vAlign w:val="center"/>
                </w:tcPr>
                <w:p w14:paraId="452C4D7D">
                  <w:pPr>
                    <w:autoSpaceDE w:val="0"/>
                    <w:autoSpaceDN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现有</w:t>
                  </w:r>
                  <w:r>
                    <w:rPr>
                      <w:rFonts w:hint="eastAsia" w:ascii="Times New Roman" w:hAnsi="Times New Roman" w:eastAsia="宋体" w:cs="Times New Roman"/>
                      <w:color w:val="auto"/>
                      <w:sz w:val="21"/>
                      <w:szCs w:val="21"/>
                      <w:lang w:val="en-US" w:eastAsia="zh-CN"/>
                    </w:rPr>
                    <w:br w:type="textWrapping"/>
                  </w:r>
                  <w:r>
                    <w:rPr>
                      <w:rFonts w:hint="eastAsia" w:ascii="Times New Roman" w:hAnsi="Times New Roman" w:eastAsia="宋体" w:cs="Times New Roman"/>
                      <w:color w:val="auto"/>
                      <w:sz w:val="21"/>
                      <w:szCs w:val="21"/>
                      <w:lang w:val="en-US" w:eastAsia="zh-CN"/>
                    </w:rPr>
                    <w:t>产能</w:t>
                  </w:r>
                </w:p>
              </w:tc>
              <w:tc>
                <w:tcPr>
                  <w:tcW w:w="1191" w:type="dxa"/>
                  <w:noWrap w:val="0"/>
                  <w:vAlign w:val="center"/>
                </w:tcPr>
                <w:p w14:paraId="40D64581">
                  <w:pPr>
                    <w:autoSpaceDE w:val="0"/>
                    <w:autoSpaceDN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技改</w:t>
                  </w:r>
                  <w:r>
                    <w:rPr>
                      <w:rFonts w:hint="eastAsia" w:ascii="Times New Roman" w:hAnsi="Times New Roman" w:eastAsia="宋体" w:cs="Times New Roman"/>
                      <w:color w:val="auto"/>
                      <w:sz w:val="21"/>
                      <w:szCs w:val="21"/>
                      <w:lang w:val="en-US" w:eastAsia="zh-CN"/>
                    </w:rPr>
                    <w:br w:type="textWrapping"/>
                  </w:r>
                  <w:r>
                    <w:rPr>
                      <w:rFonts w:hint="eastAsia" w:ascii="Times New Roman" w:hAnsi="Times New Roman" w:eastAsia="宋体" w:cs="Times New Roman"/>
                      <w:color w:val="auto"/>
                      <w:sz w:val="21"/>
                      <w:szCs w:val="21"/>
                      <w:lang w:val="en-US" w:eastAsia="zh-CN"/>
                    </w:rPr>
                    <w:t>产能</w:t>
                  </w:r>
                </w:p>
              </w:tc>
              <w:tc>
                <w:tcPr>
                  <w:tcW w:w="1145" w:type="dxa"/>
                  <w:noWrap w:val="0"/>
                  <w:vAlign w:val="center"/>
                </w:tcPr>
                <w:p w14:paraId="3BA4100B">
                  <w:pPr>
                    <w:autoSpaceDE w:val="0"/>
                    <w:autoSpaceDN w:val="0"/>
                    <w:jc w:val="center"/>
                    <w:rPr>
                      <w:rFonts w:hint="eastAsia" w:ascii="Times New Roman" w:hAnsi="Times New Roman" w:cs="Times New Roman"/>
                      <w:color w:val="auto"/>
                      <w:sz w:val="21"/>
                      <w:szCs w:val="21"/>
                      <w:lang w:eastAsia="zh-CN"/>
                    </w:rPr>
                  </w:pPr>
                  <w:r>
                    <w:rPr>
                      <w:rFonts w:hint="eastAsia" w:cs="Times New Roman"/>
                      <w:color w:val="auto"/>
                      <w:sz w:val="21"/>
                      <w:szCs w:val="21"/>
                      <w:lang w:eastAsia="zh-CN"/>
                    </w:rPr>
                    <w:t>技改</w:t>
                  </w:r>
                  <w:r>
                    <w:rPr>
                      <w:rFonts w:hint="eastAsia" w:ascii="Times New Roman" w:hAnsi="Times New Roman" w:cs="Times New Roman"/>
                      <w:color w:val="auto"/>
                      <w:sz w:val="21"/>
                      <w:szCs w:val="21"/>
                      <w:lang w:eastAsia="zh-CN"/>
                    </w:rPr>
                    <w:t>后</w:t>
                  </w:r>
                  <w:r>
                    <w:rPr>
                      <w:rFonts w:hint="eastAsia" w:ascii="Times New Roman" w:hAnsi="Times New Roman" w:cs="Times New Roman"/>
                      <w:color w:val="auto"/>
                      <w:sz w:val="21"/>
                      <w:szCs w:val="21"/>
                      <w:lang w:eastAsia="zh-CN"/>
                    </w:rPr>
                    <w:br w:type="textWrapping"/>
                  </w:r>
                  <w:r>
                    <w:rPr>
                      <w:rFonts w:hint="eastAsia" w:ascii="Times New Roman" w:hAnsi="Times New Roman" w:cs="Times New Roman"/>
                      <w:color w:val="auto"/>
                      <w:sz w:val="21"/>
                      <w:szCs w:val="21"/>
                      <w:lang w:eastAsia="zh-CN"/>
                    </w:rPr>
                    <w:t>产能</w:t>
                  </w:r>
                </w:p>
              </w:tc>
            </w:tr>
            <w:tr w14:paraId="6D70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77" w:type="dxa"/>
                  <w:noWrap w:val="0"/>
                  <w:vAlign w:val="center"/>
                </w:tcPr>
                <w:p w14:paraId="7BE7F542">
                  <w:pPr>
                    <w:autoSpaceDE w:val="0"/>
                    <w:autoSpaceDN w:val="0"/>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534" w:type="dxa"/>
                  <w:noWrap w:val="0"/>
                  <w:vAlign w:val="center"/>
                </w:tcPr>
                <w:p w14:paraId="09E8EB6C">
                  <w:pPr>
                    <w:autoSpaceDE w:val="0"/>
                    <w:autoSpaceDN w:val="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标砖</w:t>
                  </w:r>
                </w:p>
              </w:tc>
              <w:tc>
                <w:tcPr>
                  <w:tcW w:w="1922" w:type="dxa"/>
                  <w:noWrap w:val="0"/>
                  <w:vAlign w:val="center"/>
                </w:tcPr>
                <w:p w14:paraId="38682C0C">
                  <w:pPr>
                    <w:autoSpaceDE w:val="0"/>
                    <w:autoSpaceDN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240x115x53</w:t>
                  </w:r>
                </w:p>
              </w:tc>
              <w:tc>
                <w:tcPr>
                  <w:tcW w:w="1368" w:type="dxa"/>
                  <w:vMerge w:val="restart"/>
                  <w:noWrap w:val="0"/>
                  <w:vAlign w:val="center"/>
                </w:tcPr>
                <w:p w14:paraId="0C98530B">
                  <w:pPr>
                    <w:autoSpaceDE w:val="0"/>
                    <w:autoSpaceDN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7200万块</w:t>
                  </w:r>
                  <w:r>
                    <w:rPr>
                      <w:rFonts w:hint="eastAsia" w:ascii="Times New Roman" w:hAnsi="Times New Roman" w:eastAsia="宋体" w:cs="Times New Roman"/>
                      <w:color w:val="auto"/>
                      <w:sz w:val="21"/>
                      <w:szCs w:val="21"/>
                      <w:lang w:val="en-US" w:eastAsia="zh-CN"/>
                    </w:rPr>
                    <w:br w:type="textWrapping"/>
                  </w:r>
                  <w:r>
                    <w:rPr>
                      <w:rFonts w:hint="eastAsia" w:ascii="Times New Roman" w:hAnsi="Times New Roman" w:eastAsia="宋体" w:cs="Times New Roman"/>
                      <w:color w:val="auto"/>
                      <w:sz w:val="21"/>
                      <w:szCs w:val="21"/>
                      <w:lang w:val="en-US" w:eastAsia="zh-CN"/>
                    </w:rPr>
                    <w:t>（折标砖）</w:t>
                  </w:r>
                </w:p>
              </w:tc>
              <w:tc>
                <w:tcPr>
                  <w:tcW w:w="1191" w:type="dxa"/>
                  <w:vMerge w:val="restart"/>
                  <w:noWrap w:val="0"/>
                  <w:vAlign w:val="center"/>
                </w:tcPr>
                <w:p w14:paraId="21DF4493">
                  <w:pPr>
                    <w:autoSpaceDE w:val="0"/>
                    <w:autoSpaceDN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1800万块（折标砖）</w:t>
                  </w:r>
                </w:p>
              </w:tc>
              <w:tc>
                <w:tcPr>
                  <w:tcW w:w="1145" w:type="dxa"/>
                  <w:vMerge w:val="restart"/>
                  <w:noWrap w:val="0"/>
                  <w:vAlign w:val="center"/>
                </w:tcPr>
                <w:p w14:paraId="4BDCAA83">
                  <w:pPr>
                    <w:autoSpaceDE w:val="0"/>
                    <w:autoSpaceDN w:val="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9000万块（</w:t>
                  </w:r>
                  <w:r>
                    <w:rPr>
                      <w:rFonts w:hint="eastAsia" w:ascii="Times New Roman" w:hAnsi="Times New Roman" w:cs="Times New Roman"/>
                      <w:color w:val="auto"/>
                      <w:sz w:val="21"/>
                      <w:szCs w:val="21"/>
                      <w:lang w:eastAsia="zh-CN"/>
                    </w:rPr>
                    <w:t>折标砖</w:t>
                  </w:r>
                  <w:r>
                    <w:rPr>
                      <w:rFonts w:hint="eastAsia" w:ascii="Times New Roman" w:hAnsi="Times New Roman" w:cs="Times New Roman"/>
                      <w:color w:val="auto"/>
                      <w:sz w:val="21"/>
                      <w:szCs w:val="21"/>
                      <w:lang w:val="en-US" w:eastAsia="zh-CN"/>
                    </w:rPr>
                    <w:t>）</w:t>
                  </w:r>
                </w:p>
              </w:tc>
            </w:tr>
            <w:tr w14:paraId="0FC7C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7" w:type="dxa"/>
                  <w:noWrap w:val="0"/>
                  <w:vAlign w:val="center"/>
                </w:tcPr>
                <w:p w14:paraId="5D27E6B2">
                  <w:pPr>
                    <w:autoSpaceDE w:val="0"/>
                    <w:autoSpaceDN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w:t>
                  </w:r>
                </w:p>
              </w:tc>
              <w:tc>
                <w:tcPr>
                  <w:tcW w:w="1534" w:type="dxa"/>
                  <w:noWrap w:val="0"/>
                  <w:vAlign w:val="center"/>
                </w:tcPr>
                <w:p w14:paraId="69FECE94">
                  <w:pPr>
                    <w:autoSpaceDE w:val="0"/>
                    <w:autoSpaceDN w:val="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承重多孔砖</w:t>
                  </w:r>
                </w:p>
              </w:tc>
              <w:tc>
                <w:tcPr>
                  <w:tcW w:w="1922" w:type="dxa"/>
                  <w:noWrap w:val="0"/>
                  <w:vAlign w:val="center"/>
                </w:tcPr>
                <w:p w14:paraId="55071F49">
                  <w:pPr>
                    <w:autoSpaceDE w:val="0"/>
                    <w:autoSpaceDN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 240x115x90 </w:t>
                  </w:r>
                </w:p>
              </w:tc>
              <w:tc>
                <w:tcPr>
                  <w:tcW w:w="1368" w:type="dxa"/>
                  <w:vMerge w:val="continue"/>
                  <w:noWrap w:val="0"/>
                  <w:vAlign w:val="center"/>
                </w:tcPr>
                <w:p w14:paraId="07F3E726">
                  <w:pPr>
                    <w:autoSpaceDE w:val="0"/>
                    <w:autoSpaceDN w:val="0"/>
                    <w:jc w:val="center"/>
                    <w:rPr>
                      <w:rFonts w:hint="eastAsia" w:ascii="Times New Roman" w:hAnsi="Times New Roman" w:cs="Times New Roman"/>
                      <w:color w:val="auto"/>
                      <w:szCs w:val="21"/>
                      <w:lang w:val="en-US" w:eastAsia="zh-CN"/>
                    </w:rPr>
                  </w:pPr>
                </w:p>
              </w:tc>
              <w:tc>
                <w:tcPr>
                  <w:tcW w:w="1191" w:type="dxa"/>
                  <w:vMerge w:val="continue"/>
                  <w:noWrap w:val="0"/>
                  <w:vAlign w:val="center"/>
                </w:tcPr>
                <w:p w14:paraId="43D5B577">
                  <w:pPr>
                    <w:autoSpaceDE w:val="0"/>
                    <w:autoSpaceDN w:val="0"/>
                    <w:jc w:val="center"/>
                    <w:rPr>
                      <w:rFonts w:hint="eastAsia" w:ascii="Times New Roman" w:hAnsi="Times New Roman" w:cs="Times New Roman"/>
                      <w:color w:val="auto"/>
                      <w:szCs w:val="21"/>
                      <w:lang w:val="en-US" w:eastAsia="zh-CN"/>
                    </w:rPr>
                  </w:pPr>
                </w:p>
              </w:tc>
              <w:tc>
                <w:tcPr>
                  <w:tcW w:w="1145" w:type="dxa"/>
                  <w:vMerge w:val="continue"/>
                  <w:noWrap w:val="0"/>
                  <w:vAlign w:val="center"/>
                </w:tcPr>
                <w:p w14:paraId="0879FD7C">
                  <w:pPr>
                    <w:autoSpaceDE w:val="0"/>
                    <w:autoSpaceDN w:val="0"/>
                    <w:jc w:val="center"/>
                    <w:rPr>
                      <w:rFonts w:hint="eastAsia" w:ascii="Times New Roman" w:hAnsi="Times New Roman" w:cs="Times New Roman"/>
                      <w:color w:val="auto"/>
                      <w:szCs w:val="21"/>
                      <w:lang w:val="en-US" w:eastAsia="zh-CN"/>
                    </w:rPr>
                  </w:pPr>
                </w:p>
              </w:tc>
            </w:tr>
            <w:tr w14:paraId="1A43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77" w:type="dxa"/>
                  <w:noWrap w:val="0"/>
                  <w:vAlign w:val="center"/>
                </w:tcPr>
                <w:p w14:paraId="5D96072B">
                  <w:pPr>
                    <w:autoSpaceDE w:val="0"/>
                    <w:autoSpaceDN w:val="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w:t>
                  </w:r>
                </w:p>
              </w:tc>
              <w:tc>
                <w:tcPr>
                  <w:tcW w:w="1534" w:type="dxa"/>
                  <w:noWrap w:val="0"/>
                  <w:vAlign w:val="center"/>
                </w:tcPr>
                <w:p w14:paraId="504731BA">
                  <w:pPr>
                    <w:autoSpaceDE w:val="0"/>
                    <w:autoSpaceDN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非承重空心砖</w:t>
                  </w:r>
                </w:p>
              </w:tc>
              <w:tc>
                <w:tcPr>
                  <w:tcW w:w="1922" w:type="dxa"/>
                  <w:noWrap w:val="0"/>
                  <w:vAlign w:val="center"/>
                </w:tcPr>
                <w:p w14:paraId="4B9DBEAC">
                  <w:pPr>
                    <w:autoSpaceDE w:val="0"/>
                    <w:autoSpaceDN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 240x240x115 </w:t>
                  </w:r>
                </w:p>
              </w:tc>
              <w:tc>
                <w:tcPr>
                  <w:tcW w:w="1368" w:type="dxa"/>
                  <w:vMerge w:val="continue"/>
                  <w:noWrap w:val="0"/>
                  <w:vAlign w:val="center"/>
                </w:tcPr>
                <w:p w14:paraId="42BAFA37">
                  <w:pPr>
                    <w:autoSpaceDE w:val="0"/>
                    <w:autoSpaceDN w:val="0"/>
                    <w:jc w:val="center"/>
                    <w:rPr>
                      <w:rFonts w:hint="eastAsia" w:ascii="Times New Roman" w:hAnsi="Times New Roman" w:cs="Times New Roman"/>
                      <w:color w:val="auto"/>
                      <w:szCs w:val="21"/>
                      <w:lang w:val="en-US" w:eastAsia="zh-CN"/>
                    </w:rPr>
                  </w:pPr>
                </w:p>
              </w:tc>
              <w:tc>
                <w:tcPr>
                  <w:tcW w:w="1191" w:type="dxa"/>
                  <w:vMerge w:val="continue"/>
                  <w:noWrap w:val="0"/>
                  <w:vAlign w:val="center"/>
                </w:tcPr>
                <w:p w14:paraId="319D3E06">
                  <w:pPr>
                    <w:autoSpaceDE w:val="0"/>
                    <w:autoSpaceDN w:val="0"/>
                    <w:jc w:val="center"/>
                    <w:rPr>
                      <w:rFonts w:hint="eastAsia" w:ascii="Times New Roman" w:hAnsi="Times New Roman" w:cs="Times New Roman"/>
                      <w:color w:val="auto"/>
                      <w:szCs w:val="21"/>
                      <w:lang w:val="en-US" w:eastAsia="zh-CN"/>
                    </w:rPr>
                  </w:pPr>
                </w:p>
              </w:tc>
              <w:tc>
                <w:tcPr>
                  <w:tcW w:w="1145" w:type="dxa"/>
                  <w:vMerge w:val="continue"/>
                  <w:noWrap w:val="0"/>
                  <w:vAlign w:val="center"/>
                </w:tcPr>
                <w:p w14:paraId="21436F94">
                  <w:pPr>
                    <w:autoSpaceDE w:val="0"/>
                    <w:autoSpaceDN w:val="0"/>
                    <w:jc w:val="center"/>
                    <w:rPr>
                      <w:rFonts w:hint="eastAsia" w:ascii="Times New Roman" w:hAnsi="Times New Roman" w:cs="Times New Roman"/>
                      <w:color w:val="auto"/>
                      <w:szCs w:val="21"/>
                      <w:lang w:val="en-US" w:eastAsia="zh-CN"/>
                    </w:rPr>
                  </w:pPr>
                </w:p>
              </w:tc>
            </w:tr>
          </w:tbl>
          <w:p w14:paraId="36CE644B">
            <w:pPr>
              <w:spacing w:line="360" w:lineRule="auto"/>
              <w:ind w:firstLine="422" w:firstLineChars="200"/>
              <w:jc w:val="center"/>
              <w:rPr>
                <w:rFonts w:hint="eastAsia" w:cs="Times New Roman"/>
                <w:b/>
                <w:bCs/>
                <w:color w:val="auto"/>
                <w:sz w:val="21"/>
                <w:szCs w:val="18"/>
                <w:lang w:eastAsia="zh-CN"/>
              </w:rPr>
            </w:pPr>
          </w:p>
          <w:p w14:paraId="508AB820">
            <w:pPr>
              <w:spacing w:before="156" w:beforeLines="50" w:line="360" w:lineRule="auto"/>
              <w:ind w:firstLine="482" w:firstLineChars="200"/>
              <w:rPr>
                <w:rFonts w:ascii="Times New Roman" w:hAnsi="Times New Roman" w:cs="Times New Roman"/>
                <w:b/>
                <w:bCs/>
                <w:color w:val="auto"/>
                <w:sz w:val="24"/>
              </w:rPr>
            </w:pPr>
            <w:r>
              <w:rPr>
                <w:rFonts w:hint="eastAsia" w:ascii="Times New Roman" w:hAnsi="Times New Roman" w:cs="Times New Roman"/>
                <w:b/>
                <w:bCs/>
                <w:color w:val="auto"/>
                <w:sz w:val="24"/>
              </w:rPr>
              <w:t>4、</w:t>
            </w:r>
            <w:r>
              <w:rPr>
                <w:rFonts w:ascii="Times New Roman" w:hAnsi="Times New Roman" w:cs="Times New Roman"/>
                <w:b/>
                <w:bCs/>
                <w:color w:val="auto"/>
                <w:sz w:val="24"/>
              </w:rPr>
              <w:t>主要生产</w:t>
            </w:r>
            <w:r>
              <w:rPr>
                <w:rFonts w:hint="eastAsia" w:ascii="Times New Roman" w:hAnsi="Times New Roman" w:cs="Times New Roman"/>
                <w:b/>
                <w:bCs/>
                <w:color w:val="auto"/>
                <w:sz w:val="24"/>
              </w:rPr>
              <w:t>设备</w:t>
            </w:r>
          </w:p>
          <w:p w14:paraId="3EAB6C5E">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根据建设单位提供的资料</w:t>
            </w:r>
            <w:r>
              <w:rPr>
                <w:rFonts w:hint="eastAsia" w:ascii="Times New Roman" w:hAnsi="Times New Roman" w:eastAsia="宋体" w:cs="Times New Roman"/>
                <w:color w:val="auto"/>
                <w:sz w:val="24"/>
                <w:lang w:eastAsia="zh-CN"/>
              </w:rPr>
              <w:t>，技改后主要生</w:t>
            </w:r>
            <w:r>
              <w:rPr>
                <w:rFonts w:hint="eastAsia" w:ascii="Times New Roman" w:hAnsi="Times New Roman" w:cs="Times New Roman"/>
                <w:color w:val="auto"/>
                <w:sz w:val="24"/>
                <w:lang w:eastAsia="zh-CN"/>
              </w:rPr>
              <w:t>产设备清单见表</w:t>
            </w:r>
            <w:r>
              <w:rPr>
                <w:rFonts w:hint="eastAsia" w:ascii="Times New Roman" w:hAnsi="Times New Roman" w:cs="Times New Roman"/>
                <w:color w:val="auto"/>
                <w:sz w:val="24"/>
                <w:lang w:val="en-US" w:eastAsia="zh-CN"/>
              </w:rPr>
              <w:t>2.3</w:t>
            </w:r>
            <w:r>
              <w:rPr>
                <w:rFonts w:ascii="Times New Roman" w:hAnsi="Times New Roman" w:cs="Times New Roman"/>
                <w:color w:val="auto"/>
                <w:sz w:val="24"/>
              </w:rPr>
              <w:t>。</w:t>
            </w:r>
          </w:p>
          <w:p w14:paraId="47E426F5">
            <w:pPr>
              <w:spacing w:line="360" w:lineRule="auto"/>
              <w:ind w:firstLine="422" w:firstLineChars="200"/>
              <w:jc w:val="center"/>
              <w:rPr>
                <w:rFonts w:hint="eastAsia" w:cs="Times New Roman"/>
                <w:b/>
                <w:bCs/>
                <w:color w:val="auto"/>
                <w:sz w:val="21"/>
                <w:szCs w:val="18"/>
                <w:lang w:eastAsia="zh-CN"/>
              </w:rPr>
            </w:pPr>
            <w:r>
              <w:rPr>
                <w:rFonts w:hint="eastAsia" w:cs="Times New Roman"/>
                <w:b/>
                <w:bCs/>
                <w:color w:val="auto"/>
                <w:sz w:val="21"/>
                <w:szCs w:val="18"/>
                <w:lang w:eastAsia="zh-CN"/>
              </w:rPr>
              <w:t>表2</w:t>
            </w:r>
            <w:r>
              <w:rPr>
                <w:rFonts w:hint="eastAsia" w:cs="Times New Roman"/>
                <w:b/>
                <w:bCs/>
                <w:color w:val="auto"/>
                <w:sz w:val="21"/>
                <w:szCs w:val="18"/>
                <w:lang w:val="en-US" w:eastAsia="zh-CN"/>
              </w:rPr>
              <w:t>-3</w:t>
            </w:r>
            <w:r>
              <w:rPr>
                <w:rFonts w:hint="eastAsia" w:cs="Times New Roman"/>
                <w:b/>
                <w:bCs/>
                <w:color w:val="auto"/>
                <w:sz w:val="21"/>
                <w:szCs w:val="18"/>
                <w:lang w:eastAsia="zh-CN"/>
              </w:rPr>
              <w:t xml:space="preserve">  主要生</w:t>
            </w:r>
            <w:r>
              <w:rPr>
                <w:rFonts w:hint="eastAsia" w:ascii="Times New Roman" w:hAnsi="Times New Roman" w:eastAsia="宋体" w:cs="Times New Roman"/>
                <w:b/>
                <w:bCs/>
                <w:color w:val="auto"/>
                <w:sz w:val="21"/>
                <w:szCs w:val="18"/>
                <w:lang w:eastAsia="zh-CN"/>
              </w:rPr>
              <w:t>产设备一</w:t>
            </w:r>
            <w:r>
              <w:rPr>
                <w:rFonts w:hint="eastAsia" w:cs="Times New Roman"/>
                <w:b/>
                <w:bCs/>
                <w:color w:val="auto"/>
                <w:sz w:val="21"/>
                <w:szCs w:val="18"/>
                <w:lang w:eastAsia="zh-CN"/>
              </w:rPr>
              <w:t>览表</w:t>
            </w:r>
          </w:p>
          <w:tbl>
            <w:tblPr>
              <w:tblStyle w:val="37"/>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338"/>
              <w:gridCol w:w="1619"/>
              <w:gridCol w:w="1268"/>
              <w:gridCol w:w="1191"/>
              <w:gridCol w:w="1191"/>
              <w:gridCol w:w="973"/>
            </w:tblGrid>
            <w:tr w14:paraId="2470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76" w:type="dxa"/>
                  <w:noWrap w:val="0"/>
                  <w:vAlign w:val="center"/>
                </w:tcPr>
                <w:p w14:paraId="6CD0BEDA">
                  <w:pPr>
                    <w:widowControl w:val="0"/>
                    <w:spacing w:line="240" w:lineRule="auto"/>
                    <w:jc w:val="center"/>
                    <w:textAlignment w:val="baseline"/>
                    <w:rPr>
                      <w:rFonts w:hint="eastAsia" w:ascii="Times New Roman" w:hAnsi="宋体" w:eastAsia="宋体" w:cs="Times New Roman"/>
                      <w:color w:val="auto"/>
                      <w:kern w:val="2"/>
                      <w:sz w:val="21"/>
                      <w:szCs w:val="21"/>
                    </w:rPr>
                  </w:pPr>
                  <w:r>
                    <w:rPr>
                      <w:rFonts w:hint="eastAsia" w:ascii="Times New Roman" w:hAnsi="宋体" w:eastAsia="宋体" w:cs="Times New Roman"/>
                      <w:color w:val="auto"/>
                      <w:kern w:val="2"/>
                      <w:sz w:val="21"/>
                      <w:szCs w:val="21"/>
                    </w:rPr>
                    <w:t>序号</w:t>
                  </w:r>
                </w:p>
              </w:tc>
              <w:tc>
                <w:tcPr>
                  <w:tcW w:w="1338" w:type="dxa"/>
                  <w:noWrap w:val="0"/>
                  <w:vAlign w:val="center"/>
                </w:tcPr>
                <w:p w14:paraId="557448B6">
                  <w:pPr>
                    <w:widowControl w:val="0"/>
                    <w:spacing w:line="240" w:lineRule="auto"/>
                    <w:jc w:val="center"/>
                    <w:textAlignment w:val="baseline"/>
                    <w:rPr>
                      <w:rFonts w:hint="eastAsia" w:ascii="Times New Roman" w:hAnsi="宋体" w:eastAsia="宋体" w:cs="Times New Roman"/>
                      <w:color w:val="auto"/>
                      <w:kern w:val="2"/>
                      <w:sz w:val="21"/>
                      <w:szCs w:val="21"/>
                    </w:rPr>
                  </w:pPr>
                  <w:r>
                    <w:rPr>
                      <w:rFonts w:hint="eastAsia" w:ascii="Times New Roman" w:hAnsi="宋体" w:eastAsia="宋体" w:cs="Times New Roman"/>
                      <w:color w:val="auto"/>
                      <w:kern w:val="2"/>
                      <w:sz w:val="21"/>
                      <w:szCs w:val="21"/>
                    </w:rPr>
                    <w:t>设备名称</w:t>
                  </w:r>
                </w:p>
              </w:tc>
              <w:tc>
                <w:tcPr>
                  <w:tcW w:w="1619" w:type="dxa"/>
                  <w:noWrap w:val="0"/>
                  <w:vAlign w:val="center"/>
                </w:tcPr>
                <w:p w14:paraId="7C1CE801">
                  <w:pPr>
                    <w:widowControl w:val="0"/>
                    <w:spacing w:line="240" w:lineRule="auto"/>
                    <w:jc w:val="center"/>
                    <w:textAlignment w:val="baseline"/>
                    <w:rPr>
                      <w:rFonts w:hint="eastAsia" w:ascii="Times New Roman" w:hAnsi="宋体" w:eastAsia="宋体" w:cs="Times New Roman"/>
                      <w:color w:val="auto"/>
                      <w:kern w:val="2"/>
                      <w:sz w:val="21"/>
                      <w:szCs w:val="21"/>
                    </w:rPr>
                  </w:pPr>
                  <w:r>
                    <w:rPr>
                      <w:rFonts w:hint="eastAsia" w:ascii="Times New Roman" w:hAnsi="宋体" w:eastAsia="宋体" w:cs="Times New Roman"/>
                      <w:color w:val="auto"/>
                      <w:kern w:val="2"/>
                      <w:sz w:val="21"/>
                      <w:szCs w:val="21"/>
                    </w:rPr>
                    <w:t>规格型号</w:t>
                  </w:r>
                </w:p>
              </w:tc>
              <w:tc>
                <w:tcPr>
                  <w:tcW w:w="1268" w:type="dxa"/>
                  <w:noWrap w:val="0"/>
                  <w:vAlign w:val="center"/>
                </w:tcPr>
                <w:p w14:paraId="34AA5229">
                  <w:pPr>
                    <w:widowControl w:val="0"/>
                    <w:spacing w:line="240" w:lineRule="auto"/>
                    <w:jc w:val="center"/>
                    <w:textAlignment w:val="baseline"/>
                    <w:rPr>
                      <w:rFonts w:hint="eastAsia" w:ascii="Times New Roman" w:hAnsi="宋体" w:eastAsia="宋体" w:cs="Times New Roman"/>
                      <w:color w:val="auto"/>
                      <w:kern w:val="2"/>
                      <w:sz w:val="21"/>
                      <w:szCs w:val="21"/>
                      <w:lang w:eastAsia="zh-CN"/>
                    </w:rPr>
                  </w:pPr>
                  <w:r>
                    <w:rPr>
                      <w:rFonts w:hint="eastAsia" w:ascii="Times New Roman" w:hAnsi="宋体" w:eastAsia="宋体" w:cs="Times New Roman"/>
                      <w:color w:val="auto"/>
                      <w:kern w:val="2"/>
                      <w:sz w:val="21"/>
                      <w:szCs w:val="21"/>
                      <w:lang w:eastAsia="zh-CN"/>
                    </w:rPr>
                    <w:t>技改前数量</w:t>
                  </w:r>
                  <w:r>
                    <w:rPr>
                      <w:rFonts w:hint="eastAsia" w:ascii="Times New Roman" w:hAnsi="宋体" w:eastAsia="宋体" w:cs="Times New Roman"/>
                      <w:color w:val="auto"/>
                      <w:kern w:val="2"/>
                      <w:sz w:val="21"/>
                      <w:szCs w:val="21"/>
                    </w:rPr>
                    <w:t>（台/套）</w:t>
                  </w:r>
                </w:p>
              </w:tc>
              <w:tc>
                <w:tcPr>
                  <w:tcW w:w="1191" w:type="dxa"/>
                  <w:noWrap w:val="0"/>
                  <w:vAlign w:val="center"/>
                </w:tcPr>
                <w:p w14:paraId="4672AF77">
                  <w:pPr>
                    <w:widowControl w:val="0"/>
                    <w:spacing w:line="240" w:lineRule="auto"/>
                    <w:jc w:val="center"/>
                    <w:textAlignment w:val="baseline"/>
                    <w:rPr>
                      <w:rFonts w:hint="eastAsia" w:ascii="Times New Roman" w:hAnsi="宋体" w:eastAsia="宋体" w:cs="Times New Roman"/>
                      <w:color w:val="auto"/>
                      <w:kern w:val="2"/>
                      <w:sz w:val="21"/>
                      <w:szCs w:val="21"/>
                    </w:rPr>
                  </w:pPr>
                  <w:r>
                    <w:rPr>
                      <w:rFonts w:hint="eastAsia" w:ascii="Times New Roman" w:hAnsi="宋体" w:eastAsia="宋体" w:cs="Times New Roman"/>
                      <w:color w:val="auto"/>
                      <w:kern w:val="2"/>
                      <w:sz w:val="21"/>
                      <w:szCs w:val="21"/>
                      <w:lang w:eastAsia="zh-CN"/>
                    </w:rPr>
                    <w:t>技改</w:t>
                  </w:r>
                  <w:r>
                    <w:rPr>
                      <w:rFonts w:hint="eastAsia" w:ascii="Times New Roman" w:hAnsi="宋体" w:eastAsia="宋体" w:cs="Times New Roman"/>
                      <w:color w:val="auto"/>
                      <w:kern w:val="2"/>
                      <w:sz w:val="21"/>
                      <w:szCs w:val="21"/>
                    </w:rPr>
                    <w:t>数量（台/套）</w:t>
                  </w:r>
                </w:p>
              </w:tc>
              <w:tc>
                <w:tcPr>
                  <w:tcW w:w="1191" w:type="dxa"/>
                  <w:noWrap w:val="0"/>
                  <w:vAlign w:val="center"/>
                </w:tcPr>
                <w:p w14:paraId="212D0D33">
                  <w:pPr>
                    <w:widowControl w:val="0"/>
                    <w:spacing w:line="240" w:lineRule="auto"/>
                    <w:jc w:val="center"/>
                    <w:textAlignment w:val="baseline"/>
                    <w:rPr>
                      <w:rFonts w:hint="eastAsia" w:ascii="Times New Roman" w:hAnsi="宋体" w:eastAsia="宋体" w:cs="Times New Roman"/>
                      <w:color w:val="auto"/>
                      <w:kern w:val="2"/>
                      <w:sz w:val="21"/>
                      <w:szCs w:val="21"/>
                    </w:rPr>
                  </w:pPr>
                  <w:r>
                    <w:rPr>
                      <w:rFonts w:hint="eastAsia" w:ascii="Times New Roman" w:hAnsi="宋体" w:eastAsia="宋体" w:cs="Times New Roman"/>
                      <w:color w:val="auto"/>
                      <w:kern w:val="2"/>
                      <w:sz w:val="21"/>
                      <w:szCs w:val="21"/>
                      <w:lang w:eastAsia="zh-CN"/>
                    </w:rPr>
                    <w:t>技改后</w:t>
                  </w:r>
                  <w:r>
                    <w:rPr>
                      <w:rFonts w:hint="eastAsia" w:ascii="Times New Roman" w:hAnsi="宋体" w:eastAsia="宋体" w:cs="Times New Roman"/>
                      <w:color w:val="auto"/>
                      <w:kern w:val="2"/>
                      <w:sz w:val="21"/>
                      <w:szCs w:val="21"/>
                    </w:rPr>
                    <w:t>数量（台/套）</w:t>
                  </w:r>
                </w:p>
              </w:tc>
              <w:tc>
                <w:tcPr>
                  <w:tcW w:w="973" w:type="dxa"/>
                  <w:noWrap w:val="0"/>
                  <w:vAlign w:val="center"/>
                </w:tcPr>
                <w:p w14:paraId="424EC4A9">
                  <w:pPr>
                    <w:widowControl w:val="0"/>
                    <w:spacing w:line="240" w:lineRule="auto"/>
                    <w:jc w:val="center"/>
                    <w:textAlignment w:val="baseline"/>
                    <w:rPr>
                      <w:rFonts w:hint="eastAsia" w:ascii="Times New Roman" w:hAnsi="宋体" w:eastAsia="宋体" w:cs="Times New Roman"/>
                      <w:color w:val="auto"/>
                      <w:kern w:val="2"/>
                      <w:sz w:val="21"/>
                      <w:szCs w:val="21"/>
                      <w:lang w:eastAsia="zh-CN"/>
                    </w:rPr>
                  </w:pPr>
                  <w:r>
                    <w:rPr>
                      <w:rFonts w:hint="eastAsia" w:ascii="Times New Roman" w:hAnsi="宋体" w:eastAsia="宋体" w:cs="Times New Roman"/>
                      <w:color w:val="auto"/>
                      <w:kern w:val="2"/>
                      <w:sz w:val="21"/>
                      <w:szCs w:val="21"/>
                      <w:lang w:eastAsia="zh-CN"/>
                    </w:rPr>
                    <w:t>所在位置</w:t>
                  </w:r>
                </w:p>
              </w:tc>
            </w:tr>
            <w:tr w14:paraId="4A2C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76" w:type="dxa"/>
                  <w:noWrap w:val="0"/>
                  <w:vAlign w:val="center"/>
                </w:tcPr>
                <w:p w14:paraId="4D6DF216">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1</w:t>
                  </w:r>
                </w:p>
              </w:tc>
              <w:tc>
                <w:tcPr>
                  <w:tcW w:w="1338" w:type="dxa"/>
                  <w:noWrap w:val="0"/>
                  <w:vAlign w:val="center"/>
                </w:tcPr>
                <w:p w14:paraId="71EF322E">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破碎机</w:t>
                  </w:r>
                </w:p>
              </w:tc>
              <w:tc>
                <w:tcPr>
                  <w:tcW w:w="1619" w:type="dxa"/>
                  <w:noWrap w:val="0"/>
                  <w:vAlign w:val="center"/>
                </w:tcPr>
                <w:p w14:paraId="71FAC839">
                  <w:pPr>
                    <w:widowControl w:val="0"/>
                    <w:spacing w:line="240" w:lineRule="auto"/>
                    <w:jc w:val="center"/>
                    <w:textAlignment w:val="baseline"/>
                    <w:rPr>
                      <w:rFonts w:hint="default" w:hAnsi="宋体" w:eastAsia="宋体"/>
                      <w:color w:val="auto"/>
                      <w:kern w:val="2"/>
                      <w:sz w:val="21"/>
                      <w:szCs w:val="21"/>
                      <w:lang w:val="en-US" w:eastAsia="zh-CN"/>
                    </w:rPr>
                  </w:pPr>
                  <w:r>
                    <w:rPr>
                      <w:rFonts w:hint="eastAsia" w:hAnsi="宋体"/>
                      <w:color w:val="auto"/>
                      <w:kern w:val="2"/>
                      <w:sz w:val="21"/>
                      <w:szCs w:val="21"/>
                      <w:lang w:val="en-US" w:eastAsia="zh-CN"/>
                    </w:rPr>
                    <w:t>/</w:t>
                  </w:r>
                </w:p>
              </w:tc>
              <w:tc>
                <w:tcPr>
                  <w:tcW w:w="1268" w:type="dxa"/>
                  <w:noWrap w:val="0"/>
                  <w:vAlign w:val="center"/>
                </w:tcPr>
                <w:p w14:paraId="6F727A0E">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1</w:t>
                  </w:r>
                </w:p>
              </w:tc>
              <w:tc>
                <w:tcPr>
                  <w:tcW w:w="1191" w:type="dxa"/>
                  <w:noWrap w:val="0"/>
                  <w:vAlign w:val="center"/>
                </w:tcPr>
                <w:p w14:paraId="1971A4E1">
                  <w:pPr>
                    <w:widowControl w:val="0"/>
                    <w:spacing w:line="240" w:lineRule="auto"/>
                    <w:jc w:val="center"/>
                    <w:textAlignment w:val="baseline"/>
                    <w:rPr>
                      <w:rFonts w:hint="eastAsia" w:hAnsi="宋体" w:eastAsia="宋体"/>
                      <w:color w:val="auto"/>
                      <w:kern w:val="2"/>
                      <w:sz w:val="21"/>
                      <w:szCs w:val="21"/>
                      <w:lang w:val="en-US" w:eastAsia="zh-CN"/>
                    </w:rPr>
                  </w:pPr>
                  <w:r>
                    <w:rPr>
                      <w:rFonts w:hint="eastAsia" w:hAnsi="宋体"/>
                      <w:color w:val="auto"/>
                      <w:kern w:val="2"/>
                      <w:sz w:val="21"/>
                      <w:szCs w:val="21"/>
                      <w:lang w:val="en-US" w:eastAsia="zh-CN"/>
                    </w:rPr>
                    <w:t>+1</w:t>
                  </w:r>
                </w:p>
              </w:tc>
              <w:tc>
                <w:tcPr>
                  <w:tcW w:w="1191" w:type="dxa"/>
                  <w:noWrap w:val="0"/>
                  <w:vAlign w:val="center"/>
                </w:tcPr>
                <w:p w14:paraId="523084D8">
                  <w:pPr>
                    <w:widowControl w:val="0"/>
                    <w:spacing w:line="240" w:lineRule="auto"/>
                    <w:jc w:val="center"/>
                    <w:textAlignment w:val="baseline"/>
                    <w:rPr>
                      <w:rFonts w:hint="eastAsia" w:hAnsi="宋体" w:eastAsia="宋体"/>
                      <w:color w:val="auto"/>
                      <w:kern w:val="2"/>
                      <w:sz w:val="21"/>
                      <w:szCs w:val="21"/>
                      <w:lang w:eastAsia="zh-CN"/>
                    </w:rPr>
                  </w:pPr>
                  <w:r>
                    <w:rPr>
                      <w:rFonts w:hint="eastAsia" w:hAnsi="宋体"/>
                      <w:color w:val="auto"/>
                      <w:kern w:val="2"/>
                      <w:sz w:val="21"/>
                      <w:szCs w:val="21"/>
                      <w:lang w:val="en-US" w:eastAsia="zh-CN"/>
                    </w:rPr>
                    <w:t>2</w:t>
                  </w:r>
                </w:p>
              </w:tc>
              <w:tc>
                <w:tcPr>
                  <w:tcW w:w="973" w:type="dxa"/>
                  <w:noWrap w:val="0"/>
                  <w:vAlign w:val="center"/>
                </w:tcPr>
                <w:p w14:paraId="0EC23CA9">
                  <w:pPr>
                    <w:widowControl w:val="0"/>
                    <w:spacing w:line="240" w:lineRule="auto"/>
                    <w:jc w:val="center"/>
                    <w:textAlignment w:val="baseline"/>
                    <w:rPr>
                      <w:rFonts w:hint="eastAsia" w:hAnsi="宋体"/>
                      <w:color w:val="auto"/>
                      <w:kern w:val="2"/>
                      <w:sz w:val="21"/>
                      <w:szCs w:val="21"/>
                      <w:lang w:val="en-US" w:eastAsia="zh-CN"/>
                    </w:rPr>
                  </w:pPr>
                  <w:r>
                    <w:rPr>
                      <w:rFonts w:hint="eastAsia" w:hAnsi="宋体"/>
                      <w:color w:val="auto"/>
                      <w:kern w:val="2"/>
                      <w:sz w:val="21"/>
                      <w:szCs w:val="21"/>
                      <w:lang w:val="en-US" w:eastAsia="zh-CN"/>
                    </w:rPr>
                    <w:t>破碎</w:t>
                  </w:r>
                </w:p>
                <w:p w14:paraId="61F5657E">
                  <w:pPr>
                    <w:widowControl w:val="0"/>
                    <w:spacing w:line="240" w:lineRule="auto"/>
                    <w:jc w:val="center"/>
                    <w:textAlignment w:val="baseline"/>
                    <w:rPr>
                      <w:rFonts w:hint="default" w:hAnsi="宋体" w:eastAsia="宋体"/>
                      <w:color w:val="auto"/>
                      <w:kern w:val="2"/>
                      <w:sz w:val="21"/>
                      <w:szCs w:val="21"/>
                      <w:lang w:val="en-US" w:eastAsia="zh-CN"/>
                    </w:rPr>
                  </w:pPr>
                  <w:r>
                    <w:rPr>
                      <w:rFonts w:hint="eastAsia" w:hAnsi="宋体"/>
                      <w:color w:val="auto"/>
                      <w:kern w:val="2"/>
                      <w:sz w:val="21"/>
                      <w:szCs w:val="21"/>
                      <w:lang w:val="en-US" w:eastAsia="zh-CN"/>
                    </w:rPr>
                    <w:t>车间</w:t>
                  </w:r>
                </w:p>
              </w:tc>
            </w:tr>
            <w:tr w14:paraId="6D65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76" w:type="dxa"/>
                  <w:noWrap w:val="0"/>
                  <w:vAlign w:val="center"/>
                </w:tcPr>
                <w:p w14:paraId="6212A14E">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2</w:t>
                  </w:r>
                </w:p>
              </w:tc>
              <w:tc>
                <w:tcPr>
                  <w:tcW w:w="1338" w:type="dxa"/>
                  <w:noWrap w:val="0"/>
                  <w:vAlign w:val="center"/>
                </w:tcPr>
                <w:p w14:paraId="6EF8B284">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供料机</w:t>
                  </w:r>
                </w:p>
              </w:tc>
              <w:tc>
                <w:tcPr>
                  <w:tcW w:w="1619" w:type="dxa"/>
                  <w:noWrap w:val="0"/>
                  <w:vAlign w:val="center"/>
                </w:tcPr>
                <w:p w14:paraId="19BF2CF3">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PG205</w:t>
                  </w:r>
                </w:p>
              </w:tc>
              <w:tc>
                <w:tcPr>
                  <w:tcW w:w="1268" w:type="dxa"/>
                  <w:noWrap w:val="0"/>
                  <w:vAlign w:val="center"/>
                </w:tcPr>
                <w:p w14:paraId="1D5C1A53">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2</w:t>
                  </w:r>
                </w:p>
              </w:tc>
              <w:tc>
                <w:tcPr>
                  <w:tcW w:w="1191" w:type="dxa"/>
                  <w:noWrap w:val="0"/>
                  <w:vAlign w:val="center"/>
                </w:tcPr>
                <w:p w14:paraId="6556846D">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lang w:val="en-US" w:eastAsia="zh-CN"/>
                    </w:rPr>
                    <w:t>0</w:t>
                  </w:r>
                </w:p>
              </w:tc>
              <w:tc>
                <w:tcPr>
                  <w:tcW w:w="1191" w:type="dxa"/>
                  <w:noWrap w:val="0"/>
                  <w:vAlign w:val="center"/>
                </w:tcPr>
                <w:p w14:paraId="6CC1BC81">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2</w:t>
                  </w:r>
                </w:p>
              </w:tc>
              <w:tc>
                <w:tcPr>
                  <w:tcW w:w="973" w:type="dxa"/>
                  <w:noWrap w:val="0"/>
                  <w:vAlign w:val="center"/>
                </w:tcPr>
                <w:p w14:paraId="12D1CD80">
                  <w:pPr>
                    <w:widowControl w:val="0"/>
                    <w:spacing w:line="240" w:lineRule="auto"/>
                    <w:jc w:val="center"/>
                    <w:textAlignment w:val="baseline"/>
                    <w:rPr>
                      <w:rFonts w:hint="eastAsia" w:hAnsi="宋体"/>
                      <w:color w:val="auto"/>
                      <w:kern w:val="2"/>
                      <w:sz w:val="21"/>
                      <w:szCs w:val="21"/>
                      <w:lang w:val="en-US" w:eastAsia="zh-CN"/>
                    </w:rPr>
                  </w:pPr>
                  <w:r>
                    <w:rPr>
                      <w:rFonts w:hint="eastAsia" w:hAnsi="宋体"/>
                      <w:color w:val="auto"/>
                      <w:kern w:val="2"/>
                      <w:sz w:val="21"/>
                      <w:szCs w:val="21"/>
                      <w:lang w:val="en-US" w:eastAsia="zh-CN"/>
                    </w:rPr>
                    <w:t>破碎</w:t>
                  </w:r>
                </w:p>
                <w:p w14:paraId="54D955DC">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lang w:val="en-US" w:eastAsia="zh-CN"/>
                    </w:rPr>
                    <w:t>车间</w:t>
                  </w:r>
                </w:p>
              </w:tc>
            </w:tr>
            <w:tr w14:paraId="4972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76" w:type="dxa"/>
                  <w:noWrap w:val="0"/>
                  <w:vAlign w:val="center"/>
                </w:tcPr>
                <w:p w14:paraId="71B081ED">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3</w:t>
                  </w:r>
                </w:p>
              </w:tc>
              <w:tc>
                <w:tcPr>
                  <w:tcW w:w="1338" w:type="dxa"/>
                  <w:noWrap w:val="0"/>
                  <w:vAlign w:val="center"/>
                </w:tcPr>
                <w:p w14:paraId="0EF5A282">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供料箱</w:t>
                  </w:r>
                </w:p>
              </w:tc>
              <w:tc>
                <w:tcPr>
                  <w:tcW w:w="1619" w:type="dxa"/>
                  <w:noWrap w:val="0"/>
                  <w:vAlign w:val="center"/>
                </w:tcPr>
                <w:p w14:paraId="269B6EAF">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w:t>
                  </w:r>
                </w:p>
              </w:tc>
              <w:tc>
                <w:tcPr>
                  <w:tcW w:w="1268" w:type="dxa"/>
                  <w:noWrap w:val="0"/>
                  <w:vAlign w:val="center"/>
                </w:tcPr>
                <w:p w14:paraId="01AD68DC">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2</w:t>
                  </w:r>
                </w:p>
              </w:tc>
              <w:tc>
                <w:tcPr>
                  <w:tcW w:w="1191" w:type="dxa"/>
                  <w:noWrap w:val="0"/>
                  <w:vAlign w:val="center"/>
                </w:tcPr>
                <w:p w14:paraId="646CACBE">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lang w:val="en-US" w:eastAsia="zh-CN"/>
                    </w:rPr>
                    <w:t>0</w:t>
                  </w:r>
                </w:p>
              </w:tc>
              <w:tc>
                <w:tcPr>
                  <w:tcW w:w="1191" w:type="dxa"/>
                  <w:noWrap w:val="0"/>
                  <w:vAlign w:val="center"/>
                </w:tcPr>
                <w:p w14:paraId="04DE8E22">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2</w:t>
                  </w:r>
                </w:p>
              </w:tc>
              <w:tc>
                <w:tcPr>
                  <w:tcW w:w="973" w:type="dxa"/>
                  <w:noWrap w:val="0"/>
                  <w:vAlign w:val="center"/>
                </w:tcPr>
                <w:p w14:paraId="0B5AE491">
                  <w:pPr>
                    <w:widowControl w:val="0"/>
                    <w:spacing w:line="240" w:lineRule="auto"/>
                    <w:jc w:val="center"/>
                    <w:textAlignment w:val="baseline"/>
                    <w:rPr>
                      <w:rFonts w:hint="eastAsia" w:hAnsi="宋体"/>
                      <w:color w:val="auto"/>
                      <w:kern w:val="2"/>
                      <w:sz w:val="21"/>
                      <w:szCs w:val="21"/>
                      <w:lang w:val="en-US" w:eastAsia="zh-CN"/>
                    </w:rPr>
                  </w:pPr>
                  <w:r>
                    <w:rPr>
                      <w:rFonts w:hint="eastAsia" w:hAnsi="宋体"/>
                      <w:color w:val="auto"/>
                      <w:kern w:val="2"/>
                      <w:sz w:val="21"/>
                      <w:szCs w:val="21"/>
                      <w:lang w:val="en-US" w:eastAsia="zh-CN"/>
                    </w:rPr>
                    <w:t>破碎</w:t>
                  </w:r>
                </w:p>
                <w:p w14:paraId="634BEC53">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lang w:val="en-US" w:eastAsia="zh-CN"/>
                    </w:rPr>
                    <w:t>车间</w:t>
                  </w:r>
                </w:p>
              </w:tc>
            </w:tr>
            <w:tr w14:paraId="6338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76" w:type="dxa"/>
                  <w:noWrap w:val="0"/>
                  <w:vAlign w:val="center"/>
                </w:tcPr>
                <w:p w14:paraId="7A0B5545">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4</w:t>
                  </w:r>
                </w:p>
              </w:tc>
              <w:tc>
                <w:tcPr>
                  <w:tcW w:w="1338" w:type="dxa"/>
                  <w:noWrap w:val="0"/>
                  <w:vAlign w:val="center"/>
                </w:tcPr>
                <w:p w14:paraId="11C3E5EF">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筛分机</w:t>
                  </w:r>
                </w:p>
              </w:tc>
              <w:tc>
                <w:tcPr>
                  <w:tcW w:w="1619" w:type="dxa"/>
                  <w:noWrap w:val="0"/>
                  <w:vAlign w:val="center"/>
                </w:tcPr>
                <w:p w14:paraId="56BCBB0D">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w:t>
                  </w:r>
                </w:p>
              </w:tc>
              <w:tc>
                <w:tcPr>
                  <w:tcW w:w="1268" w:type="dxa"/>
                  <w:noWrap w:val="0"/>
                  <w:vAlign w:val="center"/>
                </w:tcPr>
                <w:p w14:paraId="4142EAA1">
                  <w:pPr>
                    <w:widowControl w:val="0"/>
                    <w:spacing w:line="240" w:lineRule="auto"/>
                    <w:jc w:val="center"/>
                    <w:textAlignment w:val="baseline"/>
                    <w:rPr>
                      <w:rFonts w:hint="eastAsia" w:hAnsi="宋体" w:eastAsia="宋体"/>
                      <w:color w:val="auto"/>
                      <w:kern w:val="2"/>
                      <w:sz w:val="21"/>
                      <w:szCs w:val="21"/>
                      <w:lang w:eastAsia="zh-CN"/>
                    </w:rPr>
                  </w:pPr>
                  <w:r>
                    <w:rPr>
                      <w:rFonts w:hint="eastAsia" w:hAnsi="宋体"/>
                      <w:color w:val="auto"/>
                      <w:kern w:val="2"/>
                      <w:sz w:val="21"/>
                      <w:szCs w:val="21"/>
                      <w:lang w:val="en-US" w:eastAsia="zh-CN"/>
                    </w:rPr>
                    <w:t>1</w:t>
                  </w:r>
                </w:p>
              </w:tc>
              <w:tc>
                <w:tcPr>
                  <w:tcW w:w="1191" w:type="dxa"/>
                  <w:noWrap w:val="0"/>
                  <w:vAlign w:val="center"/>
                </w:tcPr>
                <w:p w14:paraId="1B8AC7F1">
                  <w:pPr>
                    <w:widowControl w:val="0"/>
                    <w:spacing w:line="240" w:lineRule="auto"/>
                    <w:jc w:val="center"/>
                    <w:textAlignment w:val="baseline"/>
                    <w:rPr>
                      <w:rFonts w:hint="default" w:hAnsi="宋体"/>
                      <w:color w:val="auto"/>
                      <w:kern w:val="2"/>
                      <w:sz w:val="21"/>
                      <w:szCs w:val="21"/>
                      <w:lang w:val="en-US"/>
                    </w:rPr>
                  </w:pPr>
                  <w:r>
                    <w:rPr>
                      <w:rFonts w:hint="eastAsia" w:hAnsi="宋体"/>
                      <w:color w:val="auto"/>
                      <w:kern w:val="2"/>
                      <w:sz w:val="21"/>
                      <w:szCs w:val="21"/>
                      <w:lang w:val="en-US" w:eastAsia="zh-CN"/>
                    </w:rPr>
                    <w:t>+1</w:t>
                  </w:r>
                </w:p>
              </w:tc>
              <w:tc>
                <w:tcPr>
                  <w:tcW w:w="1191" w:type="dxa"/>
                  <w:noWrap w:val="0"/>
                  <w:vAlign w:val="center"/>
                </w:tcPr>
                <w:p w14:paraId="16D426F2">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2</w:t>
                  </w:r>
                </w:p>
              </w:tc>
              <w:tc>
                <w:tcPr>
                  <w:tcW w:w="973" w:type="dxa"/>
                  <w:noWrap w:val="0"/>
                  <w:vAlign w:val="center"/>
                </w:tcPr>
                <w:p w14:paraId="3605FB33">
                  <w:pPr>
                    <w:widowControl w:val="0"/>
                    <w:spacing w:line="240" w:lineRule="auto"/>
                    <w:jc w:val="center"/>
                    <w:textAlignment w:val="baseline"/>
                    <w:rPr>
                      <w:rFonts w:hint="eastAsia" w:hAnsi="宋体"/>
                      <w:color w:val="auto"/>
                      <w:kern w:val="2"/>
                      <w:sz w:val="21"/>
                      <w:szCs w:val="21"/>
                      <w:lang w:val="en-US" w:eastAsia="zh-CN"/>
                    </w:rPr>
                  </w:pPr>
                  <w:r>
                    <w:rPr>
                      <w:rFonts w:hint="eastAsia" w:hAnsi="宋体"/>
                      <w:color w:val="auto"/>
                      <w:kern w:val="2"/>
                      <w:sz w:val="21"/>
                      <w:szCs w:val="21"/>
                      <w:lang w:val="en-US" w:eastAsia="zh-CN"/>
                    </w:rPr>
                    <w:t>破碎</w:t>
                  </w:r>
                </w:p>
                <w:p w14:paraId="3725A735">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lang w:val="en-US" w:eastAsia="zh-CN"/>
                    </w:rPr>
                    <w:t>车间</w:t>
                  </w:r>
                </w:p>
              </w:tc>
            </w:tr>
            <w:tr w14:paraId="5F8B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76" w:type="dxa"/>
                  <w:noWrap w:val="0"/>
                  <w:vAlign w:val="center"/>
                </w:tcPr>
                <w:p w14:paraId="61A3E88D">
                  <w:pPr>
                    <w:widowControl w:val="0"/>
                    <w:spacing w:line="240" w:lineRule="auto"/>
                    <w:jc w:val="center"/>
                    <w:textAlignment w:val="baseline"/>
                    <w:rPr>
                      <w:rFonts w:hint="default" w:hAnsi="宋体" w:eastAsia="宋体"/>
                      <w:color w:val="auto"/>
                      <w:kern w:val="2"/>
                      <w:sz w:val="21"/>
                      <w:szCs w:val="21"/>
                      <w:lang w:val="en-US" w:eastAsia="zh-CN"/>
                    </w:rPr>
                  </w:pPr>
                  <w:r>
                    <w:rPr>
                      <w:rFonts w:hint="eastAsia" w:hAnsi="宋体"/>
                      <w:color w:val="auto"/>
                      <w:kern w:val="2"/>
                      <w:sz w:val="21"/>
                      <w:szCs w:val="21"/>
                      <w:lang w:val="en-US" w:eastAsia="zh-CN"/>
                    </w:rPr>
                    <w:t>5</w:t>
                  </w:r>
                </w:p>
              </w:tc>
              <w:tc>
                <w:tcPr>
                  <w:tcW w:w="1338" w:type="dxa"/>
                  <w:noWrap w:val="0"/>
                  <w:vAlign w:val="center"/>
                </w:tcPr>
                <w:p w14:paraId="6B07F352">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真空挤出机</w:t>
                  </w:r>
                </w:p>
              </w:tc>
              <w:tc>
                <w:tcPr>
                  <w:tcW w:w="1619" w:type="dxa"/>
                  <w:noWrap w:val="0"/>
                  <w:vAlign w:val="center"/>
                </w:tcPr>
                <w:p w14:paraId="3E65E7FE">
                  <w:pPr>
                    <w:widowControl w:val="0"/>
                    <w:spacing w:line="240" w:lineRule="auto"/>
                    <w:jc w:val="center"/>
                    <w:textAlignment w:val="baseline"/>
                    <w:rPr>
                      <w:rFonts w:hint="default" w:hAnsi="宋体" w:eastAsia="宋体"/>
                      <w:color w:val="auto"/>
                      <w:kern w:val="2"/>
                      <w:sz w:val="21"/>
                      <w:szCs w:val="21"/>
                      <w:lang w:val="en-US" w:eastAsia="zh-CN"/>
                    </w:rPr>
                  </w:pPr>
                  <w:r>
                    <w:rPr>
                      <w:rFonts w:hint="eastAsia" w:hAnsi="宋体"/>
                      <w:color w:val="auto"/>
                      <w:kern w:val="2"/>
                      <w:sz w:val="21"/>
                      <w:szCs w:val="21"/>
                      <w:lang w:val="en-US" w:eastAsia="zh-CN"/>
                    </w:rPr>
                    <w:t>120</w:t>
                  </w:r>
                </w:p>
              </w:tc>
              <w:tc>
                <w:tcPr>
                  <w:tcW w:w="1268" w:type="dxa"/>
                  <w:noWrap w:val="0"/>
                  <w:vAlign w:val="center"/>
                </w:tcPr>
                <w:p w14:paraId="22ED969E">
                  <w:pPr>
                    <w:widowControl w:val="0"/>
                    <w:spacing w:line="240" w:lineRule="auto"/>
                    <w:jc w:val="center"/>
                    <w:textAlignment w:val="baseline"/>
                    <w:rPr>
                      <w:rFonts w:hAnsi="宋体"/>
                      <w:color w:val="auto"/>
                      <w:kern w:val="2"/>
                      <w:sz w:val="21"/>
                      <w:szCs w:val="21"/>
                    </w:rPr>
                  </w:pPr>
                  <w:r>
                    <w:rPr>
                      <w:rFonts w:hint="eastAsia" w:hAnsi="宋体"/>
                      <w:color w:val="auto"/>
                      <w:kern w:val="2"/>
                      <w:sz w:val="21"/>
                      <w:szCs w:val="21"/>
                    </w:rPr>
                    <w:t>1</w:t>
                  </w:r>
                </w:p>
              </w:tc>
              <w:tc>
                <w:tcPr>
                  <w:tcW w:w="1191" w:type="dxa"/>
                  <w:noWrap w:val="0"/>
                  <w:vAlign w:val="center"/>
                </w:tcPr>
                <w:p w14:paraId="25A01A08">
                  <w:pPr>
                    <w:widowControl w:val="0"/>
                    <w:spacing w:line="240" w:lineRule="auto"/>
                    <w:jc w:val="center"/>
                    <w:textAlignment w:val="baseline"/>
                    <w:rPr>
                      <w:rFonts w:hAnsi="宋体"/>
                      <w:color w:val="auto"/>
                      <w:kern w:val="2"/>
                      <w:sz w:val="21"/>
                      <w:szCs w:val="21"/>
                    </w:rPr>
                  </w:pPr>
                  <w:r>
                    <w:rPr>
                      <w:rFonts w:hint="eastAsia" w:hAnsi="宋体"/>
                      <w:color w:val="auto"/>
                      <w:kern w:val="2"/>
                      <w:sz w:val="21"/>
                      <w:szCs w:val="21"/>
                      <w:lang w:val="en-US" w:eastAsia="zh-CN"/>
                    </w:rPr>
                    <w:t>+1</w:t>
                  </w:r>
                </w:p>
              </w:tc>
              <w:tc>
                <w:tcPr>
                  <w:tcW w:w="1191" w:type="dxa"/>
                  <w:noWrap w:val="0"/>
                  <w:vAlign w:val="center"/>
                </w:tcPr>
                <w:p w14:paraId="7F96F26B">
                  <w:pPr>
                    <w:widowControl w:val="0"/>
                    <w:spacing w:line="240" w:lineRule="auto"/>
                    <w:jc w:val="center"/>
                    <w:textAlignment w:val="baseline"/>
                    <w:rPr>
                      <w:rFonts w:hint="eastAsia" w:hAnsi="宋体" w:eastAsia="宋体"/>
                      <w:color w:val="auto"/>
                      <w:kern w:val="2"/>
                      <w:sz w:val="21"/>
                      <w:szCs w:val="21"/>
                      <w:lang w:eastAsia="zh-CN"/>
                    </w:rPr>
                  </w:pPr>
                  <w:r>
                    <w:rPr>
                      <w:rFonts w:hint="eastAsia" w:hAnsi="宋体"/>
                      <w:color w:val="auto"/>
                      <w:kern w:val="2"/>
                      <w:sz w:val="21"/>
                      <w:szCs w:val="21"/>
                      <w:lang w:val="en-US" w:eastAsia="zh-CN"/>
                    </w:rPr>
                    <w:t>2</w:t>
                  </w:r>
                </w:p>
              </w:tc>
              <w:tc>
                <w:tcPr>
                  <w:tcW w:w="973" w:type="dxa"/>
                  <w:noWrap w:val="0"/>
                  <w:vAlign w:val="center"/>
                </w:tcPr>
                <w:p w14:paraId="1C503276">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lang w:val="en-US" w:eastAsia="zh-CN"/>
                    </w:rPr>
                    <w:t>生产</w:t>
                  </w:r>
                  <w:r>
                    <w:rPr>
                      <w:rFonts w:hint="eastAsia" w:hAnsi="宋体"/>
                      <w:color w:val="auto"/>
                      <w:kern w:val="2"/>
                      <w:sz w:val="21"/>
                      <w:szCs w:val="21"/>
                      <w:lang w:val="en-US" w:eastAsia="zh-CN"/>
                    </w:rPr>
                    <w:br w:type="textWrapping"/>
                  </w:r>
                  <w:r>
                    <w:rPr>
                      <w:rFonts w:hint="eastAsia" w:hAnsi="宋体"/>
                      <w:color w:val="auto"/>
                      <w:kern w:val="2"/>
                      <w:sz w:val="21"/>
                      <w:szCs w:val="21"/>
                      <w:lang w:val="en-US" w:eastAsia="zh-CN"/>
                    </w:rPr>
                    <w:t>车间</w:t>
                  </w:r>
                </w:p>
              </w:tc>
            </w:tr>
            <w:tr w14:paraId="61AE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76" w:type="dxa"/>
                  <w:noWrap w:val="0"/>
                  <w:vAlign w:val="center"/>
                </w:tcPr>
                <w:p w14:paraId="331F6668">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6</w:t>
                  </w:r>
                </w:p>
              </w:tc>
              <w:tc>
                <w:tcPr>
                  <w:tcW w:w="1338" w:type="dxa"/>
                  <w:noWrap w:val="0"/>
                  <w:vAlign w:val="center"/>
                </w:tcPr>
                <w:p w14:paraId="422CFF46">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搅拌机</w:t>
                  </w:r>
                </w:p>
              </w:tc>
              <w:tc>
                <w:tcPr>
                  <w:tcW w:w="1619" w:type="dxa"/>
                  <w:noWrap w:val="0"/>
                  <w:vAlign w:val="center"/>
                </w:tcPr>
                <w:p w14:paraId="1265C21D">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w:t>
                  </w:r>
                </w:p>
              </w:tc>
              <w:tc>
                <w:tcPr>
                  <w:tcW w:w="1268" w:type="dxa"/>
                  <w:noWrap w:val="0"/>
                  <w:vAlign w:val="center"/>
                </w:tcPr>
                <w:p w14:paraId="79FB320B">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2</w:t>
                  </w:r>
                </w:p>
              </w:tc>
              <w:tc>
                <w:tcPr>
                  <w:tcW w:w="1191" w:type="dxa"/>
                  <w:noWrap w:val="0"/>
                  <w:vAlign w:val="center"/>
                </w:tcPr>
                <w:p w14:paraId="01C0B682">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lang w:val="en-US" w:eastAsia="zh-CN"/>
                    </w:rPr>
                    <w:t>+2</w:t>
                  </w:r>
                </w:p>
              </w:tc>
              <w:tc>
                <w:tcPr>
                  <w:tcW w:w="1191" w:type="dxa"/>
                  <w:noWrap w:val="0"/>
                  <w:vAlign w:val="center"/>
                </w:tcPr>
                <w:p w14:paraId="113615F2">
                  <w:pPr>
                    <w:widowControl w:val="0"/>
                    <w:spacing w:line="240" w:lineRule="auto"/>
                    <w:jc w:val="center"/>
                    <w:textAlignment w:val="baseline"/>
                    <w:rPr>
                      <w:rFonts w:hint="eastAsia" w:hAnsi="宋体" w:eastAsia="宋体"/>
                      <w:color w:val="auto"/>
                      <w:kern w:val="2"/>
                      <w:sz w:val="21"/>
                      <w:szCs w:val="21"/>
                      <w:lang w:eastAsia="zh-CN"/>
                    </w:rPr>
                  </w:pPr>
                  <w:r>
                    <w:rPr>
                      <w:rFonts w:hint="eastAsia" w:hAnsi="宋体"/>
                      <w:color w:val="auto"/>
                      <w:kern w:val="2"/>
                      <w:sz w:val="21"/>
                      <w:szCs w:val="21"/>
                      <w:lang w:val="en-US" w:eastAsia="zh-CN"/>
                    </w:rPr>
                    <w:t>4</w:t>
                  </w:r>
                </w:p>
              </w:tc>
              <w:tc>
                <w:tcPr>
                  <w:tcW w:w="973" w:type="dxa"/>
                  <w:noWrap w:val="0"/>
                  <w:vAlign w:val="center"/>
                </w:tcPr>
                <w:p w14:paraId="11886A70">
                  <w:pPr>
                    <w:widowControl w:val="0"/>
                    <w:spacing w:line="240" w:lineRule="auto"/>
                    <w:jc w:val="center"/>
                    <w:textAlignment w:val="baseline"/>
                    <w:rPr>
                      <w:rFonts w:hint="eastAsia" w:hAnsi="宋体"/>
                      <w:color w:val="auto"/>
                      <w:kern w:val="2"/>
                      <w:sz w:val="21"/>
                      <w:szCs w:val="21"/>
                      <w:lang w:val="en-US" w:eastAsia="zh-CN"/>
                    </w:rPr>
                  </w:pPr>
                  <w:r>
                    <w:rPr>
                      <w:rFonts w:hint="eastAsia" w:hAnsi="宋体"/>
                      <w:color w:val="auto"/>
                      <w:kern w:val="2"/>
                      <w:sz w:val="21"/>
                      <w:szCs w:val="21"/>
                      <w:lang w:val="en-US" w:eastAsia="zh-CN"/>
                    </w:rPr>
                    <w:t>生产</w:t>
                  </w:r>
                </w:p>
                <w:p w14:paraId="2AFBC013">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lang w:val="en-US" w:eastAsia="zh-CN"/>
                    </w:rPr>
                    <w:t>车间</w:t>
                  </w:r>
                </w:p>
              </w:tc>
            </w:tr>
            <w:tr w14:paraId="72D6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76" w:type="dxa"/>
                  <w:noWrap w:val="0"/>
                  <w:vAlign w:val="center"/>
                </w:tcPr>
                <w:p w14:paraId="763777CD">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7</w:t>
                  </w:r>
                </w:p>
              </w:tc>
              <w:tc>
                <w:tcPr>
                  <w:tcW w:w="1338" w:type="dxa"/>
                  <w:noWrap w:val="0"/>
                  <w:vAlign w:val="center"/>
                </w:tcPr>
                <w:p w14:paraId="5EC2F7EE">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切条切坯机</w:t>
                  </w:r>
                </w:p>
              </w:tc>
              <w:tc>
                <w:tcPr>
                  <w:tcW w:w="1619" w:type="dxa"/>
                  <w:noWrap w:val="0"/>
                  <w:vAlign w:val="center"/>
                </w:tcPr>
                <w:p w14:paraId="72225F73">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w:t>
                  </w:r>
                </w:p>
              </w:tc>
              <w:tc>
                <w:tcPr>
                  <w:tcW w:w="1268" w:type="dxa"/>
                  <w:noWrap w:val="0"/>
                  <w:vAlign w:val="center"/>
                </w:tcPr>
                <w:p w14:paraId="4F104C56">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1</w:t>
                  </w:r>
                </w:p>
              </w:tc>
              <w:tc>
                <w:tcPr>
                  <w:tcW w:w="1191" w:type="dxa"/>
                  <w:noWrap w:val="0"/>
                  <w:vAlign w:val="center"/>
                </w:tcPr>
                <w:p w14:paraId="003E1058">
                  <w:pPr>
                    <w:widowControl w:val="0"/>
                    <w:spacing w:line="240" w:lineRule="auto"/>
                    <w:jc w:val="center"/>
                    <w:textAlignment w:val="baseline"/>
                    <w:rPr>
                      <w:rFonts w:hint="default" w:hAnsi="宋体"/>
                      <w:color w:val="auto"/>
                      <w:kern w:val="2"/>
                      <w:sz w:val="21"/>
                      <w:szCs w:val="21"/>
                      <w:lang w:val="en-US"/>
                    </w:rPr>
                  </w:pPr>
                  <w:r>
                    <w:rPr>
                      <w:rFonts w:hint="eastAsia" w:hAnsi="宋体"/>
                      <w:color w:val="auto"/>
                      <w:kern w:val="2"/>
                      <w:sz w:val="21"/>
                      <w:szCs w:val="21"/>
                      <w:lang w:val="en-US" w:eastAsia="zh-CN"/>
                    </w:rPr>
                    <w:t>+1</w:t>
                  </w:r>
                </w:p>
              </w:tc>
              <w:tc>
                <w:tcPr>
                  <w:tcW w:w="1191" w:type="dxa"/>
                  <w:noWrap w:val="0"/>
                  <w:vAlign w:val="center"/>
                </w:tcPr>
                <w:p w14:paraId="42FA98C1">
                  <w:pPr>
                    <w:widowControl w:val="0"/>
                    <w:spacing w:line="240" w:lineRule="auto"/>
                    <w:jc w:val="center"/>
                    <w:textAlignment w:val="baseline"/>
                    <w:rPr>
                      <w:rFonts w:hint="eastAsia" w:hAnsi="宋体" w:eastAsia="宋体"/>
                      <w:color w:val="auto"/>
                      <w:kern w:val="2"/>
                      <w:sz w:val="21"/>
                      <w:szCs w:val="21"/>
                      <w:lang w:eastAsia="zh-CN"/>
                    </w:rPr>
                  </w:pPr>
                  <w:r>
                    <w:rPr>
                      <w:rFonts w:hint="eastAsia" w:hAnsi="宋体"/>
                      <w:color w:val="auto"/>
                      <w:kern w:val="2"/>
                      <w:sz w:val="21"/>
                      <w:szCs w:val="21"/>
                      <w:lang w:val="en-US" w:eastAsia="zh-CN"/>
                    </w:rPr>
                    <w:t>2</w:t>
                  </w:r>
                </w:p>
              </w:tc>
              <w:tc>
                <w:tcPr>
                  <w:tcW w:w="973" w:type="dxa"/>
                  <w:noWrap w:val="0"/>
                  <w:vAlign w:val="center"/>
                </w:tcPr>
                <w:p w14:paraId="333C4A63">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lang w:val="en-US" w:eastAsia="zh-CN"/>
                    </w:rPr>
                    <w:t>生产</w:t>
                  </w:r>
                  <w:r>
                    <w:rPr>
                      <w:rFonts w:hint="eastAsia" w:hAnsi="宋体"/>
                      <w:color w:val="auto"/>
                      <w:kern w:val="2"/>
                      <w:sz w:val="21"/>
                      <w:szCs w:val="21"/>
                      <w:lang w:val="en-US" w:eastAsia="zh-CN"/>
                    </w:rPr>
                    <w:br w:type="textWrapping"/>
                  </w:r>
                  <w:r>
                    <w:rPr>
                      <w:rFonts w:hint="eastAsia" w:hAnsi="宋体"/>
                      <w:color w:val="auto"/>
                      <w:kern w:val="2"/>
                      <w:sz w:val="21"/>
                      <w:szCs w:val="21"/>
                      <w:lang w:val="en-US" w:eastAsia="zh-CN"/>
                    </w:rPr>
                    <w:t>车间</w:t>
                  </w:r>
                </w:p>
              </w:tc>
            </w:tr>
            <w:tr w14:paraId="3FEA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76" w:type="dxa"/>
                  <w:noWrap w:val="0"/>
                  <w:vAlign w:val="center"/>
                </w:tcPr>
                <w:p w14:paraId="6F4462C3">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8</w:t>
                  </w:r>
                </w:p>
              </w:tc>
              <w:tc>
                <w:tcPr>
                  <w:tcW w:w="1338" w:type="dxa"/>
                  <w:noWrap w:val="0"/>
                  <w:vAlign w:val="center"/>
                </w:tcPr>
                <w:p w14:paraId="45FA55AC">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码坯机</w:t>
                  </w:r>
                </w:p>
              </w:tc>
              <w:tc>
                <w:tcPr>
                  <w:tcW w:w="1619" w:type="dxa"/>
                  <w:noWrap w:val="0"/>
                  <w:vAlign w:val="center"/>
                </w:tcPr>
                <w:p w14:paraId="666D77A0">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w:t>
                  </w:r>
                </w:p>
              </w:tc>
              <w:tc>
                <w:tcPr>
                  <w:tcW w:w="1268" w:type="dxa"/>
                  <w:noWrap w:val="0"/>
                  <w:vAlign w:val="center"/>
                </w:tcPr>
                <w:p w14:paraId="35A5738F">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1</w:t>
                  </w:r>
                </w:p>
              </w:tc>
              <w:tc>
                <w:tcPr>
                  <w:tcW w:w="1191" w:type="dxa"/>
                  <w:noWrap w:val="0"/>
                  <w:vAlign w:val="center"/>
                </w:tcPr>
                <w:p w14:paraId="1093B3F0">
                  <w:pPr>
                    <w:widowControl w:val="0"/>
                    <w:spacing w:line="240" w:lineRule="auto"/>
                    <w:jc w:val="center"/>
                    <w:textAlignment w:val="baseline"/>
                    <w:rPr>
                      <w:rFonts w:hint="default" w:hAnsi="宋体"/>
                      <w:color w:val="auto"/>
                      <w:kern w:val="2"/>
                      <w:sz w:val="21"/>
                      <w:szCs w:val="21"/>
                      <w:lang w:val="en-US"/>
                    </w:rPr>
                  </w:pPr>
                  <w:r>
                    <w:rPr>
                      <w:rFonts w:hint="eastAsia" w:hAnsi="宋体"/>
                      <w:color w:val="auto"/>
                      <w:kern w:val="2"/>
                      <w:sz w:val="21"/>
                      <w:szCs w:val="21"/>
                      <w:lang w:val="en-US" w:eastAsia="zh-CN"/>
                    </w:rPr>
                    <w:t>+1</w:t>
                  </w:r>
                </w:p>
              </w:tc>
              <w:tc>
                <w:tcPr>
                  <w:tcW w:w="1191" w:type="dxa"/>
                  <w:noWrap w:val="0"/>
                  <w:vAlign w:val="center"/>
                </w:tcPr>
                <w:p w14:paraId="07189C57">
                  <w:pPr>
                    <w:widowControl w:val="0"/>
                    <w:spacing w:line="240" w:lineRule="auto"/>
                    <w:jc w:val="center"/>
                    <w:textAlignment w:val="baseline"/>
                    <w:rPr>
                      <w:rFonts w:hint="eastAsia" w:hAnsi="宋体" w:eastAsia="宋体"/>
                      <w:color w:val="auto"/>
                      <w:kern w:val="2"/>
                      <w:sz w:val="21"/>
                      <w:szCs w:val="21"/>
                      <w:lang w:eastAsia="zh-CN"/>
                    </w:rPr>
                  </w:pPr>
                  <w:r>
                    <w:rPr>
                      <w:rFonts w:hint="eastAsia" w:hAnsi="宋体"/>
                      <w:color w:val="auto"/>
                      <w:kern w:val="2"/>
                      <w:sz w:val="21"/>
                      <w:szCs w:val="21"/>
                      <w:lang w:val="en-US" w:eastAsia="zh-CN"/>
                    </w:rPr>
                    <w:t>2</w:t>
                  </w:r>
                </w:p>
              </w:tc>
              <w:tc>
                <w:tcPr>
                  <w:tcW w:w="973" w:type="dxa"/>
                  <w:noWrap w:val="0"/>
                  <w:vAlign w:val="center"/>
                </w:tcPr>
                <w:p w14:paraId="1D8F41E7">
                  <w:pPr>
                    <w:widowControl w:val="0"/>
                    <w:spacing w:line="240" w:lineRule="auto"/>
                    <w:jc w:val="center"/>
                    <w:textAlignment w:val="baseline"/>
                    <w:rPr>
                      <w:rFonts w:hint="eastAsia" w:hAnsi="宋体"/>
                      <w:color w:val="auto"/>
                      <w:kern w:val="2"/>
                      <w:sz w:val="21"/>
                      <w:szCs w:val="21"/>
                      <w:lang w:val="en-US" w:eastAsia="zh-CN"/>
                    </w:rPr>
                  </w:pPr>
                  <w:r>
                    <w:rPr>
                      <w:rFonts w:hint="eastAsia" w:hAnsi="宋体"/>
                      <w:color w:val="auto"/>
                      <w:kern w:val="2"/>
                      <w:sz w:val="21"/>
                      <w:szCs w:val="21"/>
                      <w:lang w:val="en-US" w:eastAsia="zh-CN"/>
                    </w:rPr>
                    <w:t>生产</w:t>
                  </w:r>
                </w:p>
                <w:p w14:paraId="61A9EA28">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lang w:val="en-US" w:eastAsia="zh-CN"/>
                    </w:rPr>
                    <w:t>车间</w:t>
                  </w:r>
                </w:p>
              </w:tc>
            </w:tr>
            <w:tr w14:paraId="61A6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76" w:type="dxa"/>
                  <w:noWrap w:val="0"/>
                  <w:vAlign w:val="center"/>
                </w:tcPr>
                <w:p w14:paraId="72FB4035">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9</w:t>
                  </w:r>
                </w:p>
              </w:tc>
              <w:tc>
                <w:tcPr>
                  <w:tcW w:w="1338" w:type="dxa"/>
                  <w:noWrap w:val="0"/>
                  <w:vAlign w:val="center"/>
                </w:tcPr>
                <w:p w14:paraId="7FF371D7">
                  <w:pPr>
                    <w:widowControl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隧道窑</w:t>
                  </w:r>
                </w:p>
              </w:tc>
              <w:tc>
                <w:tcPr>
                  <w:tcW w:w="1619" w:type="dxa"/>
                  <w:noWrap w:val="0"/>
                  <w:vAlign w:val="center"/>
                </w:tcPr>
                <w:p w14:paraId="5BD8AB70">
                  <w:pPr>
                    <w:widowControl w:val="0"/>
                    <w:spacing w:line="240" w:lineRule="auto"/>
                    <w:jc w:val="center"/>
                    <w:textAlignment w:val="baseline"/>
                    <w:rPr>
                      <w:rFonts w:hint="eastAsia" w:hAnsi="宋体" w:eastAsia="宋体"/>
                      <w:color w:val="auto"/>
                      <w:kern w:val="2"/>
                      <w:sz w:val="21"/>
                      <w:szCs w:val="21"/>
                      <w:lang w:eastAsia="zh-CN"/>
                    </w:rPr>
                  </w:pPr>
                  <w:r>
                    <w:rPr>
                      <w:rFonts w:hint="eastAsia" w:hAnsi="宋体"/>
                      <w:color w:val="auto"/>
                      <w:kern w:val="2"/>
                      <w:sz w:val="21"/>
                      <w:szCs w:val="21"/>
                    </w:rPr>
                    <w:t>宽度</w:t>
                  </w:r>
                  <w:r>
                    <w:rPr>
                      <w:rFonts w:hint="eastAsia" w:hAnsi="宋体"/>
                      <w:color w:val="auto"/>
                      <w:kern w:val="2"/>
                      <w:sz w:val="21"/>
                      <w:szCs w:val="21"/>
                      <w:lang w:val="en-US" w:eastAsia="zh-CN"/>
                    </w:rPr>
                    <w:t>3.9</w:t>
                  </w:r>
                  <w:r>
                    <w:rPr>
                      <w:rFonts w:hint="eastAsia" w:hAnsi="宋体"/>
                      <w:color w:val="auto"/>
                      <w:kern w:val="2"/>
                      <w:sz w:val="21"/>
                      <w:szCs w:val="21"/>
                    </w:rPr>
                    <w:t>m，长1</w:t>
                  </w:r>
                  <w:r>
                    <w:rPr>
                      <w:rFonts w:hint="eastAsia" w:hAnsi="宋体"/>
                      <w:color w:val="auto"/>
                      <w:kern w:val="2"/>
                      <w:sz w:val="21"/>
                      <w:szCs w:val="21"/>
                      <w:lang w:val="en-US" w:eastAsia="zh-CN"/>
                    </w:rPr>
                    <w:t>08</w:t>
                  </w:r>
                  <w:r>
                    <w:rPr>
                      <w:rFonts w:hint="eastAsia" w:hAnsi="宋体"/>
                      <w:color w:val="auto"/>
                      <w:kern w:val="2"/>
                      <w:sz w:val="21"/>
                      <w:szCs w:val="21"/>
                    </w:rPr>
                    <w:t>m</w:t>
                  </w:r>
                  <w:r>
                    <w:rPr>
                      <w:rFonts w:hint="eastAsia" w:hAnsi="宋体"/>
                      <w:color w:val="auto"/>
                      <w:kern w:val="2"/>
                      <w:sz w:val="21"/>
                      <w:szCs w:val="21"/>
                    </w:rPr>
                    <w:br w:type="textWrapping"/>
                  </w:r>
                  <w:r>
                    <w:rPr>
                      <w:rFonts w:hint="eastAsia" w:cs="Times New Roman"/>
                      <w:color w:val="auto"/>
                      <w:lang w:val="en-US" w:eastAsia="zh-CN"/>
                    </w:rPr>
                    <w:t>（两烧一烘</w:t>
                  </w:r>
                  <w:r>
                    <w:rPr>
                      <w:rFonts w:hint="eastAsia" w:hAnsi="宋体"/>
                      <w:color w:val="auto"/>
                      <w:kern w:val="2"/>
                      <w:sz w:val="21"/>
                      <w:szCs w:val="21"/>
                      <w:lang w:eastAsia="zh-CN"/>
                    </w:rPr>
                    <w:t>）</w:t>
                  </w:r>
                </w:p>
              </w:tc>
              <w:tc>
                <w:tcPr>
                  <w:tcW w:w="1268" w:type="dxa"/>
                  <w:noWrap w:val="0"/>
                  <w:vAlign w:val="center"/>
                </w:tcPr>
                <w:p w14:paraId="0DDE2645">
                  <w:pPr>
                    <w:widowControl w:val="0"/>
                    <w:spacing w:line="240" w:lineRule="auto"/>
                    <w:jc w:val="center"/>
                    <w:textAlignment w:val="baseline"/>
                    <w:rPr>
                      <w:rFonts w:hint="default" w:hAnsi="宋体"/>
                      <w:color w:val="auto"/>
                      <w:kern w:val="2"/>
                      <w:sz w:val="21"/>
                      <w:szCs w:val="21"/>
                      <w:lang w:val="en-US" w:eastAsia="zh-CN"/>
                    </w:rPr>
                  </w:pPr>
                  <w:r>
                    <w:rPr>
                      <w:rFonts w:hint="eastAsia" w:hAnsi="宋体"/>
                      <w:color w:val="auto"/>
                      <w:kern w:val="2"/>
                      <w:sz w:val="21"/>
                      <w:szCs w:val="21"/>
                      <w:lang w:val="en-US" w:eastAsia="zh-CN"/>
                    </w:rPr>
                    <w:t>3</w:t>
                  </w:r>
                </w:p>
              </w:tc>
              <w:tc>
                <w:tcPr>
                  <w:tcW w:w="1191" w:type="dxa"/>
                  <w:noWrap w:val="0"/>
                  <w:vAlign w:val="center"/>
                </w:tcPr>
                <w:p w14:paraId="5E91DF25">
                  <w:pPr>
                    <w:widowControl w:val="0"/>
                    <w:spacing w:line="240" w:lineRule="auto"/>
                    <w:jc w:val="center"/>
                    <w:textAlignment w:val="baseline"/>
                    <w:rPr>
                      <w:rFonts w:hint="default" w:hAnsi="宋体"/>
                      <w:color w:val="auto"/>
                      <w:kern w:val="2"/>
                      <w:sz w:val="21"/>
                      <w:szCs w:val="21"/>
                      <w:lang w:val="en-US" w:eastAsia="zh-CN"/>
                    </w:rPr>
                  </w:pPr>
                  <w:r>
                    <w:rPr>
                      <w:rFonts w:hint="eastAsia" w:hAnsi="宋体"/>
                      <w:color w:val="auto"/>
                      <w:kern w:val="2"/>
                      <w:sz w:val="21"/>
                      <w:szCs w:val="21"/>
                      <w:lang w:val="en-US" w:eastAsia="zh-CN"/>
                    </w:rPr>
                    <w:t>0</w:t>
                  </w:r>
                </w:p>
              </w:tc>
              <w:tc>
                <w:tcPr>
                  <w:tcW w:w="1191" w:type="dxa"/>
                  <w:noWrap w:val="0"/>
                  <w:vAlign w:val="center"/>
                </w:tcPr>
                <w:p w14:paraId="5C95FB3F">
                  <w:pPr>
                    <w:widowControl w:val="0"/>
                    <w:spacing w:line="240" w:lineRule="auto"/>
                    <w:jc w:val="center"/>
                    <w:textAlignment w:val="baseline"/>
                    <w:rPr>
                      <w:rFonts w:hint="default" w:hAnsi="宋体"/>
                      <w:color w:val="auto"/>
                      <w:kern w:val="2"/>
                      <w:sz w:val="21"/>
                      <w:szCs w:val="21"/>
                      <w:lang w:val="en-US" w:eastAsia="zh-CN"/>
                    </w:rPr>
                  </w:pPr>
                  <w:r>
                    <w:rPr>
                      <w:rFonts w:hint="eastAsia" w:hAnsi="宋体"/>
                      <w:color w:val="auto"/>
                      <w:kern w:val="2"/>
                      <w:sz w:val="21"/>
                      <w:szCs w:val="21"/>
                      <w:lang w:val="en-US" w:eastAsia="zh-CN"/>
                    </w:rPr>
                    <w:t>3</w:t>
                  </w:r>
                </w:p>
              </w:tc>
              <w:tc>
                <w:tcPr>
                  <w:tcW w:w="973" w:type="dxa"/>
                  <w:noWrap w:val="0"/>
                  <w:vAlign w:val="center"/>
                </w:tcPr>
                <w:p w14:paraId="46F716BB">
                  <w:pPr>
                    <w:widowControl w:val="0"/>
                    <w:spacing w:line="240" w:lineRule="auto"/>
                    <w:jc w:val="center"/>
                    <w:textAlignment w:val="baseline"/>
                    <w:rPr>
                      <w:rFonts w:hint="eastAsia" w:hAnsi="宋体" w:eastAsia="宋体"/>
                      <w:color w:val="auto"/>
                      <w:kern w:val="2"/>
                      <w:sz w:val="21"/>
                      <w:szCs w:val="21"/>
                      <w:lang w:val="en-US" w:eastAsia="zh-CN"/>
                    </w:rPr>
                  </w:pPr>
                  <w:r>
                    <w:rPr>
                      <w:rFonts w:hint="eastAsia" w:hAnsi="宋体"/>
                      <w:color w:val="auto"/>
                      <w:kern w:val="2"/>
                      <w:sz w:val="21"/>
                      <w:szCs w:val="21"/>
                      <w:lang w:val="en-US" w:eastAsia="zh-CN"/>
                    </w:rPr>
                    <w:t>窑体</w:t>
                  </w:r>
                </w:p>
              </w:tc>
            </w:tr>
            <w:tr w14:paraId="0D32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76" w:type="dxa"/>
                  <w:noWrap w:val="0"/>
                  <w:vAlign w:val="center"/>
                </w:tcPr>
                <w:p w14:paraId="65F00A49">
                  <w:pPr>
                    <w:widowControl w:val="0"/>
                    <w:spacing w:line="240" w:lineRule="auto"/>
                    <w:jc w:val="center"/>
                    <w:textAlignment w:val="baseline"/>
                    <w:rPr>
                      <w:rFonts w:hint="default" w:hAnsi="宋体" w:eastAsia="宋体"/>
                      <w:color w:val="auto"/>
                      <w:kern w:val="2"/>
                      <w:sz w:val="21"/>
                      <w:szCs w:val="21"/>
                      <w:lang w:val="en-US" w:eastAsia="zh-CN"/>
                    </w:rPr>
                  </w:pPr>
                  <w:r>
                    <w:rPr>
                      <w:rFonts w:hint="eastAsia" w:hAnsi="宋体"/>
                      <w:color w:val="auto"/>
                      <w:kern w:val="2"/>
                      <w:sz w:val="21"/>
                      <w:szCs w:val="21"/>
                    </w:rPr>
                    <w:t>10</w:t>
                  </w:r>
                </w:p>
              </w:tc>
              <w:tc>
                <w:tcPr>
                  <w:tcW w:w="1338" w:type="dxa"/>
                  <w:noWrap w:val="0"/>
                  <w:vAlign w:val="center"/>
                </w:tcPr>
                <w:p w14:paraId="7B7EC0E1">
                  <w:pPr>
                    <w:widowControl w:val="0"/>
                    <w:spacing w:line="240" w:lineRule="auto"/>
                    <w:jc w:val="center"/>
                    <w:textAlignment w:val="baseline"/>
                    <w:rPr>
                      <w:rFonts w:hint="eastAsia" w:hAnsi="宋体"/>
                      <w:color w:val="auto"/>
                      <w:kern w:val="2"/>
                      <w:sz w:val="21"/>
                      <w:szCs w:val="21"/>
                      <w:highlight w:val="none"/>
                      <w:lang w:eastAsia="zh-CN"/>
                    </w:rPr>
                  </w:pPr>
                  <w:r>
                    <w:rPr>
                      <w:rFonts w:hint="eastAsia" w:hAnsi="宋体"/>
                      <w:color w:val="auto"/>
                      <w:kern w:val="2"/>
                      <w:sz w:val="21"/>
                      <w:szCs w:val="21"/>
                      <w:highlight w:val="none"/>
                      <w:lang w:eastAsia="zh-CN"/>
                    </w:rPr>
                    <w:t>真空皮带压滤机</w:t>
                  </w:r>
                </w:p>
              </w:tc>
              <w:tc>
                <w:tcPr>
                  <w:tcW w:w="1619" w:type="dxa"/>
                  <w:noWrap w:val="0"/>
                  <w:vAlign w:val="center"/>
                </w:tcPr>
                <w:p w14:paraId="7B265CDE">
                  <w:pPr>
                    <w:widowControl w:val="0"/>
                    <w:spacing w:line="240" w:lineRule="auto"/>
                    <w:jc w:val="center"/>
                    <w:textAlignment w:val="baseline"/>
                    <w:rPr>
                      <w:rFonts w:hint="default" w:hAnsi="宋体" w:eastAsia="宋体"/>
                      <w:color w:val="auto"/>
                      <w:kern w:val="2"/>
                      <w:sz w:val="21"/>
                      <w:szCs w:val="21"/>
                      <w:highlight w:val="red"/>
                      <w:lang w:val="en-US" w:eastAsia="zh-CN"/>
                    </w:rPr>
                  </w:pPr>
                  <w:r>
                    <w:rPr>
                      <w:rFonts w:hint="eastAsia" w:hAnsi="宋体"/>
                      <w:color w:val="auto"/>
                      <w:kern w:val="2"/>
                      <w:sz w:val="21"/>
                      <w:szCs w:val="21"/>
                      <w:highlight w:val="none"/>
                      <w:lang w:val="en-US" w:eastAsia="zh-CN"/>
                    </w:rPr>
                    <w:t>DU3-500</w:t>
                  </w:r>
                </w:p>
              </w:tc>
              <w:tc>
                <w:tcPr>
                  <w:tcW w:w="1268" w:type="dxa"/>
                  <w:noWrap w:val="0"/>
                  <w:vAlign w:val="center"/>
                </w:tcPr>
                <w:p w14:paraId="1F0C6A4C">
                  <w:pPr>
                    <w:widowControl w:val="0"/>
                    <w:spacing w:line="240" w:lineRule="auto"/>
                    <w:jc w:val="center"/>
                    <w:textAlignment w:val="baseline"/>
                    <w:rPr>
                      <w:rFonts w:hint="eastAsia" w:hAnsi="宋体" w:eastAsia="宋体"/>
                      <w:color w:val="auto"/>
                      <w:kern w:val="2"/>
                      <w:sz w:val="21"/>
                      <w:szCs w:val="21"/>
                      <w:lang w:val="en-US" w:eastAsia="zh-CN"/>
                    </w:rPr>
                  </w:pPr>
                  <w:r>
                    <w:rPr>
                      <w:rFonts w:hint="eastAsia" w:hAnsi="宋体"/>
                      <w:color w:val="auto"/>
                      <w:kern w:val="2"/>
                      <w:sz w:val="21"/>
                      <w:szCs w:val="21"/>
                      <w:lang w:val="en-US" w:eastAsia="zh-CN"/>
                    </w:rPr>
                    <w:t>0</w:t>
                  </w:r>
                </w:p>
              </w:tc>
              <w:tc>
                <w:tcPr>
                  <w:tcW w:w="1191" w:type="dxa"/>
                  <w:noWrap w:val="0"/>
                  <w:vAlign w:val="center"/>
                </w:tcPr>
                <w:p w14:paraId="31EDCD45">
                  <w:pPr>
                    <w:widowControl w:val="0"/>
                    <w:spacing w:line="240" w:lineRule="auto"/>
                    <w:jc w:val="center"/>
                    <w:textAlignment w:val="baseline"/>
                    <w:rPr>
                      <w:rFonts w:hint="default" w:hAnsi="宋体"/>
                      <w:color w:val="auto"/>
                      <w:kern w:val="2"/>
                      <w:sz w:val="21"/>
                      <w:szCs w:val="21"/>
                      <w:lang w:val="en-US" w:eastAsia="zh-CN"/>
                    </w:rPr>
                  </w:pPr>
                  <w:r>
                    <w:rPr>
                      <w:rFonts w:hint="eastAsia" w:hAnsi="宋体"/>
                      <w:color w:val="auto"/>
                      <w:kern w:val="2"/>
                      <w:sz w:val="21"/>
                      <w:szCs w:val="21"/>
                      <w:lang w:val="en-US" w:eastAsia="zh-CN"/>
                    </w:rPr>
                    <w:t>1</w:t>
                  </w:r>
                </w:p>
              </w:tc>
              <w:tc>
                <w:tcPr>
                  <w:tcW w:w="1191" w:type="dxa"/>
                  <w:noWrap w:val="0"/>
                  <w:vAlign w:val="center"/>
                </w:tcPr>
                <w:p w14:paraId="0ADFA92B">
                  <w:pPr>
                    <w:widowControl w:val="0"/>
                    <w:spacing w:line="240" w:lineRule="auto"/>
                    <w:jc w:val="center"/>
                    <w:textAlignment w:val="baseline"/>
                    <w:rPr>
                      <w:rFonts w:hint="eastAsia" w:hAnsi="宋体" w:eastAsia="宋体"/>
                      <w:color w:val="auto"/>
                      <w:kern w:val="2"/>
                      <w:sz w:val="21"/>
                      <w:szCs w:val="21"/>
                      <w:lang w:val="en-US" w:eastAsia="zh-CN"/>
                    </w:rPr>
                  </w:pPr>
                  <w:r>
                    <w:rPr>
                      <w:rFonts w:hint="eastAsia" w:hAnsi="宋体"/>
                      <w:color w:val="auto"/>
                      <w:kern w:val="2"/>
                      <w:sz w:val="21"/>
                      <w:szCs w:val="21"/>
                      <w:lang w:val="en-US" w:eastAsia="zh-CN"/>
                    </w:rPr>
                    <w:t>1</w:t>
                  </w:r>
                </w:p>
              </w:tc>
              <w:tc>
                <w:tcPr>
                  <w:tcW w:w="973" w:type="dxa"/>
                  <w:noWrap w:val="0"/>
                  <w:vAlign w:val="center"/>
                </w:tcPr>
                <w:p w14:paraId="4923FF93">
                  <w:pPr>
                    <w:widowControl w:val="0"/>
                    <w:spacing w:line="240" w:lineRule="auto"/>
                    <w:jc w:val="center"/>
                    <w:textAlignment w:val="baseline"/>
                    <w:rPr>
                      <w:rFonts w:hint="eastAsia" w:hAnsi="宋体"/>
                      <w:color w:val="auto"/>
                      <w:kern w:val="2"/>
                      <w:sz w:val="21"/>
                      <w:szCs w:val="21"/>
                      <w:lang w:eastAsia="zh-CN"/>
                    </w:rPr>
                  </w:pPr>
                  <w:r>
                    <w:rPr>
                      <w:rFonts w:hint="eastAsia" w:hAnsi="宋体"/>
                      <w:color w:val="auto"/>
                      <w:kern w:val="2"/>
                      <w:sz w:val="21"/>
                      <w:szCs w:val="21"/>
                      <w:lang w:eastAsia="zh-CN"/>
                    </w:rPr>
                    <w:t>环保</w:t>
                  </w:r>
                  <w:r>
                    <w:rPr>
                      <w:rFonts w:hint="eastAsia" w:hAnsi="宋体"/>
                      <w:color w:val="auto"/>
                      <w:kern w:val="2"/>
                      <w:sz w:val="21"/>
                      <w:szCs w:val="21"/>
                      <w:lang w:eastAsia="zh-CN"/>
                    </w:rPr>
                    <w:br w:type="textWrapping"/>
                  </w:r>
                  <w:r>
                    <w:rPr>
                      <w:rFonts w:hint="eastAsia" w:hAnsi="宋体"/>
                      <w:color w:val="auto"/>
                      <w:kern w:val="2"/>
                      <w:sz w:val="21"/>
                      <w:szCs w:val="21"/>
                      <w:lang w:eastAsia="zh-CN"/>
                    </w:rPr>
                    <w:t>设备</w:t>
                  </w:r>
                </w:p>
              </w:tc>
            </w:tr>
            <w:tr w14:paraId="483E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76" w:type="dxa"/>
                  <w:noWrap w:val="0"/>
                  <w:vAlign w:val="center"/>
                </w:tcPr>
                <w:p w14:paraId="5A932126">
                  <w:pPr>
                    <w:widowControl w:val="0"/>
                    <w:spacing w:line="240" w:lineRule="auto"/>
                    <w:jc w:val="center"/>
                    <w:textAlignment w:val="baseline"/>
                    <w:rPr>
                      <w:rFonts w:hint="default" w:hAnsi="宋体"/>
                      <w:color w:val="auto"/>
                      <w:kern w:val="2"/>
                      <w:sz w:val="21"/>
                      <w:szCs w:val="21"/>
                      <w:lang w:val="en-US" w:eastAsia="zh-CN"/>
                    </w:rPr>
                  </w:pPr>
                  <w:r>
                    <w:rPr>
                      <w:rFonts w:hint="eastAsia" w:hAnsi="宋体"/>
                      <w:color w:val="auto"/>
                      <w:kern w:val="2"/>
                      <w:sz w:val="21"/>
                      <w:szCs w:val="21"/>
                      <w:lang w:val="en-US" w:eastAsia="zh-CN"/>
                    </w:rPr>
                    <w:t>11</w:t>
                  </w:r>
                </w:p>
              </w:tc>
              <w:tc>
                <w:tcPr>
                  <w:tcW w:w="1338" w:type="dxa"/>
                  <w:noWrap w:val="0"/>
                  <w:vAlign w:val="center"/>
                </w:tcPr>
                <w:p w14:paraId="0F56258A">
                  <w:pPr>
                    <w:widowControl w:val="0"/>
                    <w:spacing w:line="240" w:lineRule="auto"/>
                    <w:jc w:val="center"/>
                    <w:textAlignment w:val="baseline"/>
                    <w:rPr>
                      <w:rFonts w:hint="eastAsia" w:hAnsi="宋体"/>
                      <w:color w:val="auto"/>
                      <w:kern w:val="2"/>
                      <w:sz w:val="21"/>
                      <w:szCs w:val="21"/>
                      <w:highlight w:val="none"/>
                      <w:lang w:eastAsia="zh-CN"/>
                    </w:rPr>
                  </w:pPr>
                  <w:r>
                    <w:rPr>
                      <w:rFonts w:hint="eastAsia" w:hAnsi="宋体"/>
                      <w:color w:val="auto"/>
                      <w:kern w:val="2"/>
                      <w:sz w:val="21"/>
                      <w:szCs w:val="21"/>
                      <w:highlight w:val="none"/>
                      <w:lang w:eastAsia="zh-CN"/>
                    </w:rPr>
                    <w:t>石灰罐及自动加灰设备</w:t>
                  </w:r>
                </w:p>
              </w:tc>
              <w:tc>
                <w:tcPr>
                  <w:tcW w:w="1619" w:type="dxa"/>
                  <w:noWrap w:val="0"/>
                  <w:vAlign w:val="center"/>
                </w:tcPr>
                <w:p w14:paraId="2598A5B2">
                  <w:pPr>
                    <w:widowControl w:val="0"/>
                    <w:spacing w:line="240" w:lineRule="auto"/>
                    <w:jc w:val="center"/>
                    <w:textAlignment w:val="baseline"/>
                    <w:rPr>
                      <w:rFonts w:hint="default" w:hAnsi="宋体" w:eastAsia="宋体"/>
                      <w:color w:val="auto"/>
                      <w:kern w:val="2"/>
                      <w:sz w:val="21"/>
                      <w:szCs w:val="21"/>
                      <w:highlight w:val="red"/>
                      <w:lang w:val="en-US" w:eastAsia="zh-CN"/>
                    </w:rPr>
                  </w:pPr>
                  <w:r>
                    <w:rPr>
                      <w:rFonts w:hint="eastAsia" w:hAnsi="宋体"/>
                      <w:color w:val="auto"/>
                      <w:kern w:val="2"/>
                      <w:sz w:val="21"/>
                      <w:szCs w:val="21"/>
                      <w:highlight w:val="none"/>
                      <w:lang w:val="en-US" w:eastAsia="zh-CN"/>
                    </w:rPr>
                    <w:t xml:space="preserve">60T </w:t>
                  </w:r>
                </w:p>
              </w:tc>
              <w:tc>
                <w:tcPr>
                  <w:tcW w:w="1268" w:type="dxa"/>
                  <w:noWrap w:val="0"/>
                  <w:vAlign w:val="center"/>
                </w:tcPr>
                <w:p w14:paraId="171F0EF5">
                  <w:pPr>
                    <w:widowControl w:val="0"/>
                    <w:spacing w:line="240" w:lineRule="auto"/>
                    <w:jc w:val="center"/>
                    <w:textAlignment w:val="baseline"/>
                    <w:rPr>
                      <w:rFonts w:hint="default" w:hAnsi="宋体"/>
                      <w:color w:val="auto"/>
                      <w:kern w:val="2"/>
                      <w:sz w:val="21"/>
                      <w:szCs w:val="21"/>
                      <w:lang w:val="en-US" w:eastAsia="zh-CN"/>
                    </w:rPr>
                  </w:pPr>
                  <w:r>
                    <w:rPr>
                      <w:rFonts w:hint="eastAsia" w:hAnsi="宋体"/>
                      <w:color w:val="auto"/>
                      <w:kern w:val="2"/>
                      <w:sz w:val="21"/>
                      <w:szCs w:val="21"/>
                      <w:lang w:val="en-US" w:eastAsia="zh-CN"/>
                    </w:rPr>
                    <w:t>0</w:t>
                  </w:r>
                </w:p>
              </w:tc>
              <w:tc>
                <w:tcPr>
                  <w:tcW w:w="1191" w:type="dxa"/>
                  <w:noWrap w:val="0"/>
                  <w:vAlign w:val="center"/>
                </w:tcPr>
                <w:p w14:paraId="790300F1">
                  <w:pPr>
                    <w:widowControl w:val="0"/>
                    <w:spacing w:line="240" w:lineRule="auto"/>
                    <w:jc w:val="center"/>
                    <w:textAlignment w:val="baseline"/>
                    <w:rPr>
                      <w:rFonts w:hint="default" w:hAnsi="宋体"/>
                      <w:color w:val="auto"/>
                      <w:kern w:val="2"/>
                      <w:sz w:val="21"/>
                      <w:szCs w:val="21"/>
                      <w:lang w:val="en-US" w:eastAsia="zh-CN"/>
                    </w:rPr>
                  </w:pPr>
                  <w:r>
                    <w:rPr>
                      <w:rFonts w:hint="eastAsia" w:hAnsi="宋体"/>
                      <w:color w:val="auto"/>
                      <w:kern w:val="2"/>
                      <w:sz w:val="21"/>
                      <w:szCs w:val="21"/>
                      <w:lang w:val="en-US" w:eastAsia="zh-CN"/>
                    </w:rPr>
                    <w:t>1</w:t>
                  </w:r>
                </w:p>
              </w:tc>
              <w:tc>
                <w:tcPr>
                  <w:tcW w:w="1191" w:type="dxa"/>
                  <w:noWrap w:val="0"/>
                  <w:vAlign w:val="center"/>
                </w:tcPr>
                <w:p w14:paraId="2E7F32DD">
                  <w:pPr>
                    <w:widowControl w:val="0"/>
                    <w:spacing w:line="240" w:lineRule="auto"/>
                    <w:jc w:val="center"/>
                    <w:textAlignment w:val="baseline"/>
                    <w:rPr>
                      <w:rFonts w:hint="default" w:hAnsi="宋体"/>
                      <w:color w:val="auto"/>
                      <w:kern w:val="2"/>
                      <w:sz w:val="21"/>
                      <w:szCs w:val="21"/>
                      <w:lang w:val="en-US" w:eastAsia="zh-CN"/>
                    </w:rPr>
                  </w:pPr>
                  <w:r>
                    <w:rPr>
                      <w:rFonts w:hint="eastAsia" w:hAnsi="宋体"/>
                      <w:color w:val="auto"/>
                      <w:kern w:val="2"/>
                      <w:sz w:val="21"/>
                      <w:szCs w:val="21"/>
                      <w:lang w:val="en-US" w:eastAsia="zh-CN"/>
                    </w:rPr>
                    <w:t>1</w:t>
                  </w:r>
                </w:p>
              </w:tc>
              <w:tc>
                <w:tcPr>
                  <w:tcW w:w="973" w:type="dxa"/>
                  <w:noWrap w:val="0"/>
                  <w:vAlign w:val="center"/>
                </w:tcPr>
                <w:p w14:paraId="13DC8A35">
                  <w:pPr>
                    <w:widowControl w:val="0"/>
                    <w:spacing w:line="240" w:lineRule="auto"/>
                    <w:jc w:val="center"/>
                    <w:textAlignment w:val="baseline"/>
                    <w:rPr>
                      <w:rFonts w:hint="eastAsia" w:hAnsi="宋体"/>
                      <w:color w:val="auto"/>
                      <w:kern w:val="2"/>
                      <w:sz w:val="21"/>
                      <w:szCs w:val="21"/>
                      <w:lang w:eastAsia="zh-CN"/>
                    </w:rPr>
                  </w:pPr>
                  <w:r>
                    <w:rPr>
                      <w:rFonts w:hint="eastAsia" w:hAnsi="宋体"/>
                      <w:color w:val="auto"/>
                      <w:kern w:val="2"/>
                      <w:sz w:val="21"/>
                      <w:szCs w:val="21"/>
                      <w:lang w:eastAsia="zh-CN"/>
                    </w:rPr>
                    <w:t>环保</w:t>
                  </w:r>
                  <w:r>
                    <w:rPr>
                      <w:rFonts w:hint="eastAsia" w:hAnsi="宋体"/>
                      <w:color w:val="auto"/>
                      <w:kern w:val="2"/>
                      <w:sz w:val="21"/>
                      <w:szCs w:val="21"/>
                      <w:lang w:eastAsia="zh-CN"/>
                    </w:rPr>
                    <w:br w:type="textWrapping"/>
                  </w:r>
                  <w:r>
                    <w:rPr>
                      <w:rFonts w:hint="eastAsia" w:hAnsi="宋体"/>
                      <w:color w:val="auto"/>
                      <w:kern w:val="2"/>
                      <w:sz w:val="21"/>
                      <w:szCs w:val="21"/>
                      <w:lang w:eastAsia="zh-CN"/>
                    </w:rPr>
                    <w:t>设备</w:t>
                  </w:r>
                </w:p>
              </w:tc>
            </w:tr>
            <w:tr w14:paraId="1089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76" w:type="dxa"/>
                  <w:noWrap w:val="0"/>
                  <w:vAlign w:val="center"/>
                </w:tcPr>
                <w:p w14:paraId="27C3BBBB">
                  <w:pPr>
                    <w:widowControl w:val="0"/>
                    <w:spacing w:line="240" w:lineRule="auto"/>
                    <w:jc w:val="center"/>
                    <w:textAlignment w:val="baseline"/>
                    <w:rPr>
                      <w:rFonts w:hint="default" w:hAnsi="宋体"/>
                      <w:color w:val="auto"/>
                      <w:kern w:val="2"/>
                      <w:sz w:val="21"/>
                      <w:szCs w:val="21"/>
                      <w:lang w:val="en-US" w:eastAsia="zh-CN"/>
                    </w:rPr>
                  </w:pPr>
                  <w:r>
                    <w:rPr>
                      <w:rFonts w:hint="eastAsia" w:hAnsi="宋体"/>
                      <w:color w:val="auto"/>
                      <w:kern w:val="2"/>
                      <w:sz w:val="21"/>
                      <w:szCs w:val="21"/>
                      <w:lang w:val="en-US" w:eastAsia="zh-CN"/>
                    </w:rPr>
                    <w:t>12</w:t>
                  </w:r>
                </w:p>
              </w:tc>
              <w:tc>
                <w:tcPr>
                  <w:tcW w:w="1338" w:type="dxa"/>
                  <w:noWrap w:val="0"/>
                  <w:vAlign w:val="center"/>
                </w:tcPr>
                <w:p w14:paraId="0C1E56A8">
                  <w:pPr>
                    <w:widowControl w:val="0"/>
                    <w:spacing w:line="240" w:lineRule="auto"/>
                    <w:jc w:val="center"/>
                    <w:textAlignment w:val="baseline"/>
                    <w:rPr>
                      <w:rFonts w:hint="eastAsia" w:hAnsi="宋体"/>
                      <w:color w:val="auto"/>
                      <w:kern w:val="2"/>
                      <w:sz w:val="21"/>
                      <w:szCs w:val="21"/>
                      <w:highlight w:val="none"/>
                      <w:lang w:eastAsia="zh-CN"/>
                    </w:rPr>
                  </w:pPr>
                  <w:r>
                    <w:rPr>
                      <w:rFonts w:hint="eastAsia" w:hAnsi="宋体"/>
                      <w:color w:val="auto"/>
                      <w:kern w:val="2"/>
                      <w:sz w:val="21"/>
                      <w:szCs w:val="21"/>
                      <w:highlight w:val="none"/>
                      <w:lang w:eastAsia="zh-CN"/>
                    </w:rPr>
                    <w:t>成品半自动打包机</w:t>
                  </w:r>
                </w:p>
              </w:tc>
              <w:tc>
                <w:tcPr>
                  <w:tcW w:w="1619" w:type="dxa"/>
                  <w:noWrap w:val="0"/>
                  <w:vAlign w:val="center"/>
                </w:tcPr>
                <w:p w14:paraId="7A173B32">
                  <w:pPr>
                    <w:widowControl w:val="0"/>
                    <w:spacing w:line="240" w:lineRule="auto"/>
                    <w:jc w:val="center"/>
                    <w:textAlignment w:val="baseline"/>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w:t>
                  </w:r>
                </w:p>
              </w:tc>
              <w:tc>
                <w:tcPr>
                  <w:tcW w:w="1268" w:type="dxa"/>
                  <w:noWrap w:val="0"/>
                  <w:vAlign w:val="center"/>
                </w:tcPr>
                <w:p w14:paraId="4F623B59">
                  <w:pPr>
                    <w:widowControl w:val="0"/>
                    <w:spacing w:line="240" w:lineRule="auto"/>
                    <w:jc w:val="center"/>
                    <w:textAlignment w:val="baseline"/>
                    <w:rPr>
                      <w:rFonts w:hint="eastAsia" w:hAnsi="宋体"/>
                      <w:color w:val="auto"/>
                      <w:kern w:val="2"/>
                      <w:sz w:val="21"/>
                      <w:szCs w:val="21"/>
                      <w:lang w:val="en-US" w:eastAsia="zh-CN"/>
                    </w:rPr>
                  </w:pPr>
                  <w:r>
                    <w:rPr>
                      <w:rFonts w:hint="eastAsia" w:hAnsi="宋体"/>
                      <w:color w:val="auto"/>
                      <w:kern w:val="2"/>
                      <w:sz w:val="21"/>
                      <w:szCs w:val="21"/>
                      <w:lang w:val="en-US" w:eastAsia="zh-CN"/>
                    </w:rPr>
                    <w:t>0</w:t>
                  </w:r>
                </w:p>
              </w:tc>
              <w:tc>
                <w:tcPr>
                  <w:tcW w:w="1191" w:type="dxa"/>
                  <w:noWrap w:val="0"/>
                  <w:vAlign w:val="center"/>
                </w:tcPr>
                <w:p w14:paraId="5D798945">
                  <w:pPr>
                    <w:widowControl w:val="0"/>
                    <w:spacing w:line="240" w:lineRule="auto"/>
                    <w:jc w:val="center"/>
                    <w:textAlignment w:val="baseline"/>
                    <w:rPr>
                      <w:rFonts w:hint="eastAsia" w:hAnsi="宋体"/>
                      <w:color w:val="auto"/>
                      <w:kern w:val="2"/>
                      <w:sz w:val="21"/>
                      <w:szCs w:val="21"/>
                      <w:lang w:val="en-US" w:eastAsia="zh-CN"/>
                    </w:rPr>
                  </w:pPr>
                  <w:r>
                    <w:rPr>
                      <w:rFonts w:hint="eastAsia" w:hAnsi="宋体"/>
                      <w:color w:val="auto"/>
                      <w:kern w:val="2"/>
                      <w:sz w:val="21"/>
                      <w:szCs w:val="21"/>
                      <w:lang w:val="en-US" w:eastAsia="zh-CN"/>
                    </w:rPr>
                    <w:t>1</w:t>
                  </w:r>
                </w:p>
              </w:tc>
              <w:tc>
                <w:tcPr>
                  <w:tcW w:w="1191" w:type="dxa"/>
                  <w:noWrap w:val="0"/>
                  <w:vAlign w:val="center"/>
                </w:tcPr>
                <w:p w14:paraId="77D51910">
                  <w:pPr>
                    <w:widowControl w:val="0"/>
                    <w:spacing w:line="240" w:lineRule="auto"/>
                    <w:jc w:val="center"/>
                    <w:textAlignment w:val="baseline"/>
                    <w:rPr>
                      <w:rFonts w:hint="eastAsia" w:hAnsi="宋体"/>
                      <w:color w:val="auto"/>
                      <w:kern w:val="2"/>
                      <w:sz w:val="21"/>
                      <w:szCs w:val="21"/>
                      <w:lang w:val="en-US" w:eastAsia="zh-CN"/>
                    </w:rPr>
                  </w:pPr>
                  <w:r>
                    <w:rPr>
                      <w:rFonts w:hint="eastAsia" w:hAnsi="宋体"/>
                      <w:color w:val="auto"/>
                      <w:kern w:val="2"/>
                      <w:sz w:val="21"/>
                      <w:szCs w:val="21"/>
                      <w:lang w:val="en-US" w:eastAsia="zh-CN"/>
                    </w:rPr>
                    <w:t>1</w:t>
                  </w:r>
                </w:p>
              </w:tc>
              <w:tc>
                <w:tcPr>
                  <w:tcW w:w="973" w:type="dxa"/>
                  <w:noWrap w:val="0"/>
                  <w:vAlign w:val="center"/>
                </w:tcPr>
                <w:p w14:paraId="6FC6FD32">
                  <w:pPr>
                    <w:widowControl w:val="0"/>
                    <w:spacing w:line="240" w:lineRule="auto"/>
                    <w:jc w:val="center"/>
                    <w:textAlignment w:val="baseline"/>
                    <w:rPr>
                      <w:rFonts w:hint="eastAsia" w:hAnsi="宋体"/>
                      <w:color w:val="auto"/>
                      <w:kern w:val="2"/>
                      <w:sz w:val="21"/>
                      <w:szCs w:val="21"/>
                      <w:lang w:eastAsia="zh-CN"/>
                    </w:rPr>
                  </w:pPr>
                  <w:r>
                    <w:rPr>
                      <w:rFonts w:hint="eastAsia" w:hAnsi="宋体"/>
                      <w:color w:val="auto"/>
                      <w:kern w:val="2"/>
                      <w:sz w:val="21"/>
                      <w:szCs w:val="21"/>
                      <w:lang w:eastAsia="zh-CN"/>
                    </w:rPr>
                    <w:t>成品砖打包区</w:t>
                  </w:r>
                </w:p>
              </w:tc>
            </w:tr>
          </w:tbl>
          <w:p w14:paraId="76876B60">
            <w:pPr>
              <w:spacing w:line="360" w:lineRule="auto"/>
              <w:jc w:val="center"/>
              <w:rPr>
                <w:rFonts w:hint="eastAsia" w:cs="Times New Roman"/>
                <w:b/>
                <w:bCs/>
                <w:color w:val="auto"/>
                <w:sz w:val="21"/>
                <w:szCs w:val="18"/>
                <w:lang w:eastAsia="zh-CN"/>
              </w:rPr>
            </w:pPr>
          </w:p>
          <w:p w14:paraId="2D87BACC">
            <w:pPr>
              <w:tabs>
                <w:tab w:val="left" w:pos="1180"/>
              </w:tabs>
              <w:spacing w:before="240" w:beforeLines="100" w:line="360" w:lineRule="auto"/>
              <w:ind w:left="479" w:leftChars="228"/>
              <w:jc w:val="left"/>
              <w:rPr>
                <w:b/>
                <w:bCs/>
                <w:color w:val="auto"/>
                <w:sz w:val="24"/>
                <w:szCs w:val="24"/>
              </w:rPr>
            </w:pPr>
            <w:r>
              <w:rPr>
                <w:b/>
                <w:bCs/>
                <w:color w:val="auto"/>
                <w:sz w:val="24"/>
                <w:szCs w:val="24"/>
              </w:rPr>
              <w:t>4</w:t>
            </w:r>
            <w:r>
              <w:rPr>
                <w:rFonts w:hint="eastAsia" w:cs="宋体"/>
                <w:b/>
                <w:bCs/>
                <w:color w:val="auto"/>
                <w:sz w:val="24"/>
                <w:szCs w:val="24"/>
              </w:rPr>
              <w:t>、主要原辅材料及能源消耗</w:t>
            </w:r>
          </w:p>
          <w:p w14:paraId="477922E5">
            <w:pPr>
              <w:adjustRightInd w:val="0"/>
              <w:snapToGrid w:val="0"/>
              <w:spacing w:before="120" w:beforeLines="50" w:line="360" w:lineRule="auto"/>
              <w:ind w:firstLine="480" w:firstLineChars="200"/>
              <w:jc w:val="left"/>
              <w:rPr>
                <w:rFonts w:ascii="宋体"/>
                <w:color w:val="auto"/>
                <w:sz w:val="24"/>
                <w:szCs w:val="24"/>
              </w:rPr>
            </w:pPr>
            <w:r>
              <w:rPr>
                <w:rFonts w:hint="eastAsia" w:ascii="宋体" w:hAnsi="宋体" w:cs="宋体"/>
                <w:color w:val="auto"/>
                <w:sz w:val="24"/>
                <w:szCs w:val="24"/>
              </w:rPr>
              <w:t>本项目原辅材料及能源消耗情况详见表。</w:t>
            </w:r>
          </w:p>
          <w:p w14:paraId="27EC865F">
            <w:pPr>
              <w:spacing w:line="360" w:lineRule="auto"/>
              <w:jc w:val="center"/>
              <w:rPr>
                <w:rFonts w:hint="eastAsia" w:cs="Times New Roman"/>
                <w:b/>
                <w:bCs/>
                <w:color w:val="auto"/>
                <w:sz w:val="21"/>
                <w:szCs w:val="18"/>
                <w:lang w:val="en-US" w:eastAsia="zh-CN"/>
              </w:rPr>
            </w:pPr>
            <w:r>
              <w:rPr>
                <w:rFonts w:hint="eastAsia" w:cs="Times New Roman"/>
                <w:b/>
                <w:bCs/>
                <w:color w:val="auto"/>
                <w:sz w:val="21"/>
                <w:szCs w:val="18"/>
                <w:lang w:val="en-US" w:eastAsia="zh-CN"/>
              </w:rPr>
              <w:t>表2-4 主要原辅材料年消耗清单</w:t>
            </w:r>
          </w:p>
          <w:tbl>
            <w:tblPr>
              <w:tblStyle w:val="37"/>
              <w:tblW w:w="8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
              <w:gridCol w:w="480"/>
              <w:gridCol w:w="1063"/>
              <w:gridCol w:w="648"/>
              <w:gridCol w:w="1008"/>
              <w:gridCol w:w="852"/>
              <w:gridCol w:w="1176"/>
              <w:gridCol w:w="854"/>
              <w:gridCol w:w="1816"/>
            </w:tblGrid>
            <w:tr w14:paraId="69AB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379" w:type="dxa"/>
                  <w:noWrap w:val="0"/>
                  <w:vAlign w:val="center"/>
                </w:tcPr>
                <w:p w14:paraId="63CF7AE5">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类别</w:t>
                  </w:r>
                </w:p>
              </w:tc>
              <w:tc>
                <w:tcPr>
                  <w:tcW w:w="480" w:type="dxa"/>
                  <w:noWrap w:val="0"/>
                  <w:vAlign w:val="center"/>
                </w:tcPr>
                <w:p w14:paraId="60B34C4B">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序号</w:t>
                  </w:r>
                </w:p>
              </w:tc>
              <w:tc>
                <w:tcPr>
                  <w:tcW w:w="1063" w:type="dxa"/>
                  <w:noWrap w:val="0"/>
                  <w:vAlign w:val="center"/>
                </w:tcPr>
                <w:p w14:paraId="2E6A1BED">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名称</w:t>
                  </w:r>
                </w:p>
              </w:tc>
              <w:tc>
                <w:tcPr>
                  <w:tcW w:w="648" w:type="dxa"/>
                  <w:noWrap w:val="0"/>
                  <w:vAlign w:val="center"/>
                </w:tcPr>
                <w:p w14:paraId="7903EEBD">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单位</w:t>
                  </w:r>
                </w:p>
              </w:tc>
              <w:tc>
                <w:tcPr>
                  <w:tcW w:w="1008" w:type="dxa"/>
                  <w:noWrap w:val="0"/>
                  <w:vAlign w:val="center"/>
                </w:tcPr>
                <w:p w14:paraId="3BC1D3D1">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lang w:eastAsia="zh-CN"/>
                    </w:rPr>
                    <w:t>技改前使用量</w:t>
                  </w:r>
                </w:p>
              </w:tc>
              <w:tc>
                <w:tcPr>
                  <w:tcW w:w="852" w:type="dxa"/>
                  <w:noWrap w:val="0"/>
                  <w:vAlign w:val="center"/>
                </w:tcPr>
                <w:p w14:paraId="16359CD6">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lang w:eastAsia="zh-CN"/>
                    </w:rPr>
                  </w:pPr>
                  <w:r>
                    <w:rPr>
                      <w:rFonts w:hint="eastAsia" w:hAnsi="宋体"/>
                      <w:color w:val="auto"/>
                      <w:kern w:val="2"/>
                      <w:sz w:val="21"/>
                      <w:szCs w:val="21"/>
                      <w:lang w:eastAsia="zh-CN"/>
                    </w:rPr>
                    <w:t>技改使用量</w:t>
                  </w:r>
                </w:p>
              </w:tc>
              <w:tc>
                <w:tcPr>
                  <w:tcW w:w="1176" w:type="dxa"/>
                  <w:noWrap w:val="0"/>
                  <w:vAlign w:val="center"/>
                </w:tcPr>
                <w:p w14:paraId="6AD3528F">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lang w:eastAsia="zh-CN"/>
                    </w:rPr>
                  </w:pPr>
                  <w:r>
                    <w:rPr>
                      <w:rFonts w:hint="eastAsia" w:hAnsi="宋体"/>
                      <w:color w:val="auto"/>
                      <w:kern w:val="2"/>
                      <w:sz w:val="21"/>
                      <w:szCs w:val="21"/>
                      <w:lang w:eastAsia="zh-CN"/>
                    </w:rPr>
                    <w:t>技改后使用量</w:t>
                  </w:r>
                </w:p>
              </w:tc>
              <w:tc>
                <w:tcPr>
                  <w:tcW w:w="854" w:type="dxa"/>
                  <w:noWrap w:val="0"/>
                  <w:vAlign w:val="center"/>
                </w:tcPr>
                <w:p w14:paraId="059651EA">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lang w:eastAsia="zh-CN"/>
                    </w:rPr>
                  </w:pPr>
                  <w:r>
                    <w:rPr>
                      <w:rFonts w:hint="eastAsia" w:hAnsi="宋体"/>
                      <w:color w:val="auto"/>
                      <w:kern w:val="2"/>
                      <w:sz w:val="21"/>
                      <w:szCs w:val="21"/>
                      <w:lang w:eastAsia="zh-CN"/>
                    </w:rPr>
                    <w:t>最大储存量</w:t>
                  </w:r>
                </w:p>
              </w:tc>
              <w:tc>
                <w:tcPr>
                  <w:tcW w:w="1816" w:type="dxa"/>
                  <w:noWrap w:val="0"/>
                  <w:vAlign w:val="center"/>
                </w:tcPr>
                <w:p w14:paraId="27FC2D07">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备注</w:t>
                  </w:r>
                </w:p>
              </w:tc>
            </w:tr>
            <w:tr w14:paraId="4717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79" w:type="dxa"/>
                  <w:vMerge w:val="restart"/>
                  <w:noWrap w:val="0"/>
                  <w:vAlign w:val="center"/>
                </w:tcPr>
                <w:p w14:paraId="479FE792">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Ansi="宋体"/>
                      <w:color w:val="auto"/>
                      <w:kern w:val="2"/>
                      <w:sz w:val="21"/>
                      <w:szCs w:val="21"/>
                    </w:rPr>
                  </w:pPr>
                </w:p>
                <w:p w14:paraId="174ECDE5">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原料</w:t>
                  </w:r>
                </w:p>
              </w:tc>
              <w:tc>
                <w:tcPr>
                  <w:tcW w:w="480" w:type="dxa"/>
                  <w:noWrap w:val="0"/>
                  <w:vAlign w:val="center"/>
                </w:tcPr>
                <w:p w14:paraId="140E46C1">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1</w:t>
                  </w:r>
                </w:p>
              </w:tc>
              <w:tc>
                <w:tcPr>
                  <w:tcW w:w="1063" w:type="dxa"/>
                  <w:noWrap w:val="0"/>
                  <w:vAlign w:val="center"/>
                </w:tcPr>
                <w:p w14:paraId="793D1319">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煤矸石</w:t>
                  </w:r>
                </w:p>
              </w:tc>
              <w:tc>
                <w:tcPr>
                  <w:tcW w:w="648" w:type="dxa"/>
                  <w:noWrap w:val="0"/>
                  <w:vAlign w:val="center"/>
                </w:tcPr>
                <w:p w14:paraId="5B741F9F">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r>
                    <w:rPr>
                      <w:rFonts w:hAnsi="宋体"/>
                      <w:color w:val="auto"/>
                      <w:kern w:val="2"/>
                      <w:sz w:val="21"/>
                      <w:szCs w:val="21"/>
                    </w:rPr>
                    <w:t>t</w:t>
                  </w:r>
                </w:p>
              </w:tc>
              <w:tc>
                <w:tcPr>
                  <w:tcW w:w="1008" w:type="dxa"/>
                  <w:noWrap w:val="0"/>
                  <w:vAlign w:val="center"/>
                </w:tcPr>
                <w:p w14:paraId="1FC1B638">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1</w:t>
                  </w:r>
                  <w:r>
                    <w:rPr>
                      <w:rFonts w:hAnsi="宋体"/>
                      <w:color w:val="auto"/>
                      <w:kern w:val="2"/>
                      <w:sz w:val="21"/>
                      <w:szCs w:val="21"/>
                    </w:rPr>
                    <w:t>38000</w:t>
                  </w:r>
                </w:p>
              </w:tc>
              <w:tc>
                <w:tcPr>
                  <w:tcW w:w="852" w:type="dxa"/>
                  <w:noWrap w:val="0"/>
                  <w:vAlign w:val="center"/>
                </w:tcPr>
                <w:p w14:paraId="04B2FDD7">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eastAsia="宋体"/>
                      <w:color w:val="auto"/>
                      <w:kern w:val="2"/>
                      <w:sz w:val="21"/>
                      <w:szCs w:val="21"/>
                      <w:lang w:val="en-US" w:eastAsia="zh-CN"/>
                    </w:rPr>
                  </w:pPr>
                  <w:r>
                    <w:rPr>
                      <w:rFonts w:hint="eastAsia" w:hAnsi="宋体"/>
                      <w:color w:val="auto"/>
                      <w:kern w:val="2"/>
                      <w:sz w:val="21"/>
                      <w:szCs w:val="21"/>
                      <w:lang w:val="en-US" w:eastAsia="zh-CN"/>
                    </w:rPr>
                    <w:t>22000</w:t>
                  </w:r>
                </w:p>
              </w:tc>
              <w:tc>
                <w:tcPr>
                  <w:tcW w:w="1176" w:type="dxa"/>
                  <w:noWrap w:val="0"/>
                  <w:vAlign w:val="center"/>
                </w:tcPr>
                <w:p w14:paraId="255CFD5D">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hAnsi="宋体" w:eastAsia="宋体"/>
                      <w:color w:val="auto"/>
                      <w:kern w:val="2"/>
                      <w:sz w:val="21"/>
                      <w:szCs w:val="21"/>
                      <w:lang w:val="en-US" w:eastAsia="zh-CN"/>
                    </w:rPr>
                  </w:pPr>
                  <w:r>
                    <w:rPr>
                      <w:rFonts w:hint="eastAsia" w:hAnsi="宋体"/>
                      <w:color w:val="auto"/>
                      <w:kern w:val="2"/>
                      <w:sz w:val="21"/>
                      <w:szCs w:val="21"/>
                      <w:lang w:val="en-US" w:eastAsia="zh-CN"/>
                    </w:rPr>
                    <w:t>160000</w:t>
                  </w:r>
                </w:p>
              </w:tc>
              <w:tc>
                <w:tcPr>
                  <w:tcW w:w="854" w:type="dxa"/>
                  <w:noWrap w:val="0"/>
                  <w:vAlign w:val="center"/>
                </w:tcPr>
                <w:p w14:paraId="7A9B222E">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lang w:val="en-US" w:eastAsia="zh-CN"/>
                    </w:rPr>
                  </w:pPr>
                  <w:r>
                    <w:rPr>
                      <w:rFonts w:hint="eastAsia" w:hAnsi="宋体"/>
                      <w:color w:val="auto"/>
                      <w:kern w:val="2"/>
                      <w:sz w:val="21"/>
                      <w:szCs w:val="21"/>
                      <w:lang w:val="en-US" w:eastAsia="zh-CN"/>
                    </w:rPr>
                    <w:t>37000</w:t>
                  </w:r>
                </w:p>
              </w:tc>
              <w:tc>
                <w:tcPr>
                  <w:tcW w:w="1816" w:type="dxa"/>
                  <w:noWrap w:val="0"/>
                  <w:vAlign w:val="center"/>
                </w:tcPr>
                <w:p w14:paraId="35928A0A">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外购煤矿企业尾矿</w:t>
                  </w:r>
                </w:p>
              </w:tc>
            </w:tr>
            <w:tr w14:paraId="0A36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79" w:type="dxa"/>
                  <w:vMerge w:val="continue"/>
                  <w:noWrap w:val="0"/>
                  <w:vAlign w:val="center"/>
                </w:tcPr>
                <w:p w14:paraId="14E69169">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p>
              </w:tc>
              <w:tc>
                <w:tcPr>
                  <w:tcW w:w="480" w:type="dxa"/>
                  <w:noWrap w:val="0"/>
                  <w:vAlign w:val="center"/>
                </w:tcPr>
                <w:p w14:paraId="5F5E470F">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2</w:t>
                  </w:r>
                </w:p>
              </w:tc>
              <w:tc>
                <w:tcPr>
                  <w:tcW w:w="1063" w:type="dxa"/>
                  <w:noWrap w:val="0"/>
                  <w:vAlign w:val="center"/>
                </w:tcPr>
                <w:p w14:paraId="7F52C7D8">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hAnsi="宋体" w:eastAsia="宋体"/>
                      <w:color w:val="auto"/>
                      <w:kern w:val="2"/>
                      <w:sz w:val="21"/>
                      <w:szCs w:val="21"/>
                      <w:lang w:val="en-US" w:eastAsia="zh-CN"/>
                    </w:rPr>
                  </w:pPr>
                  <w:r>
                    <w:rPr>
                      <w:rFonts w:hint="eastAsia" w:hAnsi="宋体"/>
                      <w:color w:val="auto"/>
                      <w:kern w:val="2"/>
                      <w:sz w:val="21"/>
                      <w:szCs w:val="21"/>
                      <w:lang w:val="en-US" w:eastAsia="zh-CN"/>
                    </w:rPr>
                    <w:t>污泥</w:t>
                  </w:r>
                </w:p>
              </w:tc>
              <w:tc>
                <w:tcPr>
                  <w:tcW w:w="648" w:type="dxa"/>
                  <w:noWrap w:val="0"/>
                  <w:vAlign w:val="center"/>
                </w:tcPr>
                <w:p w14:paraId="1C24BAB1">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Ansi="宋体"/>
                      <w:color w:val="auto"/>
                      <w:kern w:val="2"/>
                      <w:sz w:val="21"/>
                      <w:szCs w:val="21"/>
                    </w:rPr>
                  </w:pPr>
                  <w:r>
                    <w:rPr>
                      <w:rFonts w:hAnsi="宋体"/>
                      <w:color w:val="auto"/>
                      <w:kern w:val="2"/>
                      <w:sz w:val="21"/>
                      <w:szCs w:val="21"/>
                    </w:rPr>
                    <w:t>t</w:t>
                  </w:r>
                </w:p>
              </w:tc>
              <w:tc>
                <w:tcPr>
                  <w:tcW w:w="1008" w:type="dxa"/>
                  <w:noWrap w:val="0"/>
                  <w:vAlign w:val="center"/>
                </w:tcPr>
                <w:p w14:paraId="7A02147A">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eastAsia="宋体"/>
                      <w:color w:val="auto"/>
                      <w:kern w:val="2"/>
                      <w:sz w:val="21"/>
                      <w:szCs w:val="21"/>
                      <w:lang w:val="en-US" w:eastAsia="zh-CN"/>
                    </w:rPr>
                  </w:pPr>
                  <w:r>
                    <w:rPr>
                      <w:rFonts w:hint="eastAsia" w:hAnsi="宋体"/>
                      <w:color w:val="auto"/>
                      <w:kern w:val="2"/>
                      <w:sz w:val="21"/>
                      <w:szCs w:val="21"/>
                      <w:lang w:val="en-US" w:eastAsia="zh-CN"/>
                    </w:rPr>
                    <w:t>/</w:t>
                  </w:r>
                </w:p>
              </w:tc>
              <w:tc>
                <w:tcPr>
                  <w:tcW w:w="852" w:type="dxa"/>
                  <w:noWrap w:val="0"/>
                  <w:vAlign w:val="center"/>
                </w:tcPr>
                <w:p w14:paraId="5047EE11">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lang w:val="en-US" w:eastAsia="zh-CN"/>
                    </w:rPr>
                  </w:pPr>
                  <w:r>
                    <w:rPr>
                      <w:rFonts w:hint="eastAsia" w:hAnsi="宋体"/>
                      <w:color w:val="auto"/>
                      <w:kern w:val="2"/>
                      <w:sz w:val="21"/>
                      <w:szCs w:val="21"/>
                      <w:lang w:val="en-US" w:eastAsia="zh-CN"/>
                    </w:rPr>
                    <w:t>10000</w:t>
                  </w:r>
                </w:p>
              </w:tc>
              <w:tc>
                <w:tcPr>
                  <w:tcW w:w="1176" w:type="dxa"/>
                  <w:noWrap w:val="0"/>
                  <w:vAlign w:val="center"/>
                </w:tcPr>
                <w:p w14:paraId="3668FC2E">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hAnsi="宋体"/>
                      <w:color w:val="auto"/>
                      <w:kern w:val="2"/>
                      <w:sz w:val="21"/>
                      <w:szCs w:val="21"/>
                      <w:lang w:val="en-US" w:eastAsia="zh-CN"/>
                    </w:rPr>
                  </w:pPr>
                  <w:r>
                    <w:rPr>
                      <w:rFonts w:hint="eastAsia" w:hAnsi="宋体"/>
                      <w:color w:val="auto"/>
                      <w:kern w:val="2"/>
                      <w:sz w:val="21"/>
                      <w:szCs w:val="21"/>
                      <w:lang w:val="en-US" w:eastAsia="zh-CN"/>
                    </w:rPr>
                    <w:t>10000</w:t>
                  </w:r>
                </w:p>
              </w:tc>
              <w:tc>
                <w:tcPr>
                  <w:tcW w:w="854" w:type="dxa"/>
                  <w:noWrap w:val="0"/>
                  <w:vAlign w:val="center"/>
                </w:tcPr>
                <w:p w14:paraId="7DE31F3B">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lang w:val="en-US" w:eastAsia="zh-CN"/>
                    </w:rPr>
                  </w:pPr>
                  <w:r>
                    <w:rPr>
                      <w:rFonts w:hint="eastAsia" w:hAnsi="宋体"/>
                      <w:color w:val="auto"/>
                      <w:kern w:val="2"/>
                      <w:sz w:val="21"/>
                      <w:szCs w:val="21"/>
                      <w:lang w:val="en-US" w:eastAsia="zh-CN"/>
                    </w:rPr>
                    <w:t>1500</w:t>
                  </w:r>
                </w:p>
              </w:tc>
              <w:tc>
                <w:tcPr>
                  <w:tcW w:w="1816" w:type="dxa"/>
                  <w:noWrap w:val="0"/>
                  <w:vAlign w:val="center"/>
                </w:tcPr>
                <w:p w14:paraId="5CEEB5FD">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r>
                    <w:rPr>
                      <w:rFonts w:hint="eastAsia"/>
                      <w:color w:val="auto"/>
                      <w:highlight w:val="none"/>
                      <w:lang w:eastAsia="zh-CN"/>
                    </w:rPr>
                    <w:t>城镇污水处理厂脱水污泥，</w:t>
                  </w:r>
                  <w:r>
                    <w:rPr>
                      <w:rFonts w:hint="eastAsia"/>
                      <w:color w:val="auto"/>
                      <w:highlight w:val="none"/>
                      <w:lang w:val="en-US" w:eastAsia="zh-CN"/>
                    </w:rPr>
                    <w:t>2#物料库内</w:t>
                  </w:r>
                  <w:r>
                    <w:rPr>
                      <w:rFonts w:hint="eastAsia"/>
                      <w:color w:val="auto"/>
                      <w:highlight w:val="none"/>
                      <w:lang w:eastAsia="zh-CN"/>
                    </w:rPr>
                    <w:t>存放</w:t>
                  </w:r>
                </w:p>
              </w:tc>
            </w:tr>
            <w:tr w14:paraId="3569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79" w:type="dxa"/>
                  <w:vMerge w:val="continue"/>
                  <w:noWrap w:val="0"/>
                  <w:vAlign w:val="center"/>
                </w:tcPr>
                <w:p w14:paraId="3A442A5D">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p>
              </w:tc>
              <w:tc>
                <w:tcPr>
                  <w:tcW w:w="480" w:type="dxa"/>
                  <w:noWrap w:val="0"/>
                  <w:vAlign w:val="center"/>
                </w:tcPr>
                <w:p w14:paraId="6FCD2989">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lang w:val="en-US" w:eastAsia="zh-CN"/>
                    </w:rPr>
                    <w:t>3</w:t>
                  </w:r>
                </w:p>
              </w:tc>
              <w:tc>
                <w:tcPr>
                  <w:tcW w:w="1063" w:type="dxa"/>
                  <w:noWrap w:val="0"/>
                  <w:vAlign w:val="center"/>
                </w:tcPr>
                <w:p w14:paraId="3F5C65FD">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hAnsi="宋体"/>
                      <w:color w:val="auto"/>
                      <w:kern w:val="2"/>
                      <w:sz w:val="21"/>
                      <w:szCs w:val="21"/>
                      <w:lang w:val="en-US" w:eastAsia="zh-CN"/>
                    </w:rPr>
                  </w:pPr>
                  <w:r>
                    <w:rPr>
                      <w:rFonts w:hint="eastAsia" w:hAnsi="宋体"/>
                      <w:color w:val="auto"/>
                      <w:kern w:val="2"/>
                      <w:sz w:val="21"/>
                      <w:szCs w:val="21"/>
                      <w:lang w:val="en-US" w:eastAsia="zh-CN"/>
                    </w:rPr>
                    <w:t>建筑弃土</w:t>
                  </w:r>
                </w:p>
              </w:tc>
              <w:tc>
                <w:tcPr>
                  <w:tcW w:w="648" w:type="dxa"/>
                  <w:noWrap w:val="0"/>
                  <w:vAlign w:val="center"/>
                </w:tcPr>
                <w:p w14:paraId="3488C2C6">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eastAsia="宋体"/>
                      <w:color w:val="auto"/>
                      <w:kern w:val="2"/>
                      <w:sz w:val="21"/>
                      <w:szCs w:val="21"/>
                      <w:lang w:val="en-US" w:eastAsia="zh-CN"/>
                    </w:rPr>
                  </w:pPr>
                  <w:r>
                    <w:rPr>
                      <w:rFonts w:hint="eastAsia" w:hAnsi="宋体"/>
                      <w:color w:val="auto"/>
                      <w:kern w:val="2"/>
                      <w:sz w:val="21"/>
                      <w:szCs w:val="21"/>
                      <w:lang w:val="en-US" w:eastAsia="zh-CN"/>
                    </w:rPr>
                    <w:t>t</w:t>
                  </w:r>
                </w:p>
              </w:tc>
              <w:tc>
                <w:tcPr>
                  <w:tcW w:w="1008" w:type="dxa"/>
                  <w:noWrap w:val="0"/>
                  <w:vAlign w:val="center"/>
                </w:tcPr>
                <w:p w14:paraId="24E88BBA">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lang w:val="en-US" w:eastAsia="zh-CN"/>
                    </w:rPr>
                  </w:pPr>
                  <w:r>
                    <w:rPr>
                      <w:rFonts w:hint="eastAsia" w:hAnsi="宋体"/>
                      <w:color w:val="auto"/>
                      <w:kern w:val="2"/>
                      <w:sz w:val="21"/>
                      <w:szCs w:val="21"/>
                      <w:lang w:val="en-US" w:eastAsia="zh-CN"/>
                    </w:rPr>
                    <w:t>/</w:t>
                  </w:r>
                </w:p>
              </w:tc>
              <w:tc>
                <w:tcPr>
                  <w:tcW w:w="852" w:type="dxa"/>
                  <w:noWrap w:val="0"/>
                  <w:vAlign w:val="center"/>
                </w:tcPr>
                <w:p w14:paraId="497D8740">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hAnsi="宋体"/>
                      <w:color w:val="auto"/>
                      <w:kern w:val="2"/>
                      <w:sz w:val="21"/>
                      <w:szCs w:val="21"/>
                      <w:lang w:val="en-US" w:eastAsia="zh-CN"/>
                    </w:rPr>
                  </w:pPr>
                  <w:r>
                    <w:rPr>
                      <w:rFonts w:hint="eastAsia" w:hAnsi="宋体"/>
                      <w:color w:val="auto"/>
                      <w:kern w:val="2"/>
                      <w:sz w:val="21"/>
                      <w:szCs w:val="21"/>
                      <w:lang w:val="en-US" w:eastAsia="zh-CN"/>
                    </w:rPr>
                    <w:t>14000</w:t>
                  </w:r>
                </w:p>
              </w:tc>
              <w:tc>
                <w:tcPr>
                  <w:tcW w:w="1176" w:type="dxa"/>
                  <w:noWrap w:val="0"/>
                  <w:vAlign w:val="center"/>
                </w:tcPr>
                <w:p w14:paraId="20F96239">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hAnsi="宋体"/>
                      <w:color w:val="auto"/>
                      <w:kern w:val="2"/>
                      <w:sz w:val="21"/>
                      <w:szCs w:val="21"/>
                      <w:lang w:val="en-US" w:eastAsia="zh-CN"/>
                    </w:rPr>
                  </w:pPr>
                  <w:r>
                    <w:rPr>
                      <w:rFonts w:hint="eastAsia" w:hAnsi="宋体"/>
                      <w:color w:val="auto"/>
                      <w:kern w:val="2"/>
                      <w:sz w:val="21"/>
                      <w:szCs w:val="21"/>
                      <w:lang w:val="en-US" w:eastAsia="zh-CN"/>
                    </w:rPr>
                    <w:t>14000</w:t>
                  </w:r>
                </w:p>
              </w:tc>
              <w:tc>
                <w:tcPr>
                  <w:tcW w:w="854" w:type="dxa"/>
                  <w:noWrap w:val="0"/>
                  <w:vAlign w:val="center"/>
                </w:tcPr>
                <w:p w14:paraId="319AC420">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lang w:val="en-US" w:eastAsia="zh-CN"/>
                    </w:rPr>
                  </w:pPr>
                  <w:r>
                    <w:rPr>
                      <w:rFonts w:hint="eastAsia" w:hAnsi="宋体"/>
                      <w:color w:val="auto"/>
                      <w:kern w:val="2"/>
                      <w:sz w:val="21"/>
                      <w:szCs w:val="21"/>
                      <w:lang w:val="en-US" w:eastAsia="zh-CN"/>
                    </w:rPr>
                    <w:t>9000</w:t>
                  </w:r>
                </w:p>
              </w:tc>
              <w:tc>
                <w:tcPr>
                  <w:tcW w:w="1816" w:type="dxa"/>
                  <w:noWrap w:val="0"/>
                  <w:vAlign w:val="center"/>
                </w:tcPr>
                <w:p w14:paraId="14E148A9">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lang w:eastAsia="zh-CN"/>
                    </w:rPr>
                    <w:t>主要来自各类建筑物、构筑物、管网等基础开挖过程中产生的弃土</w:t>
                  </w:r>
                </w:p>
              </w:tc>
            </w:tr>
            <w:tr w14:paraId="1661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dxa"/>
                  <w:vMerge w:val="restart"/>
                  <w:noWrap w:val="0"/>
                  <w:vAlign w:val="center"/>
                </w:tcPr>
                <w:p w14:paraId="76E79EE3">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lang w:eastAsia="zh-CN"/>
                    </w:rPr>
                    <w:t>辅</w:t>
                  </w:r>
                  <w:r>
                    <w:rPr>
                      <w:rFonts w:hint="eastAsia" w:hAnsi="宋体"/>
                      <w:color w:val="auto"/>
                      <w:kern w:val="2"/>
                      <w:sz w:val="21"/>
                      <w:szCs w:val="21"/>
                    </w:rPr>
                    <w:t>料</w:t>
                  </w:r>
                </w:p>
              </w:tc>
              <w:tc>
                <w:tcPr>
                  <w:tcW w:w="480" w:type="dxa"/>
                  <w:noWrap w:val="0"/>
                  <w:vAlign w:val="center"/>
                </w:tcPr>
                <w:p w14:paraId="637E81DC">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4</w:t>
                  </w:r>
                </w:p>
              </w:tc>
              <w:tc>
                <w:tcPr>
                  <w:tcW w:w="1063" w:type="dxa"/>
                  <w:noWrap w:val="0"/>
                  <w:vAlign w:val="center"/>
                </w:tcPr>
                <w:p w14:paraId="2F01A64E">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固硫剂</w:t>
                  </w:r>
                </w:p>
              </w:tc>
              <w:tc>
                <w:tcPr>
                  <w:tcW w:w="648" w:type="dxa"/>
                  <w:noWrap w:val="0"/>
                  <w:vAlign w:val="center"/>
                </w:tcPr>
                <w:p w14:paraId="4EAD7F1B">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t</w:t>
                  </w:r>
                </w:p>
              </w:tc>
              <w:tc>
                <w:tcPr>
                  <w:tcW w:w="1008" w:type="dxa"/>
                  <w:noWrap w:val="0"/>
                  <w:vAlign w:val="center"/>
                </w:tcPr>
                <w:p w14:paraId="22ECEE8E">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lang w:val="en-US" w:eastAsia="zh-CN"/>
                    </w:rPr>
                    <w:t>20</w:t>
                  </w:r>
                  <w:r>
                    <w:rPr>
                      <w:rFonts w:hAnsi="宋体"/>
                      <w:color w:val="auto"/>
                      <w:kern w:val="2"/>
                      <w:sz w:val="21"/>
                      <w:szCs w:val="21"/>
                    </w:rPr>
                    <w:t>0</w:t>
                  </w:r>
                </w:p>
              </w:tc>
              <w:tc>
                <w:tcPr>
                  <w:tcW w:w="852" w:type="dxa"/>
                  <w:noWrap w:val="0"/>
                  <w:vAlign w:val="center"/>
                </w:tcPr>
                <w:p w14:paraId="320F3F44">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hAnsi="宋体" w:eastAsia="宋体"/>
                      <w:color w:val="auto"/>
                      <w:kern w:val="2"/>
                      <w:sz w:val="21"/>
                      <w:szCs w:val="21"/>
                      <w:lang w:val="en-US" w:eastAsia="zh-CN"/>
                    </w:rPr>
                  </w:pPr>
                  <w:r>
                    <w:rPr>
                      <w:rFonts w:hint="eastAsia" w:hAnsi="宋体"/>
                      <w:color w:val="auto"/>
                      <w:kern w:val="2"/>
                      <w:sz w:val="21"/>
                      <w:szCs w:val="21"/>
                      <w:lang w:val="en-US" w:eastAsia="zh-CN"/>
                    </w:rPr>
                    <w:t>100</w:t>
                  </w:r>
                </w:p>
              </w:tc>
              <w:tc>
                <w:tcPr>
                  <w:tcW w:w="1176" w:type="dxa"/>
                  <w:noWrap w:val="0"/>
                  <w:vAlign w:val="center"/>
                </w:tcPr>
                <w:p w14:paraId="5D8D520F">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hAnsi="宋体" w:eastAsia="宋体"/>
                      <w:color w:val="auto"/>
                      <w:kern w:val="2"/>
                      <w:sz w:val="21"/>
                      <w:szCs w:val="21"/>
                      <w:lang w:val="en-US" w:eastAsia="zh-CN"/>
                    </w:rPr>
                  </w:pPr>
                  <w:r>
                    <w:rPr>
                      <w:rFonts w:hint="eastAsia" w:hAnsi="宋体"/>
                      <w:color w:val="auto"/>
                      <w:kern w:val="2"/>
                      <w:sz w:val="21"/>
                      <w:szCs w:val="21"/>
                      <w:lang w:val="en-US" w:eastAsia="zh-CN"/>
                    </w:rPr>
                    <w:t>300</w:t>
                  </w:r>
                </w:p>
              </w:tc>
              <w:tc>
                <w:tcPr>
                  <w:tcW w:w="854" w:type="dxa"/>
                  <w:noWrap w:val="0"/>
                  <w:vAlign w:val="center"/>
                </w:tcPr>
                <w:p w14:paraId="1C93D468">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lang w:val="en-US" w:eastAsia="zh-CN"/>
                    </w:rPr>
                  </w:pPr>
                  <w:r>
                    <w:rPr>
                      <w:rFonts w:hint="eastAsia" w:hAnsi="宋体"/>
                      <w:color w:val="auto"/>
                      <w:kern w:val="2"/>
                      <w:sz w:val="21"/>
                      <w:szCs w:val="21"/>
                      <w:lang w:val="en-US" w:eastAsia="zh-CN"/>
                    </w:rPr>
                    <w:t>30</w:t>
                  </w:r>
                </w:p>
              </w:tc>
              <w:tc>
                <w:tcPr>
                  <w:tcW w:w="1816" w:type="dxa"/>
                  <w:noWrap w:val="0"/>
                  <w:vAlign w:val="center"/>
                </w:tcPr>
                <w:p w14:paraId="31A11C13">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eastAsia="宋体"/>
                      <w:color w:val="auto"/>
                      <w:kern w:val="2"/>
                      <w:sz w:val="21"/>
                      <w:szCs w:val="21"/>
                      <w:lang w:eastAsia="zh-CN"/>
                    </w:rPr>
                  </w:pPr>
                  <w:r>
                    <w:rPr>
                      <w:rFonts w:hint="eastAsia" w:hAnsi="宋体"/>
                      <w:color w:val="auto"/>
                      <w:kern w:val="2"/>
                      <w:sz w:val="21"/>
                      <w:szCs w:val="21"/>
                    </w:rPr>
                    <w:t>外购，主要成分为C</w:t>
                  </w:r>
                  <w:r>
                    <w:rPr>
                      <w:rFonts w:hAnsi="宋体"/>
                      <w:color w:val="auto"/>
                      <w:kern w:val="2"/>
                      <w:sz w:val="21"/>
                      <w:szCs w:val="21"/>
                    </w:rPr>
                    <w:t>aO</w:t>
                  </w:r>
                  <w:r>
                    <w:rPr>
                      <w:rFonts w:hint="eastAsia" w:hAnsi="宋体"/>
                      <w:color w:val="auto"/>
                      <w:kern w:val="2"/>
                      <w:sz w:val="21"/>
                      <w:szCs w:val="21"/>
                      <w:lang w:eastAsia="zh-CN"/>
                    </w:rPr>
                    <w:t>，储存在石灰罐内</w:t>
                  </w:r>
                </w:p>
              </w:tc>
            </w:tr>
            <w:tr w14:paraId="124AC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9" w:type="dxa"/>
                  <w:vMerge w:val="continue"/>
                  <w:noWrap w:val="0"/>
                  <w:vAlign w:val="center"/>
                </w:tcPr>
                <w:p w14:paraId="25051FD0">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p>
              </w:tc>
              <w:tc>
                <w:tcPr>
                  <w:tcW w:w="480" w:type="dxa"/>
                  <w:noWrap w:val="0"/>
                  <w:vAlign w:val="center"/>
                </w:tcPr>
                <w:p w14:paraId="77759134">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eastAsia="宋体"/>
                      <w:color w:val="auto"/>
                      <w:kern w:val="2"/>
                      <w:sz w:val="21"/>
                      <w:szCs w:val="21"/>
                      <w:lang w:val="en-US" w:eastAsia="zh-CN"/>
                    </w:rPr>
                  </w:pPr>
                  <w:r>
                    <w:rPr>
                      <w:rFonts w:hint="eastAsia" w:hAnsi="宋体"/>
                      <w:color w:val="auto"/>
                      <w:kern w:val="2"/>
                      <w:sz w:val="21"/>
                      <w:szCs w:val="21"/>
                    </w:rPr>
                    <w:t>5</w:t>
                  </w:r>
                </w:p>
              </w:tc>
              <w:tc>
                <w:tcPr>
                  <w:tcW w:w="1063" w:type="dxa"/>
                  <w:noWrap w:val="0"/>
                  <w:vAlign w:val="center"/>
                </w:tcPr>
                <w:p w14:paraId="41CA20D8">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eastAsia="宋体"/>
                      <w:color w:val="auto"/>
                      <w:kern w:val="2"/>
                      <w:sz w:val="21"/>
                      <w:szCs w:val="21"/>
                      <w:lang w:eastAsia="zh-CN"/>
                    </w:rPr>
                  </w:pPr>
                  <w:r>
                    <w:rPr>
                      <w:rFonts w:hint="eastAsia" w:hAnsi="宋体"/>
                      <w:color w:val="auto"/>
                      <w:kern w:val="2"/>
                      <w:sz w:val="21"/>
                      <w:szCs w:val="21"/>
                    </w:rPr>
                    <w:t>尿素</w:t>
                  </w:r>
                </w:p>
              </w:tc>
              <w:tc>
                <w:tcPr>
                  <w:tcW w:w="648" w:type="dxa"/>
                  <w:noWrap w:val="0"/>
                  <w:vAlign w:val="center"/>
                </w:tcPr>
                <w:p w14:paraId="6A0D9E02">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t</w:t>
                  </w:r>
                </w:p>
              </w:tc>
              <w:tc>
                <w:tcPr>
                  <w:tcW w:w="1008" w:type="dxa"/>
                  <w:noWrap w:val="0"/>
                  <w:vAlign w:val="center"/>
                </w:tcPr>
                <w:p w14:paraId="089D2B54">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hAnsi="宋体"/>
                      <w:color w:val="auto"/>
                      <w:kern w:val="2"/>
                      <w:sz w:val="21"/>
                      <w:szCs w:val="21"/>
                      <w:lang w:val="en-US" w:eastAsia="zh-CN"/>
                    </w:rPr>
                  </w:pPr>
                  <w:r>
                    <w:rPr>
                      <w:rFonts w:hint="eastAsia" w:hAnsi="宋体"/>
                      <w:color w:val="auto"/>
                      <w:kern w:val="2"/>
                      <w:sz w:val="21"/>
                      <w:szCs w:val="21"/>
                      <w:lang w:val="en-US" w:eastAsia="zh-CN"/>
                    </w:rPr>
                    <w:t>/</w:t>
                  </w:r>
                </w:p>
              </w:tc>
              <w:tc>
                <w:tcPr>
                  <w:tcW w:w="852" w:type="dxa"/>
                  <w:noWrap w:val="0"/>
                  <w:vAlign w:val="center"/>
                </w:tcPr>
                <w:p w14:paraId="11158CCA">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hAnsi="宋体"/>
                      <w:color w:val="auto"/>
                      <w:kern w:val="2"/>
                      <w:sz w:val="21"/>
                      <w:szCs w:val="21"/>
                      <w:lang w:val="en-US" w:eastAsia="zh-CN"/>
                    </w:rPr>
                  </w:pPr>
                  <w:r>
                    <w:rPr>
                      <w:rFonts w:hint="eastAsia" w:hAnsi="宋体"/>
                      <w:color w:val="auto"/>
                      <w:kern w:val="2"/>
                      <w:sz w:val="21"/>
                      <w:szCs w:val="21"/>
                      <w:lang w:val="en-US" w:eastAsia="zh-CN"/>
                    </w:rPr>
                    <w:t>300</w:t>
                  </w:r>
                </w:p>
              </w:tc>
              <w:tc>
                <w:tcPr>
                  <w:tcW w:w="1176" w:type="dxa"/>
                  <w:noWrap w:val="0"/>
                  <w:vAlign w:val="center"/>
                </w:tcPr>
                <w:p w14:paraId="44F1F364">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hAnsi="宋体"/>
                      <w:color w:val="auto"/>
                      <w:kern w:val="2"/>
                      <w:sz w:val="21"/>
                      <w:szCs w:val="21"/>
                      <w:lang w:val="en-US" w:eastAsia="zh-CN"/>
                    </w:rPr>
                  </w:pPr>
                  <w:r>
                    <w:rPr>
                      <w:rFonts w:hint="eastAsia" w:hAnsi="宋体"/>
                      <w:color w:val="auto"/>
                      <w:kern w:val="2"/>
                      <w:sz w:val="21"/>
                      <w:szCs w:val="21"/>
                      <w:lang w:val="en-US" w:eastAsia="zh-CN"/>
                    </w:rPr>
                    <w:t>300</w:t>
                  </w:r>
                </w:p>
              </w:tc>
              <w:tc>
                <w:tcPr>
                  <w:tcW w:w="854" w:type="dxa"/>
                  <w:noWrap w:val="0"/>
                  <w:vAlign w:val="center"/>
                </w:tcPr>
                <w:p w14:paraId="3B8C3D66">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lang w:val="en-US" w:eastAsia="zh-CN"/>
                    </w:rPr>
                  </w:pPr>
                  <w:r>
                    <w:rPr>
                      <w:rFonts w:hint="eastAsia" w:hAnsi="宋体"/>
                      <w:color w:val="auto"/>
                      <w:kern w:val="2"/>
                      <w:sz w:val="21"/>
                      <w:szCs w:val="21"/>
                      <w:lang w:val="en-US" w:eastAsia="zh-CN"/>
                    </w:rPr>
                    <w:t>5</w:t>
                  </w:r>
                </w:p>
              </w:tc>
              <w:tc>
                <w:tcPr>
                  <w:tcW w:w="1816" w:type="dxa"/>
                  <w:noWrap w:val="0"/>
                  <w:vAlign w:val="center"/>
                </w:tcPr>
                <w:p w14:paraId="676FA94E">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eastAsia="宋体"/>
                      <w:color w:val="auto"/>
                      <w:kern w:val="2"/>
                      <w:sz w:val="21"/>
                      <w:szCs w:val="21"/>
                      <w:lang w:eastAsia="zh-CN"/>
                    </w:rPr>
                  </w:pPr>
                  <w:r>
                    <w:rPr>
                      <w:rFonts w:hint="eastAsia" w:hAnsi="宋体"/>
                      <w:color w:val="auto"/>
                      <w:kern w:val="2"/>
                      <w:sz w:val="21"/>
                      <w:szCs w:val="21"/>
                      <w:lang w:eastAsia="zh-CN"/>
                    </w:rPr>
                    <w:t>外购，用于脱硝</w:t>
                  </w:r>
                </w:p>
              </w:tc>
            </w:tr>
            <w:tr w14:paraId="295E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79" w:type="dxa"/>
                  <w:vMerge w:val="restart"/>
                  <w:noWrap w:val="0"/>
                  <w:vAlign w:val="center"/>
                </w:tcPr>
                <w:p w14:paraId="58E17AFC">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Ansi="宋体"/>
                      <w:color w:val="auto"/>
                      <w:kern w:val="2"/>
                      <w:sz w:val="21"/>
                      <w:szCs w:val="21"/>
                    </w:rPr>
                  </w:pPr>
                </w:p>
                <w:p w14:paraId="1470BA3E">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能源</w:t>
                  </w:r>
                </w:p>
              </w:tc>
              <w:tc>
                <w:tcPr>
                  <w:tcW w:w="480" w:type="dxa"/>
                  <w:noWrap w:val="0"/>
                  <w:vAlign w:val="center"/>
                </w:tcPr>
                <w:p w14:paraId="0239C49C">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highlight w:val="none"/>
                    </w:rPr>
                  </w:pPr>
                  <w:r>
                    <w:rPr>
                      <w:rFonts w:hint="eastAsia" w:hAnsi="宋体"/>
                      <w:color w:val="auto"/>
                      <w:kern w:val="2"/>
                      <w:sz w:val="21"/>
                      <w:szCs w:val="21"/>
                      <w:highlight w:val="none"/>
                    </w:rPr>
                    <w:t>6</w:t>
                  </w:r>
                </w:p>
              </w:tc>
              <w:tc>
                <w:tcPr>
                  <w:tcW w:w="1063" w:type="dxa"/>
                  <w:noWrap w:val="0"/>
                  <w:vAlign w:val="center"/>
                </w:tcPr>
                <w:p w14:paraId="444505B8">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highlight w:val="none"/>
                    </w:rPr>
                  </w:pPr>
                  <w:r>
                    <w:rPr>
                      <w:rFonts w:hint="eastAsia" w:hAnsi="宋体"/>
                      <w:color w:val="auto"/>
                      <w:kern w:val="2"/>
                      <w:sz w:val="21"/>
                      <w:szCs w:val="21"/>
                      <w:highlight w:val="none"/>
                    </w:rPr>
                    <w:t>水</w:t>
                  </w:r>
                </w:p>
              </w:tc>
              <w:tc>
                <w:tcPr>
                  <w:tcW w:w="648" w:type="dxa"/>
                  <w:noWrap w:val="0"/>
                  <w:vAlign w:val="center"/>
                </w:tcPr>
                <w:p w14:paraId="0546852D">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highlight w:val="none"/>
                    </w:rPr>
                  </w:pPr>
                  <w:r>
                    <w:rPr>
                      <w:rFonts w:hint="eastAsia" w:hAnsi="宋体"/>
                      <w:color w:val="auto"/>
                      <w:kern w:val="2"/>
                      <w:sz w:val="21"/>
                      <w:szCs w:val="21"/>
                      <w:highlight w:val="none"/>
                    </w:rPr>
                    <w:t>t</w:t>
                  </w:r>
                </w:p>
              </w:tc>
              <w:tc>
                <w:tcPr>
                  <w:tcW w:w="1008" w:type="dxa"/>
                  <w:noWrap w:val="0"/>
                  <w:vAlign w:val="center"/>
                </w:tcPr>
                <w:p w14:paraId="0B865034">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15849.6</w:t>
                  </w:r>
                </w:p>
              </w:tc>
              <w:tc>
                <w:tcPr>
                  <w:tcW w:w="852" w:type="dxa"/>
                  <w:noWrap w:val="0"/>
                  <w:vAlign w:val="center"/>
                </w:tcPr>
                <w:p w14:paraId="0351C52E">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6425.1</w:t>
                  </w:r>
                </w:p>
              </w:tc>
              <w:tc>
                <w:tcPr>
                  <w:tcW w:w="1176" w:type="dxa"/>
                  <w:noWrap w:val="0"/>
                  <w:vAlign w:val="center"/>
                </w:tcPr>
                <w:p w14:paraId="7467AE66">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26323.5</w:t>
                  </w:r>
                </w:p>
              </w:tc>
              <w:tc>
                <w:tcPr>
                  <w:tcW w:w="854" w:type="dxa"/>
                  <w:noWrap w:val="0"/>
                  <w:vAlign w:val="center"/>
                </w:tcPr>
                <w:p w14:paraId="11D25058">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w:t>
                  </w:r>
                </w:p>
              </w:tc>
              <w:tc>
                <w:tcPr>
                  <w:tcW w:w="1816" w:type="dxa"/>
                  <w:noWrap w:val="0"/>
                  <w:vAlign w:val="center"/>
                </w:tcPr>
                <w:p w14:paraId="046E5514">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highlight w:val="none"/>
                    </w:rPr>
                  </w:pPr>
                  <w:r>
                    <w:rPr>
                      <w:rFonts w:hint="eastAsia" w:hAnsi="宋体"/>
                      <w:color w:val="auto"/>
                      <w:kern w:val="2"/>
                      <w:sz w:val="21"/>
                      <w:szCs w:val="21"/>
                      <w:highlight w:val="none"/>
                    </w:rPr>
                    <w:t>濉溪县刘桥镇供水管网供给</w:t>
                  </w:r>
                </w:p>
              </w:tc>
            </w:tr>
            <w:tr w14:paraId="43B5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79" w:type="dxa"/>
                  <w:vMerge w:val="continue"/>
                  <w:noWrap w:val="0"/>
                  <w:vAlign w:val="center"/>
                </w:tcPr>
                <w:p w14:paraId="205942F3">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p>
              </w:tc>
              <w:tc>
                <w:tcPr>
                  <w:tcW w:w="480" w:type="dxa"/>
                  <w:noWrap w:val="0"/>
                  <w:vAlign w:val="center"/>
                </w:tcPr>
                <w:p w14:paraId="5735391A">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eastAsia="宋体"/>
                      <w:color w:val="auto"/>
                      <w:kern w:val="2"/>
                      <w:sz w:val="21"/>
                      <w:szCs w:val="21"/>
                      <w:lang w:eastAsia="zh-CN"/>
                    </w:rPr>
                  </w:pPr>
                  <w:r>
                    <w:rPr>
                      <w:rFonts w:hint="eastAsia" w:hAnsi="宋体"/>
                      <w:color w:val="auto"/>
                      <w:kern w:val="2"/>
                      <w:sz w:val="21"/>
                      <w:szCs w:val="21"/>
                      <w:lang w:val="en-US" w:eastAsia="zh-CN"/>
                    </w:rPr>
                    <w:t>7</w:t>
                  </w:r>
                </w:p>
              </w:tc>
              <w:tc>
                <w:tcPr>
                  <w:tcW w:w="1063" w:type="dxa"/>
                  <w:noWrap w:val="0"/>
                  <w:vAlign w:val="center"/>
                </w:tcPr>
                <w:p w14:paraId="5920D0FC">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电</w:t>
                  </w:r>
                </w:p>
              </w:tc>
              <w:tc>
                <w:tcPr>
                  <w:tcW w:w="648" w:type="dxa"/>
                  <w:noWrap w:val="0"/>
                  <w:vAlign w:val="center"/>
                </w:tcPr>
                <w:p w14:paraId="50178BA4">
                  <w:pPr>
                    <w:keepNext w:val="0"/>
                    <w:keepLines w:val="0"/>
                    <w:pageBreakBefore w:val="0"/>
                    <w:widowControl w:val="0"/>
                    <w:kinsoku/>
                    <w:wordWrap/>
                    <w:overflowPunct/>
                    <w:topLinePunct w:val="0"/>
                    <w:autoSpaceDE/>
                    <w:autoSpaceDN/>
                    <w:bidi w:val="0"/>
                    <w:adjustRightInd/>
                    <w:snapToGrid w:val="0"/>
                    <w:spacing w:line="240" w:lineRule="auto"/>
                    <w:jc w:val="both"/>
                    <w:textAlignment w:val="baseline"/>
                    <w:rPr>
                      <w:rFonts w:hint="eastAsia" w:hAnsi="宋体"/>
                      <w:color w:val="auto"/>
                      <w:kern w:val="2"/>
                      <w:sz w:val="21"/>
                      <w:szCs w:val="21"/>
                    </w:rPr>
                  </w:pPr>
                  <w:r>
                    <w:rPr>
                      <w:rFonts w:hAnsi="宋体"/>
                      <w:color w:val="auto"/>
                      <w:kern w:val="2"/>
                      <w:sz w:val="21"/>
                      <w:szCs w:val="21"/>
                    </w:rPr>
                    <w:t>Kw·h</w:t>
                  </w:r>
                </w:p>
              </w:tc>
              <w:tc>
                <w:tcPr>
                  <w:tcW w:w="1008" w:type="dxa"/>
                  <w:noWrap w:val="0"/>
                  <w:vAlign w:val="center"/>
                </w:tcPr>
                <w:p w14:paraId="67CB03B1">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280万</w:t>
                  </w:r>
                </w:p>
              </w:tc>
              <w:tc>
                <w:tcPr>
                  <w:tcW w:w="852" w:type="dxa"/>
                  <w:noWrap w:val="0"/>
                  <w:vAlign w:val="center"/>
                </w:tcPr>
                <w:p w14:paraId="7B481B9F">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35</w:t>
                  </w:r>
                </w:p>
              </w:tc>
              <w:tc>
                <w:tcPr>
                  <w:tcW w:w="1176" w:type="dxa"/>
                  <w:noWrap w:val="0"/>
                  <w:vAlign w:val="center"/>
                </w:tcPr>
                <w:p w14:paraId="294BF1CC">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315万</w:t>
                  </w:r>
                </w:p>
              </w:tc>
              <w:tc>
                <w:tcPr>
                  <w:tcW w:w="854" w:type="dxa"/>
                  <w:noWrap w:val="0"/>
                  <w:vAlign w:val="center"/>
                </w:tcPr>
                <w:p w14:paraId="579208E9">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w:t>
                  </w:r>
                </w:p>
              </w:tc>
              <w:tc>
                <w:tcPr>
                  <w:tcW w:w="1816" w:type="dxa"/>
                  <w:noWrap w:val="0"/>
                  <w:vAlign w:val="center"/>
                </w:tcPr>
                <w:p w14:paraId="4E7EB7F5">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濉溪县刘桥镇供电管网供给</w:t>
                  </w:r>
                </w:p>
              </w:tc>
            </w:tr>
            <w:tr w14:paraId="306D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79" w:type="dxa"/>
                  <w:vMerge w:val="continue"/>
                  <w:noWrap w:val="0"/>
                  <w:vAlign w:val="center"/>
                </w:tcPr>
                <w:p w14:paraId="1BB2BCA5">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p>
              </w:tc>
              <w:tc>
                <w:tcPr>
                  <w:tcW w:w="480" w:type="dxa"/>
                  <w:noWrap w:val="0"/>
                  <w:vAlign w:val="center"/>
                </w:tcPr>
                <w:p w14:paraId="0E401419">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eastAsia="宋体"/>
                      <w:color w:val="auto"/>
                      <w:kern w:val="2"/>
                      <w:sz w:val="21"/>
                      <w:szCs w:val="21"/>
                      <w:lang w:val="en-US" w:eastAsia="zh-CN"/>
                    </w:rPr>
                  </w:pPr>
                  <w:r>
                    <w:rPr>
                      <w:rFonts w:hint="eastAsia" w:hAnsi="宋体"/>
                      <w:color w:val="auto"/>
                      <w:kern w:val="2"/>
                      <w:sz w:val="21"/>
                      <w:szCs w:val="21"/>
                      <w:lang w:val="en-US" w:eastAsia="zh-CN"/>
                    </w:rPr>
                    <w:t>8</w:t>
                  </w:r>
                </w:p>
              </w:tc>
              <w:tc>
                <w:tcPr>
                  <w:tcW w:w="1063" w:type="dxa"/>
                  <w:noWrap w:val="0"/>
                  <w:vAlign w:val="center"/>
                </w:tcPr>
                <w:p w14:paraId="08F35135">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外燃煤</w:t>
                  </w:r>
                </w:p>
              </w:tc>
              <w:tc>
                <w:tcPr>
                  <w:tcW w:w="648" w:type="dxa"/>
                  <w:noWrap w:val="0"/>
                  <w:vAlign w:val="center"/>
                </w:tcPr>
                <w:p w14:paraId="50207288">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t</w:t>
                  </w:r>
                  <w:r>
                    <w:rPr>
                      <w:rFonts w:hAnsi="宋体"/>
                      <w:color w:val="auto"/>
                      <w:kern w:val="2"/>
                      <w:sz w:val="21"/>
                      <w:szCs w:val="21"/>
                    </w:rPr>
                    <w:t>/a</w:t>
                  </w:r>
                </w:p>
              </w:tc>
              <w:tc>
                <w:tcPr>
                  <w:tcW w:w="1008" w:type="dxa"/>
                  <w:noWrap w:val="0"/>
                  <w:vAlign w:val="center"/>
                </w:tcPr>
                <w:p w14:paraId="718F5066">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hAnsi="宋体" w:eastAsia="宋体"/>
                      <w:color w:val="auto"/>
                      <w:kern w:val="2"/>
                      <w:sz w:val="21"/>
                      <w:szCs w:val="21"/>
                      <w:lang w:val="en-US" w:eastAsia="zh-CN"/>
                    </w:rPr>
                  </w:pPr>
                  <w:r>
                    <w:rPr>
                      <w:rFonts w:hint="eastAsia" w:hAnsi="宋体"/>
                      <w:color w:val="auto"/>
                      <w:kern w:val="2"/>
                      <w:sz w:val="21"/>
                      <w:szCs w:val="21"/>
                      <w:lang w:val="en-US" w:eastAsia="zh-CN"/>
                    </w:rPr>
                    <w:t>80</w:t>
                  </w:r>
                </w:p>
              </w:tc>
              <w:tc>
                <w:tcPr>
                  <w:tcW w:w="852" w:type="dxa"/>
                  <w:noWrap w:val="0"/>
                  <w:vAlign w:val="center"/>
                </w:tcPr>
                <w:p w14:paraId="37E58B4B">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hAnsi="宋体" w:eastAsia="宋体"/>
                      <w:color w:val="auto"/>
                      <w:kern w:val="2"/>
                      <w:sz w:val="21"/>
                      <w:szCs w:val="21"/>
                      <w:lang w:val="en-US" w:eastAsia="zh-CN"/>
                    </w:rPr>
                  </w:pPr>
                  <w:r>
                    <w:rPr>
                      <w:rFonts w:hint="eastAsia" w:hAnsi="宋体"/>
                      <w:color w:val="auto"/>
                      <w:kern w:val="2"/>
                      <w:sz w:val="21"/>
                      <w:szCs w:val="21"/>
                      <w:lang w:val="en-US" w:eastAsia="zh-CN"/>
                    </w:rPr>
                    <w:t>-80</w:t>
                  </w:r>
                </w:p>
              </w:tc>
              <w:tc>
                <w:tcPr>
                  <w:tcW w:w="1176" w:type="dxa"/>
                  <w:noWrap w:val="0"/>
                  <w:vAlign w:val="center"/>
                </w:tcPr>
                <w:p w14:paraId="3B817B2A">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hAnsi="宋体" w:eastAsia="宋体"/>
                      <w:color w:val="auto"/>
                      <w:kern w:val="2"/>
                      <w:sz w:val="21"/>
                      <w:szCs w:val="21"/>
                      <w:lang w:val="en-US" w:eastAsia="zh-CN"/>
                    </w:rPr>
                  </w:pPr>
                  <w:r>
                    <w:rPr>
                      <w:rFonts w:hint="eastAsia" w:hAnsi="宋体"/>
                      <w:color w:val="auto"/>
                      <w:kern w:val="2"/>
                      <w:sz w:val="21"/>
                      <w:szCs w:val="21"/>
                      <w:lang w:val="en-US" w:eastAsia="zh-CN"/>
                    </w:rPr>
                    <w:t>0</w:t>
                  </w:r>
                </w:p>
              </w:tc>
              <w:tc>
                <w:tcPr>
                  <w:tcW w:w="854" w:type="dxa"/>
                  <w:noWrap w:val="0"/>
                  <w:vAlign w:val="center"/>
                </w:tcPr>
                <w:p w14:paraId="2D6F988D">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hAnsi="宋体"/>
                      <w:color w:val="auto"/>
                      <w:kern w:val="2"/>
                      <w:sz w:val="21"/>
                      <w:szCs w:val="21"/>
                      <w:lang w:val="en-US" w:eastAsia="zh-CN"/>
                    </w:rPr>
                  </w:pPr>
                  <w:r>
                    <w:rPr>
                      <w:rFonts w:hint="eastAsia" w:hAnsi="宋体"/>
                      <w:color w:val="auto"/>
                      <w:kern w:val="2"/>
                      <w:sz w:val="21"/>
                      <w:szCs w:val="21"/>
                      <w:lang w:val="en-US" w:eastAsia="zh-CN"/>
                    </w:rPr>
                    <w:t>/</w:t>
                  </w:r>
                </w:p>
              </w:tc>
              <w:tc>
                <w:tcPr>
                  <w:tcW w:w="1816" w:type="dxa"/>
                  <w:noWrap w:val="0"/>
                  <w:vAlign w:val="center"/>
                </w:tcPr>
                <w:p w14:paraId="6B33D9A5">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eastAsia="宋体"/>
                      <w:color w:val="auto"/>
                      <w:kern w:val="2"/>
                      <w:sz w:val="21"/>
                      <w:szCs w:val="21"/>
                      <w:lang w:eastAsia="zh-CN"/>
                    </w:rPr>
                  </w:pPr>
                  <w:r>
                    <w:rPr>
                      <w:rFonts w:hint="eastAsia" w:hAnsi="宋体"/>
                      <w:color w:val="auto"/>
                      <w:kern w:val="2"/>
                      <w:sz w:val="21"/>
                      <w:szCs w:val="21"/>
                      <w:lang w:val="en-US" w:eastAsia="zh-CN"/>
                    </w:rPr>
                    <w:t>/</w:t>
                  </w:r>
                </w:p>
              </w:tc>
            </w:tr>
            <w:tr w14:paraId="7006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79" w:type="dxa"/>
                  <w:vMerge w:val="continue"/>
                  <w:noWrap w:val="0"/>
                  <w:vAlign w:val="center"/>
                </w:tcPr>
                <w:p w14:paraId="73DEA5B5">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p>
              </w:tc>
              <w:tc>
                <w:tcPr>
                  <w:tcW w:w="480" w:type="dxa"/>
                  <w:noWrap w:val="0"/>
                  <w:vAlign w:val="center"/>
                </w:tcPr>
                <w:p w14:paraId="1EC54AA9">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hAnsi="宋体"/>
                      <w:color w:val="auto"/>
                      <w:kern w:val="2"/>
                      <w:sz w:val="21"/>
                      <w:szCs w:val="21"/>
                      <w:lang w:val="en-US" w:eastAsia="zh-CN"/>
                    </w:rPr>
                  </w:pPr>
                  <w:r>
                    <w:rPr>
                      <w:rFonts w:hint="eastAsia" w:hAnsi="宋体"/>
                      <w:color w:val="auto"/>
                      <w:kern w:val="2"/>
                      <w:sz w:val="21"/>
                      <w:szCs w:val="21"/>
                      <w:lang w:val="en-US" w:eastAsia="zh-CN"/>
                    </w:rPr>
                    <w:t>9</w:t>
                  </w:r>
                </w:p>
              </w:tc>
              <w:tc>
                <w:tcPr>
                  <w:tcW w:w="1063" w:type="dxa"/>
                  <w:noWrap w:val="0"/>
                  <w:vAlign w:val="center"/>
                </w:tcPr>
                <w:p w14:paraId="658468ED">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eastAsia="宋体"/>
                      <w:color w:val="auto"/>
                      <w:kern w:val="2"/>
                      <w:sz w:val="21"/>
                      <w:szCs w:val="21"/>
                      <w:lang w:val="en-US" w:eastAsia="zh-CN"/>
                    </w:rPr>
                  </w:pPr>
                  <w:r>
                    <w:rPr>
                      <w:rFonts w:hint="eastAsia" w:hAnsi="宋体"/>
                      <w:color w:val="auto"/>
                      <w:kern w:val="2"/>
                      <w:sz w:val="21"/>
                      <w:szCs w:val="21"/>
                      <w:lang w:val="en-US" w:eastAsia="zh-CN"/>
                    </w:rPr>
                    <w:t>生物质</w:t>
                  </w:r>
                  <w:r>
                    <w:rPr>
                      <w:rFonts w:hint="eastAsia" w:hAnsi="宋体"/>
                      <w:color w:val="auto"/>
                      <w:kern w:val="2"/>
                      <w:sz w:val="21"/>
                      <w:szCs w:val="21"/>
                      <w:lang w:val="en-US" w:eastAsia="zh-CN"/>
                    </w:rPr>
                    <w:br w:type="textWrapping"/>
                  </w:r>
                  <w:r>
                    <w:rPr>
                      <w:rFonts w:hint="eastAsia" w:hAnsi="宋体"/>
                      <w:color w:val="auto"/>
                      <w:kern w:val="2"/>
                      <w:sz w:val="21"/>
                      <w:szCs w:val="21"/>
                      <w:lang w:val="en-US" w:eastAsia="zh-CN"/>
                    </w:rPr>
                    <w:t>燃料</w:t>
                  </w:r>
                </w:p>
              </w:tc>
              <w:tc>
                <w:tcPr>
                  <w:tcW w:w="648" w:type="dxa"/>
                  <w:noWrap w:val="0"/>
                  <w:vAlign w:val="center"/>
                </w:tcPr>
                <w:p w14:paraId="337DC385">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rPr>
                  </w:pPr>
                  <w:r>
                    <w:rPr>
                      <w:rFonts w:hint="eastAsia" w:hAnsi="宋体"/>
                      <w:color w:val="auto"/>
                      <w:kern w:val="2"/>
                      <w:sz w:val="21"/>
                      <w:szCs w:val="21"/>
                    </w:rPr>
                    <w:t>t</w:t>
                  </w:r>
                  <w:r>
                    <w:rPr>
                      <w:rFonts w:hAnsi="宋体"/>
                      <w:color w:val="auto"/>
                      <w:kern w:val="2"/>
                      <w:sz w:val="21"/>
                      <w:szCs w:val="21"/>
                    </w:rPr>
                    <w:t>/a</w:t>
                  </w:r>
                </w:p>
              </w:tc>
              <w:tc>
                <w:tcPr>
                  <w:tcW w:w="1008" w:type="dxa"/>
                  <w:noWrap w:val="0"/>
                  <w:vAlign w:val="center"/>
                </w:tcPr>
                <w:p w14:paraId="5640724D">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lang w:val="en-US" w:eastAsia="zh-CN"/>
                    </w:rPr>
                  </w:pPr>
                  <w:r>
                    <w:rPr>
                      <w:rFonts w:hint="eastAsia" w:hAnsi="宋体"/>
                      <w:color w:val="auto"/>
                      <w:kern w:val="2"/>
                      <w:sz w:val="21"/>
                      <w:szCs w:val="21"/>
                      <w:lang w:val="en-US" w:eastAsia="zh-CN"/>
                    </w:rPr>
                    <w:t>/</w:t>
                  </w:r>
                </w:p>
              </w:tc>
              <w:tc>
                <w:tcPr>
                  <w:tcW w:w="852" w:type="dxa"/>
                  <w:noWrap w:val="0"/>
                  <w:vAlign w:val="center"/>
                </w:tcPr>
                <w:p w14:paraId="21F63832">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hAnsi="宋体"/>
                      <w:color w:val="auto"/>
                      <w:kern w:val="2"/>
                      <w:sz w:val="21"/>
                      <w:szCs w:val="21"/>
                      <w:lang w:val="en-US" w:eastAsia="zh-CN"/>
                    </w:rPr>
                  </w:pPr>
                  <w:r>
                    <w:rPr>
                      <w:rFonts w:hint="eastAsia" w:hAnsi="宋体"/>
                      <w:color w:val="auto"/>
                      <w:kern w:val="2"/>
                      <w:sz w:val="21"/>
                      <w:szCs w:val="21"/>
                      <w:lang w:val="en-US" w:eastAsia="zh-CN"/>
                    </w:rPr>
                    <w:t>50</w:t>
                  </w:r>
                </w:p>
              </w:tc>
              <w:tc>
                <w:tcPr>
                  <w:tcW w:w="1176" w:type="dxa"/>
                  <w:noWrap w:val="0"/>
                  <w:vAlign w:val="center"/>
                </w:tcPr>
                <w:p w14:paraId="04E56CFD">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color w:val="auto"/>
                      <w:kern w:val="2"/>
                      <w:sz w:val="21"/>
                      <w:szCs w:val="21"/>
                      <w:lang w:val="en-US" w:eastAsia="zh-CN"/>
                    </w:rPr>
                  </w:pPr>
                  <w:r>
                    <w:rPr>
                      <w:rFonts w:hint="eastAsia" w:hAnsi="宋体"/>
                      <w:color w:val="auto"/>
                      <w:kern w:val="2"/>
                      <w:sz w:val="21"/>
                      <w:szCs w:val="21"/>
                      <w:lang w:val="en-US" w:eastAsia="zh-CN"/>
                    </w:rPr>
                    <w:t>50</w:t>
                  </w:r>
                </w:p>
              </w:tc>
              <w:tc>
                <w:tcPr>
                  <w:tcW w:w="854" w:type="dxa"/>
                  <w:noWrap w:val="0"/>
                  <w:vAlign w:val="center"/>
                </w:tcPr>
                <w:p w14:paraId="3645FF1A">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hAnsi="宋体"/>
                      <w:color w:val="auto"/>
                      <w:kern w:val="2"/>
                      <w:sz w:val="21"/>
                      <w:szCs w:val="21"/>
                      <w:lang w:val="en-US" w:eastAsia="zh-CN"/>
                    </w:rPr>
                  </w:pPr>
                  <w:r>
                    <w:rPr>
                      <w:rFonts w:hint="eastAsia" w:hAnsi="宋体"/>
                      <w:color w:val="auto"/>
                      <w:kern w:val="2"/>
                      <w:sz w:val="21"/>
                      <w:szCs w:val="21"/>
                      <w:lang w:val="en-US" w:eastAsia="zh-CN"/>
                    </w:rPr>
                    <w:t>/</w:t>
                  </w:r>
                </w:p>
              </w:tc>
              <w:tc>
                <w:tcPr>
                  <w:tcW w:w="1816" w:type="dxa"/>
                  <w:noWrap w:val="0"/>
                  <w:vAlign w:val="center"/>
                </w:tcPr>
                <w:p w14:paraId="3224DFB7">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hAnsi="宋体" w:eastAsia="宋体"/>
                      <w:color w:val="auto"/>
                      <w:kern w:val="2"/>
                      <w:sz w:val="21"/>
                      <w:szCs w:val="21"/>
                      <w:lang w:eastAsia="zh-CN"/>
                    </w:rPr>
                  </w:pPr>
                  <w:r>
                    <w:rPr>
                      <w:rFonts w:hint="eastAsia" w:hAnsi="宋体"/>
                      <w:color w:val="auto"/>
                      <w:kern w:val="2"/>
                      <w:sz w:val="21"/>
                      <w:szCs w:val="21"/>
                      <w:lang w:eastAsia="zh-CN"/>
                    </w:rPr>
                    <w:t>外购</w:t>
                  </w:r>
                  <w:r>
                    <w:rPr>
                      <w:rFonts w:hint="eastAsia" w:hAnsi="宋体"/>
                      <w:color w:val="auto"/>
                      <w:kern w:val="2"/>
                      <w:sz w:val="21"/>
                      <w:szCs w:val="21"/>
                      <w:lang w:eastAsia="zh-CN"/>
                    </w:rPr>
                    <w:br w:type="textWrapping"/>
                  </w:r>
                  <w:r>
                    <w:rPr>
                      <w:rFonts w:hint="eastAsia" w:hAnsi="宋体"/>
                      <w:color w:val="auto"/>
                      <w:kern w:val="2"/>
                      <w:sz w:val="21"/>
                      <w:szCs w:val="21"/>
                      <w:lang w:eastAsia="zh-CN"/>
                    </w:rPr>
                    <w:t>（点火使用）</w:t>
                  </w:r>
                </w:p>
              </w:tc>
            </w:tr>
          </w:tbl>
          <w:p w14:paraId="6D123808">
            <w:pPr>
              <w:spacing w:line="360" w:lineRule="auto"/>
              <w:jc w:val="center"/>
              <w:rPr>
                <w:rFonts w:hint="eastAsia" w:cs="Times New Roman"/>
                <w:b/>
                <w:bCs/>
                <w:color w:val="auto"/>
                <w:sz w:val="21"/>
                <w:szCs w:val="18"/>
                <w:lang w:val="en-US" w:eastAsia="zh-CN"/>
              </w:rPr>
            </w:pPr>
          </w:p>
          <w:p w14:paraId="41B8EA88">
            <w:pPr>
              <w:tabs>
                <w:tab w:val="left" w:pos="1180"/>
              </w:tabs>
              <w:spacing w:before="240" w:beforeLines="100" w:line="360" w:lineRule="auto"/>
              <w:ind w:firstLine="480" w:firstLineChars="200"/>
              <w:jc w:val="left"/>
              <w:rPr>
                <w:rFonts w:hint="eastAsia"/>
                <w:color w:val="auto"/>
                <w:sz w:val="24"/>
                <w:szCs w:val="24"/>
                <w:lang w:eastAsia="zh-CN"/>
              </w:rPr>
            </w:pPr>
            <w:r>
              <w:rPr>
                <w:rFonts w:hint="eastAsia"/>
                <w:color w:val="auto"/>
                <w:sz w:val="24"/>
                <w:szCs w:val="24"/>
                <w:lang w:eastAsia="zh-CN"/>
              </w:rPr>
              <w:t>煤矸石主要成分见下表：</w:t>
            </w:r>
          </w:p>
          <w:p w14:paraId="0F4E9F4E">
            <w:pPr>
              <w:pStyle w:val="2"/>
              <w:jc w:val="center"/>
              <w:rPr>
                <w:rFonts w:hint="eastAsia"/>
                <w:b/>
                <w:bCs/>
                <w:color w:val="auto"/>
                <w:lang w:val="en-US" w:eastAsia="zh-CN"/>
              </w:rPr>
            </w:pPr>
            <w:r>
              <w:rPr>
                <w:rFonts w:hint="eastAsia"/>
                <w:b/>
                <w:bCs/>
                <w:color w:val="auto"/>
                <w:lang w:eastAsia="zh-CN"/>
              </w:rPr>
              <w:t>表</w:t>
            </w:r>
            <w:r>
              <w:rPr>
                <w:rFonts w:hint="eastAsia"/>
                <w:b/>
                <w:bCs/>
                <w:color w:val="auto"/>
                <w:lang w:val="en-US" w:eastAsia="zh-CN"/>
              </w:rPr>
              <w:t>2-5 煤矸石主要成分表</w:t>
            </w:r>
          </w:p>
          <w:tbl>
            <w:tblPr>
              <w:tblStyle w:val="38"/>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986"/>
              <w:gridCol w:w="842"/>
              <w:gridCol w:w="842"/>
              <w:gridCol w:w="842"/>
              <w:gridCol w:w="842"/>
              <w:gridCol w:w="842"/>
              <w:gridCol w:w="842"/>
              <w:gridCol w:w="842"/>
              <w:gridCol w:w="842"/>
            </w:tblGrid>
            <w:tr w14:paraId="2987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98" w:type="dxa"/>
                  <w:vAlign w:val="center"/>
                </w:tcPr>
                <w:p w14:paraId="5CEE95F1">
                  <w:pPr>
                    <w:bidi w:val="0"/>
                    <w:jc w:val="center"/>
                    <w:rPr>
                      <w:rFonts w:hint="default"/>
                      <w:color w:val="auto"/>
                      <w:lang w:val="en-US" w:eastAsia="zh-CN"/>
                    </w:rPr>
                  </w:pPr>
                  <w:r>
                    <w:rPr>
                      <w:rFonts w:hint="eastAsia"/>
                      <w:color w:val="auto"/>
                      <w:lang w:val="en-US" w:eastAsia="zh-CN"/>
                    </w:rPr>
                    <w:t>成分</w:t>
                  </w:r>
                </w:p>
              </w:tc>
              <w:tc>
                <w:tcPr>
                  <w:tcW w:w="986" w:type="dxa"/>
                  <w:vAlign w:val="center"/>
                </w:tcPr>
                <w:p w14:paraId="74F932FD">
                  <w:pPr>
                    <w:bidi w:val="0"/>
                    <w:jc w:val="center"/>
                    <w:rPr>
                      <w:rFonts w:hint="default"/>
                      <w:color w:val="auto"/>
                      <w:sz w:val="20"/>
                      <w:szCs w:val="20"/>
                      <w:lang w:val="en-US" w:eastAsia="zh-CN"/>
                    </w:rPr>
                  </w:pPr>
                  <w:r>
                    <w:rPr>
                      <w:color w:val="auto"/>
                      <w:sz w:val="20"/>
                      <w:szCs w:val="20"/>
                    </w:rPr>
                    <w:t>SiO2</w:t>
                  </w:r>
                </w:p>
              </w:tc>
              <w:tc>
                <w:tcPr>
                  <w:tcW w:w="842" w:type="dxa"/>
                  <w:vAlign w:val="center"/>
                </w:tcPr>
                <w:p w14:paraId="4383EA4D">
                  <w:pPr>
                    <w:bidi w:val="0"/>
                    <w:jc w:val="center"/>
                    <w:rPr>
                      <w:rFonts w:hint="default"/>
                      <w:color w:val="auto"/>
                      <w:sz w:val="20"/>
                      <w:szCs w:val="20"/>
                      <w:lang w:val="en-US" w:eastAsia="zh-CN"/>
                    </w:rPr>
                  </w:pPr>
                  <w:r>
                    <w:rPr>
                      <w:color w:val="auto"/>
                      <w:sz w:val="20"/>
                      <w:szCs w:val="20"/>
                    </w:rPr>
                    <w:t>Al2O3</w:t>
                  </w:r>
                </w:p>
              </w:tc>
              <w:tc>
                <w:tcPr>
                  <w:tcW w:w="842" w:type="dxa"/>
                  <w:vAlign w:val="center"/>
                </w:tcPr>
                <w:p w14:paraId="62B2C9EF">
                  <w:pPr>
                    <w:bidi w:val="0"/>
                    <w:jc w:val="center"/>
                    <w:rPr>
                      <w:rFonts w:hint="default"/>
                      <w:color w:val="auto"/>
                      <w:sz w:val="20"/>
                      <w:szCs w:val="20"/>
                      <w:lang w:val="en-US" w:eastAsia="zh-CN"/>
                    </w:rPr>
                  </w:pPr>
                  <w:r>
                    <w:rPr>
                      <w:color w:val="auto"/>
                      <w:sz w:val="20"/>
                      <w:szCs w:val="20"/>
                    </w:rPr>
                    <w:t>Fe2O3</w:t>
                  </w:r>
                </w:p>
              </w:tc>
              <w:tc>
                <w:tcPr>
                  <w:tcW w:w="842" w:type="dxa"/>
                  <w:vAlign w:val="center"/>
                </w:tcPr>
                <w:p w14:paraId="369DF686">
                  <w:pPr>
                    <w:bidi w:val="0"/>
                    <w:jc w:val="center"/>
                    <w:rPr>
                      <w:rFonts w:hint="default"/>
                      <w:color w:val="auto"/>
                      <w:sz w:val="20"/>
                      <w:szCs w:val="20"/>
                      <w:lang w:val="en-US" w:eastAsia="zh-CN"/>
                    </w:rPr>
                  </w:pPr>
                  <w:r>
                    <w:rPr>
                      <w:color w:val="auto"/>
                      <w:sz w:val="20"/>
                      <w:szCs w:val="20"/>
                    </w:rPr>
                    <w:t>CaO</w:t>
                  </w:r>
                </w:p>
              </w:tc>
              <w:tc>
                <w:tcPr>
                  <w:tcW w:w="842" w:type="dxa"/>
                  <w:vAlign w:val="center"/>
                </w:tcPr>
                <w:p w14:paraId="36F95481">
                  <w:pPr>
                    <w:bidi w:val="0"/>
                    <w:jc w:val="center"/>
                    <w:rPr>
                      <w:rFonts w:hint="default"/>
                      <w:color w:val="auto"/>
                      <w:sz w:val="20"/>
                      <w:szCs w:val="20"/>
                      <w:lang w:val="en-US" w:eastAsia="zh-CN"/>
                    </w:rPr>
                  </w:pPr>
                  <w:r>
                    <w:rPr>
                      <w:color w:val="auto"/>
                      <w:sz w:val="20"/>
                      <w:szCs w:val="20"/>
                    </w:rPr>
                    <w:t>MgO</w:t>
                  </w:r>
                </w:p>
              </w:tc>
              <w:tc>
                <w:tcPr>
                  <w:tcW w:w="842" w:type="dxa"/>
                  <w:vAlign w:val="center"/>
                </w:tcPr>
                <w:p w14:paraId="71399E86">
                  <w:pPr>
                    <w:bidi w:val="0"/>
                    <w:jc w:val="center"/>
                    <w:rPr>
                      <w:rFonts w:hint="default"/>
                      <w:color w:val="auto"/>
                      <w:sz w:val="20"/>
                      <w:szCs w:val="20"/>
                      <w:lang w:val="en-US" w:eastAsia="zh-CN"/>
                    </w:rPr>
                  </w:pPr>
                  <w:r>
                    <w:rPr>
                      <w:color w:val="auto"/>
                      <w:sz w:val="20"/>
                      <w:szCs w:val="20"/>
                    </w:rPr>
                    <w:t>TiO2</w:t>
                  </w:r>
                </w:p>
              </w:tc>
              <w:tc>
                <w:tcPr>
                  <w:tcW w:w="842" w:type="dxa"/>
                  <w:vAlign w:val="center"/>
                </w:tcPr>
                <w:p w14:paraId="3BE41847">
                  <w:pPr>
                    <w:bidi w:val="0"/>
                    <w:jc w:val="center"/>
                    <w:rPr>
                      <w:rFonts w:hint="default"/>
                      <w:color w:val="auto"/>
                      <w:sz w:val="20"/>
                      <w:szCs w:val="20"/>
                      <w:lang w:val="en-US" w:eastAsia="zh-CN"/>
                    </w:rPr>
                  </w:pPr>
                  <w:r>
                    <w:rPr>
                      <w:color w:val="auto"/>
                      <w:sz w:val="20"/>
                      <w:szCs w:val="20"/>
                    </w:rPr>
                    <w:t>P2O5</w:t>
                  </w:r>
                </w:p>
              </w:tc>
              <w:tc>
                <w:tcPr>
                  <w:tcW w:w="842" w:type="dxa"/>
                  <w:vAlign w:val="center"/>
                </w:tcPr>
                <w:p w14:paraId="6A234175">
                  <w:pPr>
                    <w:bidi w:val="0"/>
                    <w:jc w:val="center"/>
                    <w:rPr>
                      <w:color w:val="auto"/>
                      <w:sz w:val="20"/>
                      <w:szCs w:val="20"/>
                    </w:rPr>
                  </w:pPr>
                  <w:r>
                    <w:rPr>
                      <w:color w:val="auto"/>
                      <w:sz w:val="20"/>
                      <w:szCs w:val="20"/>
                    </w:rPr>
                    <w:t>K2O+Na2O</w:t>
                  </w:r>
                </w:p>
              </w:tc>
              <w:tc>
                <w:tcPr>
                  <w:tcW w:w="842" w:type="dxa"/>
                  <w:vAlign w:val="center"/>
                </w:tcPr>
                <w:p w14:paraId="7C847B79">
                  <w:pPr>
                    <w:bidi w:val="0"/>
                    <w:jc w:val="center"/>
                    <w:rPr>
                      <w:color w:val="auto"/>
                      <w:sz w:val="20"/>
                      <w:szCs w:val="20"/>
                    </w:rPr>
                  </w:pPr>
                  <w:r>
                    <w:rPr>
                      <w:color w:val="auto"/>
                      <w:sz w:val="20"/>
                      <w:szCs w:val="20"/>
                    </w:rPr>
                    <w:t>V2O5</w:t>
                  </w:r>
                </w:p>
              </w:tc>
            </w:tr>
            <w:tr w14:paraId="32E2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98" w:type="dxa"/>
                  <w:vAlign w:val="center"/>
                </w:tcPr>
                <w:p w14:paraId="77CFAF89">
                  <w:pPr>
                    <w:bidi w:val="0"/>
                    <w:jc w:val="center"/>
                    <w:rPr>
                      <w:rFonts w:hint="default"/>
                      <w:color w:val="auto"/>
                      <w:lang w:val="en-US" w:eastAsia="zh-CN"/>
                    </w:rPr>
                  </w:pPr>
                  <w:r>
                    <w:rPr>
                      <w:rFonts w:hint="eastAsia"/>
                      <w:color w:val="auto"/>
                      <w:lang w:val="en-US" w:eastAsia="zh-CN"/>
                    </w:rPr>
                    <w:t>含量</w:t>
                  </w:r>
                </w:p>
              </w:tc>
              <w:tc>
                <w:tcPr>
                  <w:tcW w:w="986" w:type="dxa"/>
                  <w:vAlign w:val="center"/>
                </w:tcPr>
                <w:p w14:paraId="33F41508">
                  <w:pPr>
                    <w:bidi w:val="0"/>
                    <w:jc w:val="center"/>
                    <w:rPr>
                      <w:rFonts w:hint="default"/>
                      <w:color w:val="auto"/>
                      <w:sz w:val="20"/>
                      <w:szCs w:val="20"/>
                      <w:lang w:val="en-US" w:eastAsia="zh-CN"/>
                    </w:rPr>
                  </w:pPr>
                  <w:r>
                    <w:rPr>
                      <w:color w:val="auto"/>
                      <w:sz w:val="20"/>
                      <w:szCs w:val="20"/>
                    </w:rPr>
                    <w:t>52～65</w:t>
                  </w:r>
                </w:p>
              </w:tc>
              <w:tc>
                <w:tcPr>
                  <w:tcW w:w="842" w:type="dxa"/>
                  <w:vAlign w:val="center"/>
                </w:tcPr>
                <w:p w14:paraId="65050AAF">
                  <w:pPr>
                    <w:bidi w:val="0"/>
                    <w:jc w:val="center"/>
                    <w:rPr>
                      <w:rFonts w:hint="default"/>
                      <w:color w:val="auto"/>
                      <w:sz w:val="20"/>
                      <w:szCs w:val="20"/>
                      <w:lang w:val="en-US" w:eastAsia="zh-CN"/>
                    </w:rPr>
                  </w:pPr>
                  <w:r>
                    <w:rPr>
                      <w:color w:val="auto"/>
                      <w:sz w:val="20"/>
                      <w:szCs w:val="20"/>
                    </w:rPr>
                    <w:t>16～36</w:t>
                  </w:r>
                </w:p>
              </w:tc>
              <w:tc>
                <w:tcPr>
                  <w:tcW w:w="842" w:type="dxa"/>
                  <w:vAlign w:val="center"/>
                </w:tcPr>
                <w:p w14:paraId="6A055672">
                  <w:pPr>
                    <w:bidi w:val="0"/>
                    <w:jc w:val="center"/>
                    <w:rPr>
                      <w:rFonts w:hint="default"/>
                      <w:color w:val="auto"/>
                      <w:sz w:val="20"/>
                      <w:szCs w:val="20"/>
                      <w:lang w:val="en-US" w:eastAsia="zh-CN"/>
                    </w:rPr>
                  </w:pPr>
                  <w:r>
                    <w:rPr>
                      <w:color w:val="auto"/>
                      <w:sz w:val="20"/>
                      <w:szCs w:val="20"/>
                    </w:rPr>
                    <w:t>2.28～14.63</w:t>
                  </w:r>
                </w:p>
              </w:tc>
              <w:tc>
                <w:tcPr>
                  <w:tcW w:w="842" w:type="dxa"/>
                  <w:vAlign w:val="center"/>
                </w:tcPr>
                <w:p w14:paraId="63605476">
                  <w:pPr>
                    <w:bidi w:val="0"/>
                    <w:jc w:val="center"/>
                    <w:rPr>
                      <w:rFonts w:hint="default"/>
                      <w:color w:val="auto"/>
                      <w:sz w:val="20"/>
                      <w:szCs w:val="20"/>
                      <w:lang w:val="en-US" w:eastAsia="zh-CN"/>
                    </w:rPr>
                  </w:pPr>
                  <w:r>
                    <w:rPr>
                      <w:color w:val="auto"/>
                      <w:sz w:val="20"/>
                      <w:szCs w:val="20"/>
                    </w:rPr>
                    <w:t>0.42～2.32</w:t>
                  </w:r>
                </w:p>
              </w:tc>
              <w:tc>
                <w:tcPr>
                  <w:tcW w:w="842" w:type="dxa"/>
                  <w:vAlign w:val="center"/>
                </w:tcPr>
                <w:p w14:paraId="4567FA73">
                  <w:pPr>
                    <w:bidi w:val="0"/>
                    <w:jc w:val="center"/>
                    <w:rPr>
                      <w:rFonts w:hint="default"/>
                      <w:color w:val="auto"/>
                      <w:sz w:val="20"/>
                      <w:szCs w:val="20"/>
                      <w:lang w:val="en-US" w:eastAsia="zh-CN"/>
                    </w:rPr>
                  </w:pPr>
                  <w:r>
                    <w:rPr>
                      <w:color w:val="auto"/>
                      <w:sz w:val="20"/>
                      <w:szCs w:val="20"/>
                    </w:rPr>
                    <w:t>0.44～2.41</w:t>
                  </w:r>
                </w:p>
              </w:tc>
              <w:tc>
                <w:tcPr>
                  <w:tcW w:w="842" w:type="dxa"/>
                  <w:vAlign w:val="center"/>
                </w:tcPr>
                <w:p w14:paraId="24B6D686">
                  <w:pPr>
                    <w:bidi w:val="0"/>
                    <w:jc w:val="center"/>
                    <w:rPr>
                      <w:rFonts w:hint="default"/>
                      <w:color w:val="auto"/>
                      <w:sz w:val="20"/>
                      <w:szCs w:val="20"/>
                      <w:lang w:val="en-US" w:eastAsia="zh-CN"/>
                    </w:rPr>
                  </w:pPr>
                  <w:r>
                    <w:rPr>
                      <w:color w:val="auto"/>
                      <w:sz w:val="20"/>
                      <w:szCs w:val="20"/>
                    </w:rPr>
                    <w:t>0.90～4</w:t>
                  </w:r>
                </w:p>
              </w:tc>
              <w:tc>
                <w:tcPr>
                  <w:tcW w:w="842" w:type="dxa"/>
                  <w:vAlign w:val="center"/>
                </w:tcPr>
                <w:p w14:paraId="1F1CFA4C">
                  <w:pPr>
                    <w:bidi w:val="0"/>
                    <w:jc w:val="center"/>
                    <w:rPr>
                      <w:rFonts w:hint="default"/>
                      <w:color w:val="auto"/>
                      <w:sz w:val="20"/>
                      <w:szCs w:val="20"/>
                      <w:lang w:val="en-US" w:eastAsia="zh-CN"/>
                    </w:rPr>
                  </w:pPr>
                  <w:r>
                    <w:rPr>
                      <w:color w:val="auto"/>
                      <w:sz w:val="20"/>
                      <w:szCs w:val="20"/>
                    </w:rPr>
                    <w:t>0.007～0.24</w:t>
                  </w:r>
                </w:p>
              </w:tc>
              <w:tc>
                <w:tcPr>
                  <w:tcW w:w="842" w:type="dxa"/>
                  <w:vAlign w:val="center"/>
                </w:tcPr>
                <w:p w14:paraId="6A67F607">
                  <w:pPr>
                    <w:bidi w:val="0"/>
                    <w:jc w:val="center"/>
                    <w:rPr>
                      <w:color w:val="auto"/>
                      <w:sz w:val="20"/>
                      <w:szCs w:val="20"/>
                    </w:rPr>
                  </w:pPr>
                  <w:r>
                    <w:rPr>
                      <w:color w:val="auto"/>
                      <w:sz w:val="20"/>
                      <w:szCs w:val="20"/>
                    </w:rPr>
                    <w:t>1.45～3.9</w:t>
                  </w:r>
                </w:p>
              </w:tc>
              <w:tc>
                <w:tcPr>
                  <w:tcW w:w="842" w:type="dxa"/>
                  <w:vAlign w:val="center"/>
                </w:tcPr>
                <w:p w14:paraId="1C653C46">
                  <w:pPr>
                    <w:bidi w:val="0"/>
                    <w:jc w:val="center"/>
                    <w:rPr>
                      <w:color w:val="auto"/>
                      <w:sz w:val="20"/>
                      <w:szCs w:val="20"/>
                    </w:rPr>
                  </w:pPr>
                  <w:r>
                    <w:rPr>
                      <w:color w:val="auto"/>
                      <w:sz w:val="20"/>
                      <w:szCs w:val="20"/>
                    </w:rPr>
                    <w:t>0.008～0.03</w:t>
                  </w:r>
                </w:p>
              </w:tc>
            </w:tr>
          </w:tbl>
          <w:p w14:paraId="1ADD675E">
            <w:pPr>
              <w:pStyle w:val="2"/>
              <w:jc w:val="center"/>
              <w:rPr>
                <w:rFonts w:hint="default"/>
                <w:color w:val="auto"/>
                <w:lang w:val="en-US" w:eastAsia="zh-CN"/>
              </w:rPr>
            </w:pPr>
          </w:p>
          <w:p w14:paraId="14E130C0">
            <w:pPr>
              <w:pStyle w:val="2"/>
              <w:jc w:val="left"/>
              <w:rPr>
                <w:rFonts w:hint="eastAsia" w:ascii="Times New Roman" w:hAnsi="Times New Roman" w:eastAsia="宋体" w:cs="Times New Roman"/>
                <w:color w:val="auto"/>
                <w:kern w:val="2"/>
                <w:sz w:val="24"/>
                <w:szCs w:val="24"/>
                <w:lang w:val="en-US" w:eastAsia="zh-CN" w:bidi="ar-SA"/>
              </w:rPr>
            </w:pPr>
            <w:r>
              <w:rPr>
                <w:rFonts w:hint="eastAsia"/>
                <w:color w:val="auto"/>
                <w:lang w:val="en-US" w:eastAsia="zh-CN"/>
              </w:rPr>
              <w:t xml:space="preserve">     </w:t>
            </w:r>
            <w:r>
              <w:rPr>
                <w:rFonts w:hint="eastAsia" w:ascii="Times New Roman" w:hAnsi="Times New Roman" w:eastAsia="宋体" w:cs="Times New Roman"/>
                <w:color w:val="auto"/>
                <w:kern w:val="2"/>
                <w:sz w:val="24"/>
                <w:szCs w:val="24"/>
                <w:lang w:val="en-US" w:eastAsia="zh-CN" w:bidi="ar-SA"/>
              </w:rPr>
              <w:t>建筑弃土主要成分见下表：</w:t>
            </w:r>
          </w:p>
          <w:p w14:paraId="52EC9193">
            <w:pPr>
              <w:pStyle w:val="2"/>
              <w:jc w:val="center"/>
              <w:rPr>
                <w:rFonts w:hint="eastAsia"/>
                <w:b/>
                <w:bCs/>
                <w:color w:val="auto"/>
                <w:lang w:val="en-US" w:eastAsia="zh-CN"/>
              </w:rPr>
            </w:pPr>
            <w:r>
              <w:rPr>
                <w:rFonts w:hint="eastAsia"/>
                <w:b/>
                <w:bCs/>
                <w:color w:val="auto"/>
                <w:lang w:eastAsia="zh-CN"/>
              </w:rPr>
              <w:t>表</w:t>
            </w:r>
            <w:r>
              <w:rPr>
                <w:rFonts w:hint="eastAsia"/>
                <w:b/>
                <w:bCs/>
                <w:color w:val="auto"/>
                <w:lang w:val="en-US" w:eastAsia="zh-CN"/>
              </w:rPr>
              <w:t>2-6 建筑弃土主要成分表</w:t>
            </w:r>
          </w:p>
          <w:tbl>
            <w:tblPr>
              <w:tblStyle w:val="38"/>
              <w:tblW w:w="8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909"/>
              <w:gridCol w:w="1050"/>
              <w:gridCol w:w="1050"/>
              <w:gridCol w:w="1053"/>
              <w:gridCol w:w="1053"/>
              <w:gridCol w:w="1053"/>
              <w:gridCol w:w="1053"/>
            </w:tblGrid>
            <w:tr w14:paraId="7B74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92" w:type="dxa"/>
                  <w:vAlign w:val="center"/>
                </w:tcPr>
                <w:p w14:paraId="5B73B12C">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b w:val="0"/>
                      <w:bCs w:val="0"/>
                      <w:color w:val="auto"/>
                      <w:vertAlign w:val="baseline"/>
                      <w:lang w:val="en-US" w:eastAsia="zh-CN"/>
                    </w:rPr>
                  </w:pPr>
                  <w:r>
                    <w:rPr>
                      <w:rFonts w:hint="eastAsia"/>
                      <w:b w:val="0"/>
                      <w:bCs w:val="0"/>
                      <w:color w:val="auto"/>
                      <w:vertAlign w:val="baseline"/>
                      <w:lang w:val="en-US" w:eastAsia="zh-CN"/>
                    </w:rPr>
                    <w:t>原料名称</w:t>
                  </w:r>
                </w:p>
              </w:tc>
              <w:tc>
                <w:tcPr>
                  <w:tcW w:w="909" w:type="dxa"/>
                  <w:vAlign w:val="center"/>
                </w:tcPr>
                <w:p w14:paraId="7BB8FC88">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b w:val="0"/>
                      <w:bCs w:val="0"/>
                      <w:color w:val="auto"/>
                      <w:vertAlign w:val="baseline"/>
                      <w:lang w:val="en-US" w:eastAsia="zh-CN"/>
                    </w:rPr>
                  </w:pPr>
                  <w:r>
                    <w:rPr>
                      <w:rFonts w:hint="eastAsia"/>
                      <w:b w:val="0"/>
                      <w:bCs w:val="0"/>
                      <w:color w:val="auto"/>
                      <w:vertAlign w:val="baseline"/>
                      <w:lang w:val="en-US" w:eastAsia="zh-CN"/>
                    </w:rPr>
                    <w:t>烧失量</w:t>
                  </w:r>
                </w:p>
              </w:tc>
              <w:tc>
                <w:tcPr>
                  <w:tcW w:w="1050" w:type="dxa"/>
                  <w:vAlign w:val="center"/>
                </w:tcPr>
                <w:p w14:paraId="46297211">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b w:val="0"/>
                      <w:bCs w:val="0"/>
                      <w:color w:val="auto"/>
                      <w:vertAlign w:val="baseline"/>
                      <w:lang w:val="en-US" w:eastAsia="zh-CN"/>
                    </w:rPr>
                  </w:pPr>
                  <w:r>
                    <w:rPr>
                      <w:rFonts w:hint="eastAsia"/>
                      <w:b w:val="0"/>
                      <w:bCs w:val="0"/>
                      <w:color w:val="auto"/>
                      <w:vertAlign w:val="baseline"/>
                      <w:lang w:val="en-US" w:eastAsia="zh-CN"/>
                    </w:rPr>
                    <w:t>SiO</w:t>
                  </w:r>
                  <w:r>
                    <w:rPr>
                      <w:rFonts w:hint="eastAsia"/>
                      <w:b w:val="0"/>
                      <w:bCs w:val="0"/>
                      <w:color w:val="auto"/>
                      <w:vertAlign w:val="subscript"/>
                      <w:lang w:val="en-US" w:eastAsia="zh-CN"/>
                    </w:rPr>
                    <w:t>2</w:t>
                  </w:r>
                </w:p>
              </w:tc>
              <w:tc>
                <w:tcPr>
                  <w:tcW w:w="1050" w:type="dxa"/>
                  <w:vAlign w:val="center"/>
                </w:tcPr>
                <w:p w14:paraId="42DB7DBA">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b w:val="0"/>
                      <w:bCs w:val="0"/>
                      <w:color w:val="auto"/>
                      <w:vertAlign w:val="baseline"/>
                      <w:lang w:val="en-US" w:eastAsia="zh-CN"/>
                    </w:rPr>
                  </w:pPr>
                  <w:r>
                    <w:rPr>
                      <w:rFonts w:hint="eastAsia"/>
                      <w:b w:val="0"/>
                      <w:bCs w:val="0"/>
                      <w:color w:val="auto"/>
                      <w:vertAlign w:val="baseline"/>
                      <w:lang w:val="en-US" w:eastAsia="zh-CN"/>
                    </w:rPr>
                    <w:t>Fe</w:t>
                  </w:r>
                  <w:r>
                    <w:rPr>
                      <w:rFonts w:hint="eastAsia"/>
                      <w:b w:val="0"/>
                      <w:bCs w:val="0"/>
                      <w:color w:val="auto"/>
                      <w:vertAlign w:val="subscript"/>
                      <w:lang w:val="en-US" w:eastAsia="zh-CN"/>
                    </w:rPr>
                    <w:t>2</w:t>
                  </w:r>
                  <w:r>
                    <w:rPr>
                      <w:rFonts w:hint="eastAsia"/>
                      <w:b w:val="0"/>
                      <w:bCs w:val="0"/>
                      <w:color w:val="auto"/>
                      <w:vertAlign w:val="baseline"/>
                      <w:lang w:val="en-US" w:eastAsia="zh-CN"/>
                    </w:rPr>
                    <w:t>O</w:t>
                  </w:r>
                  <w:r>
                    <w:rPr>
                      <w:rFonts w:hint="eastAsia"/>
                      <w:b w:val="0"/>
                      <w:bCs w:val="0"/>
                      <w:color w:val="auto"/>
                      <w:vertAlign w:val="subscript"/>
                      <w:lang w:val="en-US" w:eastAsia="zh-CN"/>
                    </w:rPr>
                    <w:t>3</w:t>
                  </w:r>
                </w:p>
              </w:tc>
              <w:tc>
                <w:tcPr>
                  <w:tcW w:w="1053" w:type="dxa"/>
                  <w:vAlign w:val="center"/>
                </w:tcPr>
                <w:p w14:paraId="1424D833">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b w:val="0"/>
                      <w:bCs w:val="0"/>
                      <w:color w:val="auto"/>
                      <w:vertAlign w:val="baseline"/>
                      <w:lang w:val="en-US" w:eastAsia="zh-CN"/>
                    </w:rPr>
                  </w:pPr>
                  <w:r>
                    <w:rPr>
                      <w:rFonts w:hint="eastAsia"/>
                      <w:b w:val="0"/>
                      <w:bCs w:val="0"/>
                      <w:color w:val="auto"/>
                      <w:vertAlign w:val="baseline"/>
                      <w:lang w:val="en-US" w:eastAsia="zh-CN"/>
                    </w:rPr>
                    <w:t>Al</w:t>
                  </w:r>
                  <w:r>
                    <w:rPr>
                      <w:rFonts w:hint="eastAsia"/>
                      <w:b w:val="0"/>
                      <w:bCs w:val="0"/>
                      <w:color w:val="auto"/>
                      <w:vertAlign w:val="subscript"/>
                      <w:lang w:val="en-US" w:eastAsia="zh-CN"/>
                    </w:rPr>
                    <w:t>2</w:t>
                  </w:r>
                  <w:r>
                    <w:rPr>
                      <w:rFonts w:hint="eastAsia"/>
                      <w:b w:val="0"/>
                      <w:bCs w:val="0"/>
                      <w:color w:val="auto"/>
                      <w:vertAlign w:val="baseline"/>
                      <w:lang w:val="en-US" w:eastAsia="zh-CN"/>
                    </w:rPr>
                    <w:t>O</w:t>
                  </w:r>
                  <w:r>
                    <w:rPr>
                      <w:rFonts w:hint="eastAsia"/>
                      <w:b w:val="0"/>
                      <w:bCs w:val="0"/>
                      <w:color w:val="auto"/>
                      <w:vertAlign w:val="subscript"/>
                      <w:lang w:val="en-US" w:eastAsia="zh-CN"/>
                    </w:rPr>
                    <w:t>3</w:t>
                  </w:r>
                </w:p>
              </w:tc>
              <w:tc>
                <w:tcPr>
                  <w:tcW w:w="1053" w:type="dxa"/>
                  <w:vAlign w:val="center"/>
                </w:tcPr>
                <w:p w14:paraId="055CAB00">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b w:val="0"/>
                      <w:bCs w:val="0"/>
                      <w:color w:val="auto"/>
                      <w:vertAlign w:val="baseline"/>
                      <w:lang w:val="en-US" w:eastAsia="zh-CN"/>
                    </w:rPr>
                  </w:pPr>
                  <w:r>
                    <w:rPr>
                      <w:rFonts w:hint="eastAsia"/>
                      <w:b w:val="0"/>
                      <w:bCs w:val="0"/>
                      <w:color w:val="auto"/>
                      <w:vertAlign w:val="baseline"/>
                      <w:lang w:val="en-US" w:eastAsia="zh-CN"/>
                    </w:rPr>
                    <w:t>CaO</w:t>
                  </w:r>
                </w:p>
              </w:tc>
              <w:tc>
                <w:tcPr>
                  <w:tcW w:w="1053" w:type="dxa"/>
                  <w:vAlign w:val="center"/>
                </w:tcPr>
                <w:p w14:paraId="469AC28F">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b w:val="0"/>
                      <w:bCs w:val="0"/>
                      <w:color w:val="auto"/>
                      <w:vertAlign w:val="baseline"/>
                      <w:lang w:val="en-US" w:eastAsia="zh-CN"/>
                    </w:rPr>
                  </w:pPr>
                  <w:r>
                    <w:rPr>
                      <w:rFonts w:hint="eastAsia"/>
                      <w:b w:val="0"/>
                      <w:bCs w:val="0"/>
                      <w:color w:val="auto"/>
                      <w:vertAlign w:val="baseline"/>
                      <w:lang w:val="en-US" w:eastAsia="zh-CN"/>
                    </w:rPr>
                    <w:t>MgO</w:t>
                  </w:r>
                </w:p>
              </w:tc>
              <w:tc>
                <w:tcPr>
                  <w:tcW w:w="1053" w:type="dxa"/>
                  <w:vAlign w:val="center"/>
                </w:tcPr>
                <w:p w14:paraId="70D35DFB">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b w:val="0"/>
                      <w:bCs w:val="0"/>
                      <w:color w:val="auto"/>
                      <w:vertAlign w:val="baseline"/>
                      <w:lang w:val="en-US" w:eastAsia="zh-CN"/>
                    </w:rPr>
                  </w:pPr>
                  <w:r>
                    <w:rPr>
                      <w:rFonts w:hint="eastAsia"/>
                      <w:b w:val="0"/>
                      <w:bCs w:val="0"/>
                      <w:color w:val="auto"/>
                      <w:vertAlign w:val="baseline"/>
                      <w:lang w:val="en-US" w:eastAsia="zh-CN"/>
                    </w:rPr>
                    <w:t>盐含量</w:t>
                  </w:r>
                </w:p>
              </w:tc>
            </w:tr>
            <w:tr w14:paraId="1F2B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92" w:type="dxa"/>
                  <w:vAlign w:val="center"/>
                </w:tcPr>
                <w:p w14:paraId="46AED1C2">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b w:val="0"/>
                      <w:bCs w:val="0"/>
                      <w:color w:val="auto"/>
                      <w:vertAlign w:val="baseline"/>
                      <w:lang w:val="en-US" w:eastAsia="zh-CN"/>
                    </w:rPr>
                  </w:pPr>
                  <w:r>
                    <w:rPr>
                      <w:rFonts w:hint="eastAsia"/>
                      <w:b w:val="0"/>
                      <w:bCs w:val="0"/>
                      <w:color w:val="auto"/>
                      <w:vertAlign w:val="baseline"/>
                      <w:lang w:val="en-US" w:eastAsia="zh-CN"/>
                    </w:rPr>
                    <w:t>建筑弃土</w:t>
                  </w:r>
                </w:p>
              </w:tc>
              <w:tc>
                <w:tcPr>
                  <w:tcW w:w="909" w:type="dxa"/>
                  <w:vAlign w:val="center"/>
                </w:tcPr>
                <w:p w14:paraId="35F03080">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b w:val="0"/>
                      <w:bCs w:val="0"/>
                      <w:color w:val="auto"/>
                      <w:vertAlign w:val="baseline"/>
                      <w:lang w:val="en-US" w:eastAsia="zh-CN"/>
                    </w:rPr>
                  </w:pPr>
                  <w:r>
                    <w:rPr>
                      <w:rFonts w:hint="eastAsia"/>
                      <w:b w:val="0"/>
                      <w:bCs w:val="0"/>
                      <w:color w:val="auto"/>
                      <w:vertAlign w:val="baseline"/>
                      <w:lang w:val="en-US" w:eastAsia="zh-CN"/>
                    </w:rPr>
                    <w:t>7.06</w:t>
                  </w:r>
                </w:p>
              </w:tc>
              <w:tc>
                <w:tcPr>
                  <w:tcW w:w="1050" w:type="dxa"/>
                  <w:vAlign w:val="center"/>
                </w:tcPr>
                <w:p w14:paraId="55B7B816">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b w:val="0"/>
                      <w:bCs w:val="0"/>
                      <w:color w:val="auto"/>
                      <w:vertAlign w:val="baseline"/>
                      <w:lang w:val="en-US" w:eastAsia="zh-CN"/>
                    </w:rPr>
                  </w:pPr>
                  <w:r>
                    <w:rPr>
                      <w:rFonts w:hint="eastAsia"/>
                      <w:b w:val="0"/>
                      <w:bCs w:val="0"/>
                      <w:color w:val="auto"/>
                      <w:vertAlign w:val="baseline"/>
                      <w:lang w:val="en-US" w:eastAsia="zh-CN"/>
                    </w:rPr>
                    <w:t>60.25</w:t>
                  </w:r>
                </w:p>
              </w:tc>
              <w:tc>
                <w:tcPr>
                  <w:tcW w:w="1050" w:type="dxa"/>
                  <w:vAlign w:val="center"/>
                </w:tcPr>
                <w:p w14:paraId="03D79F10">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b w:val="0"/>
                      <w:bCs w:val="0"/>
                      <w:color w:val="auto"/>
                      <w:vertAlign w:val="baseline"/>
                      <w:lang w:val="en-US" w:eastAsia="zh-CN"/>
                    </w:rPr>
                  </w:pPr>
                  <w:r>
                    <w:rPr>
                      <w:rFonts w:hint="eastAsia"/>
                      <w:b w:val="0"/>
                      <w:bCs w:val="0"/>
                      <w:color w:val="auto"/>
                      <w:vertAlign w:val="baseline"/>
                      <w:lang w:val="en-US" w:eastAsia="zh-CN"/>
                    </w:rPr>
                    <w:t>56.8</w:t>
                  </w:r>
                </w:p>
              </w:tc>
              <w:tc>
                <w:tcPr>
                  <w:tcW w:w="1053" w:type="dxa"/>
                  <w:vAlign w:val="center"/>
                </w:tcPr>
                <w:p w14:paraId="7390646A">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b w:val="0"/>
                      <w:bCs w:val="0"/>
                      <w:color w:val="auto"/>
                      <w:vertAlign w:val="baseline"/>
                      <w:lang w:val="en-US" w:eastAsia="zh-CN"/>
                    </w:rPr>
                  </w:pPr>
                  <w:r>
                    <w:rPr>
                      <w:rFonts w:hint="eastAsia"/>
                      <w:b w:val="0"/>
                      <w:bCs w:val="0"/>
                      <w:color w:val="auto"/>
                      <w:vertAlign w:val="baseline"/>
                      <w:lang w:val="en-US" w:eastAsia="zh-CN"/>
                    </w:rPr>
                    <w:t>14.81</w:t>
                  </w:r>
                </w:p>
              </w:tc>
              <w:tc>
                <w:tcPr>
                  <w:tcW w:w="1053" w:type="dxa"/>
                  <w:vAlign w:val="center"/>
                </w:tcPr>
                <w:p w14:paraId="2AA33B2E">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b w:val="0"/>
                      <w:bCs w:val="0"/>
                      <w:color w:val="auto"/>
                      <w:vertAlign w:val="baseline"/>
                      <w:lang w:val="en-US" w:eastAsia="zh-CN"/>
                    </w:rPr>
                  </w:pPr>
                  <w:r>
                    <w:rPr>
                      <w:rFonts w:hint="eastAsia"/>
                      <w:b w:val="0"/>
                      <w:bCs w:val="0"/>
                      <w:color w:val="auto"/>
                      <w:vertAlign w:val="baseline"/>
                      <w:lang w:val="en-US" w:eastAsia="zh-CN"/>
                    </w:rPr>
                    <w:t>2.7</w:t>
                  </w:r>
                </w:p>
              </w:tc>
              <w:tc>
                <w:tcPr>
                  <w:tcW w:w="1053" w:type="dxa"/>
                  <w:vAlign w:val="center"/>
                </w:tcPr>
                <w:p w14:paraId="25C74744">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b w:val="0"/>
                      <w:bCs w:val="0"/>
                      <w:color w:val="auto"/>
                      <w:vertAlign w:val="baseline"/>
                      <w:lang w:val="en-US" w:eastAsia="zh-CN"/>
                    </w:rPr>
                  </w:pPr>
                  <w:r>
                    <w:rPr>
                      <w:rFonts w:hint="eastAsia"/>
                      <w:b w:val="0"/>
                      <w:bCs w:val="0"/>
                      <w:color w:val="auto"/>
                      <w:vertAlign w:val="baseline"/>
                      <w:lang w:val="en-US" w:eastAsia="zh-CN"/>
                    </w:rPr>
                    <w:t>2.02</w:t>
                  </w:r>
                </w:p>
              </w:tc>
              <w:tc>
                <w:tcPr>
                  <w:tcW w:w="1053" w:type="dxa"/>
                  <w:vAlign w:val="center"/>
                </w:tcPr>
                <w:p w14:paraId="32B5CF81">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b w:val="0"/>
                      <w:bCs w:val="0"/>
                      <w:color w:val="auto"/>
                      <w:vertAlign w:val="baseline"/>
                      <w:lang w:val="en-US" w:eastAsia="zh-CN"/>
                    </w:rPr>
                  </w:pPr>
                  <w:r>
                    <w:rPr>
                      <w:rFonts w:hint="eastAsia"/>
                      <w:b w:val="0"/>
                      <w:bCs w:val="0"/>
                      <w:color w:val="auto"/>
                      <w:vertAlign w:val="baseline"/>
                      <w:lang w:val="en-US" w:eastAsia="zh-CN"/>
                    </w:rPr>
                    <w:t>0.97</w:t>
                  </w:r>
                </w:p>
              </w:tc>
            </w:tr>
          </w:tbl>
          <w:p w14:paraId="322B3587">
            <w:pPr>
              <w:tabs>
                <w:tab w:val="left" w:pos="1180"/>
              </w:tabs>
              <w:spacing w:before="240" w:beforeLines="100" w:line="360" w:lineRule="auto"/>
              <w:ind w:firstLine="480" w:firstLineChars="200"/>
              <w:jc w:val="left"/>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本项目所使用的污泥为城镇污水处理厂处理后的污泥，为一般固体废物，不涉及危险废物处置。污泥使用应满足《城镇污水处理厂污泥处置 制砖用泥质》（GB 25031-2010）相关限值，具体见下表：</w:t>
            </w:r>
          </w:p>
          <w:p w14:paraId="724E7095">
            <w:pPr>
              <w:widowControl/>
              <w:spacing w:line="360" w:lineRule="auto"/>
              <w:jc w:val="center"/>
              <w:rPr>
                <w:rFonts w:hint="eastAsia" w:cs="Times New Roman"/>
                <w:b/>
                <w:color w:val="auto"/>
                <w:kern w:val="0"/>
                <w:sz w:val="21"/>
                <w:szCs w:val="18"/>
                <w:lang w:eastAsia="zh-CN"/>
              </w:rPr>
            </w:pPr>
            <w:r>
              <w:rPr>
                <w:rFonts w:ascii="Times New Roman" w:hAnsi="Times New Roman" w:cs="Times New Roman"/>
                <w:b/>
                <w:color w:val="auto"/>
                <w:kern w:val="0"/>
                <w:sz w:val="21"/>
                <w:szCs w:val="18"/>
              </w:rPr>
              <w:t>表</w:t>
            </w:r>
            <w:r>
              <w:rPr>
                <w:rFonts w:hint="eastAsia" w:ascii="Times New Roman" w:hAnsi="Times New Roman" w:cs="Times New Roman"/>
                <w:b/>
                <w:color w:val="auto"/>
                <w:kern w:val="0"/>
                <w:sz w:val="21"/>
                <w:szCs w:val="18"/>
              </w:rPr>
              <w:t>2</w:t>
            </w:r>
            <w:r>
              <w:rPr>
                <w:rFonts w:hint="eastAsia" w:cs="Times New Roman"/>
                <w:b/>
                <w:color w:val="auto"/>
                <w:kern w:val="0"/>
                <w:sz w:val="21"/>
                <w:szCs w:val="18"/>
                <w:lang w:val="en-US" w:eastAsia="zh-CN"/>
              </w:rPr>
              <w:t>-5</w:t>
            </w:r>
            <w:r>
              <w:rPr>
                <w:rFonts w:hint="eastAsia" w:ascii="Times New Roman" w:hAnsi="Times New Roman" w:cs="Times New Roman"/>
                <w:b/>
                <w:color w:val="auto"/>
                <w:kern w:val="0"/>
                <w:sz w:val="21"/>
                <w:szCs w:val="18"/>
              </w:rPr>
              <w:t xml:space="preserve">  </w:t>
            </w:r>
            <w:r>
              <w:rPr>
                <w:rFonts w:hint="eastAsia" w:cs="Times New Roman"/>
                <w:b/>
                <w:color w:val="auto"/>
                <w:kern w:val="0"/>
                <w:sz w:val="21"/>
                <w:szCs w:val="18"/>
                <w:lang w:eastAsia="zh-CN"/>
              </w:rPr>
              <w:t>制砖用泥质要求</w:t>
            </w:r>
          </w:p>
          <w:tbl>
            <w:tblPr>
              <w:tblStyle w:val="3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516"/>
              <w:gridCol w:w="1757"/>
              <w:gridCol w:w="1763"/>
            </w:tblGrid>
            <w:tr w14:paraId="79A6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323" w:type="dxa"/>
                  <w:vAlign w:val="center"/>
                </w:tcPr>
                <w:p w14:paraId="5C424F78">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eastAsia="宋体"/>
                      <w:color w:val="auto"/>
                      <w:vertAlign w:val="baseline"/>
                      <w:lang w:eastAsia="zh-CN"/>
                    </w:rPr>
                  </w:pPr>
                  <w:r>
                    <w:rPr>
                      <w:rFonts w:hint="eastAsia"/>
                      <w:color w:val="auto"/>
                      <w:vertAlign w:val="baseline"/>
                      <w:lang w:eastAsia="zh-CN"/>
                    </w:rPr>
                    <w:t>指标类别</w:t>
                  </w:r>
                </w:p>
              </w:tc>
              <w:tc>
                <w:tcPr>
                  <w:tcW w:w="7036" w:type="dxa"/>
                  <w:gridSpan w:val="3"/>
                  <w:vAlign w:val="center"/>
                </w:tcPr>
                <w:p w14:paraId="6943FF72">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color w:val="auto"/>
                      <w:vertAlign w:val="baseline"/>
                    </w:rPr>
                  </w:pPr>
                  <w:r>
                    <w:rPr>
                      <w:rFonts w:hint="eastAsia"/>
                      <w:color w:val="auto"/>
                      <w:vertAlign w:val="baseline"/>
                      <w:lang w:eastAsia="zh-CN"/>
                    </w:rPr>
                    <w:t>要求</w:t>
                  </w:r>
                </w:p>
              </w:tc>
            </w:tr>
            <w:tr w14:paraId="3CDE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323" w:type="dxa"/>
                  <w:vAlign w:val="center"/>
                </w:tcPr>
                <w:p w14:paraId="563B623E">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eastAsia="宋体"/>
                      <w:color w:val="auto"/>
                      <w:vertAlign w:val="baseline"/>
                      <w:lang w:eastAsia="zh-CN"/>
                    </w:rPr>
                  </w:pPr>
                  <w:r>
                    <w:rPr>
                      <w:rFonts w:hint="eastAsia"/>
                      <w:color w:val="auto"/>
                      <w:vertAlign w:val="baseline"/>
                      <w:lang w:eastAsia="zh-CN"/>
                    </w:rPr>
                    <w:t>嗅觉</w:t>
                  </w:r>
                </w:p>
              </w:tc>
              <w:tc>
                <w:tcPr>
                  <w:tcW w:w="7036" w:type="dxa"/>
                  <w:gridSpan w:val="3"/>
                  <w:vAlign w:val="center"/>
                </w:tcPr>
                <w:p w14:paraId="233D33E2">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eastAsia="宋体"/>
                      <w:color w:val="auto"/>
                      <w:vertAlign w:val="baseline"/>
                      <w:lang w:eastAsia="zh-CN"/>
                    </w:rPr>
                  </w:pPr>
                  <w:r>
                    <w:rPr>
                      <w:rFonts w:hint="eastAsia"/>
                      <w:color w:val="auto"/>
                      <w:vertAlign w:val="baseline"/>
                      <w:lang w:eastAsia="zh-CN"/>
                    </w:rPr>
                    <w:t>无明显刺激性臭味</w:t>
                  </w:r>
                </w:p>
              </w:tc>
            </w:tr>
            <w:tr w14:paraId="0A37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23" w:type="dxa"/>
                  <w:vAlign w:val="center"/>
                </w:tcPr>
                <w:p w14:paraId="16DE2BF2">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eastAsia="宋体"/>
                      <w:color w:val="auto"/>
                      <w:vertAlign w:val="baseline"/>
                      <w:lang w:eastAsia="zh-CN"/>
                    </w:rPr>
                  </w:pPr>
                  <w:r>
                    <w:rPr>
                      <w:rFonts w:hint="eastAsia"/>
                      <w:color w:val="auto"/>
                      <w:vertAlign w:val="baseline"/>
                      <w:lang w:eastAsia="zh-CN"/>
                    </w:rPr>
                    <w:t>稳定化指标</w:t>
                  </w:r>
                </w:p>
              </w:tc>
              <w:tc>
                <w:tcPr>
                  <w:tcW w:w="7036" w:type="dxa"/>
                  <w:gridSpan w:val="3"/>
                  <w:vAlign w:val="center"/>
                </w:tcPr>
                <w:p w14:paraId="673375EC">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eastAsia="宋体"/>
                      <w:color w:val="auto"/>
                      <w:vertAlign w:val="baseline"/>
                      <w:lang w:val="en-US" w:eastAsia="zh-CN"/>
                    </w:rPr>
                  </w:pPr>
                  <w:r>
                    <w:rPr>
                      <w:rFonts w:hint="eastAsia"/>
                      <w:color w:val="auto"/>
                      <w:vertAlign w:val="baseline"/>
                      <w:lang w:eastAsia="zh-CN"/>
                    </w:rPr>
                    <w:t>污泥制砖</w:t>
                  </w:r>
                  <w:r>
                    <w:rPr>
                      <w:rFonts w:hint="eastAsia"/>
                      <w:color w:val="auto"/>
                      <w:vertAlign w:val="baseline"/>
                      <w:lang w:val="en-US" w:eastAsia="zh-CN"/>
                    </w:rPr>
                    <w:t>利用前应满足GB 18918 中的稳定化指标</w:t>
                  </w:r>
                </w:p>
              </w:tc>
            </w:tr>
            <w:tr w14:paraId="152B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23" w:type="dxa"/>
                  <w:vMerge w:val="restart"/>
                  <w:vAlign w:val="center"/>
                </w:tcPr>
                <w:p w14:paraId="714C61BE">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eastAsia="宋体"/>
                      <w:color w:val="auto"/>
                      <w:vertAlign w:val="baseline"/>
                      <w:lang w:eastAsia="zh-CN"/>
                    </w:rPr>
                  </w:pPr>
                  <w:r>
                    <w:rPr>
                      <w:rFonts w:hint="eastAsia"/>
                      <w:color w:val="auto"/>
                      <w:vertAlign w:val="baseline"/>
                      <w:lang w:eastAsia="zh-CN"/>
                    </w:rPr>
                    <w:t>理化指标</w:t>
                  </w:r>
                </w:p>
              </w:tc>
              <w:tc>
                <w:tcPr>
                  <w:tcW w:w="3516" w:type="dxa"/>
                  <w:vAlign w:val="center"/>
                </w:tcPr>
                <w:p w14:paraId="171FD700">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eastAsia="宋体"/>
                      <w:color w:val="auto"/>
                      <w:vertAlign w:val="baseline"/>
                      <w:lang w:eastAsia="zh-CN"/>
                    </w:rPr>
                  </w:pPr>
                  <w:r>
                    <w:rPr>
                      <w:rFonts w:hint="eastAsia"/>
                      <w:color w:val="auto"/>
                      <w:vertAlign w:val="baseline"/>
                      <w:lang w:eastAsia="zh-CN"/>
                    </w:rPr>
                    <w:t>控制项目</w:t>
                  </w:r>
                </w:p>
              </w:tc>
              <w:tc>
                <w:tcPr>
                  <w:tcW w:w="3520" w:type="dxa"/>
                  <w:gridSpan w:val="2"/>
                  <w:vAlign w:val="center"/>
                </w:tcPr>
                <w:p w14:paraId="0ECA1CCA">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r>
                    <w:rPr>
                      <w:rFonts w:hint="eastAsia"/>
                      <w:color w:val="auto"/>
                      <w:vertAlign w:val="baseline"/>
                      <w:lang w:val="en-US" w:eastAsia="zh-CN"/>
                    </w:rPr>
                    <w:t>限值</w:t>
                  </w:r>
                </w:p>
              </w:tc>
            </w:tr>
            <w:tr w14:paraId="6DDB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23" w:type="dxa"/>
                  <w:vMerge w:val="continue"/>
                  <w:vAlign w:val="center"/>
                </w:tcPr>
                <w:p w14:paraId="74AC8932">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color w:val="auto"/>
                    </w:rPr>
                  </w:pPr>
                </w:p>
              </w:tc>
              <w:tc>
                <w:tcPr>
                  <w:tcW w:w="3516" w:type="dxa"/>
                  <w:vAlign w:val="center"/>
                </w:tcPr>
                <w:p w14:paraId="189ADC48">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color w:val="auto"/>
                    </w:rPr>
                  </w:pPr>
                  <w:r>
                    <w:rPr>
                      <w:rFonts w:hint="eastAsia"/>
                      <w:color w:val="auto"/>
                      <w:vertAlign w:val="baseline"/>
                      <w:lang w:val="en-US" w:eastAsia="zh-CN"/>
                    </w:rPr>
                    <w:t>PH</w:t>
                  </w:r>
                </w:p>
              </w:tc>
              <w:tc>
                <w:tcPr>
                  <w:tcW w:w="3520" w:type="dxa"/>
                  <w:gridSpan w:val="2"/>
                  <w:vAlign w:val="center"/>
                </w:tcPr>
                <w:p w14:paraId="2BA31BFB">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vertAlign w:val="baseline"/>
                      <w:lang w:val="en-US" w:eastAsia="zh-CN"/>
                    </w:rPr>
                  </w:pPr>
                  <w:r>
                    <w:rPr>
                      <w:rFonts w:hint="eastAsia"/>
                      <w:color w:val="auto"/>
                      <w:vertAlign w:val="baseline"/>
                      <w:lang w:val="en-US" w:eastAsia="zh-CN"/>
                    </w:rPr>
                    <w:t>5</w:t>
                  </w:r>
                  <w:r>
                    <w:rPr>
                      <w:rFonts w:hint="eastAsia" w:ascii="宋体" w:hAnsi="宋体" w:eastAsia="宋体" w:cs="宋体"/>
                      <w:color w:val="auto"/>
                      <w:vertAlign w:val="baseline"/>
                      <w:lang w:val="en-US" w:eastAsia="zh-CN"/>
                    </w:rPr>
                    <w:t>～</w:t>
                  </w:r>
                  <w:r>
                    <w:rPr>
                      <w:rFonts w:hint="eastAsia"/>
                      <w:color w:val="auto"/>
                      <w:vertAlign w:val="baseline"/>
                      <w:lang w:val="en-US" w:eastAsia="zh-CN"/>
                    </w:rPr>
                    <w:t>10</w:t>
                  </w:r>
                </w:p>
              </w:tc>
            </w:tr>
            <w:tr w14:paraId="7064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23" w:type="dxa"/>
                  <w:vMerge w:val="continue"/>
                  <w:vAlign w:val="center"/>
                </w:tcPr>
                <w:p w14:paraId="3B373828">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p>
              </w:tc>
              <w:tc>
                <w:tcPr>
                  <w:tcW w:w="3516" w:type="dxa"/>
                  <w:vAlign w:val="center"/>
                </w:tcPr>
                <w:p w14:paraId="183661FB">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r>
                    <w:rPr>
                      <w:rFonts w:hint="eastAsia"/>
                      <w:color w:val="auto"/>
                      <w:vertAlign w:val="baseline"/>
                      <w:lang w:val="en-US" w:eastAsia="zh-CN"/>
                    </w:rPr>
                    <w:t>含水率</w:t>
                  </w:r>
                </w:p>
              </w:tc>
              <w:tc>
                <w:tcPr>
                  <w:tcW w:w="3520" w:type="dxa"/>
                  <w:gridSpan w:val="2"/>
                  <w:vAlign w:val="center"/>
                </w:tcPr>
                <w:p w14:paraId="02B0C940">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vertAlign w:val="baseline"/>
                      <w:lang w:val="en-US" w:eastAsia="zh-CN"/>
                    </w:rPr>
                  </w:pPr>
                  <w:r>
                    <w:rPr>
                      <w:rFonts w:hint="default" w:ascii="Arial" w:hAnsi="Arial" w:cs="Arial"/>
                      <w:color w:val="auto"/>
                      <w:vertAlign w:val="baseline"/>
                      <w:lang w:val="en-US" w:eastAsia="zh-CN"/>
                    </w:rPr>
                    <w:t>≤</w:t>
                  </w:r>
                  <w:r>
                    <w:rPr>
                      <w:rFonts w:hint="eastAsia"/>
                      <w:color w:val="auto"/>
                      <w:vertAlign w:val="baseline"/>
                      <w:lang w:val="en-US" w:eastAsia="zh-CN"/>
                    </w:rPr>
                    <w:t>40%</w:t>
                  </w:r>
                </w:p>
              </w:tc>
            </w:tr>
            <w:tr w14:paraId="2B6D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23" w:type="dxa"/>
                  <w:vMerge w:val="restart"/>
                  <w:vAlign w:val="center"/>
                </w:tcPr>
                <w:p w14:paraId="495B853B">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r>
                    <w:rPr>
                      <w:rFonts w:hint="eastAsia"/>
                      <w:color w:val="auto"/>
                      <w:vertAlign w:val="baseline"/>
                      <w:lang w:val="en-US" w:eastAsia="zh-CN"/>
                    </w:rPr>
                    <w:t>烧失量和放射性核素指标</w:t>
                  </w:r>
                </w:p>
              </w:tc>
              <w:tc>
                <w:tcPr>
                  <w:tcW w:w="3516" w:type="dxa"/>
                  <w:vAlign w:val="center"/>
                </w:tcPr>
                <w:p w14:paraId="2BD058CC">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eastAsia"/>
                      <w:color w:val="auto"/>
                      <w:vertAlign w:val="baseline"/>
                      <w:lang w:val="en-US" w:eastAsia="zh-CN"/>
                    </w:rPr>
                  </w:pPr>
                  <w:r>
                    <w:rPr>
                      <w:rFonts w:hint="eastAsia"/>
                      <w:color w:val="auto"/>
                      <w:vertAlign w:val="baseline"/>
                      <w:lang w:eastAsia="zh-CN"/>
                    </w:rPr>
                    <w:t>控制项目</w:t>
                  </w:r>
                </w:p>
              </w:tc>
              <w:tc>
                <w:tcPr>
                  <w:tcW w:w="3520" w:type="dxa"/>
                  <w:gridSpan w:val="2"/>
                  <w:vAlign w:val="center"/>
                </w:tcPr>
                <w:p w14:paraId="32554D17">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ascii="Arial" w:hAnsi="Arial" w:cs="Arial"/>
                      <w:color w:val="auto"/>
                      <w:vertAlign w:val="baseline"/>
                      <w:lang w:val="en-US" w:eastAsia="zh-CN"/>
                    </w:rPr>
                  </w:pPr>
                  <w:r>
                    <w:rPr>
                      <w:rFonts w:hint="eastAsia"/>
                      <w:color w:val="auto"/>
                      <w:vertAlign w:val="baseline"/>
                      <w:lang w:val="en-US" w:eastAsia="zh-CN"/>
                    </w:rPr>
                    <w:t>限值（干污泥）</w:t>
                  </w:r>
                </w:p>
              </w:tc>
            </w:tr>
            <w:tr w14:paraId="4F88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23" w:type="dxa"/>
                  <w:vMerge w:val="continue"/>
                  <w:vAlign w:val="center"/>
                </w:tcPr>
                <w:p w14:paraId="087F019A">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p>
              </w:tc>
              <w:tc>
                <w:tcPr>
                  <w:tcW w:w="3516" w:type="dxa"/>
                  <w:vAlign w:val="center"/>
                </w:tcPr>
                <w:p w14:paraId="4C7D7918">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r>
                    <w:rPr>
                      <w:rFonts w:hint="eastAsia"/>
                      <w:color w:val="auto"/>
                      <w:vertAlign w:val="baseline"/>
                      <w:lang w:val="en-US" w:eastAsia="zh-CN"/>
                    </w:rPr>
                    <w:t>烧失量</w:t>
                  </w:r>
                </w:p>
              </w:tc>
              <w:tc>
                <w:tcPr>
                  <w:tcW w:w="3520" w:type="dxa"/>
                  <w:gridSpan w:val="2"/>
                  <w:vAlign w:val="center"/>
                </w:tcPr>
                <w:p w14:paraId="3A1749C8">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ascii="Arial" w:hAnsi="Arial" w:cs="Arial"/>
                      <w:color w:val="auto"/>
                      <w:vertAlign w:val="baseline"/>
                      <w:lang w:val="en-US" w:eastAsia="zh-CN"/>
                    </w:rPr>
                  </w:pPr>
                  <w:r>
                    <w:rPr>
                      <w:rFonts w:hint="default" w:ascii="Arial" w:hAnsi="Arial" w:cs="Arial"/>
                      <w:color w:val="auto"/>
                      <w:vertAlign w:val="baseline"/>
                      <w:lang w:val="en-US" w:eastAsia="zh-CN"/>
                    </w:rPr>
                    <w:t>≤</w:t>
                  </w:r>
                  <w:r>
                    <w:rPr>
                      <w:rFonts w:hint="eastAsia"/>
                      <w:color w:val="auto"/>
                      <w:vertAlign w:val="baseline"/>
                      <w:lang w:val="en-US" w:eastAsia="zh-CN"/>
                    </w:rPr>
                    <w:t>50%</w:t>
                  </w:r>
                </w:p>
              </w:tc>
            </w:tr>
            <w:tr w14:paraId="3908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23" w:type="dxa"/>
                  <w:vMerge w:val="continue"/>
                  <w:vAlign w:val="center"/>
                </w:tcPr>
                <w:p w14:paraId="7DE36723">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p>
              </w:tc>
              <w:tc>
                <w:tcPr>
                  <w:tcW w:w="3516" w:type="dxa"/>
                  <w:vAlign w:val="center"/>
                </w:tcPr>
                <w:p w14:paraId="08628979">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r>
                    <w:rPr>
                      <w:rFonts w:hint="eastAsia"/>
                      <w:color w:val="auto"/>
                      <w:vertAlign w:val="baseline"/>
                      <w:lang w:val="en-US" w:eastAsia="zh-CN"/>
                    </w:rPr>
                    <w:t>放射性核素</w:t>
                  </w:r>
                </w:p>
              </w:tc>
              <w:tc>
                <w:tcPr>
                  <w:tcW w:w="1757" w:type="dxa"/>
                  <w:vAlign w:val="center"/>
                </w:tcPr>
                <w:p w14:paraId="0F05715C">
                  <w:pPr>
                    <w:keepNext w:val="0"/>
                    <w:keepLines w:val="0"/>
                    <w:widowControl/>
                    <w:suppressLineNumbers w:val="0"/>
                    <w:jc w:val="center"/>
                    <w:rPr>
                      <w:rFonts w:hint="default" w:ascii="Arial" w:hAnsi="Arial" w:cs="Arial"/>
                      <w:color w:val="auto"/>
                      <w:vertAlign w:val="baseline"/>
                      <w:lang w:val="en-US" w:eastAsia="zh-CN"/>
                    </w:rPr>
                  </w:pPr>
                  <w:r>
                    <w:rPr>
                      <w:rFonts w:hint="eastAsia" w:ascii="宋体" w:hAnsi="宋体" w:eastAsia="宋体" w:cs="宋体"/>
                      <w:color w:val="auto"/>
                      <w:kern w:val="0"/>
                      <w:sz w:val="18"/>
                      <w:szCs w:val="18"/>
                      <w:lang w:val="en-US" w:eastAsia="zh-CN" w:bidi="ar"/>
                    </w:rPr>
                    <w:t>I</w:t>
                  </w:r>
                  <w:r>
                    <w:rPr>
                      <w:rFonts w:hint="eastAsia" w:ascii="宋体" w:hAnsi="宋体" w:eastAsia="宋体" w:cs="宋体"/>
                      <w:color w:val="auto"/>
                      <w:kern w:val="0"/>
                      <w:sz w:val="8"/>
                      <w:szCs w:val="8"/>
                      <w:lang w:val="en-US" w:eastAsia="zh-CN" w:bidi="ar"/>
                    </w:rPr>
                    <w:t>Ra</w:t>
                  </w:r>
                  <w:r>
                    <w:rPr>
                      <w:rFonts w:hint="default" w:ascii="Times New Roman" w:hAnsi="Times New Roman" w:eastAsia="宋体" w:cs="Times New Roman"/>
                      <w:color w:val="auto"/>
                      <w:kern w:val="0"/>
                      <w:sz w:val="18"/>
                      <w:szCs w:val="18"/>
                      <w:lang w:val="en-US" w:eastAsia="zh-CN" w:bidi="ar"/>
                    </w:rPr>
                    <w:t>≤</w:t>
                  </w:r>
                  <w:r>
                    <w:rPr>
                      <w:rFonts w:hint="eastAsia" w:ascii="宋体" w:hAnsi="宋体" w:eastAsia="宋体" w:cs="宋体"/>
                      <w:color w:val="auto"/>
                      <w:kern w:val="0"/>
                      <w:sz w:val="18"/>
                      <w:szCs w:val="18"/>
                      <w:lang w:val="en-US" w:eastAsia="zh-CN" w:bidi="ar"/>
                    </w:rPr>
                    <w:t>1.0</w:t>
                  </w:r>
                </w:p>
              </w:tc>
              <w:tc>
                <w:tcPr>
                  <w:tcW w:w="1763" w:type="dxa"/>
                  <w:vAlign w:val="center"/>
                </w:tcPr>
                <w:p w14:paraId="6CBE72CC">
                  <w:pPr>
                    <w:keepNext w:val="0"/>
                    <w:keepLines w:val="0"/>
                    <w:widowControl/>
                    <w:suppressLineNumbers w:val="0"/>
                    <w:jc w:val="center"/>
                    <w:rPr>
                      <w:rFonts w:hint="default" w:ascii="Arial" w:hAnsi="Arial" w:cs="Arial"/>
                      <w:color w:val="auto"/>
                      <w:vertAlign w:val="baseline"/>
                      <w:lang w:val="en-US" w:eastAsia="zh-CN"/>
                    </w:rPr>
                  </w:pPr>
                  <w:r>
                    <w:rPr>
                      <w:rFonts w:hint="eastAsia" w:ascii="宋体" w:hAnsi="宋体" w:eastAsia="宋体" w:cs="宋体"/>
                      <w:color w:val="auto"/>
                      <w:kern w:val="0"/>
                      <w:sz w:val="18"/>
                      <w:szCs w:val="18"/>
                      <w:lang w:val="en-US" w:eastAsia="zh-CN" w:bidi="ar"/>
                    </w:rPr>
                    <w:t>I</w:t>
                  </w:r>
                  <w:r>
                    <w:rPr>
                      <w:rFonts w:hint="eastAsia" w:ascii="宋体" w:hAnsi="宋体" w:eastAsia="宋体" w:cs="宋体"/>
                      <w:color w:val="auto"/>
                      <w:kern w:val="0"/>
                      <w:sz w:val="8"/>
                      <w:szCs w:val="8"/>
                      <w:lang w:val="en-US" w:eastAsia="zh-CN" w:bidi="ar"/>
                    </w:rPr>
                    <w:t>r</w:t>
                  </w:r>
                  <w:r>
                    <w:rPr>
                      <w:rFonts w:hint="default" w:ascii="Times New Roman" w:hAnsi="Times New Roman" w:eastAsia="宋体" w:cs="Times New Roman"/>
                      <w:color w:val="auto"/>
                      <w:kern w:val="0"/>
                      <w:sz w:val="18"/>
                      <w:szCs w:val="18"/>
                      <w:lang w:val="en-US" w:eastAsia="zh-CN" w:bidi="ar"/>
                    </w:rPr>
                    <w:t>≤</w:t>
                  </w:r>
                  <w:r>
                    <w:rPr>
                      <w:rFonts w:hint="eastAsia" w:ascii="宋体" w:hAnsi="宋体" w:eastAsia="宋体" w:cs="宋体"/>
                      <w:color w:val="auto"/>
                      <w:kern w:val="0"/>
                      <w:sz w:val="18"/>
                      <w:szCs w:val="18"/>
                      <w:lang w:val="en-US" w:eastAsia="zh-CN" w:bidi="ar"/>
                    </w:rPr>
                    <w:t>1.0</w:t>
                  </w:r>
                </w:p>
              </w:tc>
            </w:tr>
            <w:tr w14:paraId="6FC0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23" w:type="dxa"/>
                  <w:vMerge w:val="restart"/>
                  <w:vAlign w:val="center"/>
                </w:tcPr>
                <w:p w14:paraId="660C16F4">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r>
                    <w:rPr>
                      <w:rFonts w:hint="eastAsia"/>
                      <w:color w:val="auto"/>
                      <w:vertAlign w:val="baseline"/>
                      <w:lang w:val="en-US" w:eastAsia="zh-CN"/>
                    </w:rPr>
                    <w:t>污染物浓度限值</w:t>
                  </w:r>
                </w:p>
              </w:tc>
              <w:tc>
                <w:tcPr>
                  <w:tcW w:w="3516" w:type="dxa"/>
                  <w:vAlign w:val="center"/>
                </w:tcPr>
                <w:p w14:paraId="0F96C8D4">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eastAsia"/>
                      <w:color w:val="auto"/>
                      <w:vertAlign w:val="baseline"/>
                      <w:lang w:val="en-US" w:eastAsia="zh-CN"/>
                    </w:rPr>
                  </w:pPr>
                  <w:r>
                    <w:rPr>
                      <w:rFonts w:hint="eastAsia"/>
                      <w:color w:val="auto"/>
                      <w:vertAlign w:val="baseline"/>
                      <w:lang w:eastAsia="zh-CN"/>
                    </w:rPr>
                    <w:t>控制项目</w:t>
                  </w:r>
                </w:p>
              </w:tc>
              <w:tc>
                <w:tcPr>
                  <w:tcW w:w="3520" w:type="dxa"/>
                  <w:gridSpan w:val="2"/>
                  <w:vAlign w:val="center"/>
                </w:tcPr>
                <w:p w14:paraId="73837C69">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eastAsia" w:ascii="宋体" w:hAnsi="宋体" w:eastAsia="宋体" w:cs="宋体"/>
                      <w:color w:val="auto"/>
                      <w:kern w:val="0"/>
                      <w:sz w:val="18"/>
                      <w:szCs w:val="18"/>
                      <w:lang w:val="en-US" w:eastAsia="zh-CN" w:bidi="ar"/>
                    </w:rPr>
                  </w:pPr>
                  <w:r>
                    <w:rPr>
                      <w:rFonts w:hint="eastAsia"/>
                      <w:color w:val="auto"/>
                      <w:vertAlign w:val="baseline"/>
                      <w:lang w:val="en-US" w:eastAsia="zh-CN"/>
                    </w:rPr>
                    <w:t>限值/（mg/kg干污泥）</w:t>
                  </w:r>
                </w:p>
              </w:tc>
            </w:tr>
            <w:tr w14:paraId="5A03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23" w:type="dxa"/>
                  <w:vMerge w:val="continue"/>
                  <w:vAlign w:val="center"/>
                </w:tcPr>
                <w:p w14:paraId="5BA188F5">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p>
              </w:tc>
              <w:tc>
                <w:tcPr>
                  <w:tcW w:w="3516" w:type="dxa"/>
                  <w:vAlign w:val="center"/>
                </w:tcPr>
                <w:p w14:paraId="4ECB0A99">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color w:val="auto"/>
                      <w:vertAlign w:val="baseline"/>
                      <w:lang w:val="en-US" w:eastAsia="zh-CN"/>
                    </w:rPr>
                  </w:pPr>
                  <w:r>
                    <w:rPr>
                      <w:rFonts w:hint="eastAsia"/>
                      <w:color w:val="auto"/>
                      <w:vertAlign w:val="baseline"/>
                      <w:lang w:val="en-US" w:eastAsia="zh-CN"/>
                    </w:rPr>
                    <w:t>总镉</w:t>
                  </w:r>
                </w:p>
              </w:tc>
              <w:tc>
                <w:tcPr>
                  <w:tcW w:w="3520" w:type="dxa"/>
                  <w:gridSpan w:val="2"/>
                  <w:vAlign w:val="center"/>
                </w:tcPr>
                <w:p w14:paraId="2FC3A47F">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color w:val="auto"/>
                      <w:vertAlign w:val="baseline"/>
                      <w:lang w:val="en-US" w:eastAsia="zh-CN"/>
                    </w:rPr>
                  </w:pPr>
                  <w:r>
                    <w:rPr>
                      <w:rFonts w:hint="default"/>
                      <w:color w:val="auto"/>
                      <w:vertAlign w:val="baseline"/>
                      <w:lang w:val="en-US" w:eastAsia="zh-CN"/>
                    </w:rPr>
                    <w:t>&lt;20</w:t>
                  </w:r>
                </w:p>
              </w:tc>
            </w:tr>
            <w:tr w14:paraId="6D06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23" w:type="dxa"/>
                  <w:vMerge w:val="continue"/>
                  <w:vAlign w:val="center"/>
                </w:tcPr>
                <w:p w14:paraId="18620D21">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p>
              </w:tc>
              <w:tc>
                <w:tcPr>
                  <w:tcW w:w="3516" w:type="dxa"/>
                  <w:vAlign w:val="center"/>
                </w:tcPr>
                <w:p w14:paraId="605DE889">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color w:val="auto"/>
                      <w:vertAlign w:val="baseline"/>
                      <w:lang w:val="en-US" w:eastAsia="zh-CN"/>
                    </w:rPr>
                  </w:pPr>
                  <w:r>
                    <w:rPr>
                      <w:rFonts w:hint="eastAsia"/>
                      <w:color w:val="auto"/>
                      <w:vertAlign w:val="baseline"/>
                      <w:lang w:val="en-US" w:eastAsia="zh-CN"/>
                    </w:rPr>
                    <w:t>总汞</w:t>
                  </w:r>
                </w:p>
              </w:tc>
              <w:tc>
                <w:tcPr>
                  <w:tcW w:w="3520" w:type="dxa"/>
                  <w:gridSpan w:val="2"/>
                  <w:vAlign w:val="center"/>
                </w:tcPr>
                <w:p w14:paraId="1AF5CA31">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color w:val="auto"/>
                      <w:vertAlign w:val="baseline"/>
                      <w:lang w:val="en-US" w:eastAsia="zh-CN"/>
                    </w:rPr>
                  </w:pPr>
                  <w:r>
                    <w:rPr>
                      <w:rFonts w:hint="default"/>
                      <w:color w:val="auto"/>
                      <w:vertAlign w:val="baseline"/>
                      <w:lang w:val="en-US" w:eastAsia="zh-CN"/>
                    </w:rPr>
                    <w:t>&lt;5</w:t>
                  </w:r>
                </w:p>
              </w:tc>
            </w:tr>
            <w:tr w14:paraId="20DE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23" w:type="dxa"/>
                  <w:vMerge w:val="continue"/>
                  <w:vAlign w:val="center"/>
                </w:tcPr>
                <w:p w14:paraId="4EEB4312">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p>
              </w:tc>
              <w:tc>
                <w:tcPr>
                  <w:tcW w:w="3516" w:type="dxa"/>
                  <w:vAlign w:val="center"/>
                </w:tcPr>
                <w:p w14:paraId="1C4575E8">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color w:val="auto"/>
                      <w:vertAlign w:val="baseline"/>
                      <w:lang w:val="en-US" w:eastAsia="zh-CN"/>
                    </w:rPr>
                  </w:pPr>
                  <w:r>
                    <w:rPr>
                      <w:rFonts w:hint="eastAsia"/>
                      <w:color w:val="auto"/>
                      <w:vertAlign w:val="baseline"/>
                      <w:lang w:val="en-US" w:eastAsia="zh-CN"/>
                    </w:rPr>
                    <w:t>总铅</w:t>
                  </w:r>
                </w:p>
              </w:tc>
              <w:tc>
                <w:tcPr>
                  <w:tcW w:w="3520" w:type="dxa"/>
                  <w:gridSpan w:val="2"/>
                  <w:vAlign w:val="center"/>
                </w:tcPr>
                <w:p w14:paraId="556DFFEC">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color w:val="auto"/>
                      <w:vertAlign w:val="baseline"/>
                      <w:lang w:val="en-US" w:eastAsia="zh-CN"/>
                    </w:rPr>
                  </w:pPr>
                  <w:r>
                    <w:rPr>
                      <w:rFonts w:hint="default"/>
                      <w:color w:val="auto"/>
                      <w:vertAlign w:val="baseline"/>
                      <w:lang w:val="en-US" w:eastAsia="zh-CN"/>
                    </w:rPr>
                    <w:t>&lt;300</w:t>
                  </w:r>
                </w:p>
              </w:tc>
            </w:tr>
            <w:tr w14:paraId="288C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23" w:type="dxa"/>
                  <w:vMerge w:val="continue"/>
                  <w:vAlign w:val="center"/>
                </w:tcPr>
                <w:p w14:paraId="49386B69">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p>
              </w:tc>
              <w:tc>
                <w:tcPr>
                  <w:tcW w:w="3516" w:type="dxa"/>
                  <w:vAlign w:val="center"/>
                </w:tcPr>
                <w:p w14:paraId="1FC0ED6B">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color w:val="auto"/>
                      <w:vertAlign w:val="baseline"/>
                      <w:lang w:val="en-US" w:eastAsia="zh-CN"/>
                    </w:rPr>
                  </w:pPr>
                  <w:r>
                    <w:rPr>
                      <w:rFonts w:hint="eastAsia"/>
                      <w:color w:val="auto"/>
                      <w:vertAlign w:val="baseline"/>
                      <w:lang w:val="en-US" w:eastAsia="zh-CN"/>
                    </w:rPr>
                    <w:t>总铬</w:t>
                  </w:r>
                </w:p>
              </w:tc>
              <w:tc>
                <w:tcPr>
                  <w:tcW w:w="3520" w:type="dxa"/>
                  <w:gridSpan w:val="2"/>
                  <w:vAlign w:val="center"/>
                </w:tcPr>
                <w:p w14:paraId="58C958F0">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color w:val="auto"/>
                      <w:vertAlign w:val="baseline"/>
                      <w:lang w:val="en-US" w:eastAsia="zh-CN"/>
                    </w:rPr>
                  </w:pPr>
                  <w:r>
                    <w:rPr>
                      <w:rFonts w:hint="default"/>
                      <w:color w:val="auto"/>
                      <w:vertAlign w:val="baseline"/>
                      <w:lang w:val="en-US" w:eastAsia="zh-CN"/>
                    </w:rPr>
                    <w:t>&lt;1 000</w:t>
                  </w:r>
                </w:p>
              </w:tc>
            </w:tr>
            <w:tr w14:paraId="5AF9C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23" w:type="dxa"/>
                  <w:vMerge w:val="continue"/>
                  <w:vAlign w:val="center"/>
                </w:tcPr>
                <w:p w14:paraId="48152D56">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p>
              </w:tc>
              <w:tc>
                <w:tcPr>
                  <w:tcW w:w="3516" w:type="dxa"/>
                  <w:vAlign w:val="center"/>
                </w:tcPr>
                <w:p w14:paraId="7183EE52">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color w:val="auto"/>
                      <w:vertAlign w:val="baseline"/>
                      <w:lang w:val="en-US" w:eastAsia="zh-CN"/>
                    </w:rPr>
                  </w:pPr>
                  <w:r>
                    <w:rPr>
                      <w:rFonts w:hint="eastAsia"/>
                      <w:color w:val="auto"/>
                      <w:vertAlign w:val="baseline"/>
                      <w:lang w:val="en-US" w:eastAsia="zh-CN"/>
                    </w:rPr>
                    <w:t>总砷</w:t>
                  </w:r>
                </w:p>
              </w:tc>
              <w:tc>
                <w:tcPr>
                  <w:tcW w:w="3520" w:type="dxa"/>
                  <w:gridSpan w:val="2"/>
                  <w:vAlign w:val="center"/>
                </w:tcPr>
                <w:p w14:paraId="466F0DEA">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color w:val="auto"/>
                      <w:vertAlign w:val="baseline"/>
                      <w:lang w:val="en-US" w:eastAsia="zh-CN"/>
                    </w:rPr>
                  </w:pPr>
                  <w:r>
                    <w:rPr>
                      <w:rFonts w:hint="default"/>
                      <w:color w:val="auto"/>
                      <w:vertAlign w:val="baseline"/>
                      <w:lang w:val="en-US" w:eastAsia="zh-CN"/>
                    </w:rPr>
                    <w:t>&lt;75</w:t>
                  </w:r>
                </w:p>
              </w:tc>
            </w:tr>
            <w:tr w14:paraId="29DE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23" w:type="dxa"/>
                  <w:vMerge w:val="continue"/>
                  <w:vAlign w:val="center"/>
                </w:tcPr>
                <w:p w14:paraId="294942D0">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p>
              </w:tc>
              <w:tc>
                <w:tcPr>
                  <w:tcW w:w="3516" w:type="dxa"/>
                  <w:vAlign w:val="center"/>
                </w:tcPr>
                <w:p w14:paraId="00317374">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color w:val="auto"/>
                      <w:vertAlign w:val="baseline"/>
                      <w:lang w:val="en-US" w:eastAsia="zh-CN"/>
                    </w:rPr>
                  </w:pPr>
                  <w:r>
                    <w:rPr>
                      <w:rFonts w:hint="eastAsia"/>
                      <w:color w:val="auto"/>
                      <w:vertAlign w:val="baseline"/>
                      <w:lang w:val="en-US" w:eastAsia="zh-CN"/>
                    </w:rPr>
                    <w:t>总镍</w:t>
                  </w:r>
                </w:p>
              </w:tc>
              <w:tc>
                <w:tcPr>
                  <w:tcW w:w="3520" w:type="dxa"/>
                  <w:gridSpan w:val="2"/>
                  <w:vAlign w:val="center"/>
                </w:tcPr>
                <w:p w14:paraId="52C3A18C">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default"/>
                      <w:color w:val="auto"/>
                      <w:vertAlign w:val="baseline"/>
                      <w:lang w:val="en-US" w:eastAsia="zh-CN"/>
                    </w:rPr>
                  </w:pPr>
                  <w:r>
                    <w:rPr>
                      <w:rFonts w:hint="default"/>
                      <w:color w:val="auto"/>
                      <w:vertAlign w:val="baseline"/>
                      <w:lang w:val="en-US" w:eastAsia="zh-CN"/>
                    </w:rPr>
                    <w:t>&lt;</w:t>
                  </w:r>
                  <w:r>
                    <w:rPr>
                      <w:rFonts w:hint="eastAsia"/>
                      <w:color w:val="auto"/>
                      <w:vertAlign w:val="baseline"/>
                      <w:lang w:val="en-US" w:eastAsia="zh-CN"/>
                    </w:rPr>
                    <w:t>200</w:t>
                  </w:r>
                </w:p>
              </w:tc>
            </w:tr>
            <w:tr w14:paraId="12B5F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23" w:type="dxa"/>
                  <w:vMerge w:val="continue"/>
                  <w:vAlign w:val="center"/>
                </w:tcPr>
                <w:p w14:paraId="449C8314">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p>
              </w:tc>
              <w:tc>
                <w:tcPr>
                  <w:tcW w:w="3516" w:type="dxa"/>
                  <w:vAlign w:val="center"/>
                </w:tcPr>
                <w:p w14:paraId="6C899E20">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color w:val="auto"/>
                      <w:vertAlign w:val="baseline"/>
                      <w:lang w:val="en-US" w:eastAsia="zh-CN"/>
                    </w:rPr>
                  </w:pPr>
                  <w:r>
                    <w:rPr>
                      <w:rFonts w:hint="eastAsia"/>
                      <w:color w:val="auto"/>
                      <w:vertAlign w:val="baseline"/>
                      <w:lang w:val="en-US" w:eastAsia="zh-CN"/>
                    </w:rPr>
                    <w:t>总锌</w:t>
                  </w:r>
                </w:p>
              </w:tc>
              <w:tc>
                <w:tcPr>
                  <w:tcW w:w="3520" w:type="dxa"/>
                  <w:gridSpan w:val="2"/>
                  <w:vAlign w:val="center"/>
                </w:tcPr>
                <w:p w14:paraId="76EF17D8">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default"/>
                      <w:color w:val="auto"/>
                      <w:vertAlign w:val="baseline"/>
                      <w:lang w:val="en-US" w:eastAsia="zh-CN"/>
                    </w:rPr>
                  </w:pPr>
                  <w:r>
                    <w:rPr>
                      <w:rFonts w:hint="default"/>
                      <w:color w:val="auto"/>
                      <w:vertAlign w:val="baseline"/>
                      <w:lang w:val="en-US" w:eastAsia="zh-CN"/>
                    </w:rPr>
                    <w:t>&lt;</w:t>
                  </w:r>
                  <w:r>
                    <w:rPr>
                      <w:rFonts w:hint="eastAsia"/>
                      <w:color w:val="auto"/>
                      <w:vertAlign w:val="baseline"/>
                      <w:lang w:val="en-US" w:eastAsia="zh-CN"/>
                    </w:rPr>
                    <w:t>4000</w:t>
                  </w:r>
                </w:p>
              </w:tc>
            </w:tr>
            <w:tr w14:paraId="341D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23" w:type="dxa"/>
                  <w:vMerge w:val="continue"/>
                  <w:vAlign w:val="center"/>
                </w:tcPr>
                <w:p w14:paraId="65E0258B">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p>
              </w:tc>
              <w:tc>
                <w:tcPr>
                  <w:tcW w:w="3516" w:type="dxa"/>
                  <w:vAlign w:val="center"/>
                </w:tcPr>
                <w:p w14:paraId="46C226F2">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color w:val="auto"/>
                      <w:vertAlign w:val="baseline"/>
                      <w:lang w:val="en-US" w:eastAsia="zh-CN"/>
                    </w:rPr>
                  </w:pPr>
                  <w:r>
                    <w:rPr>
                      <w:rFonts w:hint="eastAsia"/>
                      <w:color w:val="auto"/>
                      <w:vertAlign w:val="baseline"/>
                      <w:lang w:val="en-US" w:eastAsia="zh-CN"/>
                    </w:rPr>
                    <w:t>总铜</w:t>
                  </w:r>
                </w:p>
              </w:tc>
              <w:tc>
                <w:tcPr>
                  <w:tcW w:w="3520" w:type="dxa"/>
                  <w:gridSpan w:val="2"/>
                  <w:vAlign w:val="center"/>
                </w:tcPr>
                <w:p w14:paraId="1C1DE9CE">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default"/>
                      <w:color w:val="auto"/>
                      <w:vertAlign w:val="baseline"/>
                      <w:lang w:val="en-US" w:eastAsia="zh-CN"/>
                    </w:rPr>
                  </w:pPr>
                  <w:r>
                    <w:rPr>
                      <w:rFonts w:hint="default"/>
                      <w:color w:val="auto"/>
                      <w:vertAlign w:val="baseline"/>
                      <w:lang w:val="en-US" w:eastAsia="zh-CN"/>
                    </w:rPr>
                    <w:t>&lt;</w:t>
                  </w:r>
                  <w:r>
                    <w:rPr>
                      <w:rFonts w:hint="eastAsia"/>
                      <w:color w:val="auto"/>
                      <w:vertAlign w:val="baseline"/>
                      <w:lang w:val="en-US" w:eastAsia="zh-CN"/>
                    </w:rPr>
                    <w:t>1500</w:t>
                  </w:r>
                </w:p>
              </w:tc>
            </w:tr>
            <w:tr w14:paraId="10D6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23" w:type="dxa"/>
                  <w:vMerge w:val="continue"/>
                  <w:vAlign w:val="center"/>
                </w:tcPr>
                <w:p w14:paraId="7B150359">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p>
              </w:tc>
              <w:tc>
                <w:tcPr>
                  <w:tcW w:w="3516" w:type="dxa"/>
                  <w:vAlign w:val="center"/>
                </w:tcPr>
                <w:p w14:paraId="55B1F7C6">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color w:val="auto"/>
                      <w:vertAlign w:val="baseline"/>
                      <w:lang w:val="en-US" w:eastAsia="zh-CN"/>
                    </w:rPr>
                  </w:pPr>
                  <w:r>
                    <w:rPr>
                      <w:rFonts w:hint="eastAsia"/>
                      <w:color w:val="auto"/>
                      <w:vertAlign w:val="baseline"/>
                      <w:lang w:val="en-US" w:eastAsia="zh-CN"/>
                    </w:rPr>
                    <w:t>矿物油</w:t>
                  </w:r>
                </w:p>
              </w:tc>
              <w:tc>
                <w:tcPr>
                  <w:tcW w:w="3520" w:type="dxa"/>
                  <w:gridSpan w:val="2"/>
                  <w:vAlign w:val="center"/>
                </w:tcPr>
                <w:p w14:paraId="053357F4">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default"/>
                      <w:color w:val="auto"/>
                      <w:vertAlign w:val="baseline"/>
                      <w:lang w:val="en-US" w:eastAsia="zh-CN"/>
                    </w:rPr>
                  </w:pPr>
                  <w:r>
                    <w:rPr>
                      <w:rFonts w:hint="default"/>
                      <w:color w:val="auto"/>
                      <w:vertAlign w:val="baseline"/>
                      <w:lang w:val="en-US" w:eastAsia="zh-CN"/>
                    </w:rPr>
                    <w:t>&lt;</w:t>
                  </w:r>
                  <w:r>
                    <w:rPr>
                      <w:rFonts w:hint="eastAsia"/>
                      <w:color w:val="auto"/>
                      <w:vertAlign w:val="baseline"/>
                      <w:lang w:val="en-US" w:eastAsia="zh-CN"/>
                    </w:rPr>
                    <w:t>3000</w:t>
                  </w:r>
                </w:p>
              </w:tc>
            </w:tr>
            <w:tr w14:paraId="37FD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23" w:type="dxa"/>
                  <w:vMerge w:val="continue"/>
                  <w:vAlign w:val="center"/>
                </w:tcPr>
                <w:p w14:paraId="7A04E5CF">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p>
              </w:tc>
              <w:tc>
                <w:tcPr>
                  <w:tcW w:w="3516" w:type="dxa"/>
                  <w:vAlign w:val="center"/>
                </w:tcPr>
                <w:p w14:paraId="669BFE9A">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color w:val="auto"/>
                      <w:vertAlign w:val="baseline"/>
                      <w:lang w:val="en-US" w:eastAsia="zh-CN"/>
                    </w:rPr>
                  </w:pPr>
                  <w:r>
                    <w:rPr>
                      <w:rFonts w:hint="eastAsia"/>
                      <w:color w:val="auto"/>
                      <w:vertAlign w:val="baseline"/>
                      <w:lang w:val="en-US" w:eastAsia="zh-CN"/>
                    </w:rPr>
                    <w:t>挥发酚</w:t>
                  </w:r>
                </w:p>
              </w:tc>
              <w:tc>
                <w:tcPr>
                  <w:tcW w:w="3520" w:type="dxa"/>
                  <w:gridSpan w:val="2"/>
                  <w:vAlign w:val="center"/>
                </w:tcPr>
                <w:p w14:paraId="6896D22D">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default"/>
                      <w:color w:val="auto"/>
                      <w:vertAlign w:val="baseline"/>
                      <w:lang w:val="en-US" w:eastAsia="zh-CN"/>
                    </w:rPr>
                  </w:pPr>
                  <w:r>
                    <w:rPr>
                      <w:rFonts w:hint="default"/>
                      <w:color w:val="auto"/>
                      <w:vertAlign w:val="baseline"/>
                      <w:lang w:val="en-US" w:eastAsia="zh-CN"/>
                    </w:rPr>
                    <w:t>&lt;</w:t>
                  </w:r>
                  <w:r>
                    <w:rPr>
                      <w:rFonts w:hint="eastAsia"/>
                      <w:color w:val="auto"/>
                      <w:vertAlign w:val="baseline"/>
                      <w:lang w:val="en-US" w:eastAsia="zh-CN"/>
                    </w:rPr>
                    <w:t>40</w:t>
                  </w:r>
                </w:p>
              </w:tc>
            </w:tr>
            <w:tr w14:paraId="5703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23" w:type="dxa"/>
                  <w:vMerge w:val="continue"/>
                  <w:vAlign w:val="center"/>
                </w:tcPr>
                <w:p w14:paraId="6304BC42">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p>
              </w:tc>
              <w:tc>
                <w:tcPr>
                  <w:tcW w:w="3516" w:type="dxa"/>
                  <w:vAlign w:val="center"/>
                </w:tcPr>
                <w:p w14:paraId="0C6C1D31">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color w:val="auto"/>
                      <w:vertAlign w:val="baseline"/>
                      <w:lang w:val="en-US" w:eastAsia="zh-CN"/>
                    </w:rPr>
                  </w:pPr>
                  <w:r>
                    <w:rPr>
                      <w:rFonts w:hint="eastAsia"/>
                      <w:color w:val="auto"/>
                      <w:vertAlign w:val="baseline"/>
                      <w:lang w:val="en-US" w:eastAsia="zh-CN"/>
                    </w:rPr>
                    <w:t>总氰化物</w:t>
                  </w:r>
                </w:p>
              </w:tc>
              <w:tc>
                <w:tcPr>
                  <w:tcW w:w="3520" w:type="dxa"/>
                  <w:gridSpan w:val="2"/>
                  <w:vAlign w:val="center"/>
                </w:tcPr>
                <w:p w14:paraId="72D8B6A6">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default"/>
                      <w:color w:val="auto"/>
                      <w:vertAlign w:val="baseline"/>
                      <w:lang w:val="en-US" w:eastAsia="zh-CN"/>
                    </w:rPr>
                  </w:pPr>
                  <w:r>
                    <w:rPr>
                      <w:rFonts w:hint="default"/>
                      <w:color w:val="auto"/>
                      <w:vertAlign w:val="baseline"/>
                      <w:lang w:val="en-US" w:eastAsia="zh-CN"/>
                    </w:rPr>
                    <w:t>&lt;</w:t>
                  </w:r>
                  <w:r>
                    <w:rPr>
                      <w:rFonts w:hint="eastAsia"/>
                      <w:color w:val="auto"/>
                      <w:vertAlign w:val="baseline"/>
                      <w:lang w:val="en-US" w:eastAsia="zh-CN"/>
                    </w:rPr>
                    <w:t>10</w:t>
                  </w:r>
                </w:p>
              </w:tc>
            </w:tr>
            <w:tr w14:paraId="2A2D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323" w:type="dxa"/>
                  <w:vMerge w:val="restart"/>
                  <w:vAlign w:val="center"/>
                </w:tcPr>
                <w:p w14:paraId="4D0F0079">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eastAsia="宋体"/>
                      <w:color w:val="auto"/>
                      <w:vertAlign w:val="baseline"/>
                      <w:lang w:val="en-US" w:eastAsia="zh-CN"/>
                    </w:rPr>
                  </w:pPr>
                  <w:r>
                    <w:rPr>
                      <w:rFonts w:hint="eastAsia"/>
                      <w:color w:val="auto"/>
                      <w:vertAlign w:val="baseline"/>
                      <w:lang w:val="en-US" w:eastAsia="zh-CN"/>
                    </w:rPr>
                    <w:t>卫生学指标</w:t>
                  </w:r>
                </w:p>
              </w:tc>
              <w:tc>
                <w:tcPr>
                  <w:tcW w:w="3516" w:type="dxa"/>
                  <w:vAlign w:val="center"/>
                </w:tcPr>
                <w:p w14:paraId="2CAC8426">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eastAsia"/>
                      <w:color w:val="auto"/>
                      <w:vertAlign w:val="baseline"/>
                      <w:lang w:val="en-US" w:eastAsia="zh-CN"/>
                    </w:rPr>
                  </w:pPr>
                  <w:r>
                    <w:rPr>
                      <w:rFonts w:hint="eastAsia"/>
                      <w:color w:val="auto"/>
                      <w:vertAlign w:val="baseline"/>
                      <w:lang w:eastAsia="zh-CN"/>
                    </w:rPr>
                    <w:t>控制项目</w:t>
                  </w:r>
                </w:p>
              </w:tc>
              <w:tc>
                <w:tcPr>
                  <w:tcW w:w="3520" w:type="dxa"/>
                  <w:gridSpan w:val="2"/>
                  <w:vAlign w:val="center"/>
                </w:tcPr>
                <w:p w14:paraId="0C812855">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color w:val="auto"/>
                      <w:vertAlign w:val="baseline"/>
                      <w:lang w:val="en-US" w:eastAsia="zh-CN"/>
                    </w:rPr>
                  </w:pPr>
                  <w:r>
                    <w:rPr>
                      <w:rFonts w:hint="eastAsia"/>
                      <w:color w:val="auto"/>
                      <w:vertAlign w:val="baseline"/>
                      <w:lang w:val="en-US" w:eastAsia="zh-CN"/>
                    </w:rPr>
                    <w:t>限值</w:t>
                  </w:r>
                </w:p>
              </w:tc>
            </w:tr>
            <w:tr w14:paraId="5458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23" w:type="dxa"/>
                  <w:vMerge w:val="continue"/>
                  <w:vAlign w:val="center"/>
                </w:tcPr>
                <w:p w14:paraId="02F9B2D0">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p>
              </w:tc>
              <w:tc>
                <w:tcPr>
                  <w:tcW w:w="3516" w:type="dxa"/>
                  <w:vAlign w:val="center"/>
                </w:tcPr>
                <w:p w14:paraId="2094F56E">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eastAsia"/>
                      <w:color w:val="auto"/>
                      <w:vertAlign w:val="baseline"/>
                      <w:lang w:eastAsia="zh-CN"/>
                    </w:rPr>
                  </w:pPr>
                  <w:r>
                    <w:rPr>
                      <w:rFonts w:hint="eastAsia"/>
                      <w:color w:val="auto"/>
                      <w:vertAlign w:val="baseline"/>
                      <w:lang w:eastAsia="zh-CN"/>
                    </w:rPr>
                    <w:t>粪大肠菌群菌值</w:t>
                  </w:r>
                </w:p>
              </w:tc>
              <w:tc>
                <w:tcPr>
                  <w:tcW w:w="3520" w:type="dxa"/>
                  <w:gridSpan w:val="2"/>
                  <w:vAlign w:val="center"/>
                </w:tcPr>
                <w:p w14:paraId="10CDECB5">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color w:val="auto"/>
                      <w:vertAlign w:val="baseline"/>
                      <w:lang w:val="en-US" w:eastAsia="zh-CN"/>
                    </w:rPr>
                  </w:pPr>
                  <w:r>
                    <w:rPr>
                      <w:rFonts w:hint="eastAsia"/>
                      <w:color w:val="auto"/>
                      <w:vertAlign w:val="baseline"/>
                      <w:lang w:val="en-US" w:eastAsia="zh-CN"/>
                    </w:rPr>
                    <w:t>&gt;0.01</w:t>
                  </w:r>
                </w:p>
              </w:tc>
            </w:tr>
            <w:tr w14:paraId="1208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323" w:type="dxa"/>
                  <w:vMerge w:val="continue"/>
                  <w:vAlign w:val="center"/>
                </w:tcPr>
                <w:p w14:paraId="6049080D">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auto"/>
                      <w:vertAlign w:val="baseline"/>
                      <w:lang w:val="en-US" w:eastAsia="zh-CN"/>
                    </w:rPr>
                  </w:pPr>
                </w:p>
              </w:tc>
              <w:tc>
                <w:tcPr>
                  <w:tcW w:w="3516" w:type="dxa"/>
                  <w:vAlign w:val="center"/>
                </w:tcPr>
                <w:p w14:paraId="34D7D766">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color w:val="auto"/>
                      <w:vertAlign w:val="baseline"/>
                      <w:lang w:val="en-US" w:eastAsia="zh-CN"/>
                    </w:rPr>
                  </w:pPr>
                  <w:r>
                    <w:rPr>
                      <w:rFonts w:hint="eastAsia"/>
                      <w:color w:val="auto"/>
                      <w:vertAlign w:val="baseline"/>
                      <w:lang w:val="en-US" w:eastAsia="zh-CN"/>
                    </w:rPr>
                    <w:t>蠕虫卵死亡率</w:t>
                  </w:r>
                </w:p>
              </w:tc>
              <w:tc>
                <w:tcPr>
                  <w:tcW w:w="3520" w:type="dxa"/>
                  <w:gridSpan w:val="2"/>
                  <w:vAlign w:val="center"/>
                </w:tcPr>
                <w:p w14:paraId="20690640">
                  <w:pPr>
                    <w:pStyle w:val="2"/>
                    <w:keepNext w:val="0"/>
                    <w:keepLines w:val="0"/>
                    <w:pageBreakBefore w:val="0"/>
                    <w:widowControl/>
                    <w:kinsoku/>
                    <w:wordWrap/>
                    <w:overflowPunct/>
                    <w:topLinePunct w:val="0"/>
                    <w:autoSpaceDE/>
                    <w:autoSpaceDN/>
                    <w:bidi w:val="0"/>
                    <w:adjustRightInd/>
                    <w:snapToGrid w:val="0"/>
                    <w:spacing w:before="0" w:after="0" w:line="240" w:lineRule="auto"/>
                    <w:ind w:right="0" w:rightChars="0"/>
                    <w:jc w:val="center"/>
                    <w:textAlignment w:val="auto"/>
                    <w:rPr>
                      <w:rFonts w:hint="default"/>
                      <w:color w:val="auto"/>
                      <w:vertAlign w:val="baseline"/>
                      <w:lang w:val="en-US" w:eastAsia="zh-CN"/>
                    </w:rPr>
                  </w:pPr>
                  <w:r>
                    <w:rPr>
                      <w:rFonts w:hint="eastAsia"/>
                      <w:color w:val="auto"/>
                      <w:vertAlign w:val="baseline"/>
                      <w:lang w:val="en-US" w:eastAsia="zh-CN"/>
                    </w:rPr>
                    <w:t>&gt;95%</w:t>
                  </w:r>
                </w:p>
              </w:tc>
            </w:tr>
          </w:tbl>
          <w:p w14:paraId="78E989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Cs/>
                <w:color w:val="auto"/>
                <w:kern w:val="0"/>
                <w:sz w:val="24"/>
                <w:lang w:eastAsia="zh-CN"/>
              </w:rPr>
            </w:pPr>
            <w:r>
              <w:rPr>
                <w:rFonts w:hint="eastAsia" w:ascii="Times New Roman" w:hAnsi="Times New Roman" w:eastAsia="宋体" w:cs="Times New Roman"/>
                <w:b w:val="0"/>
                <w:color w:val="auto"/>
                <w:kern w:val="2"/>
                <w:sz w:val="24"/>
                <w:szCs w:val="24"/>
                <w:lang w:val="en-US" w:eastAsia="zh-CN" w:bidi="ar-SA"/>
              </w:rPr>
              <w:t>本项目生产使用的污泥拟采用濉溪县污水处理厂脱水后的污泥，为一般固体废物，不涉及危险废物处置。污泥转移按照转移联单进行计划管理，明确污泥转移时间、运输路线、污泥处置方案等信息。</w:t>
            </w:r>
            <w:r>
              <w:rPr>
                <w:rFonts w:hint="eastAsia" w:ascii="Times New Roman" w:hAnsi="Times New Roman" w:eastAsia="宋体" w:cs="Times New Roman"/>
                <w:b w:val="0"/>
                <w:color w:val="auto"/>
                <w:kern w:val="2"/>
                <w:sz w:val="24"/>
                <w:szCs w:val="24"/>
                <w:lang w:val="en-US" w:eastAsia="zh-CN" w:bidi="ar-SA"/>
              </w:rPr>
              <w:br w:type="textWrapping"/>
            </w:r>
            <w:r>
              <w:rPr>
                <w:rFonts w:hint="eastAsia" w:ascii="Times New Roman" w:hAnsi="Times New Roman" w:eastAsia="宋体" w:cs="Times New Roman"/>
                <w:b w:val="0"/>
                <w:color w:val="auto"/>
                <w:kern w:val="2"/>
                <w:sz w:val="24"/>
                <w:szCs w:val="24"/>
                <w:lang w:val="en-US" w:eastAsia="zh-CN" w:bidi="ar-SA"/>
              </w:rPr>
              <w:t xml:space="preserve"> </w:t>
            </w:r>
            <w:r>
              <w:rPr>
                <w:rFonts w:hint="eastAsia" w:ascii="Times New Roman" w:hAnsi="Times New Roman" w:cs="Times New Roman"/>
                <w:bCs/>
                <w:color w:val="auto"/>
                <w:kern w:val="0"/>
                <w:sz w:val="24"/>
              </w:rPr>
              <w:t>建设</w:t>
            </w:r>
            <w:r>
              <w:rPr>
                <w:rFonts w:ascii="Times New Roman" w:hAnsi="Times New Roman" w:cs="Times New Roman"/>
                <w:bCs/>
                <w:color w:val="auto"/>
                <w:kern w:val="0"/>
                <w:sz w:val="24"/>
              </w:rPr>
              <w:t>项目</w:t>
            </w:r>
            <w:r>
              <w:rPr>
                <w:rFonts w:hint="eastAsia" w:cs="Times New Roman"/>
                <w:bCs/>
                <w:color w:val="auto"/>
                <w:kern w:val="0"/>
                <w:sz w:val="24"/>
                <w:lang w:eastAsia="zh-CN"/>
              </w:rPr>
              <w:t>化学品</w:t>
            </w:r>
            <w:r>
              <w:rPr>
                <w:rFonts w:ascii="Times New Roman" w:hAnsi="Times New Roman" w:cs="Times New Roman"/>
                <w:bCs/>
                <w:color w:val="auto"/>
                <w:kern w:val="0"/>
                <w:sz w:val="24"/>
              </w:rPr>
              <w:t>原辅材料</w:t>
            </w:r>
            <w:r>
              <w:rPr>
                <w:rFonts w:hint="eastAsia" w:ascii="Times New Roman" w:hAnsi="Times New Roman" w:cs="Times New Roman"/>
                <w:bCs/>
                <w:color w:val="auto"/>
                <w:kern w:val="0"/>
                <w:sz w:val="24"/>
              </w:rPr>
              <w:t>理化特性简介见</w:t>
            </w:r>
            <w:r>
              <w:rPr>
                <w:rFonts w:hint="eastAsia" w:ascii="Times New Roman" w:hAnsi="Times New Roman" w:cs="Times New Roman"/>
                <w:bCs/>
                <w:color w:val="auto"/>
                <w:kern w:val="0"/>
                <w:sz w:val="24"/>
                <w:lang w:eastAsia="zh-CN"/>
              </w:rPr>
              <w:t>下</w:t>
            </w:r>
            <w:r>
              <w:rPr>
                <w:rFonts w:hint="eastAsia" w:ascii="Times New Roman" w:hAnsi="Times New Roman" w:cs="Times New Roman"/>
                <w:bCs/>
                <w:color w:val="auto"/>
                <w:kern w:val="0"/>
                <w:sz w:val="24"/>
              </w:rPr>
              <w:t>表</w:t>
            </w:r>
            <w:r>
              <w:rPr>
                <w:rFonts w:hint="eastAsia" w:ascii="Times New Roman" w:hAnsi="Times New Roman" w:cs="Times New Roman"/>
                <w:bCs/>
                <w:color w:val="auto"/>
                <w:kern w:val="0"/>
                <w:sz w:val="24"/>
                <w:lang w:eastAsia="zh-CN"/>
              </w:rPr>
              <w:t>：</w:t>
            </w:r>
          </w:p>
          <w:p w14:paraId="1185ABDD">
            <w:pPr>
              <w:widowControl/>
              <w:spacing w:line="360" w:lineRule="auto"/>
              <w:jc w:val="center"/>
              <w:rPr>
                <w:rFonts w:ascii="Times New Roman" w:hAnsi="Times New Roman" w:cs="Times New Roman"/>
                <w:b/>
                <w:color w:val="auto"/>
                <w:kern w:val="0"/>
                <w:sz w:val="21"/>
                <w:szCs w:val="18"/>
              </w:rPr>
            </w:pPr>
            <w:r>
              <w:rPr>
                <w:rFonts w:ascii="Times New Roman" w:hAnsi="Times New Roman" w:cs="Times New Roman"/>
                <w:b/>
                <w:color w:val="auto"/>
                <w:kern w:val="0"/>
                <w:sz w:val="21"/>
                <w:szCs w:val="18"/>
              </w:rPr>
              <w:t>表</w:t>
            </w:r>
            <w:r>
              <w:rPr>
                <w:rFonts w:hint="eastAsia" w:ascii="Times New Roman" w:hAnsi="Times New Roman" w:cs="Times New Roman"/>
                <w:b/>
                <w:color w:val="auto"/>
                <w:kern w:val="0"/>
                <w:sz w:val="21"/>
                <w:szCs w:val="18"/>
              </w:rPr>
              <w:t>2</w:t>
            </w:r>
            <w:r>
              <w:rPr>
                <w:rFonts w:hint="eastAsia" w:cs="Times New Roman"/>
                <w:b/>
                <w:color w:val="auto"/>
                <w:kern w:val="0"/>
                <w:sz w:val="21"/>
                <w:szCs w:val="18"/>
                <w:lang w:val="en-US" w:eastAsia="zh-CN"/>
              </w:rPr>
              <w:t>-5</w:t>
            </w:r>
            <w:r>
              <w:rPr>
                <w:rFonts w:hint="eastAsia" w:ascii="Times New Roman" w:hAnsi="Times New Roman" w:cs="Times New Roman"/>
                <w:b/>
                <w:color w:val="auto"/>
                <w:kern w:val="0"/>
                <w:sz w:val="21"/>
                <w:szCs w:val="18"/>
              </w:rPr>
              <w:t xml:space="preserve">  建设项目部分原辅材料理化特性简介</w:t>
            </w:r>
          </w:p>
          <w:tbl>
            <w:tblPr>
              <w:tblStyle w:val="37"/>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50"/>
              <w:gridCol w:w="4291"/>
              <w:gridCol w:w="930"/>
              <w:gridCol w:w="893"/>
            </w:tblGrid>
            <w:tr w14:paraId="7F72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75" w:type="dxa"/>
                  <w:vAlign w:val="center"/>
                </w:tcPr>
                <w:p w14:paraId="501EFF39">
                  <w:pPr>
                    <w:jc w:val="center"/>
                    <w:rPr>
                      <w:rFonts w:ascii="Times New Roman" w:hAnsi="Times New Roman" w:cs="Times New Roman"/>
                      <w:color w:val="auto"/>
                      <w:szCs w:val="21"/>
                    </w:rPr>
                  </w:pPr>
                  <w:r>
                    <w:rPr>
                      <w:rFonts w:ascii="Times New Roman" w:hAnsi="Times New Roman" w:cs="Times New Roman"/>
                      <w:color w:val="auto"/>
                      <w:szCs w:val="21"/>
                    </w:rPr>
                    <w:t>序号</w:t>
                  </w:r>
                </w:p>
              </w:tc>
              <w:tc>
                <w:tcPr>
                  <w:tcW w:w="1650" w:type="dxa"/>
                  <w:vAlign w:val="center"/>
                </w:tcPr>
                <w:p w14:paraId="5032018D">
                  <w:pPr>
                    <w:jc w:val="center"/>
                    <w:rPr>
                      <w:rFonts w:ascii="Times New Roman" w:hAnsi="Times New Roman" w:cs="Times New Roman"/>
                      <w:color w:val="auto"/>
                      <w:szCs w:val="21"/>
                    </w:rPr>
                  </w:pPr>
                  <w:r>
                    <w:rPr>
                      <w:rFonts w:hint="eastAsia" w:ascii="Times New Roman" w:hAnsi="Times New Roman" w:cs="Times New Roman"/>
                      <w:color w:val="auto"/>
                      <w:szCs w:val="21"/>
                    </w:rPr>
                    <w:t>原辅材料名称</w:t>
                  </w:r>
                </w:p>
              </w:tc>
              <w:tc>
                <w:tcPr>
                  <w:tcW w:w="4291" w:type="dxa"/>
                  <w:vAlign w:val="center"/>
                </w:tcPr>
                <w:p w14:paraId="297261E1">
                  <w:pPr>
                    <w:jc w:val="center"/>
                    <w:rPr>
                      <w:rFonts w:ascii="Times New Roman" w:hAnsi="Times New Roman" w:cs="Times New Roman"/>
                      <w:color w:val="auto"/>
                      <w:szCs w:val="21"/>
                    </w:rPr>
                  </w:pPr>
                  <w:r>
                    <w:rPr>
                      <w:rFonts w:hint="eastAsia" w:ascii="Times New Roman" w:hAnsi="Times New Roman" w:cs="Times New Roman"/>
                      <w:color w:val="auto"/>
                      <w:szCs w:val="21"/>
                    </w:rPr>
                    <w:t>性质</w:t>
                  </w:r>
                </w:p>
              </w:tc>
              <w:tc>
                <w:tcPr>
                  <w:tcW w:w="930" w:type="dxa"/>
                  <w:vAlign w:val="center"/>
                </w:tcPr>
                <w:p w14:paraId="2421BE8B">
                  <w:pPr>
                    <w:jc w:val="center"/>
                    <w:rPr>
                      <w:rFonts w:ascii="Times New Roman" w:hAnsi="Times New Roman" w:cs="Times New Roman"/>
                      <w:color w:val="auto"/>
                      <w:szCs w:val="21"/>
                    </w:rPr>
                  </w:pPr>
                  <w:r>
                    <w:rPr>
                      <w:rFonts w:hint="eastAsia" w:ascii="Times New Roman" w:hAnsi="Times New Roman" w:cs="Times New Roman"/>
                      <w:color w:val="auto"/>
                      <w:szCs w:val="21"/>
                    </w:rPr>
                    <w:t>危险性</w:t>
                  </w:r>
                </w:p>
              </w:tc>
              <w:tc>
                <w:tcPr>
                  <w:tcW w:w="893" w:type="dxa"/>
                  <w:vAlign w:val="center"/>
                </w:tcPr>
                <w:p w14:paraId="3D97B11D">
                  <w:pPr>
                    <w:jc w:val="center"/>
                    <w:rPr>
                      <w:rFonts w:ascii="Times New Roman" w:hAnsi="Times New Roman" w:cs="Times New Roman"/>
                      <w:color w:val="auto"/>
                      <w:szCs w:val="21"/>
                    </w:rPr>
                  </w:pPr>
                  <w:r>
                    <w:rPr>
                      <w:rFonts w:hint="eastAsia" w:ascii="Times New Roman" w:hAnsi="Times New Roman" w:cs="Times New Roman"/>
                      <w:color w:val="auto"/>
                      <w:szCs w:val="21"/>
                    </w:rPr>
                    <w:t>毒理性</w:t>
                  </w:r>
                </w:p>
              </w:tc>
            </w:tr>
            <w:tr w14:paraId="34987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75" w:type="dxa"/>
                  <w:vAlign w:val="center"/>
                </w:tcPr>
                <w:p w14:paraId="3FB3AB04">
                  <w:pPr>
                    <w:jc w:val="center"/>
                    <w:rPr>
                      <w:rFonts w:ascii="Times New Roman" w:hAnsi="Times New Roman" w:cs="Times New Roman"/>
                      <w:color w:val="auto"/>
                      <w:szCs w:val="21"/>
                    </w:rPr>
                  </w:pPr>
                  <w:r>
                    <w:rPr>
                      <w:rFonts w:hint="eastAsia" w:ascii="Times New Roman" w:hAnsi="Times New Roman" w:cs="Times New Roman"/>
                      <w:color w:val="auto"/>
                      <w:szCs w:val="21"/>
                    </w:rPr>
                    <w:t>1</w:t>
                  </w:r>
                </w:p>
              </w:tc>
              <w:tc>
                <w:tcPr>
                  <w:tcW w:w="1650" w:type="dxa"/>
                  <w:vAlign w:val="center"/>
                </w:tcPr>
                <w:p w14:paraId="6AB49A88">
                  <w:pPr>
                    <w:jc w:val="center"/>
                    <w:rPr>
                      <w:rFonts w:ascii="Times New Roman" w:hAnsi="Times New Roman" w:cs="Times New Roman"/>
                      <w:color w:val="auto"/>
                      <w:szCs w:val="21"/>
                    </w:rPr>
                  </w:pPr>
                  <w:r>
                    <w:rPr>
                      <w:rFonts w:hint="eastAsia" w:hAnsi="宋体"/>
                      <w:color w:val="auto"/>
                      <w:kern w:val="2"/>
                      <w:sz w:val="21"/>
                      <w:szCs w:val="21"/>
                    </w:rPr>
                    <w:t>固硫剂</w:t>
                  </w:r>
                </w:p>
              </w:tc>
              <w:tc>
                <w:tcPr>
                  <w:tcW w:w="4291" w:type="dxa"/>
                  <w:vAlign w:val="center"/>
                </w:tcPr>
                <w:p w14:paraId="2D994AB2">
                  <w:pPr>
                    <w:ind w:firstLine="420" w:firstLineChars="200"/>
                    <w:jc w:val="left"/>
                    <w:rPr>
                      <w:rFonts w:ascii="Times New Roman" w:hAnsi="Times New Roman" w:cs="Times New Roman"/>
                      <w:color w:val="auto"/>
                      <w:szCs w:val="21"/>
                    </w:rPr>
                  </w:pPr>
                  <w:r>
                    <w:rPr>
                      <w:rFonts w:hint="eastAsia" w:ascii="Times New Roman" w:hAnsi="Times New Roman" w:cs="Times New Roman"/>
                      <w:color w:val="auto"/>
                      <w:szCs w:val="21"/>
                    </w:rPr>
                    <w:t>主要成分为CaO</w:t>
                  </w:r>
                  <w:r>
                    <w:rPr>
                      <w:rFonts w:hint="eastAsia" w:cs="Times New Roman"/>
                      <w:color w:val="auto"/>
                      <w:szCs w:val="21"/>
                      <w:lang w:val="en-US" w:eastAsia="zh-CN"/>
                    </w:rPr>
                    <w:t>，</w:t>
                  </w:r>
                  <w:r>
                    <w:rPr>
                      <w:rFonts w:hint="eastAsia" w:ascii="Times New Roman" w:hAnsi="Times New Roman" w:cs="Times New Roman"/>
                      <w:color w:val="auto"/>
                      <w:szCs w:val="21"/>
                    </w:rPr>
                    <w:t>白色或带灰色块状或颗粒。溶于酸类、甘油和蔗糖溶液</w:t>
                  </w:r>
                  <w:r>
                    <w:rPr>
                      <w:rFonts w:hint="eastAsia" w:cs="Times New Roman"/>
                      <w:color w:val="auto"/>
                      <w:szCs w:val="21"/>
                      <w:lang w:eastAsia="zh-CN"/>
                    </w:rPr>
                    <w:t>，</w:t>
                  </w:r>
                  <w:r>
                    <w:rPr>
                      <w:rFonts w:hint="eastAsia" w:ascii="Times New Roman" w:hAnsi="Times New Roman" w:cs="Times New Roman"/>
                      <w:color w:val="auto"/>
                      <w:szCs w:val="21"/>
                    </w:rPr>
                    <w:t>几乎不溶于乙醇。相对密度3.32~3.35。熔点2572℃。沸点2850℃。折光率1.838。氧化钙为碱性氧化物</w:t>
                  </w:r>
                  <w:r>
                    <w:rPr>
                      <w:rFonts w:hint="eastAsia" w:cs="Times New Roman"/>
                      <w:color w:val="auto"/>
                      <w:szCs w:val="21"/>
                      <w:lang w:eastAsia="zh-CN"/>
                    </w:rPr>
                    <w:t>，</w:t>
                  </w:r>
                  <w:r>
                    <w:rPr>
                      <w:rFonts w:hint="eastAsia" w:ascii="Times New Roman" w:hAnsi="Times New Roman" w:cs="Times New Roman"/>
                      <w:color w:val="auto"/>
                      <w:szCs w:val="21"/>
                    </w:rPr>
                    <w:t>对湿敏感。易从空气中吸收二氧化碳及水分。与水反应生成氢氧化钙</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Ca</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OH</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2</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并产生大量热</w:t>
                  </w:r>
                  <w:r>
                    <w:rPr>
                      <w:rFonts w:hint="eastAsia" w:cs="Times New Roman"/>
                      <w:color w:val="auto"/>
                      <w:szCs w:val="21"/>
                      <w:lang w:eastAsia="zh-CN"/>
                    </w:rPr>
                    <w:t>，</w:t>
                  </w:r>
                  <w:r>
                    <w:rPr>
                      <w:rFonts w:hint="eastAsia" w:ascii="Times New Roman" w:hAnsi="Times New Roman" w:cs="Times New Roman"/>
                      <w:color w:val="auto"/>
                      <w:szCs w:val="21"/>
                    </w:rPr>
                    <w:t>有腐蚀性。</w:t>
                  </w:r>
                </w:p>
              </w:tc>
              <w:tc>
                <w:tcPr>
                  <w:tcW w:w="930" w:type="dxa"/>
                  <w:vAlign w:val="center"/>
                </w:tcPr>
                <w:p w14:paraId="6CD348BB">
                  <w:pPr>
                    <w:widowControl/>
                    <w:jc w:val="center"/>
                    <w:rPr>
                      <w:rFonts w:ascii="Times New Roman" w:hAnsi="Times New Roman" w:cs="Times New Roman"/>
                      <w:color w:val="auto"/>
                      <w:szCs w:val="21"/>
                    </w:rPr>
                  </w:pPr>
                  <w:r>
                    <w:rPr>
                      <w:rFonts w:hint="eastAsia" w:ascii="Arial" w:hAnsi="Arial" w:eastAsia="宋体" w:cs="Arial"/>
                      <w:color w:val="auto"/>
                      <w:szCs w:val="21"/>
                      <w:shd w:val="clear" w:color="auto" w:fill="FFFFFF"/>
                    </w:rPr>
                    <w:t>不易燃</w:t>
                  </w:r>
                </w:p>
              </w:tc>
              <w:tc>
                <w:tcPr>
                  <w:tcW w:w="893" w:type="dxa"/>
                  <w:vAlign w:val="center"/>
                </w:tcPr>
                <w:p w14:paraId="009A2560">
                  <w:pPr>
                    <w:widowControl/>
                    <w:jc w:val="center"/>
                    <w:rPr>
                      <w:rFonts w:ascii="Times New Roman" w:hAnsi="Times New Roman" w:cs="Times New Roman"/>
                      <w:color w:val="auto"/>
                      <w:szCs w:val="21"/>
                    </w:rPr>
                  </w:pPr>
                  <w:r>
                    <w:rPr>
                      <w:rFonts w:hint="eastAsia" w:ascii="Arial" w:hAnsi="Arial" w:eastAsia="宋体" w:cs="Arial"/>
                      <w:color w:val="auto"/>
                      <w:szCs w:val="21"/>
                      <w:shd w:val="clear" w:color="auto" w:fill="FFFFFF"/>
                    </w:rPr>
                    <w:t>无毒</w:t>
                  </w:r>
                </w:p>
              </w:tc>
            </w:tr>
            <w:tr w14:paraId="6517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675" w:type="dxa"/>
                  <w:vAlign w:val="center"/>
                </w:tcPr>
                <w:p w14:paraId="7EE96DF7">
                  <w:pPr>
                    <w:jc w:val="center"/>
                    <w:rPr>
                      <w:rFonts w:hint="eastAsia" w:ascii="Times New Roman" w:hAnsi="Times New Roman" w:cs="Times New Roman"/>
                      <w:color w:val="auto"/>
                      <w:szCs w:val="21"/>
                    </w:rPr>
                  </w:pPr>
                  <w:r>
                    <w:rPr>
                      <w:rFonts w:hint="eastAsia" w:ascii="Times New Roman" w:hAnsi="Times New Roman" w:cs="Times New Roman"/>
                      <w:color w:val="auto"/>
                      <w:szCs w:val="21"/>
                    </w:rPr>
                    <w:t>2</w:t>
                  </w:r>
                </w:p>
              </w:tc>
              <w:tc>
                <w:tcPr>
                  <w:tcW w:w="1650" w:type="dxa"/>
                  <w:vAlign w:val="center"/>
                </w:tcPr>
                <w:p w14:paraId="5DD980FD">
                  <w:pPr>
                    <w:jc w:val="center"/>
                    <w:rPr>
                      <w:rFonts w:hint="eastAsia" w:ascii="Times New Roman" w:hAnsi="Times New Roman" w:cs="Times New Roman"/>
                      <w:color w:val="auto"/>
                      <w:szCs w:val="21"/>
                    </w:rPr>
                  </w:pPr>
                  <w:r>
                    <w:rPr>
                      <w:rFonts w:hint="eastAsia" w:hAnsi="宋体"/>
                      <w:color w:val="auto"/>
                      <w:kern w:val="2"/>
                      <w:sz w:val="21"/>
                      <w:szCs w:val="21"/>
                    </w:rPr>
                    <w:t>尿素</w:t>
                  </w:r>
                </w:p>
              </w:tc>
              <w:tc>
                <w:tcPr>
                  <w:tcW w:w="4291" w:type="dxa"/>
                  <w:vAlign w:val="center"/>
                </w:tcPr>
                <w:p w14:paraId="6420252D">
                  <w:pPr>
                    <w:ind w:firstLine="420" w:firstLineChars="200"/>
                    <w:jc w:val="left"/>
                    <w:rPr>
                      <w:rFonts w:hint="eastAsia" w:ascii="Times New Roman" w:hAnsi="Times New Roman" w:cs="Times New Roman"/>
                      <w:color w:val="auto"/>
                      <w:szCs w:val="21"/>
                    </w:rPr>
                  </w:pPr>
                  <w:r>
                    <w:rPr>
                      <w:rFonts w:hint="eastAsia" w:ascii="Times New Roman" w:hAnsi="Times New Roman" w:cs="Times New Roman"/>
                      <w:color w:val="auto"/>
                      <w:szCs w:val="21"/>
                    </w:rPr>
                    <w:t>又称碳酰胺（carbamide），是由碳、氮、氧、氢组成的有机化合物是一种白色晶体。最简单的有机化合物之一，是哺乳动物和某些鱼类体内蛋白质代谢分解的主要含氮终产物。也是目前含氮量最高的氮肥。</w:t>
                  </w:r>
                </w:p>
              </w:tc>
              <w:tc>
                <w:tcPr>
                  <w:tcW w:w="930" w:type="dxa"/>
                  <w:vAlign w:val="center"/>
                </w:tcPr>
                <w:p w14:paraId="6D2AD2A0">
                  <w:pPr>
                    <w:widowControl/>
                    <w:jc w:val="center"/>
                    <w:rPr>
                      <w:rFonts w:hint="eastAsia" w:ascii="Arial" w:hAnsi="Arial" w:eastAsia="宋体" w:cs="Arial"/>
                      <w:color w:val="auto"/>
                      <w:szCs w:val="21"/>
                      <w:shd w:val="clear" w:color="auto" w:fill="FFFFFF"/>
                    </w:rPr>
                  </w:pPr>
                  <w:r>
                    <w:rPr>
                      <w:rFonts w:hint="eastAsia" w:ascii="Arial" w:hAnsi="Arial" w:eastAsia="宋体" w:cs="Arial"/>
                      <w:color w:val="auto"/>
                      <w:szCs w:val="21"/>
                      <w:shd w:val="clear" w:color="auto" w:fill="FFFFFF"/>
                    </w:rPr>
                    <w:t>不易燃</w:t>
                  </w:r>
                </w:p>
              </w:tc>
              <w:tc>
                <w:tcPr>
                  <w:tcW w:w="893" w:type="dxa"/>
                  <w:vAlign w:val="center"/>
                </w:tcPr>
                <w:p w14:paraId="22798853">
                  <w:pPr>
                    <w:widowControl/>
                    <w:jc w:val="center"/>
                    <w:rPr>
                      <w:rFonts w:hint="eastAsia" w:ascii="Arial" w:hAnsi="Arial" w:eastAsia="宋体" w:cs="Arial"/>
                      <w:color w:val="auto"/>
                      <w:szCs w:val="21"/>
                      <w:shd w:val="clear" w:color="auto" w:fill="FFFFFF"/>
                    </w:rPr>
                  </w:pPr>
                  <w:r>
                    <w:rPr>
                      <w:rFonts w:hint="eastAsia" w:ascii="Arial" w:hAnsi="Arial" w:eastAsia="宋体" w:cs="Arial"/>
                      <w:color w:val="auto"/>
                      <w:szCs w:val="21"/>
                      <w:shd w:val="clear" w:color="auto" w:fill="FFFFFF"/>
                    </w:rPr>
                    <w:t>无毒</w:t>
                  </w:r>
                </w:p>
              </w:tc>
            </w:tr>
          </w:tbl>
          <w:p w14:paraId="17040FCD">
            <w:pPr>
              <w:tabs>
                <w:tab w:val="left" w:pos="1180"/>
              </w:tabs>
              <w:spacing w:before="240" w:beforeLines="100" w:line="360" w:lineRule="auto"/>
              <w:ind w:firstLine="482" w:firstLineChars="200"/>
              <w:jc w:val="left"/>
              <w:rPr>
                <w:rFonts w:ascii="Times New Roman" w:hAnsi="Times New Roman" w:cs="Times New Roman"/>
                <w:b/>
                <w:bCs/>
                <w:color w:val="auto"/>
                <w:sz w:val="24"/>
              </w:rPr>
            </w:pPr>
            <w:r>
              <w:rPr>
                <w:b/>
                <w:bCs/>
                <w:color w:val="auto"/>
                <w:sz w:val="24"/>
                <w:szCs w:val="24"/>
              </w:rPr>
              <w:t>6</w:t>
            </w:r>
            <w:r>
              <w:rPr>
                <w:rFonts w:hint="eastAsia" w:cs="宋体"/>
                <w:b/>
                <w:bCs/>
                <w:color w:val="auto"/>
                <w:sz w:val="24"/>
                <w:szCs w:val="24"/>
              </w:rPr>
              <w:t>、</w:t>
            </w:r>
            <w:r>
              <w:rPr>
                <w:rFonts w:hint="eastAsia" w:cs="宋体"/>
                <w:b/>
                <w:bCs/>
                <w:color w:val="auto"/>
                <w:sz w:val="24"/>
                <w:szCs w:val="24"/>
                <w:lang w:eastAsia="zh-CN"/>
              </w:rPr>
              <w:t>公用工程</w:t>
            </w:r>
          </w:p>
          <w:p w14:paraId="11DEEFF6">
            <w:pPr>
              <w:numPr>
                <w:ilvl w:val="0"/>
                <w:numId w:val="6"/>
              </w:numPr>
              <w:spacing w:line="360" w:lineRule="auto"/>
              <w:ind w:left="479" w:leftChars="228"/>
              <w:rPr>
                <w:rFonts w:ascii="Times New Roman" w:hAnsi="Times New Roman" w:cs="Times New Roman"/>
                <w:color w:val="auto"/>
                <w:sz w:val="24"/>
              </w:rPr>
            </w:pPr>
            <w:r>
              <w:rPr>
                <w:rFonts w:ascii="Times New Roman" w:hAnsi="Times New Roman" w:cs="Times New Roman"/>
                <w:color w:val="auto"/>
                <w:sz w:val="24"/>
              </w:rPr>
              <w:t>供水：</w:t>
            </w:r>
          </w:p>
          <w:p w14:paraId="25BE849C">
            <w:pPr>
              <w:spacing w:line="360" w:lineRule="auto"/>
              <w:ind w:firstLine="480" w:firstLineChars="200"/>
              <w:rPr>
                <w:rFonts w:hint="eastAsia" w:ascii="宋体" w:hAnsi="宋体" w:eastAsia="宋体" w:cs="宋体"/>
                <w:color w:val="auto"/>
                <w:sz w:val="24"/>
                <w:lang w:eastAsia="zh-CN"/>
              </w:rPr>
            </w:pPr>
            <w:r>
              <w:rPr>
                <w:rFonts w:hint="eastAsia" w:ascii="Times New Roman" w:hAnsi="Times New Roman" w:cs="Times New Roman"/>
                <w:color w:val="auto"/>
                <w:sz w:val="24"/>
              </w:rPr>
              <w:t>项目供水由</w:t>
            </w:r>
            <w:r>
              <w:rPr>
                <w:rFonts w:hint="eastAsia" w:cs="Times New Roman"/>
                <w:color w:val="auto"/>
                <w:sz w:val="24"/>
                <w:lang w:eastAsia="zh-CN"/>
              </w:rPr>
              <w:t>濉溪县刘桥镇供水管网</w:t>
            </w:r>
            <w:r>
              <w:rPr>
                <w:rFonts w:hint="eastAsia" w:ascii="Times New Roman" w:hAnsi="Times New Roman" w:cs="Times New Roman"/>
                <w:color w:val="auto"/>
                <w:sz w:val="24"/>
              </w:rPr>
              <w:t>供给</w:t>
            </w:r>
            <w:r>
              <w:rPr>
                <w:rFonts w:hint="eastAsia" w:cs="Times New Roman"/>
                <w:color w:val="auto"/>
                <w:sz w:val="24"/>
                <w:lang w:eastAsia="zh-CN"/>
              </w:rPr>
              <w:t>，</w:t>
            </w:r>
            <w:r>
              <w:rPr>
                <w:rFonts w:hint="eastAsia" w:ascii="Times New Roman" w:hAnsi="Times New Roman" w:cs="Times New Roman"/>
                <w:color w:val="auto"/>
                <w:sz w:val="24"/>
              </w:rPr>
              <w:t>主要为</w:t>
            </w:r>
            <w:r>
              <w:rPr>
                <w:rFonts w:hint="eastAsia" w:ascii="Times New Roman" w:hAnsi="Times New Roman" w:cs="Times New Roman"/>
                <w:color w:val="auto"/>
                <w:sz w:val="24"/>
                <w:lang w:eastAsia="zh-CN"/>
              </w:rPr>
              <w:t>生活用水、制砖生产用水、</w:t>
            </w:r>
            <w:r>
              <w:rPr>
                <w:rFonts w:hint="eastAsia" w:cs="Times New Roman"/>
                <w:color w:val="auto"/>
                <w:sz w:val="24"/>
                <w:lang w:eastAsia="zh-CN"/>
              </w:rPr>
              <w:t>脱硫脱硝设施用水</w:t>
            </w:r>
            <w:r>
              <w:rPr>
                <w:rFonts w:hint="eastAsia" w:ascii="Times New Roman" w:hAnsi="Times New Roman" w:cs="Times New Roman"/>
                <w:color w:val="auto"/>
                <w:sz w:val="24"/>
                <w:lang w:eastAsia="zh-CN"/>
              </w:rPr>
              <w:t>、抑尘用水、车辆冲洗补水及绿化用水</w:t>
            </w:r>
            <w:r>
              <w:rPr>
                <w:rFonts w:hint="eastAsia" w:ascii="Times New Roman" w:hAnsi="Times New Roman" w:cs="Times New Roman"/>
                <w:color w:val="auto"/>
                <w:sz w:val="24"/>
              </w:rPr>
              <w:t>。</w:t>
            </w:r>
          </w:p>
          <w:p w14:paraId="553FEED1">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（2）排水：项目排水实行雨污分流制</w:t>
            </w:r>
            <w:r>
              <w:rPr>
                <w:rFonts w:hint="eastAsia" w:cs="Times New Roman"/>
                <w:color w:val="auto"/>
                <w:sz w:val="24"/>
                <w:lang w:eastAsia="zh-CN"/>
              </w:rPr>
              <w:t>，</w:t>
            </w:r>
            <w:r>
              <w:rPr>
                <w:rFonts w:ascii="Times New Roman" w:hAnsi="Times New Roman" w:cs="Times New Roman"/>
                <w:color w:val="auto"/>
                <w:sz w:val="24"/>
              </w:rPr>
              <w:t>雨水经厂区雨水管网收集后排入</w:t>
            </w:r>
            <w:r>
              <w:rPr>
                <w:rFonts w:hint="eastAsia" w:cs="Times New Roman"/>
                <w:color w:val="auto"/>
                <w:sz w:val="24"/>
                <w:lang w:eastAsia="zh-CN"/>
              </w:rPr>
              <w:t>任李沟</w:t>
            </w:r>
            <w:r>
              <w:rPr>
                <w:rFonts w:ascii="Times New Roman" w:hAnsi="Times New Roman" w:cs="Times New Roman"/>
                <w:color w:val="auto"/>
                <w:sz w:val="24"/>
              </w:rPr>
              <w:t>。项目运营期</w:t>
            </w:r>
            <w:r>
              <w:rPr>
                <w:rFonts w:hint="eastAsia" w:ascii="Times New Roman" w:hAnsi="Times New Roman" w:cs="Times New Roman"/>
                <w:color w:val="auto"/>
                <w:sz w:val="24"/>
                <w:lang w:eastAsia="zh-CN"/>
              </w:rPr>
              <w:t>车辆冲洗废水经沉淀池沉淀后回用于车辆冲洗；</w:t>
            </w:r>
            <w:r>
              <w:rPr>
                <w:rFonts w:ascii="Times New Roman" w:hAnsi="Times New Roman" w:cs="Times New Roman"/>
                <w:color w:val="auto"/>
                <w:sz w:val="24"/>
              </w:rPr>
              <w:t>生活污水</w:t>
            </w:r>
            <w:r>
              <w:rPr>
                <w:rFonts w:hint="eastAsia" w:ascii="Times New Roman" w:hAnsi="Times New Roman" w:cs="Times New Roman"/>
                <w:color w:val="auto"/>
                <w:sz w:val="24"/>
                <w:lang w:eastAsia="zh-CN"/>
              </w:rPr>
              <w:t>经</w:t>
            </w:r>
            <w:r>
              <w:rPr>
                <w:rFonts w:ascii="Times New Roman" w:hAnsi="Times New Roman" w:cs="Times New Roman"/>
                <w:color w:val="auto"/>
                <w:sz w:val="24"/>
              </w:rPr>
              <w:t>化粪池处理后</w:t>
            </w:r>
            <w:r>
              <w:rPr>
                <w:rFonts w:hint="eastAsia" w:ascii="Times New Roman" w:hAnsi="Times New Roman" w:cs="Times New Roman"/>
                <w:color w:val="auto"/>
                <w:sz w:val="24"/>
                <w:lang w:eastAsia="zh-CN"/>
              </w:rPr>
              <w:t>定期清掏</w:t>
            </w:r>
            <w:r>
              <w:rPr>
                <w:rFonts w:hint="eastAsia" w:cs="Times New Roman"/>
                <w:color w:val="auto"/>
                <w:sz w:val="24"/>
                <w:lang w:eastAsia="zh-CN"/>
              </w:rPr>
              <w:t>，</w:t>
            </w:r>
            <w:r>
              <w:rPr>
                <w:rFonts w:hint="eastAsia" w:ascii="Times New Roman" w:hAnsi="Times New Roman" w:cs="Times New Roman"/>
                <w:color w:val="auto"/>
                <w:sz w:val="24"/>
                <w:lang w:eastAsia="zh-CN"/>
              </w:rPr>
              <w:t>不外排</w:t>
            </w:r>
            <w:r>
              <w:rPr>
                <w:rFonts w:hint="eastAsia" w:ascii="Times New Roman" w:hAnsi="Times New Roman" w:cs="Times New Roman"/>
                <w:color w:val="auto"/>
                <w:sz w:val="24"/>
              </w:rPr>
              <w:t>；</w:t>
            </w:r>
            <w:r>
              <w:rPr>
                <w:rFonts w:ascii="Times New Roman" w:hAnsi="Times New Roman" w:cs="Times New Roman"/>
                <w:color w:val="auto"/>
                <w:sz w:val="24"/>
              </w:rPr>
              <w:br w:type="textWrapping"/>
            </w:r>
            <w:r>
              <w:rPr>
                <w:rFonts w:hint="eastAsia" w:ascii="Times New Roman" w:hAnsi="Times New Roman" w:cs="Times New Roman"/>
                <w:color w:val="auto"/>
                <w:sz w:val="24"/>
              </w:rPr>
              <w:t xml:space="preserve">    </w:t>
            </w:r>
            <w:r>
              <w:rPr>
                <w:rFonts w:ascii="Times New Roman" w:hAnsi="Times New Roman" w:cs="Times New Roman"/>
                <w:color w:val="auto"/>
                <w:sz w:val="24"/>
              </w:rPr>
              <w:t>（3）供电：依托由</w:t>
            </w:r>
            <w:r>
              <w:rPr>
                <w:rFonts w:hint="eastAsia" w:ascii="Times New Roman" w:hAnsi="Times New Roman" w:cs="Times New Roman"/>
                <w:color w:val="auto"/>
                <w:sz w:val="24"/>
                <w:lang w:eastAsia="zh-CN"/>
              </w:rPr>
              <w:t>濉溪县刘桥镇供电管网</w:t>
            </w:r>
            <w:r>
              <w:rPr>
                <w:rFonts w:ascii="Times New Roman" w:hAnsi="Times New Roman" w:cs="Times New Roman"/>
                <w:color w:val="auto"/>
                <w:sz w:val="24"/>
              </w:rPr>
              <w:t>供电</w:t>
            </w:r>
            <w:r>
              <w:rPr>
                <w:rFonts w:hint="eastAsia" w:ascii="Times New Roman" w:hAnsi="Times New Roman" w:cs="Times New Roman"/>
                <w:color w:val="auto"/>
                <w:sz w:val="24"/>
              </w:rPr>
              <w:t>；</w:t>
            </w:r>
            <w:r>
              <w:rPr>
                <w:rFonts w:ascii="Times New Roman" w:hAnsi="Times New Roman" w:cs="Times New Roman"/>
                <w:color w:val="auto"/>
                <w:sz w:val="24"/>
              </w:rPr>
              <w:tab/>
            </w:r>
          </w:p>
          <w:p w14:paraId="10B99CE6">
            <w:pPr>
              <w:spacing w:line="360" w:lineRule="auto"/>
              <w:ind w:left="479" w:leftChars="228"/>
              <w:rPr>
                <w:rFonts w:hint="eastAsia" w:ascii="Times New Roman" w:hAnsi="Times New Roman" w:eastAsia="宋体" w:cs="Times New Roman"/>
                <w:color w:val="auto"/>
                <w:sz w:val="24"/>
                <w:lang w:val="en-US" w:eastAsia="zh-CN"/>
              </w:rPr>
            </w:pPr>
            <w:r>
              <w:rPr>
                <w:rFonts w:ascii="Times New Roman" w:hAnsi="Times New Roman" w:cs="Times New Roman"/>
                <w:color w:val="auto"/>
                <w:sz w:val="24"/>
              </w:rPr>
              <w:t>（4）消防系统</w:t>
            </w:r>
            <w:r>
              <w:rPr>
                <w:rFonts w:ascii="Times New Roman" w:hAnsi="Times New Roman" w:cs="Times New Roman"/>
                <w:color w:val="auto"/>
                <w:sz w:val="24"/>
              </w:rPr>
              <w:tab/>
            </w:r>
            <w:r>
              <w:rPr>
                <w:rFonts w:ascii="Times New Roman" w:hAnsi="Times New Roman" w:cs="Times New Roman"/>
                <w:color w:val="auto"/>
                <w:sz w:val="24"/>
              </w:rPr>
              <w:t>：按照相关规定设置各类消防设施</w:t>
            </w:r>
            <w:r>
              <w:rPr>
                <w:rFonts w:hint="eastAsia" w:cs="Times New Roman"/>
                <w:color w:val="auto"/>
                <w:sz w:val="24"/>
                <w:lang w:val="en-US" w:eastAsia="zh-CN"/>
              </w:rPr>
              <w:t>。</w:t>
            </w:r>
          </w:p>
          <w:p w14:paraId="7DB91AF7">
            <w:pPr>
              <w:spacing w:line="360" w:lineRule="auto"/>
              <w:ind w:left="479" w:leftChars="228" w:firstLine="0" w:firstLineChars="0"/>
              <w:rPr>
                <w:rFonts w:hint="eastAsia"/>
                <w:color w:val="auto"/>
                <w:lang w:eastAsia="zh-CN"/>
              </w:rPr>
            </w:pPr>
            <w:r>
              <w:rPr>
                <w:rFonts w:hint="eastAsia" w:ascii="Times New Roman" w:hAnsi="Times New Roman" w:eastAsia="宋体" w:cs="Times New Roman"/>
                <w:b/>
                <w:bCs/>
                <w:color w:val="auto"/>
                <w:kern w:val="2"/>
                <w:sz w:val="24"/>
                <w:szCs w:val="21"/>
                <w:lang w:val="en-US" w:eastAsia="zh-CN" w:bidi="ar-SA"/>
              </w:rPr>
              <w:t>7、水平衡</w:t>
            </w:r>
            <w:r>
              <w:rPr>
                <w:rFonts w:hint="eastAsia" w:ascii="Times New Roman" w:hAnsi="Times New Roman" w:eastAsia="宋体" w:cs="Times New Roman"/>
                <w:b/>
                <w:bCs/>
                <w:color w:val="auto"/>
                <w:kern w:val="2"/>
                <w:sz w:val="24"/>
                <w:szCs w:val="21"/>
                <w:lang w:val="en-US" w:eastAsia="zh-CN" w:bidi="ar-SA"/>
              </w:rPr>
              <w:br w:type="textWrapping"/>
            </w:r>
            <w:r>
              <w:rPr>
                <w:rFonts w:hint="eastAsia" w:ascii="Times New Roman" w:hAnsi="Times New Roman" w:eastAsia="宋体" w:cs="Times New Roman"/>
                <w:color w:val="auto"/>
                <w:kern w:val="2"/>
                <w:sz w:val="24"/>
                <w:szCs w:val="21"/>
                <w:lang w:val="en-US" w:eastAsia="zh-CN" w:bidi="ar-SA"/>
              </w:rPr>
              <w:t>（1）现有工程水平衡</w:t>
            </w:r>
          </w:p>
          <w:p w14:paraId="41B82E16">
            <w:pPr>
              <w:pStyle w:val="2"/>
              <w:keepNext w:val="0"/>
              <w:keepLines w:val="0"/>
              <w:pageBreakBefore w:val="0"/>
              <w:widowControl/>
              <w:kinsoku/>
              <w:wordWrap/>
              <w:overflowPunct/>
              <w:topLinePunct w:val="0"/>
              <w:autoSpaceDE/>
              <w:autoSpaceDN/>
              <w:bidi w:val="0"/>
              <w:adjustRightInd/>
              <w:snapToGrid w:val="0"/>
              <w:spacing w:before="0" w:after="0" w:line="360" w:lineRule="auto"/>
              <w:ind w:right="0"/>
              <w:textAlignment w:val="auto"/>
              <w:rPr>
                <w:rFonts w:hint="eastAsia" w:ascii="Times New Roman" w:hAnsi="Times New Roman" w:eastAsia="宋体" w:cs="Times New Roman"/>
                <w:color w:val="auto"/>
                <w:kern w:val="2"/>
                <w:sz w:val="24"/>
                <w:szCs w:val="21"/>
                <w:lang w:val="en-US" w:eastAsia="zh-CN" w:bidi="ar-SA"/>
              </w:rPr>
            </w:pPr>
            <w:r>
              <w:rPr>
                <w:rFonts w:hint="eastAsia"/>
                <w:color w:val="auto"/>
                <w:lang w:val="en-US" w:eastAsia="zh-CN"/>
              </w:rPr>
              <w:t xml:space="preserve">    </w:t>
            </w:r>
            <w:r>
              <w:rPr>
                <w:rFonts w:hint="eastAsia" w:ascii="Times New Roman" w:hAnsi="Times New Roman" w:eastAsia="宋体" w:cs="Times New Roman"/>
                <w:color w:val="auto"/>
                <w:kern w:val="2"/>
                <w:sz w:val="24"/>
                <w:szCs w:val="21"/>
                <w:lang w:val="en-US" w:eastAsia="zh-CN" w:bidi="ar-SA"/>
              </w:rPr>
              <w:t xml:space="preserve"> 现有项目用水主要为生活用水、水膜除尘用水、搅拌添加用水及绿化用水。其中生活用水量约为1.44t/d，</w:t>
            </w:r>
            <w:r>
              <w:rPr>
                <w:rFonts w:hint="eastAsia" w:cs="Times New Roman"/>
                <w:color w:val="auto"/>
                <w:sz w:val="24"/>
                <w:lang w:eastAsia="zh-CN"/>
              </w:rPr>
              <w:t>除尘脱硫脱硝设施用水</w:t>
            </w:r>
            <w:r>
              <w:rPr>
                <w:rFonts w:hint="eastAsia" w:ascii="Times New Roman" w:hAnsi="Times New Roman" w:eastAsia="宋体" w:cs="Times New Roman"/>
                <w:color w:val="auto"/>
                <w:kern w:val="2"/>
                <w:sz w:val="24"/>
                <w:szCs w:val="21"/>
                <w:lang w:val="en-US" w:eastAsia="zh-CN" w:bidi="ar-SA"/>
              </w:rPr>
              <w:t>约为4t/d，搅拌添加用水约为</w:t>
            </w:r>
            <w:r>
              <w:rPr>
                <w:rFonts w:hint="eastAsia" w:cs="Times New Roman"/>
                <w:color w:val="auto"/>
                <w:kern w:val="2"/>
                <w:sz w:val="24"/>
                <w:szCs w:val="21"/>
                <w:lang w:val="en-US" w:eastAsia="zh-CN" w:bidi="ar-SA"/>
              </w:rPr>
              <w:t>60</w:t>
            </w:r>
            <w:r>
              <w:rPr>
                <w:rFonts w:hint="eastAsia" w:ascii="Times New Roman" w:hAnsi="Times New Roman" w:eastAsia="宋体" w:cs="Times New Roman"/>
                <w:color w:val="auto"/>
                <w:kern w:val="2"/>
                <w:sz w:val="24"/>
                <w:szCs w:val="21"/>
                <w:lang w:val="en-US" w:eastAsia="zh-CN" w:bidi="ar-SA"/>
              </w:rPr>
              <w:t>t/d，绿化用水0.6t/d。污水主要为生活污水，经化粪池处理后定期清掏，不外排。</w:t>
            </w:r>
          </w:p>
          <w:p w14:paraId="5826CB3C">
            <w:pPr>
              <w:pStyle w:val="2"/>
              <w:spacing w:line="360" w:lineRule="auto"/>
              <w:jc w:val="center"/>
              <w:rPr>
                <w:rFonts w:hint="eastAsia" w:ascii="Times New Roman" w:hAnsi="Times New Roman" w:eastAsia="宋体" w:cs="Times New Roman"/>
                <w:color w:val="auto"/>
                <w:kern w:val="2"/>
                <w:sz w:val="24"/>
                <w:szCs w:val="21"/>
                <w:lang w:val="en-US" w:eastAsia="zh-CN" w:bidi="ar-SA"/>
              </w:rPr>
            </w:pPr>
            <w:r>
              <w:rPr>
                <w:color w:val="auto"/>
              </w:rPr>
              <w:drawing>
                <wp:inline distT="0" distB="0" distL="114300" distR="114300">
                  <wp:extent cx="4858385" cy="2370455"/>
                  <wp:effectExtent l="0" t="0" r="5715"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4858385" cy="2370455"/>
                          </a:xfrm>
                          <a:prstGeom prst="rect">
                            <a:avLst/>
                          </a:prstGeom>
                          <a:noFill/>
                          <a:ln>
                            <a:noFill/>
                          </a:ln>
                        </pic:spPr>
                      </pic:pic>
                    </a:graphicData>
                  </a:graphic>
                </wp:inline>
              </w:drawing>
            </w:r>
          </w:p>
          <w:p w14:paraId="4C7AE111">
            <w:pPr>
              <w:pStyle w:val="134"/>
              <w:spacing w:line="360" w:lineRule="auto"/>
              <w:jc w:val="center"/>
              <w:rPr>
                <w:color w:val="auto"/>
                <w:sz w:val="21"/>
                <w:szCs w:val="18"/>
              </w:rPr>
            </w:pPr>
            <w:r>
              <w:rPr>
                <w:rFonts w:ascii="Times New Roman" w:hAnsi="Times New Roman" w:eastAsia="宋体"/>
                <w:b/>
                <w:bCs/>
                <w:color w:val="auto"/>
                <w:sz w:val="21"/>
                <w:szCs w:val="18"/>
              </w:rPr>
              <w:t>图</w:t>
            </w:r>
            <w:r>
              <w:rPr>
                <w:rFonts w:hint="eastAsia" w:ascii="Times New Roman" w:hAnsi="Times New Roman" w:eastAsia="宋体"/>
                <w:b/>
                <w:bCs/>
                <w:color w:val="auto"/>
                <w:sz w:val="21"/>
                <w:szCs w:val="18"/>
              </w:rPr>
              <w:t>2-4</w:t>
            </w:r>
            <w:r>
              <w:rPr>
                <w:rFonts w:ascii="Times New Roman" w:hAnsi="Times New Roman" w:eastAsia="宋体"/>
                <w:b/>
                <w:bCs/>
                <w:color w:val="auto"/>
                <w:sz w:val="21"/>
                <w:szCs w:val="18"/>
              </w:rPr>
              <w:t xml:space="preserve">  </w:t>
            </w:r>
            <w:r>
              <w:rPr>
                <w:rFonts w:hint="eastAsia" w:ascii="Times New Roman" w:hAnsi="Times New Roman" w:eastAsia="宋体"/>
                <w:b/>
                <w:bCs/>
                <w:color w:val="auto"/>
                <w:sz w:val="21"/>
                <w:szCs w:val="18"/>
                <w:lang w:eastAsia="zh-CN"/>
              </w:rPr>
              <w:t>现有项目</w:t>
            </w:r>
            <w:r>
              <w:rPr>
                <w:rFonts w:ascii="Times New Roman" w:hAnsi="Times New Roman" w:eastAsia="宋体"/>
                <w:b/>
                <w:bCs/>
                <w:color w:val="auto"/>
                <w:sz w:val="21"/>
                <w:szCs w:val="18"/>
                <w:highlight w:val="none"/>
              </w:rPr>
              <w:t>水平衡图</w:t>
            </w:r>
            <w:r>
              <w:rPr>
                <w:rFonts w:hint="eastAsia" w:ascii="Times New Roman" w:hAnsi="Times New Roman" w:eastAsia="宋体"/>
                <w:b/>
                <w:bCs/>
                <w:color w:val="auto"/>
                <w:sz w:val="21"/>
                <w:szCs w:val="18"/>
                <w:highlight w:val="none"/>
              </w:rPr>
              <w:t xml:space="preserve">  </w:t>
            </w:r>
            <w:r>
              <w:rPr>
                <w:rFonts w:ascii="Times New Roman" w:hAnsi="Times New Roman" w:eastAsia="宋体"/>
                <w:b/>
                <w:bCs/>
                <w:color w:val="auto"/>
                <w:sz w:val="21"/>
                <w:szCs w:val="18"/>
                <w:highlight w:val="none"/>
              </w:rPr>
              <w:t>单位</w:t>
            </w:r>
            <w:r>
              <w:rPr>
                <w:rFonts w:ascii="Times New Roman" w:hAnsi="Times New Roman" w:eastAsia="宋体"/>
                <w:b/>
                <w:bCs/>
                <w:color w:val="auto"/>
                <w:sz w:val="21"/>
                <w:szCs w:val="18"/>
              </w:rPr>
              <w:t>：t/</w:t>
            </w:r>
            <w:r>
              <w:rPr>
                <w:rFonts w:hint="eastAsia" w:ascii="Times New Roman" w:hAnsi="Times New Roman" w:eastAsia="宋体"/>
                <w:b/>
                <w:bCs/>
                <w:color w:val="auto"/>
                <w:sz w:val="21"/>
                <w:szCs w:val="18"/>
              </w:rPr>
              <w:t>d</w:t>
            </w:r>
          </w:p>
          <w:p w14:paraId="0837D1D8">
            <w:pPr>
              <w:spacing w:line="360" w:lineRule="auto"/>
              <w:ind w:left="479" w:leftChars="228" w:firstLine="0" w:firstLineChars="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技改工程水平衡</w:t>
            </w:r>
          </w:p>
          <w:p w14:paraId="5DA01545">
            <w:pPr>
              <w:spacing w:line="360" w:lineRule="auto"/>
              <w:ind w:left="479" w:leftChars="228" w:firstLine="0" w:firstLineChars="0"/>
              <w:rPr>
                <w:rFonts w:hint="eastAsia" w:cs="Times New Roman"/>
                <w:color w:val="auto"/>
                <w:sz w:val="24"/>
                <w:lang w:eastAsia="zh-CN"/>
              </w:rPr>
            </w:pPr>
            <w:r>
              <w:rPr>
                <w:rFonts w:hint="eastAsia" w:ascii="Times New Roman" w:hAnsi="Times New Roman" w:eastAsia="宋体" w:cs="Times New Roman"/>
                <w:color w:val="auto"/>
                <w:sz w:val="24"/>
                <w:lang w:eastAsia="zh-CN"/>
              </w:rPr>
              <w:t>①</w:t>
            </w:r>
            <w:r>
              <w:rPr>
                <w:rFonts w:hint="eastAsia" w:cs="Times New Roman"/>
                <w:color w:val="auto"/>
                <w:sz w:val="24"/>
                <w:lang w:eastAsia="zh-CN"/>
              </w:rPr>
              <w:t>生活用水</w:t>
            </w:r>
          </w:p>
          <w:p w14:paraId="699D3DEE">
            <w:pPr>
              <w:spacing w:line="360" w:lineRule="auto"/>
              <w:ind w:firstLine="480" w:firstLineChars="200"/>
              <w:rPr>
                <w:rFonts w:hint="default" w:ascii="Times New Roman" w:hAnsi="Times New Roman" w:eastAsia="宋体" w:cs="Times New Roman"/>
                <w:color w:val="auto"/>
                <w:sz w:val="24"/>
                <w:lang w:val="en-US" w:eastAsia="zh-CN"/>
              </w:rPr>
            </w:pPr>
            <w:r>
              <w:rPr>
                <w:rFonts w:hint="eastAsia" w:cs="Times New Roman"/>
                <w:color w:val="auto"/>
                <w:sz w:val="24"/>
                <w:lang w:eastAsia="zh-CN"/>
              </w:rPr>
              <w:t>原年生产时间为</w:t>
            </w:r>
            <w:r>
              <w:rPr>
                <w:rFonts w:hint="eastAsia" w:cs="Times New Roman"/>
                <w:color w:val="auto"/>
                <w:sz w:val="24"/>
                <w:lang w:val="en-US" w:eastAsia="zh-CN"/>
              </w:rPr>
              <w:t>240d，技改完成后年生产时间为300d，</w:t>
            </w:r>
            <w:r>
              <w:rPr>
                <w:rFonts w:hint="eastAsia" w:ascii="Times New Roman" w:hAnsi="Times New Roman" w:eastAsia="宋体" w:cs="Times New Roman"/>
                <w:color w:val="auto"/>
                <w:sz w:val="24"/>
                <w:lang w:eastAsia="zh-CN"/>
              </w:rPr>
              <w:t>参照《安徽省行业用水定额》（DB34/T679-2025）中城镇居民生活用水标准175L/日，</w:t>
            </w:r>
            <w:r>
              <w:rPr>
                <w:rFonts w:hint="eastAsia" w:cs="Times New Roman"/>
                <w:color w:val="auto"/>
                <w:sz w:val="24"/>
                <w:lang w:eastAsia="zh-CN"/>
              </w:rPr>
              <w:t>按职工单班时间计</w:t>
            </w:r>
            <w:r>
              <w:rPr>
                <w:rFonts w:hint="eastAsia" w:ascii="Times New Roman" w:hAnsi="Times New Roman" w:eastAsia="宋体" w:cs="Times New Roman"/>
                <w:color w:val="auto"/>
                <w:sz w:val="24"/>
                <w:lang w:eastAsia="zh-CN"/>
              </w:rPr>
              <w:t>算（8h/d），职工生活用水按60L/人·d计，员工总数为</w:t>
            </w:r>
            <w:r>
              <w:rPr>
                <w:rFonts w:hint="eastAsia" w:ascii="Times New Roman" w:hAnsi="Times New Roman" w:eastAsia="宋体" w:cs="Times New Roman"/>
                <w:color w:val="auto"/>
                <w:sz w:val="24"/>
                <w:lang w:val="en-US" w:eastAsia="zh-CN"/>
              </w:rPr>
              <w:t>2</w:t>
            </w:r>
            <w:r>
              <w:rPr>
                <w:rFonts w:hint="eastAsia" w:cs="Times New Roman"/>
                <w:color w:val="auto"/>
                <w:sz w:val="24"/>
                <w:lang w:val="en-US" w:eastAsia="zh-CN"/>
              </w:rPr>
              <w:t>4</w:t>
            </w:r>
            <w:r>
              <w:rPr>
                <w:rFonts w:hint="eastAsia" w:ascii="Times New Roman" w:hAnsi="Times New Roman" w:eastAsia="宋体" w:cs="Times New Roman"/>
                <w:color w:val="auto"/>
                <w:sz w:val="24"/>
                <w:lang w:eastAsia="zh-CN"/>
              </w:rPr>
              <w:t>人，新增生活用水量为</w:t>
            </w:r>
            <w:r>
              <w:rPr>
                <w:rFonts w:hint="eastAsia" w:ascii="Times New Roman" w:hAnsi="Times New Roman" w:eastAsia="宋体" w:cs="Times New Roman"/>
                <w:color w:val="auto"/>
                <w:sz w:val="24"/>
                <w:lang w:val="en-US" w:eastAsia="zh-CN"/>
              </w:rPr>
              <w:t>86.4t/a，0.288t/d。</w:t>
            </w:r>
          </w:p>
          <w:p w14:paraId="06E62CE5">
            <w:pPr>
              <w:spacing w:line="360" w:lineRule="auto"/>
              <w:ind w:firstLine="480" w:firstLineChars="200"/>
              <w:rPr>
                <w:rFonts w:hint="eastAsia" w:ascii="Times New Roman" w:hAnsi="Times New Roman" w:eastAsia="宋体" w:cs="Times New Roman"/>
                <w:color w:val="auto"/>
                <w:sz w:val="24"/>
                <w:lang w:eastAsia="zh-CN"/>
              </w:rPr>
            </w:pPr>
            <w:r>
              <w:rPr>
                <w:rFonts w:hint="eastAsia" w:ascii="宋体" w:hAnsi="宋体" w:eastAsia="宋体" w:cs="宋体"/>
                <w:color w:val="auto"/>
                <w:sz w:val="24"/>
                <w:lang w:val="en-US" w:eastAsia="zh-CN"/>
              </w:rPr>
              <w:t>②</w:t>
            </w:r>
            <w:r>
              <w:rPr>
                <w:rFonts w:hint="eastAsia" w:ascii="Times New Roman" w:hAnsi="Times New Roman" w:eastAsia="宋体" w:cs="Times New Roman"/>
                <w:color w:val="auto"/>
                <w:sz w:val="24"/>
                <w:lang w:eastAsia="zh-CN"/>
              </w:rPr>
              <w:t>制砖生产用水</w:t>
            </w:r>
          </w:p>
          <w:p w14:paraId="39463F2B">
            <w:pPr>
              <w:spacing w:line="360" w:lineRule="auto"/>
              <w:ind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制砖生产用水量按每万块转在搅拌时添加水量2t计算，本项目煤矸石烧结砖</w:t>
            </w:r>
            <w:r>
              <w:rPr>
                <w:rFonts w:hint="eastAsia" w:cs="Times New Roman"/>
                <w:color w:val="auto"/>
                <w:sz w:val="24"/>
                <w:lang w:eastAsia="zh-CN"/>
              </w:rPr>
              <w:t>新增</w:t>
            </w:r>
            <w:r>
              <w:rPr>
                <w:rFonts w:hint="eastAsia" w:ascii="Times New Roman" w:hAnsi="Times New Roman" w:eastAsia="宋体" w:cs="Times New Roman"/>
                <w:color w:val="auto"/>
                <w:sz w:val="24"/>
                <w:lang w:eastAsia="zh-CN"/>
              </w:rPr>
              <w:t>年产量为</w:t>
            </w:r>
            <w:r>
              <w:rPr>
                <w:rFonts w:hint="eastAsia" w:cs="Times New Roman"/>
                <w:color w:val="auto"/>
                <w:sz w:val="24"/>
                <w:lang w:val="en-US" w:eastAsia="zh-CN"/>
              </w:rPr>
              <w:t>180</w:t>
            </w:r>
            <w:r>
              <w:rPr>
                <w:rFonts w:hint="eastAsia" w:ascii="Times New Roman" w:hAnsi="Times New Roman" w:eastAsia="宋体" w:cs="Times New Roman"/>
                <w:color w:val="auto"/>
                <w:sz w:val="24"/>
                <w:lang w:eastAsia="zh-CN"/>
              </w:rPr>
              <w:t>0万块，则</w:t>
            </w:r>
            <w:r>
              <w:rPr>
                <w:rFonts w:hint="eastAsia" w:cs="Times New Roman"/>
                <w:color w:val="auto"/>
                <w:sz w:val="24"/>
                <w:lang w:eastAsia="zh-CN"/>
              </w:rPr>
              <w:t>制砖</w:t>
            </w:r>
            <w:r>
              <w:rPr>
                <w:rFonts w:hint="eastAsia" w:ascii="Times New Roman" w:hAnsi="Times New Roman" w:eastAsia="宋体" w:cs="Times New Roman"/>
                <w:color w:val="auto"/>
                <w:sz w:val="24"/>
                <w:lang w:eastAsia="zh-CN"/>
              </w:rPr>
              <w:t>生产用水量</w:t>
            </w:r>
            <w:r>
              <w:rPr>
                <w:rFonts w:hint="eastAsia" w:cs="Times New Roman"/>
                <w:color w:val="auto"/>
                <w:sz w:val="24"/>
                <w:lang w:eastAsia="zh-CN"/>
              </w:rPr>
              <w:t>新增</w:t>
            </w:r>
            <w:r>
              <w:rPr>
                <w:rFonts w:hint="eastAsia" w:cs="Times New Roman"/>
                <w:color w:val="auto"/>
                <w:sz w:val="24"/>
                <w:lang w:val="en-US" w:eastAsia="zh-CN"/>
              </w:rPr>
              <w:t>36</w:t>
            </w:r>
            <w:r>
              <w:rPr>
                <w:rFonts w:hint="eastAsia" w:ascii="Times New Roman" w:hAnsi="Times New Roman" w:eastAsia="宋体" w:cs="Times New Roman"/>
                <w:color w:val="auto"/>
                <w:sz w:val="24"/>
                <w:lang w:eastAsia="zh-CN"/>
              </w:rPr>
              <w:t>00t/a，</w:t>
            </w:r>
            <w:r>
              <w:rPr>
                <w:rFonts w:hint="eastAsia" w:cs="Times New Roman"/>
                <w:color w:val="auto"/>
                <w:sz w:val="24"/>
                <w:lang w:val="en-US" w:eastAsia="zh-CN"/>
              </w:rPr>
              <w:t>10</w:t>
            </w:r>
            <w:r>
              <w:rPr>
                <w:rFonts w:hint="eastAsia" w:ascii="Times New Roman" w:hAnsi="Times New Roman" w:eastAsia="宋体" w:cs="Times New Roman"/>
                <w:color w:val="auto"/>
                <w:sz w:val="24"/>
                <w:lang w:eastAsia="zh-CN"/>
              </w:rPr>
              <w:t>t/d。制砖生产用水进入产品后，经过隧道窑烘干焙烧后全部蒸发，无废水排放。</w:t>
            </w:r>
            <w:r>
              <w:rPr>
                <w:rFonts w:hint="eastAsia" w:ascii="Times New Roman" w:hAnsi="Times New Roman" w:eastAsia="宋体" w:cs="Times New Roman"/>
                <w:color w:val="auto"/>
                <w:sz w:val="24"/>
                <w:lang w:eastAsia="zh-CN"/>
              </w:rPr>
              <w:br w:type="textWrapping"/>
            </w:r>
            <w:r>
              <w:rPr>
                <w:rFonts w:hint="eastAsia" w:cs="Times New Roman"/>
                <w:color w:val="auto"/>
                <w:sz w:val="24"/>
                <w:lang w:val="en-US" w:eastAsia="zh-CN"/>
              </w:rPr>
              <w:t xml:space="preserve">    </w:t>
            </w:r>
            <w:r>
              <w:rPr>
                <w:rFonts w:hint="eastAsia" w:ascii="Times New Roman" w:hAnsi="Times New Roman" w:eastAsia="宋体" w:cs="Times New Roman"/>
                <w:color w:val="auto"/>
                <w:sz w:val="24"/>
                <w:lang w:eastAsia="zh-CN"/>
              </w:rPr>
              <w:t>③</w:t>
            </w:r>
            <w:r>
              <w:rPr>
                <w:rFonts w:hint="eastAsia" w:cs="Times New Roman"/>
                <w:color w:val="auto"/>
                <w:sz w:val="24"/>
                <w:lang w:eastAsia="zh-CN"/>
              </w:rPr>
              <w:t>脱硫脱硝设施用水</w:t>
            </w:r>
          </w:p>
          <w:p w14:paraId="7BCFB477">
            <w:pPr>
              <w:spacing w:line="360" w:lineRule="auto"/>
              <w:ind w:firstLine="480" w:firstLineChars="200"/>
              <w:rPr>
                <w:rFonts w:hint="default" w:ascii="Times New Roman" w:hAnsi="Times New Roman" w:eastAsia="宋体" w:cs="Times New Roman"/>
                <w:color w:val="auto"/>
                <w:sz w:val="24"/>
                <w:lang w:val="en-US" w:eastAsia="zh-CN"/>
              </w:rPr>
            </w:pPr>
            <w:r>
              <w:rPr>
                <w:rFonts w:hint="eastAsia" w:cs="Times New Roman"/>
                <w:color w:val="auto"/>
                <w:sz w:val="24"/>
                <w:lang w:eastAsia="zh-CN"/>
              </w:rPr>
              <w:t>本项目使用的隧道窑燃烧废气通过</w:t>
            </w:r>
            <w:r>
              <w:rPr>
                <w:rFonts w:hint="eastAsia" w:ascii="Times New Roman" w:hAnsi="Times New Roman" w:eastAsia="宋体" w:cs="Times New Roman"/>
                <w:color w:val="auto"/>
                <w:sz w:val="24"/>
                <w:lang w:eastAsia="zh-CN"/>
              </w:rPr>
              <w:t>石灰-石膏法脱硫+湿电除尘+SNCR脱硝处理。脱硫脱硝设施用水包括除尘用水及固硫剂稀释用水。</w:t>
            </w:r>
            <w:r>
              <w:rPr>
                <w:rFonts w:hint="eastAsia" w:cs="Times New Roman"/>
                <w:color w:val="auto"/>
                <w:sz w:val="24"/>
                <w:lang w:eastAsia="zh-CN"/>
              </w:rPr>
              <w:t>除尘用水为循环使用，除尘循环用水量为6</w:t>
            </w:r>
            <w:r>
              <w:rPr>
                <w:rFonts w:hint="eastAsia" w:cs="Times New Roman"/>
                <w:color w:val="auto"/>
                <w:sz w:val="24"/>
                <w:lang w:val="en-US" w:eastAsia="zh-CN"/>
              </w:rPr>
              <w:t>5</w:t>
            </w:r>
            <w:r>
              <w:rPr>
                <w:rFonts w:hint="eastAsia" w:cs="Times New Roman"/>
                <w:color w:val="auto"/>
                <w:sz w:val="24"/>
                <w:lang w:eastAsia="zh-CN"/>
              </w:rPr>
              <w:t>00t/a，损耗量以用水量的0.2计，则补充用水量约为</w:t>
            </w:r>
            <w:r>
              <w:rPr>
                <w:rFonts w:hint="eastAsia" w:cs="Times New Roman"/>
                <w:color w:val="auto"/>
                <w:sz w:val="24"/>
                <w:lang w:val="en-US" w:eastAsia="zh-CN"/>
              </w:rPr>
              <w:t>1625.</w:t>
            </w:r>
            <w:r>
              <w:rPr>
                <w:rFonts w:hint="eastAsia" w:cs="Times New Roman"/>
                <w:color w:val="auto"/>
                <w:sz w:val="24"/>
                <w:lang w:eastAsia="zh-CN"/>
              </w:rPr>
              <w:t>t/a（</w:t>
            </w:r>
            <w:r>
              <w:rPr>
                <w:rFonts w:hint="eastAsia" w:cs="Times New Roman"/>
                <w:color w:val="auto"/>
                <w:sz w:val="24"/>
                <w:lang w:val="en-US" w:eastAsia="zh-CN"/>
              </w:rPr>
              <w:t>5.417t</w:t>
            </w:r>
            <w:r>
              <w:rPr>
                <w:rFonts w:hint="eastAsia" w:cs="Times New Roman"/>
                <w:color w:val="auto"/>
                <w:sz w:val="24"/>
                <w:lang w:eastAsia="zh-CN"/>
              </w:rPr>
              <w:t>/d），新增补充用水量约</w:t>
            </w:r>
            <w:r>
              <w:rPr>
                <w:rFonts w:hint="eastAsia" w:cs="Times New Roman"/>
                <w:color w:val="auto"/>
                <w:sz w:val="24"/>
                <w:lang w:val="en-US" w:eastAsia="zh-CN"/>
              </w:rPr>
              <w:t>1.417t/d</w:t>
            </w:r>
            <w:r>
              <w:rPr>
                <w:rFonts w:hint="eastAsia" w:ascii="Times New Roman" w:hAnsi="Times New Roman" w:eastAsia="宋体" w:cs="Times New Roman"/>
                <w:color w:val="auto"/>
                <w:sz w:val="24"/>
                <w:lang w:eastAsia="zh-CN"/>
              </w:rPr>
              <w:t>。固硫剂经稀释后用于脱硫，固硫剂循环水量为</w:t>
            </w:r>
            <w:r>
              <w:rPr>
                <w:rFonts w:hint="eastAsia" w:ascii="Times New Roman" w:hAnsi="Times New Roman" w:eastAsia="宋体" w:cs="Times New Roman"/>
                <w:color w:val="auto"/>
                <w:sz w:val="24"/>
                <w:lang w:val="en-US" w:eastAsia="zh-CN"/>
              </w:rPr>
              <w:t>720</w:t>
            </w:r>
            <w:r>
              <w:rPr>
                <w:rFonts w:hint="eastAsia" w:cs="Times New Roman"/>
                <w:color w:val="auto"/>
                <w:sz w:val="24"/>
                <w:lang w:eastAsia="zh-CN"/>
              </w:rPr>
              <w:t>00t/a，则补充用水量约为</w:t>
            </w:r>
            <w:r>
              <w:rPr>
                <w:rFonts w:hint="eastAsia" w:cs="Times New Roman"/>
                <w:color w:val="auto"/>
                <w:sz w:val="24"/>
                <w:lang w:val="en-US" w:eastAsia="zh-CN"/>
              </w:rPr>
              <w:t>75</w:t>
            </w:r>
            <w:r>
              <w:rPr>
                <w:rFonts w:hint="eastAsia" w:cs="Times New Roman"/>
                <w:color w:val="auto"/>
                <w:sz w:val="24"/>
                <w:lang w:eastAsia="zh-CN"/>
              </w:rPr>
              <w:t>0t/a（</w:t>
            </w:r>
            <w:r>
              <w:rPr>
                <w:rFonts w:hint="eastAsia" w:cs="Times New Roman"/>
                <w:color w:val="auto"/>
                <w:sz w:val="24"/>
                <w:lang w:val="en-US" w:eastAsia="zh-CN"/>
              </w:rPr>
              <w:t>2.5t/d</w:t>
            </w:r>
            <w:r>
              <w:rPr>
                <w:rFonts w:hint="eastAsia" w:cs="Times New Roman"/>
                <w:color w:val="auto"/>
                <w:sz w:val="24"/>
                <w:lang w:eastAsia="zh-CN"/>
              </w:rPr>
              <w:t>）。</w:t>
            </w:r>
          </w:p>
          <w:p w14:paraId="2069B811">
            <w:pPr>
              <w:spacing w:line="360" w:lineRule="auto"/>
              <w:ind w:left="479" w:leftChars="228" w:firstLine="0" w:firstLineChars="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④抑尘用水</w:t>
            </w:r>
          </w:p>
          <w:p w14:paraId="48387DBA">
            <w:pPr>
              <w:spacing w:line="360" w:lineRule="auto"/>
              <w:ind w:firstLine="480" w:firstLineChars="200"/>
              <w:rPr>
                <w:rFonts w:hint="default" w:ascii="Times New Roman" w:hAnsi="Times New Roman" w:eastAsia="宋体" w:cs="Times New Roman"/>
                <w:color w:val="auto"/>
                <w:sz w:val="24"/>
                <w:lang w:val="en-US" w:eastAsia="zh-CN"/>
              </w:rPr>
            </w:pPr>
            <w:r>
              <w:rPr>
                <w:rFonts w:hint="eastAsia"/>
                <w:bCs/>
                <w:color w:val="auto"/>
                <w:kern w:val="0"/>
                <w:sz w:val="24"/>
                <w:highlight w:val="none"/>
                <w:lang w:eastAsia="zh-CN"/>
              </w:rPr>
              <w:t>本</w:t>
            </w:r>
            <w:r>
              <w:rPr>
                <w:rFonts w:hint="eastAsia"/>
                <w:bCs/>
                <w:color w:val="auto"/>
                <w:kern w:val="0"/>
                <w:sz w:val="24"/>
                <w:highlight w:val="none"/>
              </w:rPr>
              <w:t>项目厂区道路定期进行洒水抑尘</w:t>
            </w:r>
            <w:r>
              <w:rPr>
                <w:rFonts w:hint="eastAsia"/>
                <w:bCs/>
                <w:color w:val="auto"/>
                <w:kern w:val="0"/>
                <w:sz w:val="24"/>
                <w:highlight w:val="none"/>
                <w:lang w:eastAsia="zh-CN"/>
              </w:rPr>
              <w:t>，</w:t>
            </w:r>
            <w:r>
              <w:rPr>
                <w:rFonts w:hint="eastAsia"/>
                <w:bCs/>
                <w:color w:val="auto"/>
                <w:kern w:val="0"/>
                <w:sz w:val="24"/>
                <w:highlight w:val="none"/>
              </w:rPr>
              <w:t>用水量约</w:t>
            </w:r>
            <w:r>
              <w:rPr>
                <w:rFonts w:hint="eastAsia"/>
                <w:bCs/>
                <w:color w:val="auto"/>
                <w:kern w:val="0"/>
                <w:sz w:val="24"/>
                <w:highlight w:val="none"/>
                <w:lang w:val="en-US" w:eastAsia="zh-CN"/>
              </w:rPr>
              <w:t>0.5</w:t>
            </w:r>
            <w:r>
              <w:rPr>
                <w:rFonts w:hint="eastAsia"/>
                <w:bCs/>
                <w:color w:val="auto"/>
                <w:kern w:val="0"/>
                <w:sz w:val="24"/>
                <w:highlight w:val="none"/>
              </w:rPr>
              <w:t>t/d</w:t>
            </w:r>
            <w:r>
              <w:rPr>
                <w:rFonts w:hint="eastAsia"/>
                <w:bCs/>
                <w:color w:val="auto"/>
                <w:kern w:val="0"/>
                <w:sz w:val="24"/>
                <w:highlight w:val="none"/>
                <w:lang w:eastAsia="zh-CN"/>
              </w:rPr>
              <w:t>，</w:t>
            </w:r>
            <w:r>
              <w:rPr>
                <w:rFonts w:hint="eastAsia"/>
                <w:bCs/>
                <w:color w:val="auto"/>
                <w:kern w:val="0"/>
                <w:sz w:val="24"/>
                <w:highlight w:val="none"/>
                <w:lang w:val="en-US" w:eastAsia="zh-CN"/>
              </w:rPr>
              <w:t>120</w:t>
            </w:r>
            <w:r>
              <w:rPr>
                <w:rFonts w:hint="eastAsia"/>
                <w:bCs/>
                <w:color w:val="auto"/>
                <w:kern w:val="0"/>
                <w:sz w:val="24"/>
                <w:highlight w:val="none"/>
              </w:rPr>
              <w:t>t/a</w:t>
            </w:r>
            <w:r>
              <w:rPr>
                <w:rFonts w:hint="eastAsia"/>
                <w:bCs/>
                <w:color w:val="auto"/>
                <w:kern w:val="0"/>
                <w:sz w:val="24"/>
                <w:highlight w:val="none"/>
                <w:lang w:eastAsia="zh-CN"/>
              </w:rPr>
              <w:t>，</w:t>
            </w:r>
            <w:r>
              <w:rPr>
                <w:rFonts w:hint="eastAsia"/>
                <w:bCs/>
                <w:color w:val="auto"/>
                <w:kern w:val="0"/>
                <w:sz w:val="24"/>
                <w:highlight w:val="none"/>
              </w:rPr>
              <w:t>水全部蒸发</w:t>
            </w:r>
            <w:r>
              <w:rPr>
                <w:rFonts w:hint="eastAsia"/>
                <w:bCs/>
                <w:color w:val="auto"/>
                <w:kern w:val="0"/>
                <w:sz w:val="24"/>
                <w:highlight w:val="none"/>
                <w:lang w:eastAsia="zh-CN"/>
              </w:rPr>
              <w:t>，</w:t>
            </w:r>
            <w:r>
              <w:rPr>
                <w:rFonts w:hint="eastAsia"/>
                <w:bCs/>
                <w:color w:val="auto"/>
                <w:kern w:val="0"/>
                <w:sz w:val="24"/>
                <w:highlight w:val="none"/>
              </w:rPr>
              <w:t>没有废水产生；</w:t>
            </w:r>
            <w:r>
              <w:rPr>
                <w:rFonts w:hint="eastAsia"/>
                <w:bCs/>
                <w:color w:val="auto"/>
                <w:kern w:val="0"/>
                <w:sz w:val="24"/>
                <w:highlight w:val="none"/>
                <w:lang w:eastAsia="zh-CN"/>
              </w:rPr>
              <w:t>物料库内</w:t>
            </w:r>
            <w:r>
              <w:rPr>
                <w:rFonts w:hint="eastAsia"/>
                <w:bCs/>
                <w:color w:val="auto"/>
                <w:kern w:val="0"/>
                <w:sz w:val="24"/>
                <w:highlight w:val="none"/>
              </w:rPr>
              <w:t>及</w:t>
            </w:r>
            <w:r>
              <w:rPr>
                <w:rFonts w:hint="eastAsia"/>
                <w:bCs/>
                <w:color w:val="auto"/>
                <w:kern w:val="0"/>
                <w:sz w:val="24"/>
                <w:highlight w:val="none"/>
                <w:lang w:eastAsia="zh-CN"/>
              </w:rPr>
              <w:t>破碎</w:t>
            </w:r>
            <w:r>
              <w:rPr>
                <w:rFonts w:hint="eastAsia"/>
                <w:bCs/>
                <w:color w:val="auto"/>
                <w:kern w:val="0"/>
                <w:sz w:val="24"/>
                <w:highlight w:val="none"/>
              </w:rPr>
              <w:t>车间内安装喷雾装置来减少破碎、</w:t>
            </w:r>
            <w:r>
              <w:rPr>
                <w:rFonts w:hint="eastAsia"/>
                <w:bCs/>
                <w:color w:val="auto"/>
                <w:kern w:val="0"/>
                <w:sz w:val="24"/>
                <w:highlight w:val="none"/>
                <w:lang w:eastAsia="zh-CN"/>
              </w:rPr>
              <w:t>筛分</w:t>
            </w:r>
            <w:r>
              <w:rPr>
                <w:rFonts w:hint="eastAsia"/>
                <w:bCs/>
                <w:color w:val="auto"/>
                <w:kern w:val="0"/>
                <w:sz w:val="24"/>
                <w:highlight w:val="none"/>
              </w:rPr>
              <w:t>等工序粉尘的排放</w:t>
            </w:r>
            <w:r>
              <w:rPr>
                <w:rFonts w:hint="eastAsia"/>
                <w:bCs/>
                <w:color w:val="auto"/>
                <w:kern w:val="0"/>
                <w:sz w:val="24"/>
                <w:highlight w:val="none"/>
                <w:lang w:eastAsia="zh-CN"/>
              </w:rPr>
              <w:t>，</w:t>
            </w:r>
            <w:r>
              <w:rPr>
                <w:rFonts w:hint="eastAsia"/>
                <w:bCs/>
                <w:color w:val="auto"/>
                <w:kern w:val="0"/>
                <w:sz w:val="24"/>
                <w:highlight w:val="none"/>
              </w:rPr>
              <w:t>喷雾用水量约</w:t>
            </w:r>
            <w:r>
              <w:rPr>
                <w:rFonts w:hint="eastAsia"/>
                <w:bCs/>
                <w:color w:val="auto"/>
                <w:kern w:val="0"/>
                <w:sz w:val="24"/>
                <w:highlight w:val="none"/>
                <w:lang w:val="en-US" w:eastAsia="zh-CN"/>
              </w:rPr>
              <w:t>6</w:t>
            </w:r>
            <w:r>
              <w:rPr>
                <w:rFonts w:hint="eastAsia"/>
                <w:bCs/>
                <w:color w:val="auto"/>
                <w:kern w:val="0"/>
                <w:sz w:val="24"/>
                <w:highlight w:val="none"/>
              </w:rPr>
              <w:t>t/d、</w:t>
            </w:r>
            <w:r>
              <w:rPr>
                <w:rFonts w:hint="eastAsia"/>
                <w:bCs/>
                <w:color w:val="auto"/>
                <w:kern w:val="0"/>
                <w:sz w:val="24"/>
                <w:highlight w:val="none"/>
                <w:lang w:val="en-US" w:eastAsia="zh-CN"/>
              </w:rPr>
              <w:t>2160</w:t>
            </w:r>
            <w:r>
              <w:rPr>
                <w:rFonts w:hint="eastAsia"/>
                <w:bCs/>
                <w:color w:val="auto"/>
                <w:kern w:val="0"/>
                <w:sz w:val="24"/>
                <w:highlight w:val="none"/>
              </w:rPr>
              <w:t>t/a</w:t>
            </w:r>
            <w:r>
              <w:rPr>
                <w:rFonts w:hint="eastAsia"/>
                <w:bCs/>
                <w:color w:val="auto"/>
                <w:kern w:val="0"/>
                <w:sz w:val="24"/>
                <w:highlight w:val="none"/>
                <w:lang w:eastAsia="zh-CN"/>
              </w:rPr>
              <w:t>，</w:t>
            </w:r>
            <w:r>
              <w:rPr>
                <w:rFonts w:hint="eastAsia"/>
                <w:bCs/>
                <w:color w:val="auto"/>
                <w:kern w:val="0"/>
                <w:sz w:val="24"/>
                <w:highlight w:val="none"/>
              </w:rPr>
              <w:t>该部分用水附着原料表面、进入原料中</w:t>
            </w:r>
            <w:r>
              <w:rPr>
                <w:rFonts w:hint="eastAsia"/>
                <w:bCs/>
                <w:color w:val="auto"/>
                <w:kern w:val="0"/>
                <w:sz w:val="24"/>
                <w:highlight w:val="none"/>
                <w:lang w:eastAsia="zh-CN"/>
              </w:rPr>
              <w:t>，</w:t>
            </w:r>
            <w:r>
              <w:rPr>
                <w:rFonts w:hint="eastAsia"/>
                <w:bCs/>
                <w:color w:val="auto"/>
                <w:kern w:val="0"/>
                <w:sz w:val="24"/>
                <w:highlight w:val="none"/>
              </w:rPr>
              <w:t>无废</w:t>
            </w:r>
            <w:r>
              <w:rPr>
                <w:rFonts w:hint="eastAsia"/>
                <w:bCs/>
                <w:color w:val="auto"/>
                <w:kern w:val="0"/>
                <w:sz w:val="24"/>
                <w:highlight w:val="none"/>
                <w:lang w:eastAsia="zh-CN"/>
              </w:rPr>
              <w:t>水</w:t>
            </w:r>
            <w:r>
              <w:rPr>
                <w:rFonts w:hint="eastAsia"/>
                <w:bCs/>
                <w:color w:val="auto"/>
                <w:kern w:val="0"/>
                <w:sz w:val="24"/>
                <w:highlight w:val="none"/>
              </w:rPr>
              <w:t>产生。</w:t>
            </w:r>
            <w:r>
              <w:rPr>
                <w:rFonts w:hint="eastAsia"/>
                <w:bCs/>
                <w:color w:val="auto"/>
                <w:kern w:val="0"/>
                <w:sz w:val="24"/>
                <w:highlight w:val="none"/>
                <w:lang w:val="en-US" w:eastAsia="zh-CN"/>
              </w:rPr>
              <w:t xml:space="preserve">   </w:t>
            </w:r>
          </w:p>
          <w:p w14:paraId="0D8DF49E">
            <w:pPr>
              <w:spacing w:line="360" w:lineRule="auto"/>
              <w:ind w:left="479" w:leftChars="228" w:firstLine="0" w:firstLineChars="0"/>
              <w:rPr>
                <w:rFonts w:hint="eastAsia" w:ascii="Times New Roman" w:hAnsi="Times New Roman" w:eastAsia="宋体" w:cs="Times New Roman"/>
                <w:color w:val="auto"/>
                <w:sz w:val="24"/>
                <w:lang w:eastAsia="zh-CN"/>
              </w:rPr>
            </w:pPr>
            <w:r>
              <w:rPr>
                <w:rFonts w:hint="eastAsia" w:ascii="宋体" w:hAnsi="宋体" w:eastAsia="宋体" w:cs="宋体"/>
                <w:color w:val="auto"/>
                <w:sz w:val="24"/>
                <w:lang w:eastAsia="zh-CN"/>
              </w:rPr>
              <w:t>⑤</w:t>
            </w:r>
            <w:r>
              <w:rPr>
                <w:rFonts w:hint="eastAsia" w:ascii="Times New Roman" w:hAnsi="Times New Roman" w:eastAsia="宋体" w:cs="Times New Roman"/>
                <w:color w:val="auto"/>
                <w:sz w:val="24"/>
                <w:lang w:eastAsia="zh-CN"/>
              </w:rPr>
              <w:t>车辆冲洗补水</w:t>
            </w:r>
          </w:p>
          <w:p w14:paraId="4EBED546">
            <w:pPr>
              <w:spacing w:line="360" w:lineRule="auto"/>
              <w:ind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项目在厂区内出入口建设1套车辆冲洗平台</w:t>
            </w:r>
            <w:r>
              <w:rPr>
                <w:rFonts w:hint="eastAsia" w:cs="Times New Roman"/>
                <w:color w:val="auto"/>
                <w:sz w:val="24"/>
                <w:lang w:eastAsia="zh-CN"/>
              </w:rPr>
              <w:t>，</w:t>
            </w:r>
            <w:r>
              <w:rPr>
                <w:rFonts w:hint="eastAsia" w:ascii="Times New Roman" w:hAnsi="Times New Roman" w:eastAsia="宋体" w:cs="Times New Roman"/>
                <w:color w:val="auto"/>
                <w:sz w:val="24"/>
                <w:lang w:eastAsia="zh-CN"/>
              </w:rPr>
              <w:t>并配套建设1座沉淀池。车辆冲洗废水经沉淀后回用于</w:t>
            </w:r>
            <w:r>
              <w:rPr>
                <w:rFonts w:hint="eastAsia" w:cs="Times New Roman"/>
                <w:color w:val="auto"/>
                <w:sz w:val="24"/>
                <w:lang w:eastAsia="zh-CN"/>
              </w:rPr>
              <w:t>车辆冲洗，</w:t>
            </w:r>
            <w:r>
              <w:rPr>
                <w:rFonts w:hint="eastAsia" w:ascii="Times New Roman" w:hAnsi="Times New Roman" w:eastAsia="宋体" w:cs="Times New Roman"/>
                <w:color w:val="auto"/>
                <w:sz w:val="24"/>
                <w:lang w:eastAsia="zh-CN"/>
              </w:rPr>
              <w:t>部分被车辆带走和蒸发</w:t>
            </w:r>
            <w:r>
              <w:rPr>
                <w:rFonts w:hint="eastAsia" w:cs="Times New Roman"/>
                <w:color w:val="auto"/>
                <w:sz w:val="24"/>
                <w:lang w:eastAsia="zh-CN"/>
              </w:rPr>
              <w:t>，</w:t>
            </w:r>
            <w:r>
              <w:rPr>
                <w:rFonts w:hint="eastAsia" w:ascii="Times New Roman" w:hAnsi="Times New Roman" w:eastAsia="宋体" w:cs="Times New Roman"/>
                <w:color w:val="auto"/>
                <w:sz w:val="24"/>
                <w:lang w:eastAsia="zh-CN"/>
              </w:rPr>
              <w:t>平均补充水量1t/d</w:t>
            </w:r>
            <w:r>
              <w:rPr>
                <w:rFonts w:hint="eastAsia" w:cs="Times New Roman"/>
                <w:color w:val="auto"/>
                <w:sz w:val="24"/>
                <w:lang w:eastAsia="zh-CN"/>
              </w:rPr>
              <w:t>，</w:t>
            </w:r>
            <w:r>
              <w:rPr>
                <w:rFonts w:hint="eastAsia" w:cs="Times New Roman"/>
                <w:color w:val="auto"/>
                <w:sz w:val="24"/>
                <w:lang w:val="en-US" w:eastAsia="zh-CN"/>
              </w:rPr>
              <w:t>36</w:t>
            </w:r>
            <w:r>
              <w:rPr>
                <w:rFonts w:hint="eastAsia" w:ascii="Times New Roman" w:hAnsi="Times New Roman" w:eastAsia="宋体" w:cs="Times New Roman"/>
                <w:color w:val="auto"/>
                <w:sz w:val="24"/>
                <w:lang w:val="en-US" w:eastAsia="zh-CN"/>
              </w:rPr>
              <w:t>0</w:t>
            </w:r>
            <w:r>
              <w:rPr>
                <w:rFonts w:hint="eastAsia" w:ascii="Times New Roman" w:hAnsi="Times New Roman" w:eastAsia="宋体" w:cs="Times New Roman"/>
                <w:color w:val="auto"/>
                <w:sz w:val="24"/>
                <w:lang w:eastAsia="zh-CN"/>
              </w:rPr>
              <w:t>t/a</w:t>
            </w:r>
            <w:r>
              <w:rPr>
                <w:rFonts w:hint="eastAsia" w:cs="Times New Roman"/>
                <w:color w:val="auto"/>
                <w:sz w:val="24"/>
                <w:lang w:eastAsia="zh-CN"/>
              </w:rPr>
              <w:t>。</w:t>
            </w:r>
            <w:r>
              <w:rPr>
                <w:rFonts w:hint="eastAsia" w:ascii="Times New Roman" w:hAnsi="Times New Roman" w:eastAsia="宋体" w:cs="Times New Roman"/>
                <w:color w:val="auto"/>
                <w:sz w:val="24"/>
                <w:lang w:eastAsia="zh-CN"/>
              </w:rPr>
              <w:t>污水产生系数按照80%计，则车辆冲洗废水产生的总量为</w:t>
            </w:r>
            <w:r>
              <w:rPr>
                <w:rFonts w:hint="eastAsia" w:cs="Times New Roman"/>
                <w:color w:val="auto"/>
                <w:sz w:val="24"/>
                <w:lang w:val="en-US" w:eastAsia="zh-CN"/>
              </w:rPr>
              <w:t>0.8t</w:t>
            </w:r>
            <w:r>
              <w:rPr>
                <w:rFonts w:hint="eastAsia" w:ascii="Times New Roman" w:hAnsi="Times New Roman" w:eastAsia="宋体" w:cs="Times New Roman"/>
                <w:color w:val="auto"/>
                <w:sz w:val="24"/>
                <w:lang w:eastAsia="zh-CN"/>
              </w:rPr>
              <w:t>/d，</w:t>
            </w:r>
            <w:r>
              <w:rPr>
                <w:rFonts w:hint="eastAsia" w:cs="Times New Roman"/>
                <w:color w:val="auto"/>
                <w:sz w:val="24"/>
                <w:lang w:val="en-US" w:eastAsia="zh-CN"/>
              </w:rPr>
              <w:t>288t</w:t>
            </w:r>
            <w:r>
              <w:rPr>
                <w:rFonts w:hint="eastAsia" w:ascii="Times New Roman" w:hAnsi="Times New Roman" w:eastAsia="宋体" w:cs="Times New Roman"/>
                <w:color w:val="auto"/>
                <w:sz w:val="24"/>
                <w:lang w:eastAsia="zh-CN"/>
              </w:rPr>
              <w:t>/</w:t>
            </w:r>
            <w:r>
              <w:rPr>
                <w:rFonts w:hint="eastAsia" w:cs="Times New Roman"/>
                <w:color w:val="auto"/>
                <w:sz w:val="24"/>
                <w:lang w:val="en-US" w:eastAsia="zh-CN"/>
              </w:rPr>
              <w:t>a。</w:t>
            </w:r>
            <w:r>
              <w:rPr>
                <w:rFonts w:hint="eastAsia" w:ascii="Times New Roman" w:hAnsi="Times New Roman" w:eastAsia="宋体" w:cs="Times New Roman"/>
                <w:color w:val="auto"/>
                <w:sz w:val="24"/>
                <w:lang w:eastAsia="zh-CN"/>
              </w:rPr>
              <w:t>车辆冲洗废水收集后经沉淀池沉淀后回用于</w:t>
            </w:r>
            <w:r>
              <w:rPr>
                <w:rFonts w:hint="eastAsia" w:cs="Times New Roman"/>
                <w:color w:val="auto"/>
                <w:sz w:val="24"/>
                <w:lang w:eastAsia="zh-CN"/>
              </w:rPr>
              <w:t>车辆冲洗</w:t>
            </w:r>
            <w:r>
              <w:rPr>
                <w:rFonts w:hint="eastAsia" w:ascii="Times New Roman" w:hAnsi="Times New Roman" w:eastAsia="宋体" w:cs="Times New Roman"/>
                <w:color w:val="auto"/>
                <w:sz w:val="24"/>
                <w:lang w:eastAsia="zh-CN"/>
              </w:rPr>
              <w:t>，循环利用，不外排。</w:t>
            </w:r>
          </w:p>
          <w:p w14:paraId="4E4B55F9">
            <w:pPr>
              <w:spacing w:line="360" w:lineRule="auto"/>
              <w:ind w:firstLine="420" w:firstLineChars="200"/>
              <w:jc w:val="center"/>
              <w:rPr>
                <w:rFonts w:hint="eastAsia" w:eastAsia="宋体"/>
                <w:color w:val="auto"/>
                <w:lang w:eastAsia="zh-CN"/>
              </w:rPr>
            </w:pPr>
            <w:r>
              <w:rPr>
                <w:rFonts w:hint="eastAsia" w:eastAsia="宋体"/>
                <w:color w:val="auto"/>
                <w:lang w:eastAsia="zh-CN"/>
              </w:rPr>
              <w:drawing>
                <wp:inline distT="0" distB="0" distL="114300" distR="114300">
                  <wp:extent cx="4593590" cy="2752725"/>
                  <wp:effectExtent l="0" t="0" r="3810" b="3175"/>
                  <wp:docPr id="3"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片1"/>
                          <pic:cNvPicPr>
                            <a:picLocks noChangeAspect="1"/>
                          </pic:cNvPicPr>
                        </pic:nvPicPr>
                        <pic:blipFill>
                          <a:blip r:embed="rId8"/>
                          <a:stretch>
                            <a:fillRect/>
                          </a:stretch>
                        </pic:blipFill>
                        <pic:spPr>
                          <a:xfrm>
                            <a:off x="0" y="0"/>
                            <a:ext cx="4593590" cy="2752725"/>
                          </a:xfrm>
                          <a:prstGeom prst="rect">
                            <a:avLst/>
                          </a:prstGeom>
                          <a:noFill/>
                          <a:ln>
                            <a:noFill/>
                          </a:ln>
                        </pic:spPr>
                      </pic:pic>
                    </a:graphicData>
                  </a:graphic>
                </wp:inline>
              </w:drawing>
            </w:r>
          </w:p>
          <w:p w14:paraId="57F61CF4">
            <w:pPr>
              <w:pStyle w:val="134"/>
              <w:spacing w:line="360" w:lineRule="auto"/>
              <w:jc w:val="center"/>
              <w:rPr>
                <w:color w:val="auto"/>
                <w:sz w:val="21"/>
                <w:szCs w:val="18"/>
              </w:rPr>
            </w:pPr>
            <w:r>
              <w:rPr>
                <w:rFonts w:ascii="Times New Roman" w:hAnsi="Times New Roman" w:eastAsia="宋体"/>
                <w:b/>
                <w:bCs/>
                <w:color w:val="auto"/>
                <w:sz w:val="21"/>
                <w:szCs w:val="18"/>
              </w:rPr>
              <w:t>图</w:t>
            </w:r>
            <w:r>
              <w:rPr>
                <w:rFonts w:hint="eastAsia" w:ascii="Times New Roman" w:hAnsi="Times New Roman" w:eastAsia="宋体"/>
                <w:b/>
                <w:bCs/>
                <w:color w:val="auto"/>
                <w:sz w:val="21"/>
                <w:szCs w:val="18"/>
              </w:rPr>
              <w:t>2-</w:t>
            </w:r>
            <w:r>
              <w:rPr>
                <w:rFonts w:hint="eastAsia" w:ascii="Times New Roman" w:hAnsi="Times New Roman" w:eastAsia="宋体"/>
                <w:b/>
                <w:bCs/>
                <w:color w:val="auto"/>
                <w:sz w:val="21"/>
                <w:szCs w:val="18"/>
                <w:lang w:val="en-US" w:eastAsia="zh-CN"/>
              </w:rPr>
              <w:t>5</w:t>
            </w:r>
            <w:r>
              <w:rPr>
                <w:rFonts w:ascii="Times New Roman" w:hAnsi="Times New Roman" w:eastAsia="宋体"/>
                <w:b/>
                <w:bCs/>
                <w:color w:val="auto"/>
                <w:sz w:val="21"/>
                <w:szCs w:val="18"/>
              </w:rPr>
              <w:t xml:space="preserve">  </w:t>
            </w:r>
            <w:r>
              <w:rPr>
                <w:rFonts w:hint="eastAsia" w:ascii="Times New Roman" w:hAnsi="Times New Roman" w:eastAsia="宋体"/>
                <w:b/>
                <w:bCs/>
                <w:color w:val="auto"/>
                <w:sz w:val="21"/>
                <w:szCs w:val="18"/>
                <w:lang w:eastAsia="zh-CN"/>
              </w:rPr>
              <w:t>技改项目</w:t>
            </w:r>
            <w:r>
              <w:rPr>
                <w:rFonts w:ascii="Times New Roman" w:hAnsi="Times New Roman" w:eastAsia="宋体"/>
                <w:b/>
                <w:bCs/>
                <w:color w:val="auto"/>
                <w:sz w:val="21"/>
                <w:szCs w:val="18"/>
                <w:highlight w:val="none"/>
              </w:rPr>
              <w:t>水平衡图</w:t>
            </w:r>
            <w:r>
              <w:rPr>
                <w:rFonts w:hint="eastAsia" w:ascii="Times New Roman" w:hAnsi="Times New Roman" w:eastAsia="宋体"/>
                <w:b/>
                <w:bCs/>
                <w:color w:val="auto"/>
                <w:sz w:val="21"/>
                <w:szCs w:val="18"/>
                <w:highlight w:val="none"/>
              </w:rPr>
              <w:t xml:space="preserve">  </w:t>
            </w:r>
            <w:r>
              <w:rPr>
                <w:rFonts w:ascii="Times New Roman" w:hAnsi="Times New Roman" w:eastAsia="宋体"/>
                <w:b/>
                <w:bCs/>
                <w:color w:val="auto"/>
                <w:sz w:val="21"/>
                <w:szCs w:val="18"/>
                <w:highlight w:val="none"/>
              </w:rPr>
              <w:t>单位</w:t>
            </w:r>
            <w:r>
              <w:rPr>
                <w:rFonts w:ascii="Times New Roman" w:hAnsi="Times New Roman" w:eastAsia="宋体"/>
                <w:b/>
                <w:bCs/>
                <w:color w:val="auto"/>
                <w:sz w:val="21"/>
                <w:szCs w:val="18"/>
              </w:rPr>
              <w:t>：t/</w:t>
            </w:r>
            <w:r>
              <w:rPr>
                <w:rFonts w:hint="eastAsia" w:ascii="Times New Roman" w:hAnsi="Times New Roman" w:eastAsia="宋体"/>
                <w:b/>
                <w:bCs/>
                <w:color w:val="auto"/>
                <w:sz w:val="21"/>
                <w:szCs w:val="18"/>
              </w:rPr>
              <w:t>d</w:t>
            </w:r>
          </w:p>
          <w:p w14:paraId="7EB17D76">
            <w:pPr>
              <w:pStyle w:val="12"/>
              <w:keepNext w:val="0"/>
              <w:keepLines w:val="0"/>
              <w:pageBreakBefore w:val="0"/>
              <w:widowControl w:val="0"/>
              <w:kinsoku/>
              <w:wordWrap/>
              <w:overflowPunct/>
              <w:topLinePunct w:val="0"/>
              <w:autoSpaceDE/>
              <w:autoSpaceDN/>
              <w:bidi w:val="0"/>
              <w:adjustRightInd/>
              <w:snapToGrid/>
              <w:spacing w:before="313" w:beforeLines="100"/>
              <w:ind w:firstLine="480" w:firstLineChars="200"/>
              <w:textAlignment w:val="auto"/>
              <w:rPr>
                <w:rFonts w:hint="default" w:eastAsia="宋体"/>
                <w:color w:val="auto"/>
                <w:lang w:val="en-US" w:eastAsia="zh-CN"/>
              </w:rPr>
            </w:pPr>
            <w:r>
              <w:rPr>
                <w:rFonts w:hint="eastAsia"/>
                <w:color w:val="auto"/>
                <w:lang w:eastAsia="zh-CN"/>
              </w:rPr>
              <w:t>（</w:t>
            </w:r>
            <w:r>
              <w:rPr>
                <w:rFonts w:hint="eastAsia"/>
                <w:color w:val="auto"/>
                <w:lang w:val="en-US" w:eastAsia="zh-CN"/>
              </w:rPr>
              <w:t>3</w:t>
            </w:r>
            <w:r>
              <w:rPr>
                <w:rFonts w:hint="eastAsia"/>
                <w:color w:val="auto"/>
                <w:lang w:eastAsia="zh-CN"/>
              </w:rPr>
              <w:t>）技改后完成后</w:t>
            </w:r>
            <w:r>
              <w:rPr>
                <w:rFonts w:hint="eastAsia"/>
                <w:color w:val="auto"/>
                <w:lang w:val="en-US" w:eastAsia="zh-CN"/>
              </w:rPr>
              <w:t>整个厂区运营期水平衡图</w:t>
            </w:r>
          </w:p>
          <w:p w14:paraId="2179F42C">
            <w:pPr>
              <w:pStyle w:val="134"/>
              <w:spacing w:line="360" w:lineRule="auto"/>
              <w:jc w:val="center"/>
              <w:rPr>
                <w:rFonts w:hint="eastAsia"/>
                <w:color w:val="auto"/>
                <w:lang w:eastAsia="zh-CN"/>
              </w:rPr>
            </w:pPr>
            <w:r>
              <w:rPr>
                <w:rFonts w:hint="eastAsia"/>
                <w:color w:val="auto"/>
                <w:lang w:eastAsia="zh-CN"/>
              </w:rPr>
              <w:drawing>
                <wp:inline distT="0" distB="0" distL="114300" distR="114300">
                  <wp:extent cx="4427220" cy="3063240"/>
                  <wp:effectExtent l="0" t="0" r="5080" b="10160"/>
                  <wp:docPr id="4"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图片2"/>
                          <pic:cNvPicPr>
                            <a:picLocks noChangeAspect="1"/>
                          </pic:cNvPicPr>
                        </pic:nvPicPr>
                        <pic:blipFill>
                          <a:blip r:embed="rId9"/>
                          <a:stretch>
                            <a:fillRect/>
                          </a:stretch>
                        </pic:blipFill>
                        <pic:spPr>
                          <a:xfrm>
                            <a:off x="0" y="0"/>
                            <a:ext cx="4427220" cy="3063240"/>
                          </a:xfrm>
                          <a:prstGeom prst="rect">
                            <a:avLst/>
                          </a:prstGeom>
                          <a:noFill/>
                          <a:ln>
                            <a:noFill/>
                          </a:ln>
                        </pic:spPr>
                      </pic:pic>
                    </a:graphicData>
                  </a:graphic>
                </wp:inline>
              </w:drawing>
            </w:r>
          </w:p>
          <w:p w14:paraId="3565099A">
            <w:pPr>
              <w:pStyle w:val="134"/>
              <w:spacing w:line="360" w:lineRule="auto"/>
              <w:ind w:firstLine="0" w:firstLineChars="0"/>
              <w:jc w:val="center"/>
              <w:rPr>
                <w:rFonts w:hint="eastAsia" w:ascii="Times New Roman" w:hAnsi="Times New Roman" w:cs="Times New Roman"/>
                <w:b/>
                <w:bCs/>
                <w:color w:val="auto"/>
                <w:sz w:val="24"/>
              </w:rPr>
            </w:pPr>
            <w:r>
              <w:rPr>
                <w:rFonts w:ascii="Times New Roman" w:hAnsi="Times New Roman" w:eastAsia="宋体"/>
                <w:b/>
                <w:bCs/>
                <w:color w:val="auto"/>
              </w:rPr>
              <w:t>图</w:t>
            </w:r>
            <w:r>
              <w:rPr>
                <w:rFonts w:hint="eastAsia" w:ascii="Times New Roman" w:hAnsi="Times New Roman" w:eastAsia="宋体"/>
                <w:b/>
                <w:bCs/>
                <w:color w:val="auto"/>
              </w:rPr>
              <w:t>2-</w:t>
            </w:r>
            <w:r>
              <w:rPr>
                <w:rFonts w:hint="eastAsia" w:ascii="Times New Roman" w:hAnsi="Times New Roman" w:eastAsia="宋体"/>
                <w:b/>
                <w:bCs/>
                <w:color w:val="auto"/>
                <w:lang w:val="en-US" w:eastAsia="zh-CN"/>
              </w:rPr>
              <w:t>5</w:t>
            </w:r>
            <w:r>
              <w:rPr>
                <w:rFonts w:ascii="Times New Roman" w:hAnsi="Times New Roman" w:eastAsia="宋体"/>
                <w:b/>
                <w:bCs/>
                <w:color w:val="auto"/>
              </w:rPr>
              <w:t xml:space="preserve">  </w:t>
            </w:r>
            <w:r>
              <w:rPr>
                <w:rFonts w:hint="eastAsia" w:ascii="Times New Roman" w:hAnsi="Times New Roman" w:eastAsia="宋体"/>
                <w:b/>
                <w:bCs/>
                <w:color w:val="auto"/>
                <w:lang w:eastAsia="zh-CN"/>
              </w:rPr>
              <w:t>技改后</w:t>
            </w:r>
            <w:r>
              <w:rPr>
                <w:rFonts w:ascii="Times New Roman" w:hAnsi="Times New Roman" w:eastAsia="宋体"/>
                <w:b/>
                <w:bCs/>
                <w:color w:val="auto"/>
              </w:rPr>
              <w:t>运营</w:t>
            </w:r>
            <w:r>
              <w:rPr>
                <w:rFonts w:ascii="Times New Roman" w:hAnsi="Times New Roman" w:eastAsia="宋体"/>
                <w:b/>
                <w:bCs/>
                <w:color w:val="auto"/>
                <w:highlight w:val="none"/>
              </w:rPr>
              <w:t>期水平衡图</w:t>
            </w:r>
            <w:r>
              <w:rPr>
                <w:rFonts w:hint="eastAsia" w:ascii="Times New Roman" w:hAnsi="Times New Roman" w:eastAsia="宋体"/>
                <w:b/>
                <w:bCs/>
                <w:color w:val="auto"/>
                <w:highlight w:val="none"/>
              </w:rPr>
              <w:t xml:space="preserve">  </w:t>
            </w:r>
            <w:r>
              <w:rPr>
                <w:rFonts w:ascii="Times New Roman" w:hAnsi="Times New Roman" w:eastAsia="宋体"/>
                <w:b/>
                <w:bCs/>
                <w:color w:val="auto"/>
                <w:highlight w:val="none"/>
              </w:rPr>
              <w:t>单位</w:t>
            </w:r>
            <w:r>
              <w:rPr>
                <w:rFonts w:ascii="Times New Roman" w:hAnsi="Times New Roman" w:eastAsia="宋体"/>
                <w:b/>
                <w:bCs/>
                <w:color w:val="auto"/>
              </w:rPr>
              <w:t>：t/</w:t>
            </w:r>
            <w:r>
              <w:rPr>
                <w:rFonts w:hint="eastAsia" w:ascii="Times New Roman" w:hAnsi="Times New Roman" w:eastAsia="宋体"/>
                <w:b/>
                <w:bCs/>
                <w:color w:val="auto"/>
              </w:rPr>
              <w:t>d</w:t>
            </w:r>
          </w:p>
          <w:p w14:paraId="70F4F544">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ascii="Times New Roman" w:hAnsi="Times New Roman" w:cs="Times New Roman"/>
                <w:b/>
                <w:bCs/>
                <w:color w:val="auto"/>
                <w:sz w:val="24"/>
              </w:rPr>
            </w:pPr>
            <w:r>
              <w:rPr>
                <w:rFonts w:hint="eastAsia" w:ascii="Times New Roman" w:hAnsi="Times New Roman" w:cs="Times New Roman"/>
                <w:b/>
                <w:bCs/>
                <w:color w:val="auto"/>
                <w:sz w:val="24"/>
              </w:rPr>
              <w:t>8、</w:t>
            </w:r>
            <w:r>
              <w:rPr>
                <w:rFonts w:ascii="Times New Roman" w:hAnsi="Times New Roman" w:cs="Times New Roman"/>
                <w:b/>
                <w:bCs/>
                <w:color w:val="auto"/>
                <w:sz w:val="24"/>
              </w:rPr>
              <w:t>建设项目劳动定员及工作制度</w:t>
            </w:r>
          </w:p>
          <w:p w14:paraId="00721942">
            <w:pPr>
              <w:spacing w:line="360" w:lineRule="auto"/>
              <w:ind w:firstLine="480" w:firstLineChars="200"/>
              <w:rPr>
                <w:rFonts w:hint="eastAsia" w:ascii="Times New Roman" w:hAnsi="Times New Roman" w:eastAsia="宋体" w:cs="Times New Roman"/>
                <w:color w:val="auto"/>
                <w:sz w:val="24"/>
                <w:lang w:eastAsia="zh-CN"/>
              </w:rPr>
            </w:pPr>
            <w:r>
              <w:rPr>
                <w:rFonts w:hint="eastAsia" w:cs="Times New Roman"/>
                <w:color w:val="auto"/>
                <w:sz w:val="24"/>
                <w:lang w:eastAsia="zh-CN"/>
              </w:rPr>
              <w:t>现有</w:t>
            </w:r>
            <w:r>
              <w:rPr>
                <w:rFonts w:ascii="Times New Roman" w:hAnsi="Times New Roman" w:cs="Times New Roman"/>
                <w:color w:val="auto"/>
                <w:sz w:val="24"/>
              </w:rPr>
              <w:t>项目劳动定员</w:t>
            </w:r>
            <w:r>
              <w:rPr>
                <w:rFonts w:hint="eastAsia" w:ascii="Times New Roman" w:hAnsi="Times New Roman" w:cs="Times New Roman"/>
                <w:color w:val="auto"/>
                <w:sz w:val="24"/>
                <w:lang w:val="en-US" w:eastAsia="zh-CN"/>
              </w:rPr>
              <w:t>2</w:t>
            </w:r>
            <w:r>
              <w:rPr>
                <w:rFonts w:hint="eastAsia" w:cs="Times New Roman"/>
                <w:color w:val="auto"/>
                <w:sz w:val="24"/>
                <w:lang w:val="en-US" w:eastAsia="zh-CN"/>
              </w:rPr>
              <w:t>4</w:t>
            </w:r>
            <w:r>
              <w:rPr>
                <w:rFonts w:ascii="Times New Roman" w:hAnsi="Times New Roman" w:cs="Times New Roman"/>
                <w:color w:val="auto"/>
                <w:sz w:val="24"/>
              </w:rPr>
              <w:t>人，厂区</w:t>
            </w:r>
            <w:r>
              <w:rPr>
                <w:rFonts w:hint="eastAsia" w:ascii="Times New Roman" w:hAnsi="Times New Roman" w:cs="Times New Roman"/>
                <w:color w:val="auto"/>
                <w:sz w:val="24"/>
              </w:rPr>
              <w:t>内</w:t>
            </w:r>
            <w:r>
              <w:rPr>
                <w:rFonts w:hint="eastAsia" w:ascii="Times New Roman" w:hAnsi="Times New Roman" w:cs="Times New Roman"/>
                <w:color w:val="auto"/>
                <w:sz w:val="24"/>
                <w:lang w:eastAsia="zh-CN"/>
              </w:rPr>
              <w:t>不</w:t>
            </w:r>
            <w:r>
              <w:rPr>
                <w:rFonts w:ascii="Times New Roman" w:hAnsi="Times New Roman" w:cs="Times New Roman"/>
                <w:color w:val="auto"/>
                <w:sz w:val="24"/>
              </w:rPr>
              <w:t>提供食堂</w:t>
            </w:r>
            <w:r>
              <w:rPr>
                <w:rFonts w:hint="eastAsia" w:ascii="Times New Roman" w:hAnsi="Times New Roman" w:cs="Times New Roman"/>
                <w:color w:val="auto"/>
                <w:sz w:val="24"/>
                <w:lang w:eastAsia="zh-CN"/>
              </w:rPr>
              <w:t>及员</w:t>
            </w:r>
            <w:r>
              <w:rPr>
                <w:rFonts w:ascii="Times New Roman" w:hAnsi="Times New Roman" w:cs="Times New Roman"/>
                <w:color w:val="auto"/>
                <w:sz w:val="24"/>
              </w:rPr>
              <w:t>工宿舍。项目工作制度为年工作</w:t>
            </w:r>
            <w:r>
              <w:rPr>
                <w:rFonts w:hint="eastAsia" w:cs="Times New Roman"/>
                <w:color w:val="auto"/>
                <w:sz w:val="24"/>
                <w:lang w:val="en-US" w:eastAsia="zh-CN"/>
              </w:rPr>
              <w:t>300</w:t>
            </w:r>
            <w:r>
              <w:rPr>
                <w:rFonts w:ascii="Times New Roman" w:hAnsi="Times New Roman" w:cs="Times New Roman"/>
                <w:color w:val="auto"/>
                <w:sz w:val="24"/>
              </w:rPr>
              <w:t>天，</w:t>
            </w:r>
            <w:r>
              <w:rPr>
                <w:rFonts w:hint="eastAsia" w:ascii="Times New Roman" w:hAnsi="Times New Roman" w:cs="Times New Roman"/>
                <w:color w:val="auto"/>
                <w:sz w:val="24"/>
                <w:lang w:val="en-US" w:eastAsia="zh-CN"/>
              </w:rPr>
              <w:t>8小时</w:t>
            </w:r>
            <w:r>
              <w:rPr>
                <w:rFonts w:hint="eastAsia" w:ascii="Times New Roman" w:hAnsi="Times New Roman" w:cs="Times New Roman"/>
                <w:color w:val="auto"/>
                <w:sz w:val="24"/>
              </w:rPr>
              <w:t>三</w:t>
            </w:r>
            <w:r>
              <w:rPr>
                <w:rFonts w:ascii="Times New Roman" w:hAnsi="Times New Roman" w:cs="Times New Roman"/>
                <w:color w:val="auto"/>
                <w:sz w:val="24"/>
              </w:rPr>
              <w:t>班制</w:t>
            </w:r>
            <w:r>
              <w:rPr>
                <w:rFonts w:hint="eastAsia" w:cs="Times New Roman"/>
                <w:color w:val="auto"/>
                <w:sz w:val="24"/>
                <w:lang w:eastAsia="zh-CN"/>
              </w:rPr>
              <w:t>，年运行时间</w:t>
            </w:r>
            <w:r>
              <w:rPr>
                <w:rFonts w:hint="eastAsia" w:cs="Times New Roman"/>
                <w:color w:val="auto"/>
                <w:sz w:val="24"/>
                <w:lang w:val="en-US" w:eastAsia="zh-CN"/>
              </w:rPr>
              <w:t>7200h</w:t>
            </w:r>
            <w:r>
              <w:rPr>
                <w:rFonts w:ascii="Times New Roman" w:hAnsi="Times New Roman" w:cs="Times New Roman"/>
                <w:color w:val="auto"/>
                <w:sz w:val="24"/>
              </w:rPr>
              <w:t>。</w:t>
            </w:r>
            <w:r>
              <w:rPr>
                <w:rFonts w:hint="eastAsia" w:cs="Times New Roman"/>
                <w:color w:val="auto"/>
                <w:sz w:val="24"/>
                <w:lang w:eastAsia="zh-CN"/>
              </w:rPr>
              <w:t>技改完成后不新增劳动定员，不改变现有工作制度。</w:t>
            </w:r>
          </w:p>
          <w:p w14:paraId="343FADA7">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ascii="Times New Roman" w:hAnsi="Times New Roman" w:cs="Times New Roman"/>
                <w:b/>
                <w:bCs/>
                <w:color w:val="auto"/>
                <w:sz w:val="24"/>
              </w:rPr>
            </w:pPr>
            <w:r>
              <w:rPr>
                <w:rFonts w:hint="eastAsia" w:ascii="Times New Roman" w:hAnsi="Times New Roman" w:cs="Times New Roman"/>
                <w:b/>
                <w:bCs/>
                <w:color w:val="auto"/>
                <w:sz w:val="24"/>
              </w:rPr>
              <w:t>9</w:t>
            </w:r>
            <w:r>
              <w:rPr>
                <w:rFonts w:ascii="Times New Roman" w:hAnsi="Times New Roman" w:cs="Times New Roman"/>
                <w:b/>
                <w:bCs/>
                <w:color w:val="auto"/>
                <w:sz w:val="24"/>
              </w:rPr>
              <w:t>、建设项目厂区平面布置</w:t>
            </w:r>
          </w:p>
          <w:p w14:paraId="4CDE535C">
            <w:pPr>
              <w:spacing w:line="360" w:lineRule="auto"/>
              <w:ind w:firstLine="480" w:firstLineChars="200"/>
              <w:rPr>
                <w:rFonts w:hint="default" w:ascii="Times New Roman" w:hAnsi="Times New Roman" w:cs="Times New Roman"/>
                <w:color w:val="auto"/>
                <w:sz w:val="24"/>
                <w:highlight w:val="none"/>
                <w:lang w:val="en-US"/>
              </w:rPr>
            </w:pPr>
            <w:r>
              <w:rPr>
                <w:rFonts w:hint="eastAsia" w:ascii="Times New Roman" w:hAnsi="Times New Roman" w:cs="Times New Roman"/>
                <w:color w:val="auto"/>
                <w:sz w:val="24"/>
                <w:lang w:eastAsia="zh-CN"/>
              </w:rPr>
              <w:t>项目位于</w:t>
            </w:r>
            <w:r>
              <w:rPr>
                <w:rFonts w:hint="eastAsia" w:cs="Times New Roman"/>
                <w:color w:val="auto"/>
                <w:sz w:val="24"/>
                <w:lang w:eastAsia="zh-CN"/>
              </w:rPr>
              <w:t>安徽省淮北市濉溪县刘桥二矿南500米</w:t>
            </w:r>
            <w:r>
              <w:rPr>
                <w:rFonts w:hint="eastAsia" w:ascii="Times New Roman" w:hAnsi="Times New Roman" w:cs="Times New Roman"/>
                <w:color w:val="auto"/>
                <w:sz w:val="24"/>
                <w:lang w:eastAsia="zh-CN"/>
              </w:rPr>
              <w:t>，</w:t>
            </w:r>
            <w:r>
              <w:rPr>
                <w:rFonts w:hint="eastAsia" w:ascii="宋体" w:hAnsi="宋体" w:cs="宋体"/>
                <w:color w:val="auto"/>
                <w:sz w:val="24"/>
                <w:szCs w:val="24"/>
              </w:rPr>
              <w:t>项目区域内布局结构合理通透，厂区内水、电、通讯、应急设施等，满足应急、贮存与消防要求</w:t>
            </w:r>
            <w:r>
              <w:rPr>
                <w:rFonts w:hint="eastAsia" w:ascii="宋体" w:hAnsi="宋体" w:cs="宋体"/>
                <w:color w:val="auto"/>
                <w:sz w:val="24"/>
                <w:szCs w:val="24"/>
                <w:lang w:eastAsia="zh-CN"/>
              </w:rPr>
              <w:t>。本项目</w:t>
            </w:r>
            <w:r>
              <w:rPr>
                <w:rFonts w:hint="eastAsia" w:ascii="Times New Roman" w:hAnsi="Times New Roman" w:cs="Times New Roman"/>
                <w:color w:val="auto"/>
                <w:sz w:val="24"/>
                <w:lang w:eastAsia="zh-CN"/>
              </w:rPr>
              <w:t>占地面积约</w:t>
            </w:r>
            <w:r>
              <w:rPr>
                <w:rFonts w:hint="eastAsia" w:ascii="宋体" w:hAnsi="宋体" w:cs="宋体"/>
                <w:color w:val="auto"/>
                <w:sz w:val="24"/>
                <w:szCs w:val="24"/>
                <w:lang w:val="en-US" w:eastAsia="zh-CN"/>
              </w:rPr>
              <w:t>44622平方米。</w:t>
            </w:r>
            <w:r>
              <w:rPr>
                <w:rFonts w:hint="eastAsia" w:ascii="宋体" w:hAnsi="宋体" w:cs="宋体"/>
                <w:color w:val="auto"/>
                <w:sz w:val="24"/>
                <w:szCs w:val="24"/>
                <w:highlight w:val="none"/>
                <w:lang w:val="en-US" w:eastAsia="zh-CN"/>
              </w:rPr>
              <w:t>用于存放煤矸石、建筑弃土及污泥的1#物料库（建筑面积约6000m</w:t>
            </w:r>
            <w:r>
              <w:rPr>
                <w:rFonts w:hint="eastAsia" w:ascii="宋体" w:hAnsi="宋体" w:cs="宋体"/>
                <w:color w:val="auto"/>
                <w:sz w:val="24"/>
                <w:szCs w:val="24"/>
                <w:highlight w:val="none"/>
                <w:vertAlign w:val="superscript"/>
                <w:lang w:val="en-US" w:eastAsia="zh-CN"/>
              </w:rPr>
              <w:t>2</w:t>
            </w:r>
            <w:r>
              <w:rPr>
                <w:rFonts w:hint="eastAsia" w:ascii="宋体" w:hAnsi="宋体" w:cs="宋体"/>
                <w:color w:val="auto"/>
                <w:sz w:val="24"/>
                <w:szCs w:val="24"/>
                <w:highlight w:val="none"/>
                <w:lang w:val="en-US" w:eastAsia="zh-CN"/>
              </w:rPr>
              <w:t>）、2#物料库（建筑面积约4000m</w:t>
            </w:r>
            <w:r>
              <w:rPr>
                <w:rFonts w:hint="eastAsia" w:ascii="宋体" w:hAnsi="宋体" w:cs="宋体"/>
                <w:color w:val="auto"/>
                <w:sz w:val="24"/>
                <w:szCs w:val="24"/>
                <w:highlight w:val="none"/>
                <w:vertAlign w:val="superscript"/>
                <w:lang w:val="en-US" w:eastAsia="zh-CN"/>
              </w:rPr>
              <w:t>2</w:t>
            </w:r>
            <w:r>
              <w:rPr>
                <w:rFonts w:hint="eastAsia" w:ascii="宋体" w:hAnsi="宋体" w:cs="宋体"/>
                <w:color w:val="auto"/>
                <w:sz w:val="24"/>
                <w:szCs w:val="24"/>
                <w:highlight w:val="none"/>
                <w:lang w:val="en-US" w:eastAsia="zh-CN"/>
              </w:rPr>
              <w:t>）、3#物料库（新建，建筑面积约1000m</w:t>
            </w:r>
            <w:r>
              <w:rPr>
                <w:rFonts w:hint="eastAsia" w:ascii="宋体" w:hAnsi="宋体" w:cs="宋体"/>
                <w:color w:val="auto"/>
                <w:sz w:val="24"/>
                <w:szCs w:val="24"/>
                <w:highlight w:val="none"/>
                <w:vertAlign w:val="superscript"/>
                <w:lang w:val="en-US" w:eastAsia="zh-CN"/>
              </w:rPr>
              <w:t>2</w:t>
            </w:r>
            <w:r>
              <w:rPr>
                <w:rFonts w:hint="eastAsia" w:ascii="宋体" w:hAnsi="宋体" w:cs="宋体"/>
                <w:color w:val="auto"/>
                <w:sz w:val="24"/>
                <w:szCs w:val="24"/>
                <w:highlight w:val="none"/>
                <w:lang w:val="en-US" w:eastAsia="zh-CN"/>
              </w:rPr>
              <w:t>）、4#物料库（新建，建筑面积约2000m</w:t>
            </w:r>
            <w:r>
              <w:rPr>
                <w:rFonts w:hint="eastAsia" w:ascii="宋体" w:hAnsi="宋体" w:cs="宋体"/>
                <w:color w:val="auto"/>
                <w:sz w:val="24"/>
                <w:szCs w:val="24"/>
                <w:highlight w:val="none"/>
                <w:vertAlign w:val="superscript"/>
                <w:lang w:val="en-US" w:eastAsia="zh-CN"/>
              </w:rPr>
              <w:t>2</w:t>
            </w:r>
            <w:r>
              <w:rPr>
                <w:rFonts w:hint="eastAsia" w:ascii="宋体" w:hAnsi="宋体" w:cs="宋体"/>
                <w:color w:val="auto"/>
                <w:sz w:val="24"/>
                <w:szCs w:val="24"/>
                <w:highlight w:val="none"/>
                <w:lang w:val="en-US" w:eastAsia="zh-CN"/>
              </w:rPr>
              <w:t>））均位于厂区西侧；1#办公楼（建筑面积约1760m</w:t>
            </w:r>
            <w:r>
              <w:rPr>
                <w:rFonts w:hint="eastAsia" w:ascii="宋体" w:hAnsi="宋体" w:cs="宋体"/>
                <w:color w:val="auto"/>
                <w:sz w:val="24"/>
                <w:szCs w:val="24"/>
                <w:highlight w:val="none"/>
                <w:vertAlign w:val="superscript"/>
                <w:lang w:val="en-US" w:eastAsia="zh-CN"/>
              </w:rPr>
              <w:t>2</w:t>
            </w:r>
            <w:r>
              <w:rPr>
                <w:rFonts w:hint="eastAsia" w:ascii="宋体" w:hAnsi="宋体" w:cs="宋体"/>
                <w:color w:val="auto"/>
                <w:sz w:val="24"/>
                <w:szCs w:val="24"/>
                <w:highlight w:val="none"/>
                <w:lang w:val="en-US" w:eastAsia="zh-CN"/>
              </w:rPr>
              <w:t>）位于厂区西北侧；宿舍（新建，占地面积90m</w:t>
            </w:r>
            <w:r>
              <w:rPr>
                <w:rFonts w:hint="eastAsia" w:ascii="宋体" w:hAnsi="宋体" w:cs="宋体"/>
                <w:color w:val="auto"/>
                <w:sz w:val="24"/>
                <w:szCs w:val="24"/>
                <w:highlight w:val="none"/>
                <w:vertAlign w:val="superscript"/>
                <w:lang w:val="en-US" w:eastAsia="zh-CN"/>
              </w:rPr>
              <w:t>2</w:t>
            </w:r>
            <w:r>
              <w:rPr>
                <w:rFonts w:hint="eastAsia" w:ascii="宋体" w:hAnsi="宋体" w:cs="宋体"/>
                <w:color w:val="auto"/>
                <w:sz w:val="24"/>
                <w:szCs w:val="24"/>
                <w:highlight w:val="none"/>
                <w:lang w:val="en-US" w:eastAsia="zh-CN"/>
              </w:rPr>
              <w:t>）位于厂区进出口西侧；2#办公楼（新建，占地面积约120m</w:t>
            </w:r>
            <w:r>
              <w:rPr>
                <w:rFonts w:hint="eastAsia" w:ascii="宋体" w:hAnsi="宋体" w:cs="宋体"/>
                <w:color w:val="auto"/>
                <w:sz w:val="24"/>
                <w:szCs w:val="24"/>
                <w:highlight w:val="none"/>
                <w:vertAlign w:val="superscript"/>
                <w:lang w:val="en-US" w:eastAsia="zh-CN"/>
              </w:rPr>
              <w:t>2</w:t>
            </w:r>
            <w:r>
              <w:rPr>
                <w:rFonts w:hint="eastAsia" w:ascii="宋体" w:hAnsi="宋体" w:cs="宋体"/>
                <w:color w:val="auto"/>
                <w:sz w:val="24"/>
                <w:szCs w:val="24"/>
                <w:highlight w:val="none"/>
                <w:lang w:val="en-US" w:eastAsia="zh-CN"/>
              </w:rPr>
              <w:t>）位于厂区北侧；破碎车间（占地面积约300m</w:t>
            </w:r>
            <w:r>
              <w:rPr>
                <w:rFonts w:hint="eastAsia" w:ascii="宋体" w:hAnsi="宋体" w:cs="宋体"/>
                <w:color w:val="auto"/>
                <w:sz w:val="24"/>
                <w:szCs w:val="24"/>
                <w:highlight w:val="none"/>
                <w:vertAlign w:val="superscript"/>
                <w:lang w:val="en-US" w:eastAsia="zh-CN"/>
              </w:rPr>
              <w:t>2</w:t>
            </w:r>
            <w:r>
              <w:rPr>
                <w:rFonts w:hint="eastAsia" w:ascii="宋体" w:hAnsi="宋体" w:cs="宋体"/>
                <w:color w:val="auto"/>
                <w:sz w:val="24"/>
                <w:szCs w:val="24"/>
                <w:highlight w:val="none"/>
                <w:lang w:val="en-US" w:eastAsia="zh-CN"/>
              </w:rPr>
              <w:t>）紧邻1#物料库东侧；陈化车间（占地面积约1500m</w:t>
            </w:r>
            <w:r>
              <w:rPr>
                <w:rFonts w:hint="eastAsia" w:ascii="宋体" w:hAnsi="宋体" w:cs="宋体"/>
                <w:color w:val="auto"/>
                <w:sz w:val="24"/>
                <w:szCs w:val="24"/>
                <w:highlight w:val="none"/>
                <w:vertAlign w:val="superscript"/>
                <w:lang w:val="en-US" w:eastAsia="zh-CN"/>
              </w:rPr>
              <w:t>2</w:t>
            </w:r>
            <w:r>
              <w:rPr>
                <w:rFonts w:hint="eastAsia" w:ascii="宋体" w:hAnsi="宋体" w:cs="宋体"/>
                <w:color w:val="auto"/>
                <w:sz w:val="24"/>
                <w:szCs w:val="24"/>
                <w:highlight w:val="none"/>
                <w:lang w:val="en-US" w:eastAsia="zh-CN"/>
              </w:rPr>
              <w:t>）及1#晾坯道（占地面积约750m</w:t>
            </w:r>
            <w:r>
              <w:rPr>
                <w:rFonts w:hint="eastAsia" w:ascii="宋体" w:hAnsi="宋体" w:cs="宋体"/>
                <w:color w:val="auto"/>
                <w:sz w:val="24"/>
                <w:szCs w:val="24"/>
                <w:highlight w:val="none"/>
                <w:vertAlign w:val="superscript"/>
                <w:lang w:val="en-US" w:eastAsia="zh-CN"/>
              </w:rPr>
              <w:t>2</w:t>
            </w:r>
            <w:r>
              <w:rPr>
                <w:rFonts w:hint="eastAsia" w:ascii="宋体" w:hAnsi="宋体" w:cs="宋体"/>
                <w:color w:val="auto"/>
                <w:sz w:val="24"/>
                <w:szCs w:val="24"/>
                <w:highlight w:val="none"/>
                <w:lang w:val="en-US" w:eastAsia="zh-CN"/>
              </w:rPr>
              <w:t>）位于厂区南侧；生产车间（占地面积约2000m</w:t>
            </w:r>
            <w:r>
              <w:rPr>
                <w:rFonts w:hint="eastAsia" w:ascii="宋体" w:hAnsi="宋体" w:cs="宋体"/>
                <w:color w:val="auto"/>
                <w:sz w:val="24"/>
                <w:szCs w:val="24"/>
                <w:highlight w:val="none"/>
                <w:vertAlign w:val="superscript"/>
                <w:lang w:val="en-US" w:eastAsia="zh-CN"/>
              </w:rPr>
              <w:t>2</w:t>
            </w:r>
            <w:r>
              <w:rPr>
                <w:rFonts w:hint="eastAsia" w:ascii="宋体" w:hAnsi="宋体" w:cs="宋体"/>
                <w:color w:val="auto"/>
                <w:sz w:val="24"/>
                <w:szCs w:val="24"/>
                <w:highlight w:val="none"/>
                <w:lang w:val="en-US" w:eastAsia="zh-CN"/>
              </w:rPr>
              <w:t>）位于陈化车间北侧；焙烧车间（即窑体，占地面积约3600m</w:t>
            </w:r>
            <w:r>
              <w:rPr>
                <w:rFonts w:hint="eastAsia" w:ascii="宋体" w:hAnsi="宋体" w:cs="宋体"/>
                <w:color w:val="auto"/>
                <w:sz w:val="24"/>
                <w:szCs w:val="24"/>
                <w:highlight w:val="none"/>
                <w:vertAlign w:val="superscript"/>
                <w:lang w:val="en-US" w:eastAsia="zh-CN"/>
              </w:rPr>
              <w:t>2</w:t>
            </w:r>
            <w:r>
              <w:rPr>
                <w:rFonts w:hint="eastAsia" w:ascii="宋体" w:hAnsi="宋体" w:cs="宋体"/>
                <w:color w:val="auto"/>
                <w:sz w:val="24"/>
                <w:szCs w:val="24"/>
                <w:highlight w:val="none"/>
                <w:lang w:val="en-US" w:eastAsia="zh-CN"/>
              </w:rPr>
              <w:t>）及环保设备区位于厂区东侧；成品装载区（占地面积约3000m</w:t>
            </w:r>
            <w:r>
              <w:rPr>
                <w:rFonts w:hint="eastAsia" w:ascii="宋体" w:hAnsi="宋体" w:cs="宋体"/>
                <w:color w:val="auto"/>
                <w:sz w:val="24"/>
                <w:szCs w:val="24"/>
                <w:highlight w:val="none"/>
                <w:vertAlign w:val="superscript"/>
                <w:lang w:val="en-US" w:eastAsia="zh-CN"/>
              </w:rPr>
              <w:t>2</w:t>
            </w:r>
            <w:r>
              <w:rPr>
                <w:rFonts w:hint="eastAsia" w:ascii="宋体" w:hAnsi="宋体" w:cs="宋体"/>
                <w:color w:val="auto"/>
                <w:sz w:val="24"/>
                <w:szCs w:val="24"/>
                <w:highlight w:val="none"/>
                <w:lang w:val="en-US" w:eastAsia="zh-CN"/>
              </w:rPr>
              <w:t>）、成品打包区（占地面积约2000m</w:t>
            </w:r>
            <w:r>
              <w:rPr>
                <w:rFonts w:hint="eastAsia" w:ascii="宋体" w:hAnsi="宋体" w:cs="宋体"/>
                <w:color w:val="auto"/>
                <w:sz w:val="24"/>
                <w:szCs w:val="24"/>
                <w:highlight w:val="none"/>
                <w:vertAlign w:val="superscript"/>
                <w:lang w:val="en-US" w:eastAsia="zh-CN"/>
              </w:rPr>
              <w:t>2</w:t>
            </w:r>
            <w:r>
              <w:rPr>
                <w:rFonts w:hint="eastAsia" w:ascii="宋体" w:hAnsi="宋体" w:cs="宋体"/>
                <w:color w:val="auto"/>
                <w:sz w:val="24"/>
                <w:szCs w:val="24"/>
                <w:highlight w:val="none"/>
                <w:lang w:val="en-US" w:eastAsia="zh-CN"/>
              </w:rPr>
              <w:t>）均位于生产车间北侧；2#晾坯道（占地面积约2000m</w:t>
            </w:r>
            <w:r>
              <w:rPr>
                <w:rFonts w:hint="eastAsia" w:ascii="宋体" w:hAnsi="宋体" w:cs="宋体"/>
                <w:color w:val="auto"/>
                <w:sz w:val="24"/>
                <w:szCs w:val="24"/>
                <w:highlight w:val="none"/>
                <w:vertAlign w:val="superscript"/>
                <w:lang w:val="en-US" w:eastAsia="zh-CN"/>
              </w:rPr>
              <w:t>2</w:t>
            </w:r>
            <w:r>
              <w:rPr>
                <w:rFonts w:hint="eastAsia" w:ascii="宋体" w:hAnsi="宋体" w:cs="宋体"/>
                <w:color w:val="auto"/>
                <w:sz w:val="24"/>
                <w:szCs w:val="24"/>
                <w:highlight w:val="none"/>
                <w:lang w:val="en-US" w:eastAsia="zh-CN"/>
              </w:rPr>
              <w:t>）位于焙烧车间（窑体）西侧；化学品储库（占地面积10m</w:t>
            </w:r>
            <w:r>
              <w:rPr>
                <w:rFonts w:hint="eastAsia" w:ascii="宋体" w:hAnsi="宋体" w:cs="宋体"/>
                <w:color w:val="auto"/>
                <w:sz w:val="24"/>
                <w:szCs w:val="24"/>
                <w:highlight w:val="none"/>
                <w:vertAlign w:val="superscript"/>
                <w:lang w:val="en-US" w:eastAsia="zh-CN"/>
              </w:rPr>
              <w:t>2</w:t>
            </w:r>
            <w:r>
              <w:rPr>
                <w:rFonts w:hint="eastAsia" w:ascii="宋体" w:hAnsi="宋体" w:cs="宋体"/>
                <w:color w:val="auto"/>
                <w:sz w:val="24"/>
                <w:szCs w:val="24"/>
                <w:highlight w:val="none"/>
                <w:lang w:val="en-US" w:eastAsia="zh-CN"/>
              </w:rPr>
              <w:t>）位于厂区北侧。</w:t>
            </w:r>
          </w:p>
          <w:p w14:paraId="6FA1B79C">
            <w:pPr>
              <w:spacing w:line="360" w:lineRule="auto"/>
              <w:ind w:firstLine="480" w:firstLineChars="200"/>
              <w:rPr>
                <w:rFonts w:ascii="Times New Roman" w:hAnsi="Times New Roman" w:cs="Times New Roman"/>
                <w:color w:val="auto"/>
                <w:sz w:val="24"/>
              </w:rPr>
            </w:pPr>
            <w:r>
              <w:rPr>
                <w:rFonts w:hint="eastAsia" w:ascii="Times New Roman" w:hAnsi="Times New Roman"/>
                <w:color w:val="auto"/>
                <w:sz w:val="24"/>
              </w:rPr>
              <w:t>项目布置总体来说，结构明朗，流程顺畅，布局紧凑，符合防火、安全卫生、环保、交通、运输、生产工艺流程等需求。总体上做到按功能分区，系统分明，布置整齐。</w:t>
            </w:r>
            <w:r>
              <w:rPr>
                <w:rFonts w:ascii="Times New Roman" w:hAnsi="Times New Roman" w:cs="Times New Roman"/>
                <w:color w:val="auto"/>
                <w:sz w:val="24"/>
              </w:rPr>
              <w:t>项目平面布置满足生产人流、物流分离、互不交叉干扰的原则</w:t>
            </w:r>
            <w:r>
              <w:rPr>
                <w:rFonts w:hint="eastAsia" w:ascii="Times New Roman" w:hAnsi="Times New Roman" w:cs="Times New Roman"/>
                <w:color w:val="auto"/>
                <w:sz w:val="24"/>
              </w:rPr>
              <w:t>。</w:t>
            </w:r>
          </w:p>
          <w:p w14:paraId="4FE811F1">
            <w:pPr>
              <w:spacing w:line="360" w:lineRule="auto"/>
              <w:ind w:firstLine="480" w:firstLineChars="200"/>
              <w:rPr>
                <w:color w:val="auto"/>
                <w:sz w:val="24"/>
                <w:szCs w:val="24"/>
              </w:rPr>
            </w:pPr>
            <w:r>
              <w:rPr>
                <w:rFonts w:ascii="Times New Roman" w:hAnsi="Times New Roman" w:cs="Times New Roman"/>
                <w:color w:val="auto"/>
                <w:sz w:val="24"/>
              </w:rPr>
              <w:t>建设项目</w:t>
            </w:r>
            <w:r>
              <w:rPr>
                <w:rFonts w:hint="eastAsia" w:ascii="Times New Roman" w:hAnsi="Times New Roman" w:cs="Times New Roman"/>
                <w:color w:val="auto"/>
                <w:sz w:val="24"/>
              </w:rPr>
              <w:t>厂区平面布置图见附图</w:t>
            </w:r>
            <w:r>
              <w:rPr>
                <w:rFonts w:hint="eastAsia" w:ascii="Times New Roman" w:hAnsi="Times New Roman" w:cs="Times New Roman"/>
                <w:color w:val="auto"/>
                <w:sz w:val="24"/>
                <w:lang w:val="en-US" w:eastAsia="zh-CN"/>
              </w:rPr>
              <w:t>3</w:t>
            </w:r>
            <w:r>
              <w:rPr>
                <w:rFonts w:hint="eastAsia" w:ascii="Times New Roman" w:hAnsi="Times New Roman" w:cs="Times New Roman"/>
                <w:color w:val="auto"/>
                <w:sz w:val="24"/>
              </w:rPr>
              <w:t>。</w:t>
            </w:r>
          </w:p>
        </w:tc>
      </w:tr>
      <w:tr w14:paraId="23190A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17" w:hRule="atLeast"/>
          <w:jc w:val="center"/>
        </w:trPr>
        <w:tc>
          <w:tcPr>
            <w:tcW w:w="600" w:type="dxa"/>
            <w:vAlign w:val="center"/>
          </w:tcPr>
          <w:p w14:paraId="0B036FC4">
            <w:pPr>
              <w:pStyle w:val="34"/>
              <w:adjustRightInd w:val="0"/>
              <w:snapToGrid w:val="0"/>
              <w:spacing w:before="0" w:beforeAutospacing="0" w:after="0" w:afterAutospacing="0"/>
              <w:jc w:val="center"/>
              <w:rPr>
                <w:rFonts w:cs="Times New Roman"/>
                <w:color w:val="auto"/>
                <w:sz w:val="21"/>
                <w:szCs w:val="21"/>
              </w:rPr>
            </w:pPr>
            <w:r>
              <w:rPr>
                <w:rFonts w:hint="eastAsia"/>
                <w:color w:val="auto"/>
                <w:kern w:val="2"/>
              </w:rPr>
              <w:t>工艺流程和产排污环节</w:t>
            </w:r>
          </w:p>
        </w:tc>
        <w:tc>
          <w:tcPr>
            <w:tcW w:w="8552" w:type="dxa"/>
          </w:tcPr>
          <w:p w14:paraId="6C33FBC4">
            <w:pPr>
              <w:numPr>
                <w:ilvl w:val="0"/>
                <w:numId w:val="7"/>
              </w:numPr>
              <w:spacing w:before="240" w:beforeLines="100" w:line="360" w:lineRule="auto"/>
              <w:ind w:left="720" w:leftChars="228" w:hanging="241" w:hangingChars="100"/>
              <w:rPr>
                <w:rFonts w:ascii="宋体" w:hAnsi="宋体" w:cs="宋体"/>
                <w:b/>
                <w:bCs/>
                <w:color w:val="auto"/>
                <w:sz w:val="24"/>
                <w:szCs w:val="24"/>
              </w:rPr>
            </w:pPr>
            <w:r>
              <w:rPr>
                <w:rFonts w:hint="eastAsia" w:ascii="宋体" w:hAnsi="宋体" w:cs="宋体"/>
                <w:b/>
                <w:bCs/>
                <w:color w:val="auto"/>
                <w:sz w:val="24"/>
                <w:szCs w:val="24"/>
              </w:rPr>
              <w:t>施工期工艺流程和产污环节</w:t>
            </w:r>
          </w:p>
          <w:p w14:paraId="3D4A863E">
            <w:pPr>
              <w:widowControl/>
              <w:jc w:val="center"/>
              <w:textAlignment w:val="baseline"/>
              <w:rPr>
                <w:color w:val="auto"/>
              </w:rPr>
            </w:pPr>
            <w:bookmarkStart w:id="2" w:name="_MON_1596355093"/>
            <w:bookmarkEnd w:id="2"/>
            <w:r>
              <w:rPr>
                <w:color w:val="auto"/>
              </w:rPr>
              <w:object>
                <v:shape id="_x0000_i1025" o:spt="75" type="#_x0000_t75" style="height:101.9pt;width:339.6pt;" o:ole="t" filled="f" o:preferrelative="t" stroked="f" coordsize="21600,21600">
                  <v:path/>
                  <v:fill on="f" focussize="0,0"/>
                  <v:stroke on="f" joinstyle="miter"/>
                  <v:imagedata r:id="rId11" o:title=""/>
                  <o:lock v:ext="edit" aspectratio="t"/>
                  <w10:wrap type="none"/>
                  <w10:anchorlock/>
                </v:shape>
                <o:OLEObject Type="Embed" ProgID="Msxml2.SAXXMLReader.5.0" ShapeID="_x0000_i1025" DrawAspect="Content" ObjectID="_1468075725" r:id="rId10">
                  <o:LockedField>false</o:LockedField>
                </o:OLEObject>
              </w:object>
            </w:r>
          </w:p>
          <w:p w14:paraId="4EEFAC55">
            <w:pPr>
              <w:spacing w:line="360" w:lineRule="auto"/>
              <w:ind w:firstLine="420" w:firstLineChars="200"/>
              <w:jc w:val="center"/>
              <w:rPr>
                <w:color w:val="auto"/>
              </w:rPr>
            </w:pPr>
            <w:r>
              <w:rPr>
                <w:rFonts w:hint="eastAsia"/>
                <w:color w:val="auto"/>
              </w:rPr>
              <w:t>图2-1  施工期工艺流程及产污环节图</w:t>
            </w:r>
          </w:p>
          <w:p w14:paraId="7D83A7FC">
            <w:pPr>
              <w:spacing w:line="360" w:lineRule="auto"/>
              <w:ind w:firstLine="480" w:firstLineChars="200"/>
              <w:rPr>
                <w:color w:val="auto"/>
                <w:sz w:val="24"/>
                <w:szCs w:val="24"/>
              </w:rPr>
            </w:pPr>
            <w:r>
              <w:rPr>
                <w:rFonts w:hint="eastAsia" w:cs="宋体"/>
                <w:color w:val="auto"/>
                <w:sz w:val="24"/>
                <w:szCs w:val="24"/>
              </w:rPr>
              <w:t>施工期工艺流程说明：</w:t>
            </w:r>
          </w:p>
          <w:p w14:paraId="4BBE53E4">
            <w:pPr>
              <w:spacing w:line="360" w:lineRule="auto"/>
              <w:ind w:firstLine="480" w:firstLineChars="200"/>
              <w:rPr>
                <w:color w:val="auto"/>
                <w:sz w:val="24"/>
                <w:szCs w:val="24"/>
              </w:rPr>
            </w:pPr>
            <w:r>
              <w:rPr>
                <w:rFonts w:hint="eastAsia" w:cs="宋体"/>
                <w:color w:val="auto"/>
                <w:sz w:val="24"/>
                <w:szCs w:val="24"/>
              </w:rPr>
              <w:t>本项目</w:t>
            </w:r>
            <w:r>
              <w:rPr>
                <w:rFonts w:hint="eastAsia" w:ascii="Times New Roman" w:hAnsi="Times New Roman" w:eastAsia="宋体" w:cs="宋体"/>
                <w:color w:val="auto"/>
                <w:sz w:val="24"/>
                <w:szCs w:val="24"/>
              </w:rPr>
              <w:t>需新建2座</w:t>
            </w:r>
            <w:r>
              <w:rPr>
                <w:rFonts w:hint="eastAsia" w:cs="宋体"/>
                <w:color w:val="auto"/>
                <w:sz w:val="24"/>
                <w:szCs w:val="24"/>
                <w:lang w:eastAsia="zh-CN"/>
              </w:rPr>
              <w:t>物料</w:t>
            </w:r>
            <w:r>
              <w:rPr>
                <w:rFonts w:hint="eastAsia" w:ascii="Times New Roman" w:hAnsi="Times New Roman" w:eastAsia="宋体" w:cs="宋体"/>
                <w:color w:val="auto"/>
                <w:sz w:val="24"/>
                <w:szCs w:val="24"/>
                <w:lang w:eastAsia="zh-CN"/>
              </w:rPr>
              <w:t>库、办公楼</w:t>
            </w:r>
            <w:r>
              <w:rPr>
                <w:rFonts w:hint="eastAsia" w:ascii="Times New Roman" w:hAnsi="Times New Roman" w:eastAsia="宋体" w:cs="宋体"/>
                <w:color w:val="auto"/>
                <w:sz w:val="24"/>
                <w:szCs w:val="24"/>
              </w:rPr>
              <w:t>，</w:t>
            </w:r>
            <w:r>
              <w:rPr>
                <w:rFonts w:hint="eastAsia" w:cs="宋体"/>
                <w:color w:val="auto"/>
                <w:sz w:val="24"/>
                <w:szCs w:val="24"/>
                <w:lang w:eastAsia="zh-CN"/>
              </w:rPr>
              <w:t>物料</w:t>
            </w:r>
            <w:r>
              <w:rPr>
                <w:rFonts w:hint="eastAsia" w:ascii="Times New Roman" w:hAnsi="Times New Roman" w:eastAsia="宋体" w:cs="宋体"/>
                <w:color w:val="auto"/>
                <w:sz w:val="24"/>
                <w:szCs w:val="24"/>
                <w:lang w:eastAsia="zh-CN"/>
              </w:rPr>
              <w:t>库</w:t>
            </w:r>
            <w:r>
              <w:rPr>
                <w:rFonts w:hint="eastAsia" w:ascii="Times New Roman" w:hAnsi="Times New Roman" w:eastAsia="宋体" w:cs="宋体"/>
                <w:color w:val="auto"/>
                <w:sz w:val="24"/>
                <w:szCs w:val="24"/>
              </w:rPr>
              <w:t>主要为钢结构大棚。</w:t>
            </w:r>
            <w:r>
              <w:rPr>
                <w:rFonts w:hint="eastAsia" w:cs="宋体"/>
                <w:color w:val="auto"/>
                <w:sz w:val="24"/>
                <w:szCs w:val="24"/>
              </w:rPr>
              <w:t>施工期主要内容包括、前期部分场地平整、基础工程、主体工程、装饰工程、安装工程等。</w:t>
            </w:r>
          </w:p>
          <w:p w14:paraId="6F434FDD">
            <w:pPr>
              <w:spacing w:line="360" w:lineRule="auto"/>
              <w:ind w:firstLine="480" w:firstLineChars="200"/>
              <w:rPr>
                <w:color w:val="auto"/>
                <w:sz w:val="24"/>
                <w:szCs w:val="24"/>
              </w:rPr>
            </w:pPr>
            <w:r>
              <w:rPr>
                <w:rFonts w:hint="eastAsia" w:cs="宋体"/>
                <w:color w:val="auto"/>
                <w:sz w:val="24"/>
                <w:szCs w:val="24"/>
              </w:rPr>
              <w:t>施工的内容主要包括地基的开挖、主体的建设、装修、附属设施的建设等。施工期产生的污染物主要有废气、废水、噪声、建筑固废等。</w:t>
            </w:r>
          </w:p>
          <w:p w14:paraId="0852DB9D">
            <w:pPr>
              <w:spacing w:line="360" w:lineRule="auto"/>
              <w:ind w:firstLine="480" w:firstLineChars="200"/>
              <w:jc w:val="left"/>
              <w:rPr>
                <w:snapToGrid w:val="0"/>
                <w:color w:val="auto"/>
                <w:sz w:val="24"/>
                <w:szCs w:val="24"/>
              </w:rPr>
            </w:pPr>
            <w:r>
              <w:rPr>
                <w:rFonts w:hint="eastAsia"/>
                <w:snapToGrid w:val="0"/>
                <w:color w:val="auto"/>
                <w:sz w:val="24"/>
                <w:szCs w:val="24"/>
              </w:rPr>
              <w:t>（1）施工扬尘</w:t>
            </w:r>
          </w:p>
          <w:p w14:paraId="45406A44">
            <w:pPr>
              <w:spacing w:line="360" w:lineRule="auto"/>
              <w:ind w:firstLine="480" w:firstLineChars="200"/>
              <w:jc w:val="left"/>
              <w:rPr>
                <w:snapToGrid w:val="0"/>
                <w:color w:val="auto"/>
                <w:sz w:val="24"/>
                <w:szCs w:val="24"/>
              </w:rPr>
            </w:pPr>
            <w:r>
              <w:rPr>
                <w:rFonts w:hint="eastAsia"/>
                <w:snapToGrid w:val="0"/>
                <w:color w:val="auto"/>
                <w:sz w:val="24"/>
                <w:szCs w:val="24"/>
              </w:rPr>
              <w:t>施工期的大气污染源主要为施工区裸露的地表在大风气象条件下易形成风蚀扬尘</w:t>
            </w:r>
            <w:r>
              <w:rPr>
                <w:rFonts w:hint="eastAsia"/>
                <w:snapToGrid w:val="0"/>
                <w:color w:val="auto"/>
                <w:sz w:val="24"/>
                <w:szCs w:val="24"/>
                <w:lang w:eastAsia="zh-CN"/>
              </w:rPr>
              <w:t>，</w:t>
            </w:r>
            <w:r>
              <w:rPr>
                <w:rFonts w:hint="eastAsia"/>
                <w:snapToGrid w:val="0"/>
                <w:color w:val="auto"/>
                <w:sz w:val="24"/>
                <w:szCs w:val="24"/>
              </w:rPr>
              <w:t>其产生量与风力、表土含水率等因素有关</w:t>
            </w:r>
            <w:r>
              <w:rPr>
                <w:rFonts w:hint="eastAsia"/>
                <w:snapToGrid w:val="0"/>
                <w:color w:val="auto"/>
                <w:sz w:val="24"/>
                <w:szCs w:val="24"/>
                <w:lang w:eastAsia="zh-CN"/>
              </w:rPr>
              <w:t>，</w:t>
            </w:r>
            <w:r>
              <w:rPr>
                <w:rFonts w:hint="eastAsia"/>
                <w:snapToGrid w:val="0"/>
                <w:color w:val="auto"/>
                <w:sz w:val="24"/>
                <w:szCs w:val="24"/>
              </w:rPr>
              <w:t>其影响程度及范围有限</w:t>
            </w:r>
            <w:r>
              <w:rPr>
                <w:rFonts w:hint="eastAsia"/>
                <w:snapToGrid w:val="0"/>
                <w:color w:val="auto"/>
                <w:sz w:val="24"/>
                <w:szCs w:val="24"/>
                <w:lang w:eastAsia="zh-CN"/>
              </w:rPr>
              <w:t>，</w:t>
            </w:r>
            <w:r>
              <w:rPr>
                <w:rFonts w:hint="eastAsia"/>
                <w:snapToGrid w:val="0"/>
                <w:color w:val="auto"/>
                <w:sz w:val="24"/>
                <w:szCs w:val="24"/>
              </w:rPr>
              <w:t>而且是短期的局部影响。</w:t>
            </w:r>
          </w:p>
          <w:p w14:paraId="497F0FBE">
            <w:pPr>
              <w:spacing w:line="360" w:lineRule="auto"/>
              <w:ind w:firstLine="480" w:firstLineChars="200"/>
              <w:jc w:val="left"/>
              <w:rPr>
                <w:snapToGrid w:val="0"/>
                <w:color w:val="auto"/>
                <w:sz w:val="24"/>
                <w:szCs w:val="24"/>
              </w:rPr>
            </w:pPr>
            <w:r>
              <w:rPr>
                <w:rFonts w:hint="eastAsia"/>
                <w:snapToGrid w:val="0"/>
                <w:color w:val="auto"/>
                <w:sz w:val="24"/>
                <w:szCs w:val="24"/>
              </w:rPr>
              <w:t>据调查</w:t>
            </w:r>
            <w:r>
              <w:rPr>
                <w:rFonts w:hint="eastAsia"/>
                <w:snapToGrid w:val="0"/>
                <w:color w:val="auto"/>
                <w:sz w:val="24"/>
                <w:szCs w:val="24"/>
                <w:lang w:eastAsia="zh-CN"/>
              </w:rPr>
              <w:t>，</w:t>
            </w:r>
            <w:r>
              <w:rPr>
                <w:rFonts w:hint="eastAsia"/>
                <w:snapToGrid w:val="0"/>
                <w:color w:val="auto"/>
                <w:sz w:val="24"/>
                <w:szCs w:val="24"/>
              </w:rPr>
              <w:t>施工场地的扬尘主要是由运输车辆的行驶产生</w:t>
            </w:r>
            <w:r>
              <w:rPr>
                <w:rFonts w:hint="eastAsia"/>
                <w:snapToGrid w:val="0"/>
                <w:color w:val="auto"/>
                <w:sz w:val="24"/>
                <w:szCs w:val="24"/>
                <w:lang w:eastAsia="zh-CN"/>
              </w:rPr>
              <w:t>，</w:t>
            </w:r>
            <w:r>
              <w:rPr>
                <w:rFonts w:hint="eastAsia"/>
                <w:snapToGrid w:val="0"/>
                <w:color w:val="auto"/>
                <w:sz w:val="24"/>
                <w:szCs w:val="24"/>
              </w:rPr>
              <w:t>扬尘量相对较大。其与道路路面及车辆行驶速度有关</w:t>
            </w:r>
            <w:r>
              <w:rPr>
                <w:rFonts w:hint="eastAsia"/>
                <w:snapToGrid w:val="0"/>
                <w:color w:val="auto"/>
                <w:sz w:val="24"/>
                <w:szCs w:val="24"/>
                <w:lang w:eastAsia="zh-CN"/>
              </w:rPr>
              <w:t>，</w:t>
            </w:r>
            <w:r>
              <w:rPr>
                <w:rFonts w:hint="eastAsia"/>
                <w:snapToGrid w:val="0"/>
                <w:color w:val="auto"/>
                <w:sz w:val="24"/>
                <w:szCs w:val="24"/>
              </w:rPr>
              <w:t>一般情况下</w:t>
            </w:r>
            <w:r>
              <w:rPr>
                <w:rFonts w:hint="eastAsia"/>
                <w:snapToGrid w:val="0"/>
                <w:color w:val="auto"/>
                <w:sz w:val="24"/>
                <w:szCs w:val="24"/>
                <w:lang w:eastAsia="zh-CN"/>
              </w:rPr>
              <w:t>，</w:t>
            </w:r>
            <w:r>
              <w:rPr>
                <w:rFonts w:hint="eastAsia"/>
                <w:snapToGrid w:val="0"/>
                <w:color w:val="auto"/>
                <w:sz w:val="24"/>
                <w:szCs w:val="24"/>
              </w:rPr>
              <w:t>施工场地和施工道路在自然风的作用下产生的扬尘所影响的范围在</w:t>
            </w:r>
            <w:r>
              <w:rPr>
                <w:snapToGrid w:val="0"/>
                <w:color w:val="auto"/>
                <w:sz w:val="24"/>
                <w:szCs w:val="24"/>
              </w:rPr>
              <w:t>100m</w:t>
            </w:r>
            <w:r>
              <w:rPr>
                <w:rFonts w:hint="eastAsia"/>
                <w:snapToGrid w:val="0"/>
                <w:color w:val="auto"/>
                <w:sz w:val="24"/>
                <w:szCs w:val="24"/>
              </w:rPr>
              <w:t>以内</w:t>
            </w:r>
            <w:r>
              <w:rPr>
                <w:rFonts w:hint="eastAsia"/>
                <w:snapToGrid w:val="0"/>
                <w:color w:val="auto"/>
                <w:sz w:val="24"/>
                <w:szCs w:val="24"/>
                <w:lang w:eastAsia="zh-CN"/>
              </w:rPr>
              <w:t>，</w:t>
            </w:r>
            <w:r>
              <w:rPr>
                <w:rFonts w:hint="eastAsia"/>
                <w:snapToGrid w:val="0"/>
                <w:color w:val="auto"/>
                <w:sz w:val="24"/>
                <w:szCs w:val="24"/>
              </w:rPr>
              <w:t>如果在施工期间对车辆行驶的路面进行洒水抑尘</w:t>
            </w:r>
            <w:r>
              <w:rPr>
                <w:rFonts w:hint="eastAsia"/>
                <w:snapToGrid w:val="0"/>
                <w:color w:val="auto"/>
                <w:sz w:val="24"/>
                <w:szCs w:val="24"/>
                <w:lang w:eastAsia="zh-CN"/>
              </w:rPr>
              <w:t>，</w:t>
            </w:r>
            <w:r>
              <w:rPr>
                <w:rFonts w:hint="eastAsia"/>
                <w:snapToGrid w:val="0"/>
                <w:color w:val="auto"/>
                <w:sz w:val="24"/>
                <w:szCs w:val="24"/>
              </w:rPr>
              <w:t>遇到干旱季节特别是有风的天气</w:t>
            </w:r>
            <w:r>
              <w:rPr>
                <w:rFonts w:hint="eastAsia"/>
                <w:snapToGrid w:val="0"/>
                <w:color w:val="auto"/>
                <w:sz w:val="24"/>
                <w:szCs w:val="24"/>
                <w:lang w:eastAsia="zh-CN"/>
              </w:rPr>
              <w:t>，</w:t>
            </w:r>
            <w:r>
              <w:rPr>
                <w:rFonts w:hint="eastAsia"/>
                <w:snapToGrid w:val="0"/>
                <w:color w:val="auto"/>
                <w:sz w:val="24"/>
                <w:szCs w:val="24"/>
              </w:rPr>
              <w:t>要保证施工场地每天不少于洒</w:t>
            </w:r>
            <w:r>
              <w:rPr>
                <w:snapToGrid w:val="0"/>
                <w:color w:val="auto"/>
                <w:sz w:val="24"/>
                <w:szCs w:val="24"/>
              </w:rPr>
              <w:t>7</w:t>
            </w:r>
            <w:r>
              <w:rPr>
                <w:rFonts w:hint="eastAsia"/>
                <w:snapToGrid w:val="0"/>
                <w:color w:val="auto"/>
                <w:sz w:val="24"/>
                <w:szCs w:val="24"/>
              </w:rPr>
              <w:t>次水</w:t>
            </w:r>
            <w:r>
              <w:rPr>
                <w:rFonts w:hint="eastAsia"/>
                <w:snapToGrid w:val="0"/>
                <w:color w:val="auto"/>
                <w:sz w:val="24"/>
                <w:szCs w:val="24"/>
                <w:lang w:eastAsia="zh-CN"/>
              </w:rPr>
              <w:t>，</w:t>
            </w:r>
            <w:r>
              <w:rPr>
                <w:rFonts w:hint="eastAsia"/>
                <w:snapToGrid w:val="0"/>
                <w:color w:val="auto"/>
                <w:sz w:val="24"/>
                <w:szCs w:val="24"/>
              </w:rPr>
              <w:t>可使扬尘减少</w:t>
            </w:r>
            <w:r>
              <w:rPr>
                <w:snapToGrid w:val="0"/>
                <w:color w:val="auto"/>
                <w:sz w:val="24"/>
                <w:szCs w:val="24"/>
              </w:rPr>
              <w:t>70</w:t>
            </w:r>
            <w:r>
              <w:rPr>
                <w:rFonts w:hint="eastAsia"/>
                <w:snapToGrid w:val="0"/>
                <w:color w:val="auto"/>
                <w:sz w:val="24"/>
                <w:szCs w:val="24"/>
              </w:rPr>
              <w:t>％左右</w:t>
            </w:r>
            <w:r>
              <w:rPr>
                <w:rFonts w:hint="eastAsia"/>
                <w:snapToGrid w:val="0"/>
                <w:color w:val="auto"/>
                <w:sz w:val="24"/>
                <w:szCs w:val="24"/>
                <w:lang w:eastAsia="zh-CN"/>
              </w:rPr>
              <w:t>，</w:t>
            </w:r>
            <w:r>
              <w:rPr>
                <w:rFonts w:hint="eastAsia"/>
                <w:snapToGrid w:val="0"/>
                <w:color w:val="auto"/>
                <w:sz w:val="24"/>
                <w:szCs w:val="24"/>
              </w:rPr>
              <w:t>大大缩短扬尘影响范围。此外</w:t>
            </w:r>
            <w:r>
              <w:rPr>
                <w:rFonts w:hint="eastAsia"/>
                <w:snapToGrid w:val="0"/>
                <w:color w:val="auto"/>
                <w:sz w:val="24"/>
                <w:szCs w:val="24"/>
                <w:lang w:eastAsia="zh-CN"/>
              </w:rPr>
              <w:t>，</w:t>
            </w:r>
            <w:r>
              <w:rPr>
                <w:rFonts w:hint="eastAsia"/>
                <w:snapToGrid w:val="0"/>
                <w:color w:val="auto"/>
                <w:sz w:val="24"/>
                <w:szCs w:val="24"/>
              </w:rPr>
              <w:t>在施工期要修建好临时道路</w:t>
            </w:r>
            <w:r>
              <w:rPr>
                <w:rFonts w:hint="eastAsia"/>
                <w:snapToGrid w:val="0"/>
                <w:color w:val="auto"/>
                <w:sz w:val="24"/>
                <w:szCs w:val="24"/>
                <w:lang w:eastAsia="zh-CN"/>
              </w:rPr>
              <w:t>，</w:t>
            </w:r>
            <w:r>
              <w:rPr>
                <w:rFonts w:hint="eastAsia"/>
                <w:snapToGrid w:val="0"/>
                <w:color w:val="auto"/>
                <w:sz w:val="24"/>
                <w:szCs w:val="24"/>
              </w:rPr>
              <w:t>临时道路施工尽可能与永久道路衔接。保持车辆过往的道路平坦</w:t>
            </w:r>
            <w:r>
              <w:rPr>
                <w:rFonts w:hint="eastAsia"/>
                <w:snapToGrid w:val="0"/>
                <w:color w:val="auto"/>
                <w:sz w:val="24"/>
                <w:szCs w:val="24"/>
                <w:lang w:eastAsia="zh-CN"/>
              </w:rPr>
              <w:t>，</w:t>
            </w:r>
            <w:r>
              <w:rPr>
                <w:rFonts w:hint="eastAsia"/>
                <w:snapToGrid w:val="0"/>
                <w:color w:val="auto"/>
                <w:sz w:val="24"/>
                <w:szCs w:val="24"/>
              </w:rPr>
              <w:t>减少施工场地扬尘污染</w:t>
            </w:r>
            <w:r>
              <w:rPr>
                <w:rFonts w:hint="eastAsia"/>
                <w:snapToGrid w:val="0"/>
                <w:color w:val="auto"/>
                <w:sz w:val="24"/>
                <w:szCs w:val="24"/>
                <w:lang w:eastAsia="zh-CN"/>
              </w:rPr>
              <w:t>，</w:t>
            </w:r>
            <w:r>
              <w:rPr>
                <w:rFonts w:hint="eastAsia"/>
                <w:snapToGrid w:val="0"/>
                <w:color w:val="auto"/>
                <w:sz w:val="24"/>
                <w:szCs w:val="24"/>
              </w:rPr>
              <w:t>接受社会监督</w:t>
            </w:r>
            <w:r>
              <w:rPr>
                <w:rFonts w:hint="eastAsia"/>
                <w:snapToGrid w:val="0"/>
                <w:color w:val="auto"/>
                <w:sz w:val="24"/>
                <w:szCs w:val="24"/>
                <w:lang w:eastAsia="zh-CN"/>
              </w:rPr>
              <w:t>，</w:t>
            </w:r>
            <w:r>
              <w:rPr>
                <w:rFonts w:hint="eastAsia"/>
                <w:snapToGrid w:val="0"/>
                <w:color w:val="auto"/>
                <w:sz w:val="24"/>
                <w:szCs w:val="24"/>
              </w:rPr>
              <w:t>并采取下列扬尘污染防治措施：</w:t>
            </w:r>
          </w:p>
          <w:p w14:paraId="37493CE6">
            <w:pPr>
              <w:spacing w:line="360" w:lineRule="auto"/>
              <w:ind w:firstLine="480" w:firstLineChars="200"/>
              <w:jc w:val="left"/>
              <w:rPr>
                <w:snapToGrid w:val="0"/>
                <w:color w:val="auto"/>
                <w:sz w:val="24"/>
                <w:szCs w:val="24"/>
              </w:rPr>
            </w:pPr>
            <w:r>
              <w:rPr>
                <w:rFonts w:hint="eastAsia"/>
                <w:snapToGrid w:val="0"/>
                <w:color w:val="auto"/>
                <w:sz w:val="24"/>
                <w:szCs w:val="24"/>
              </w:rPr>
              <w:t>1）施工现场采取洒水、覆盖等降尘措施；</w:t>
            </w:r>
          </w:p>
          <w:p w14:paraId="7814E775">
            <w:pPr>
              <w:spacing w:line="360" w:lineRule="auto"/>
              <w:ind w:firstLine="480" w:firstLineChars="200"/>
              <w:jc w:val="left"/>
              <w:rPr>
                <w:snapToGrid w:val="0"/>
                <w:color w:val="auto"/>
                <w:sz w:val="24"/>
                <w:szCs w:val="24"/>
              </w:rPr>
            </w:pPr>
            <w:r>
              <w:rPr>
                <w:rFonts w:hint="eastAsia"/>
                <w:snapToGrid w:val="0"/>
                <w:color w:val="auto"/>
                <w:sz w:val="24"/>
                <w:szCs w:val="24"/>
              </w:rPr>
              <w:t>2）施工现场建筑材料实行集中、分类堆放。建筑垃圾采取封闭方式清运</w:t>
            </w:r>
            <w:r>
              <w:rPr>
                <w:rFonts w:hint="eastAsia"/>
                <w:snapToGrid w:val="0"/>
                <w:color w:val="auto"/>
                <w:sz w:val="24"/>
                <w:szCs w:val="24"/>
                <w:lang w:eastAsia="zh-CN"/>
              </w:rPr>
              <w:t>，</w:t>
            </w:r>
            <w:r>
              <w:rPr>
                <w:rFonts w:hint="eastAsia"/>
                <w:snapToGrid w:val="0"/>
                <w:color w:val="auto"/>
                <w:sz w:val="24"/>
                <w:szCs w:val="24"/>
              </w:rPr>
              <w:t>严禁高处抛洒；</w:t>
            </w:r>
          </w:p>
          <w:p w14:paraId="49297479">
            <w:pPr>
              <w:spacing w:line="360" w:lineRule="auto"/>
              <w:ind w:firstLine="480" w:firstLineChars="200"/>
              <w:jc w:val="left"/>
              <w:rPr>
                <w:snapToGrid w:val="0"/>
                <w:color w:val="auto"/>
                <w:sz w:val="24"/>
                <w:szCs w:val="24"/>
              </w:rPr>
            </w:pPr>
            <w:r>
              <w:rPr>
                <w:rFonts w:hint="eastAsia"/>
                <w:snapToGrid w:val="0"/>
                <w:color w:val="auto"/>
                <w:sz w:val="24"/>
                <w:szCs w:val="24"/>
              </w:rPr>
              <w:t>3）施工现场禁止焚烧沥青、油毡、橡胶、垃圾等易产生有毒有害烟尘和恶臭气体的物质；</w:t>
            </w:r>
          </w:p>
          <w:p w14:paraId="24F729D2">
            <w:pPr>
              <w:spacing w:line="360" w:lineRule="auto"/>
              <w:ind w:firstLine="480" w:firstLineChars="200"/>
              <w:jc w:val="left"/>
              <w:rPr>
                <w:snapToGrid w:val="0"/>
                <w:color w:val="auto"/>
                <w:sz w:val="24"/>
                <w:szCs w:val="24"/>
              </w:rPr>
            </w:pPr>
            <w:r>
              <w:rPr>
                <w:rFonts w:hint="eastAsia"/>
                <w:snapToGrid w:val="0"/>
                <w:color w:val="auto"/>
                <w:sz w:val="24"/>
                <w:szCs w:val="24"/>
              </w:rPr>
              <w:t>4）易产生扬尘的建筑材料采取封闭运输；</w:t>
            </w:r>
          </w:p>
          <w:p w14:paraId="73EDC205">
            <w:pPr>
              <w:spacing w:line="360" w:lineRule="auto"/>
              <w:ind w:firstLine="480" w:firstLineChars="200"/>
              <w:jc w:val="left"/>
              <w:rPr>
                <w:snapToGrid w:val="0"/>
                <w:color w:val="auto"/>
                <w:sz w:val="24"/>
                <w:szCs w:val="24"/>
              </w:rPr>
            </w:pPr>
            <w:r>
              <w:rPr>
                <w:rFonts w:hint="eastAsia"/>
                <w:snapToGrid w:val="0"/>
                <w:color w:val="auto"/>
                <w:sz w:val="24"/>
                <w:szCs w:val="24"/>
              </w:rPr>
              <w:t>5）建筑垃圾运输、处理时</w:t>
            </w:r>
            <w:r>
              <w:rPr>
                <w:rFonts w:hint="eastAsia"/>
                <w:snapToGrid w:val="0"/>
                <w:color w:val="auto"/>
                <w:sz w:val="24"/>
                <w:szCs w:val="24"/>
                <w:lang w:eastAsia="zh-CN"/>
              </w:rPr>
              <w:t>，</w:t>
            </w:r>
            <w:r>
              <w:rPr>
                <w:rFonts w:hint="eastAsia"/>
                <w:snapToGrid w:val="0"/>
                <w:color w:val="auto"/>
                <w:sz w:val="24"/>
                <w:szCs w:val="24"/>
              </w:rPr>
              <w:t>按照城市人民政府市容环境卫生行政主管部门规定的时间、路线和要求</w:t>
            </w:r>
            <w:r>
              <w:rPr>
                <w:rFonts w:hint="eastAsia"/>
                <w:snapToGrid w:val="0"/>
                <w:color w:val="auto"/>
                <w:sz w:val="24"/>
                <w:szCs w:val="24"/>
                <w:lang w:eastAsia="zh-CN"/>
              </w:rPr>
              <w:t>，</w:t>
            </w:r>
            <w:r>
              <w:rPr>
                <w:rFonts w:hint="eastAsia"/>
                <w:snapToGrid w:val="0"/>
                <w:color w:val="auto"/>
                <w:sz w:val="24"/>
                <w:szCs w:val="24"/>
              </w:rPr>
              <w:t>清运到指定的场所处理；</w:t>
            </w:r>
          </w:p>
          <w:p w14:paraId="2A03FC4C">
            <w:pPr>
              <w:spacing w:line="360" w:lineRule="auto"/>
              <w:ind w:firstLine="480" w:firstLineChars="200"/>
              <w:jc w:val="left"/>
              <w:rPr>
                <w:snapToGrid w:val="0"/>
                <w:color w:val="auto"/>
                <w:sz w:val="24"/>
                <w:szCs w:val="24"/>
              </w:rPr>
            </w:pPr>
            <w:r>
              <w:rPr>
                <w:rFonts w:hint="eastAsia"/>
                <w:snapToGrid w:val="0"/>
                <w:color w:val="auto"/>
                <w:sz w:val="24"/>
                <w:szCs w:val="24"/>
              </w:rPr>
              <w:t>在采取以上防治措施后</w:t>
            </w:r>
            <w:r>
              <w:rPr>
                <w:rFonts w:hint="eastAsia"/>
                <w:snapToGrid w:val="0"/>
                <w:color w:val="auto"/>
                <w:sz w:val="24"/>
                <w:szCs w:val="24"/>
                <w:lang w:eastAsia="zh-CN"/>
              </w:rPr>
              <w:t>，</w:t>
            </w:r>
            <w:r>
              <w:rPr>
                <w:rFonts w:hint="eastAsia"/>
                <w:snapToGrid w:val="0"/>
                <w:color w:val="auto"/>
                <w:sz w:val="24"/>
                <w:szCs w:val="24"/>
              </w:rPr>
              <w:t>项目施工扬尘对区域大气环境不产生明显的影响。</w:t>
            </w:r>
          </w:p>
          <w:p w14:paraId="4E01DE83">
            <w:pPr>
              <w:spacing w:line="360" w:lineRule="auto"/>
              <w:ind w:firstLine="480" w:firstLineChars="200"/>
              <w:jc w:val="left"/>
              <w:rPr>
                <w:snapToGrid w:val="0"/>
                <w:color w:val="auto"/>
                <w:sz w:val="24"/>
                <w:szCs w:val="24"/>
              </w:rPr>
            </w:pPr>
            <w:r>
              <w:rPr>
                <w:rFonts w:hint="eastAsia"/>
                <w:snapToGrid w:val="0"/>
                <w:color w:val="auto"/>
                <w:sz w:val="24"/>
                <w:szCs w:val="24"/>
              </w:rPr>
              <w:t>（2）施工废水</w:t>
            </w:r>
          </w:p>
          <w:p w14:paraId="6F0DFB09">
            <w:pPr>
              <w:spacing w:line="360" w:lineRule="auto"/>
              <w:ind w:firstLine="480" w:firstLineChars="200"/>
              <w:rPr>
                <w:color w:val="auto"/>
                <w:sz w:val="24"/>
              </w:rPr>
            </w:pPr>
            <w:r>
              <w:rPr>
                <w:rFonts w:hint="eastAsia"/>
                <w:color w:val="auto"/>
                <w:sz w:val="24"/>
              </w:rPr>
              <w:t>施工期间</w:t>
            </w:r>
            <w:r>
              <w:rPr>
                <w:rFonts w:hint="eastAsia"/>
                <w:color w:val="auto"/>
                <w:sz w:val="24"/>
                <w:lang w:eastAsia="zh-CN"/>
              </w:rPr>
              <w:t>，</w:t>
            </w:r>
            <w:r>
              <w:rPr>
                <w:rFonts w:hint="eastAsia"/>
                <w:color w:val="auto"/>
                <w:sz w:val="24"/>
              </w:rPr>
              <w:t>生活污水主要污染物为COD、氨氮等</w:t>
            </w:r>
            <w:r>
              <w:rPr>
                <w:rFonts w:hint="eastAsia"/>
                <w:color w:val="auto"/>
                <w:sz w:val="24"/>
                <w:lang w:eastAsia="zh-CN"/>
              </w:rPr>
              <w:t>，</w:t>
            </w:r>
            <w:r>
              <w:rPr>
                <w:rFonts w:hint="eastAsia"/>
                <w:color w:val="auto"/>
                <w:sz w:val="24"/>
              </w:rPr>
              <w:t>生活污水排入化粪池进行处理</w:t>
            </w:r>
            <w:r>
              <w:rPr>
                <w:rFonts w:hint="eastAsia"/>
                <w:color w:val="auto"/>
                <w:sz w:val="24"/>
                <w:lang w:eastAsia="zh-CN"/>
              </w:rPr>
              <w:t>，</w:t>
            </w:r>
            <w:r>
              <w:rPr>
                <w:rFonts w:hint="eastAsia"/>
                <w:color w:val="auto"/>
                <w:sz w:val="24"/>
              </w:rPr>
              <w:t>定期清掏</w:t>
            </w:r>
            <w:r>
              <w:rPr>
                <w:rFonts w:hint="eastAsia"/>
                <w:color w:val="auto"/>
                <w:sz w:val="24"/>
                <w:lang w:eastAsia="zh-CN"/>
              </w:rPr>
              <w:t>，</w:t>
            </w:r>
            <w:r>
              <w:rPr>
                <w:rFonts w:hint="eastAsia"/>
                <w:color w:val="auto"/>
                <w:sz w:val="24"/>
              </w:rPr>
              <w:t>不外排。</w:t>
            </w:r>
          </w:p>
          <w:p w14:paraId="41356FEF">
            <w:pPr>
              <w:spacing w:line="360" w:lineRule="auto"/>
              <w:ind w:firstLine="480" w:firstLineChars="200"/>
              <w:rPr>
                <w:color w:val="auto"/>
                <w:sz w:val="24"/>
              </w:rPr>
            </w:pPr>
            <w:r>
              <w:rPr>
                <w:rFonts w:hint="eastAsia"/>
                <w:color w:val="auto"/>
                <w:sz w:val="24"/>
              </w:rPr>
              <w:t>因此</w:t>
            </w:r>
            <w:r>
              <w:rPr>
                <w:rFonts w:hint="eastAsia"/>
                <w:color w:val="auto"/>
                <w:sz w:val="24"/>
                <w:lang w:eastAsia="zh-CN"/>
              </w:rPr>
              <w:t>，</w:t>
            </w:r>
            <w:r>
              <w:rPr>
                <w:rFonts w:hint="eastAsia"/>
                <w:color w:val="auto"/>
                <w:sz w:val="24"/>
              </w:rPr>
              <w:t>项目施工期产生的废水不会对项目所在区域的水环境造成不利影响。</w:t>
            </w:r>
          </w:p>
          <w:p w14:paraId="7D703568">
            <w:pPr>
              <w:spacing w:line="360" w:lineRule="auto"/>
              <w:ind w:firstLine="480" w:firstLineChars="200"/>
              <w:rPr>
                <w:color w:val="auto"/>
                <w:sz w:val="24"/>
                <w:szCs w:val="24"/>
              </w:rPr>
            </w:pPr>
            <w:r>
              <w:rPr>
                <w:rFonts w:hint="eastAsia" w:cs="宋体"/>
                <w:color w:val="auto"/>
                <w:sz w:val="24"/>
                <w:szCs w:val="24"/>
              </w:rPr>
              <w:t>（3）施工噪声污染</w:t>
            </w:r>
          </w:p>
          <w:p w14:paraId="03DF3C78">
            <w:pPr>
              <w:adjustRightInd w:val="0"/>
              <w:snapToGrid w:val="0"/>
              <w:spacing w:line="360" w:lineRule="auto"/>
              <w:ind w:firstLine="480" w:firstLineChars="200"/>
              <w:jc w:val="left"/>
              <w:rPr>
                <w:color w:val="auto"/>
              </w:rPr>
            </w:pPr>
            <w:r>
              <w:rPr>
                <w:rFonts w:hint="eastAsia" w:cs="宋体"/>
                <w:color w:val="auto"/>
                <w:sz w:val="24"/>
                <w:szCs w:val="24"/>
              </w:rPr>
              <w:t>施工期噪声源主要为施工机械。根据类比调查可知</w:t>
            </w:r>
            <w:r>
              <w:rPr>
                <w:rFonts w:hint="eastAsia" w:cs="宋体"/>
                <w:color w:val="auto"/>
                <w:sz w:val="24"/>
                <w:szCs w:val="24"/>
                <w:lang w:eastAsia="zh-CN"/>
              </w:rPr>
              <w:t>，</w:t>
            </w:r>
            <w:r>
              <w:rPr>
                <w:rFonts w:hint="eastAsia" w:cs="宋体"/>
                <w:color w:val="auto"/>
                <w:sz w:val="24"/>
                <w:szCs w:val="24"/>
              </w:rPr>
              <w:t>施工期的施工机械主要有推土机、挖掘机、吊车等。经类比调查</w:t>
            </w:r>
            <w:r>
              <w:rPr>
                <w:rFonts w:hint="eastAsia" w:cs="宋体"/>
                <w:color w:val="auto"/>
                <w:sz w:val="24"/>
                <w:szCs w:val="24"/>
                <w:lang w:eastAsia="zh-CN"/>
              </w:rPr>
              <w:t>，</w:t>
            </w:r>
            <w:r>
              <w:rPr>
                <w:rFonts w:hint="eastAsia" w:cs="宋体"/>
                <w:color w:val="auto"/>
                <w:sz w:val="24"/>
                <w:szCs w:val="24"/>
              </w:rPr>
              <w:t>确定本项目施工期的产噪设备噪声级见下表：</w:t>
            </w:r>
          </w:p>
          <w:p w14:paraId="2EEDAD0C">
            <w:pPr>
              <w:adjustRightInd w:val="0"/>
              <w:snapToGrid w:val="0"/>
              <w:spacing w:line="360" w:lineRule="auto"/>
              <w:jc w:val="center"/>
              <w:rPr>
                <w:b/>
                <w:bCs/>
                <w:color w:val="auto"/>
              </w:rPr>
            </w:pPr>
            <w:r>
              <w:rPr>
                <w:rFonts w:hint="eastAsia"/>
                <w:b/>
                <w:bCs/>
                <w:color w:val="auto"/>
              </w:rPr>
              <w:t>表</w:t>
            </w:r>
            <w:r>
              <w:rPr>
                <w:rFonts w:hint="eastAsia"/>
                <w:b/>
                <w:bCs/>
                <w:color w:val="auto"/>
                <w:lang w:val="en-US" w:eastAsia="zh-CN"/>
              </w:rPr>
              <w:t>2-6</w:t>
            </w:r>
            <w:r>
              <w:rPr>
                <w:rFonts w:hint="eastAsia"/>
                <w:b/>
                <w:bCs/>
                <w:color w:val="auto"/>
              </w:rPr>
              <w:t xml:space="preserve">  常用施工设备噪声源不同距离声压级</w:t>
            </w:r>
          </w:p>
          <w:tbl>
            <w:tblPr>
              <w:tblStyle w:val="37"/>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1"/>
              <w:gridCol w:w="2814"/>
              <w:gridCol w:w="2803"/>
            </w:tblGrid>
            <w:tr w14:paraId="05AD4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63" w:type="pct"/>
                  <w:tcBorders>
                    <w:top w:val="single" w:color="auto" w:sz="4" w:space="0"/>
                    <w:left w:val="single" w:color="auto" w:sz="4" w:space="0"/>
                    <w:bottom w:val="single" w:color="auto" w:sz="4" w:space="0"/>
                    <w:right w:val="single" w:color="auto" w:sz="4" w:space="0"/>
                  </w:tcBorders>
                  <w:vAlign w:val="center"/>
                </w:tcPr>
                <w:p w14:paraId="67D0C3C3">
                  <w:pPr>
                    <w:adjustRightInd w:val="0"/>
                    <w:snapToGrid w:val="0"/>
                    <w:jc w:val="center"/>
                    <w:rPr>
                      <w:color w:val="auto"/>
                    </w:rPr>
                  </w:pPr>
                  <w:r>
                    <w:rPr>
                      <w:rFonts w:hint="eastAsia"/>
                      <w:color w:val="auto"/>
                    </w:rPr>
                    <w:t>声源名称</w:t>
                  </w:r>
                </w:p>
              </w:tc>
              <w:tc>
                <w:tcPr>
                  <w:tcW w:w="1671" w:type="pct"/>
                  <w:tcBorders>
                    <w:top w:val="single" w:color="auto" w:sz="4" w:space="0"/>
                    <w:left w:val="single" w:color="auto" w:sz="4" w:space="0"/>
                    <w:bottom w:val="single" w:color="auto" w:sz="4" w:space="0"/>
                    <w:right w:val="single" w:color="auto" w:sz="4" w:space="0"/>
                  </w:tcBorders>
                  <w:vAlign w:val="center"/>
                </w:tcPr>
                <w:p w14:paraId="2E26579E">
                  <w:pPr>
                    <w:adjustRightInd w:val="0"/>
                    <w:snapToGrid w:val="0"/>
                    <w:jc w:val="center"/>
                    <w:rPr>
                      <w:color w:val="auto"/>
                    </w:rPr>
                  </w:pPr>
                  <w:r>
                    <w:rPr>
                      <w:rFonts w:hint="eastAsia"/>
                      <w:color w:val="auto"/>
                    </w:rPr>
                    <w:t>声压级（dB）</w:t>
                  </w:r>
                </w:p>
              </w:tc>
              <w:tc>
                <w:tcPr>
                  <w:tcW w:w="1665" w:type="pct"/>
                  <w:tcBorders>
                    <w:top w:val="single" w:color="auto" w:sz="4" w:space="0"/>
                    <w:left w:val="single" w:color="auto" w:sz="4" w:space="0"/>
                    <w:bottom w:val="single" w:color="auto" w:sz="4" w:space="0"/>
                    <w:right w:val="single" w:color="auto" w:sz="4" w:space="0"/>
                  </w:tcBorders>
                  <w:vAlign w:val="center"/>
                </w:tcPr>
                <w:p w14:paraId="488E734A">
                  <w:pPr>
                    <w:adjustRightInd w:val="0"/>
                    <w:snapToGrid w:val="0"/>
                    <w:jc w:val="center"/>
                    <w:rPr>
                      <w:color w:val="auto"/>
                    </w:rPr>
                  </w:pPr>
                  <w:r>
                    <w:rPr>
                      <w:rFonts w:hint="eastAsia"/>
                      <w:color w:val="auto"/>
                    </w:rPr>
                    <w:t>距离</w:t>
                  </w:r>
                </w:p>
              </w:tc>
            </w:tr>
            <w:tr w14:paraId="7FB3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63" w:type="pct"/>
                  <w:tcBorders>
                    <w:top w:val="single" w:color="auto" w:sz="4" w:space="0"/>
                    <w:left w:val="single" w:color="auto" w:sz="4" w:space="0"/>
                    <w:bottom w:val="single" w:color="auto" w:sz="4" w:space="0"/>
                    <w:right w:val="single" w:color="auto" w:sz="4" w:space="0"/>
                  </w:tcBorders>
                  <w:vAlign w:val="center"/>
                </w:tcPr>
                <w:p w14:paraId="40DC1971">
                  <w:pPr>
                    <w:adjustRightInd w:val="0"/>
                    <w:snapToGrid w:val="0"/>
                    <w:jc w:val="center"/>
                    <w:rPr>
                      <w:color w:val="auto"/>
                    </w:rPr>
                  </w:pPr>
                  <w:r>
                    <w:rPr>
                      <w:rFonts w:hint="eastAsia"/>
                      <w:color w:val="auto"/>
                    </w:rPr>
                    <w:t>液压挖掘机</w:t>
                  </w:r>
                </w:p>
              </w:tc>
              <w:tc>
                <w:tcPr>
                  <w:tcW w:w="1671" w:type="pct"/>
                  <w:tcBorders>
                    <w:top w:val="single" w:color="auto" w:sz="4" w:space="0"/>
                    <w:left w:val="single" w:color="auto" w:sz="4" w:space="0"/>
                    <w:bottom w:val="single" w:color="auto" w:sz="4" w:space="0"/>
                    <w:right w:val="single" w:color="auto" w:sz="4" w:space="0"/>
                  </w:tcBorders>
                  <w:vAlign w:val="center"/>
                </w:tcPr>
                <w:p w14:paraId="55C37746">
                  <w:pPr>
                    <w:adjustRightInd w:val="0"/>
                    <w:snapToGrid w:val="0"/>
                    <w:jc w:val="center"/>
                    <w:rPr>
                      <w:color w:val="auto"/>
                    </w:rPr>
                  </w:pPr>
                  <w:r>
                    <w:rPr>
                      <w:rFonts w:hint="eastAsia"/>
                      <w:color w:val="auto"/>
                    </w:rPr>
                    <w:t>82～90</w:t>
                  </w:r>
                </w:p>
              </w:tc>
              <w:tc>
                <w:tcPr>
                  <w:tcW w:w="1665" w:type="pct"/>
                  <w:tcBorders>
                    <w:top w:val="single" w:color="auto" w:sz="4" w:space="0"/>
                    <w:left w:val="single" w:color="auto" w:sz="4" w:space="0"/>
                    <w:bottom w:val="single" w:color="auto" w:sz="4" w:space="0"/>
                    <w:right w:val="single" w:color="auto" w:sz="4" w:space="0"/>
                  </w:tcBorders>
                  <w:vAlign w:val="center"/>
                </w:tcPr>
                <w:p w14:paraId="6F35A6A3">
                  <w:pPr>
                    <w:adjustRightInd w:val="0"/>
                    <w:snapToGrid w:val="0"/>
                    <w:jc w:val="center"/>
                    <w:rPr>
                      <w:color w:val="auto"/>
                    </w:rPr>
                  </w:pPr>
                  <w:r>
                    <w:rPr>
                      <w:rFonts w:hint="eastAsia"/>
                      <w:color w:val="auto"/>
                    </w:rPr>
                    <w:t>5m</w:t>
                  </w:r>
                </w:p>
              </w:tc>
            </w:tr>
            <w:tr w14:paraId="783F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63" w:type="pct"/>
                  <w:tcBorders>
                    <w:top w:val="single" w:color="auto" w:sz="4" w:space="0"/>
                    <w:left w:val="single" w:color="auto" w:sz="4" w:space="0"/>
                    <w:bottom w:val="single" w:color="auto" w:sz="4" w:space="0"/>
                    <w:right w:val="single" w:color="auto" w:sz="4" w:space="0"/>
                  </w:tcBorders>
                  <w:vAlign w:val="center"/>
                </w:tcPr>
                <w:p w14:paraId="03AEDCC5">
                  <w:pPr>
                    <w:adjustRightInd w:val="0"/>
                    <w:snapToGrid w:val="0"/>
                    <w:jc w:val="center"/>
                    <w:rPr>
                      <w:color w:val="auto"/>
                    </w:rPr>
                  </w:pPr>
                  <w:r>
                    <w:rPr>
                      <w:rFonts w:hint="eastAsia"/>
                      <w:color w:val="auto"/>
                    </w:rPr>
                    <w:t>推土机</w:t>
                  </w:r>
                </w:p>
              </w:tc>
              <w:tc>
                <w:tcPr>
                  <w:tcW w:w="1671" w:type="pct"/>
                  <w:tcBorders>
                    <w:top w:val="single" w:color="auto" w:sz="4" w:space="0"/>
                    <w:left w:val="single" w:color="auto" w:sz="4" w:space="0"/>
                    <w:bottom w:val="single" w:color="auto" w:sz="4" w:space="0"/>
                    <w:right w:val="single" w:color="auto" w:sz="4" w:space="0"/>
                  </w:tcBorders>
                  <w:vAlign w:val="center"/>
                </w:tcPr>
                <w:p w14:paraId="48605AA9">
                  <w:pPr>
                    <w:adjustRightInd w:val="0"/>
                    <w:snapToGrid w:val="0"/>
                    <w:jc w:val="center"/>
                    <w:rPr>
                      <w:color w:val="auto"/>
                    </w:rPr>
                  </w:pPr>
                  <w:r>
                    <w:rPr>
                      <w:rFonts w:hint="eastAsia"/>
                      <w:color w:val="auto"/>
                    </w:rPr>
                    <w:t>83～88</w:t>
                  </w:r>
                </w:p>
              </w:tc>
              <w:tc>
                <w:tcPr>
                  <w:tcW w:w="1665" w:type="pct"/>
                  <w:tcBorders>
                    <w:top w:val="single" w:color="auto" w:sz="4" w:space="0"/>
                    <w:left w:val="single" w:color="auto" w:sz="4" w:space="0"/>
                    <w:bottom w:val="single" w:color="auto" w:sz="4" w:space="0"/>
                    <w:right w:val="single" w:color="auto" w:sz="4" w:space="0"/>
                  </w:tcBorders>
                  <w:vAlign w:val="center"/>
                </w:tcPr>
                <w:p w14:paraId="44F44E78">
                  <w:pPr>
                    <w:adjustRightInd w:val="0"/>
                    <w:snapToGrid w:val="0"/>
                    <w:jc w:val="center"/>
                    <w:rPr>
                      <w:color w:val="auto"/>
                    </w:rPr>
                  </w:pPr>
                  <w:r>
                    <w:rPr>
                      <w:rFonts w:hint="eastAsia"/>
                      <w:color w:val="auto"/>
                    </w:rPr>
                    <w:t>5m</w:t>
                  </w:r>
                </w:p>
              </w:tc>
            </w:tr>
            <w:tr w14:paraId="59A3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63" w:type="pct"/>
                  <w:tcBorders>
                    <w:top w:val="single" w:color="auto" w:sz="4" w:space="0"/>
                    <w:left w:val="single" w:color="auto" w:sz="4" w:space="0"/>
                    <w:bottom w:val="single" w:color="auto" w:sz="4" w:space="0"/>
                    <w:right w:val="single" w:color="auto" w:sz="4" w:space="0"/>
                  </w:tcBorders>
                  <w:vAlign w:val="center"/>
                </w:tcPr>
                <w:p w14:paraId="0540B116">
                  <w:pPr>
                    <w:adjustRightInd w:val="0"/>
                    <w:snapToGrid w:val="0"/>
                    <w:jc w:val="center"/>
                    <w:rPr>
                      <w:color w:val="auto"/>
                    </w:rPr>
                  </w:pPr>
                  <w:r>
                    <w:rPr>
                      <w:rFonts w:hint="eastAsia"/>
                      <w:color w:val="auto"/>
                    </w:rPr>
                    <w:t>重型运输车</w:t>
                  </w:r>
                </w:p>
              </w:tc>
              <w:tc>
                <w:tcPr>
                  <w:tcW w:w="1671" w:type="pct"/>
                  <w:tcBorders>
                    <w:top w:val="single" w:color="auto" w:sz="4" w:space="0"/>
                    <w:left w:val="single" w:color="auto" w:sz="4" w:space="0"/>
                    <w:bottom w:val="single" w:color="auto" w:sz="4" w:space="0"/>
                    <w:right w:val="single" w:color="auto" w:sz="4" w:space="0"/>
                  </w:tcBorders>
                  <w:vAlign w:val="center"/>
                </w:tcPr>
                <w:p w14:paraId="20F27FCC">
                  <w:pPr>
                    <w:adjustRightInd w:val="0"/>
                    <w:snapToGrid w:val="0"/>
                    <w:jc w:val="center"/>
                    <w:rPr>
                      <w:color w:val="auto"/>
                    </w:rPr>
                  </w:pPr>
                  <w:r>
                    <w:rPr>
                      <w:rFonts w:hint="eastAsia"/>
                      <w:color w:val="auto"/>
                    </w:rPr>
                    <w:t>82～90</w:t>
                  </w:r>
                </w:p>
              </w:tc>
              <w:tc>
                <w:tcPr>
                  <w:tcW w:w="1665" w:type="pct"/>
                  <w:tcBorders>
                    <w:top w:val="single" w:color="auto" w:sz="4" w:space="0"/>
                    <w:left w:val="single" w:color="auto" w:sz="4" w:space="0"/>
                    <w:bottom w:val="single" w:color="auto" w:sz="4" w:space="0"/>
                    <w:right w:val="single" w:color="auto" w:sz="4" w:space="0"/>
                  </w:tcBorders>
                  <w:vAlign w:val="center"/>
                </w:tcPr>
                <w:p w14:paraId="44FB05EE">
                  <w:pPr>
                    <w:adjustRightInd w:val="0"/>
                    <w:snapToGrid w:val="0"/>
                    <w:jc w:val="center"/>
                    <w:rPr>
                      <w:color w:val="auto"/>
                    </w:rPr>
                  </w:pPr>
                  <w:r>
                    <w:rPr>
                      <w:rFonts w:hint="eastAsia"/>
                      <w:color w:val="auto"/>
                    </w:rPr>
                    <w:t>5m</w:t>
                  </w:r>
                </w:p>
              </w:tc>
            </w:tr>
            <w:tr w14:paraId="12F0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63" w:type="pct"/>
                  <w:tcBorders>
                    <w:top w:val="single" w:color="auto" w:sz="4" w:space="0"/>
                    <w:left w:val="single" w:color="auto" w:sz="4" w:space="0"/>
                    <w:bottom w:val="single" w:color="auto" w:sz="4" w:space="0"/>
                    <w:right w:val="single" w:color="auto" w:sz="4" w:space="0"/>
                  </w:tcBorders>
                  <w:vAlign w:val="center"/>
                </w:tcPr>
                <w:p w14:paraId="25409276">
                  <w:pPr>
                    <w:adjustRightInd w:val="0"/>
                    <w:snapToGrid w:val="0"/>
                    <w:jc w:val="center"/>
                    <w:rPr>
                      <w:color w:val="auto"/>
                    </w:rPr>
                  </w:pPr>
                  <w:r>
                    <w:rPr>
                      <w:rFonts w:hint="eastAsia"/>
                      <w:color w:val="auto"/>
                    </w:rPr>
                    <w:t>电锤</w:t>
                  </w:r>
                </w:p>
              </w:tc>
              <w:tc>
                <w:tcPr>
                  <w:tcW w:w="1671" w:type="pct"/>
                  <w:tcBorders>
                    <w:top w:val="single" w:color="auto" w:sz="4" w:space="0"/>
                    <w:left w:val="single" w:color="auto" w:sz="4" w:space="0"/>
                    <w:bottom w:val="single" w:color="auto" w:sz="4" w:space="0"/>
                    <w:right w:val="single" w:color="auto" w:sz="4" w:space="0"/>
                  </w:tcBorders>
                  <w:vAlign w:val="center"/>
                </w:tcPr>
                <w:p w14:paraId="1CE32DFC">
                  <w:pPr>
                    <w:adjustRightInd w:val="0"/>
                    <w:snapToGrid w:val="0"/>
                    <w:jc w:val="center"/>
                    <w:rPr>
                      <w:color w:val="auto"/>
                    </w:rPr>
                  </w:pPr>
                  <w:r>
                    <w:rPr>
                      <w:rFonts w:hint="eastAsia"/>
                      <w:color w:val="auto"/>
                    </w:rPr>
                    <w:t>100～105</w:t>
                  </w:r>
                </w:p>
              </w:tc>
              <w:tc>
                <w:tcPr>
                  <w:tcW w:w="1665" w:type="pct"/>
                  <w:tcBorders>
                    <w:top w:val="single" w:color="auto" w:sz="4" w:space="0"/>
                    <w:left w:val="single" w:color="auto" w:sz="4" w:space="0"/>
                    <w:bottom w:val="single" w:color="auto" w:sz="4" w:space="0"/>
                    <w:right w:val="single" w:color="auto" w:sz="4" w:space="0"/>
                  </w:tcBorders>
                  <w:vAlign w:val="center"/>
                </w:tcPr>
                <w:p w14:paraId="5CE6A619">
                  <w:pPr>
                    <w:adjustRightInd w:val="0"/>
                    <w:snapToGrid w:val="0"/>
                    <w:jc w:val="center"/>
                    <w:rPr>
                      <w:color w:val="auto"/>
                    </w:rPr>
                  </w:pPr>
                  <w:r>
                    <w:rPr>
                      <w:rFonts w:hint="eastAsia"/>
                      <w:color w:val="auto"/>
                    </w:rPr>
                    <w:t>5m</w:t>
                  </w:r>
                </w:p>
              </w:tc>
            </w:tr>
            <w:tr w14:paraId="2934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663" w:type="pct"/>
                  <w:tcBorders>
                    <w:top w:val="single" w:color="auto" w:sz="4" w:space="0"/>
                    <w:left w:val="single" w:color="auto" w:sz="4" w:space="0"/>
                    <w:bottom w:val="single" w:color="auto" w:sz="4" w:space="0"/>
                    <w:right w:val="single" w:color="auto" w:sz="4" w:space="0"/>
                  </w:tcBorders>
                  <w:vAlign w:val="center"/>
                </w:tcPr>
                <w:p w14:paraId="5467F6D9">
                  <w:pPr>
                    <w:adjustRightInd w:val="0"/>
                    <w:snapToGrid w:val="0"/>
                    <w:jc w:val="center"/>
                    <w:rPr>
                      <w:color w:val="auto"/>
                    </w:rPr>
                  </w:pPr>
                  <w:r>
                    <w:rPr>
                      <w:rFonts w:hint="eastAsia"/>
                      <w:color w:val="auto"/>
                    </w:rPr>
                    <w:t>空压机</w:t>
                  </w:r>
                </w:p>
              </w:tc>
              <w:tc>
                <w:tcPr>
                  <w:tcW w:w="1671" w:type="pct"/>
                  <w:tcBorders>
                    <w:top w:val="single" w:color="auto" w:sz="4" w:space="0"/>
                    <w:left w:val="single" w:color="auto" w:sz="4" w:space="0"/>
                    <w:bottom w:val="single" w:color="auto" w:sz="4" w:space="0"/>
                    <w:right w:val="single" w:color="auto" w:sz="4" w:space="0"/>
                  </w:tcBorders>
                  <w:vAlign w:val="center"/>
                </w:tcPr>
                <w:p w14:paraId="13DF2B2D">
                  <w:pPr>
                    <w:adjustRightInd w:val="0"/>
                    <w:snapToGrid w:val="0"/>
                    <w:jc w:val="center"/>
                    <w:rPr>
                      <w:color w:val="auto"/>
                    </w:rPr>
                  </w:pPr>
                  <w:r>
                    <w:rPr>
                      <w:rFonts w:hint="eastAsia"/>
                      <w:color w:val="auto"/>
                    </w:rPr>
                    <w:t>88～92</w:t>
                  </w:r>
                </w:p>
              </w:tc>
              <w:tc>
                <w:tcPr>
                  <w:tcW w:w="1665" w:type="pct"/>
                  <w:tcBorders>
                    <w:top w:val="single" w:color="auto" w:sz="4" w:space="0"/>
                    <w:left w:val="single" w:color="auto" w:sz="4" w:space="0"/>
                    <w:bottom w:val="single" w:color="auto" w:sz="4" w:space="0"/>
                    <w:right w:val="single" w:color="auto" w:sz="4" w:space="0"/>
                  </w:tcBorders>
                  <w:vAlign w:val="center"/>
                </w:tcPr>
                <w:p w14:paraId="73861DF7">
                  <w:pPr>
                    <w:adjustRightInd w:val="0"/>
                    <w:snapToGrid w:val="0"/>
                    <w:jc w:val="center"/>
                    <w:rPr>
                      <w:color w:val="auto"/>
                    </w:rPr>
                  </w:pPr>
                  <w:r>
                    <w:rPr>
                      <w:rFonts w:hint="eastAsia"/>
                      <w:color w:val="auto"/>
                    </w:rPr>
                    <w:t>5m</w:t>
                  </w:r>
                </w:p>
              </w:tc>
            </w:tr>
          </w:tbl>
          <w:p w14:paraId="46CC61B2">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color w:val="auto"/>
                <w:sz w:val="24"/>
                <w:szCs w:val="24"/>
              </w:rPr>
            </w:pPr>
            <w:r>
              <w:rPr>
                <w:rFonts w:hint="eastAsia" w:cs="宋体"/>
                <w:color w:val="auto"/>
                <w:sz w:val="24"/>
                <w:szCs w:val="24"/>
              </w:rPr>
              <w:t>以上数据来自《环境噪声与振动控制工程技术导则》（</w:t>
            </w:r>
            <w:r>
              <w:rPr>
                <w:color w:val="auto"/>
                <w:sz w:val="24"/>
                <w:szCs w:val="24"/>
              </w:rPr>
              <w:t>HJ2034-2013</w:t>
            </w:r>
            <w:r>
              <w:rPr>
                <w:rFonts w:hint="eastAsia" w:cs="宋体"/>
                <w:color w:val="auto"/>
                <w:sz w:val="24"/>
                <w:szCs w:val="24"/>
              </w:rPr>
              <w:t>）附录</w:t>
            </w:r>
            <w:r>
              <w:rPr>
                <w:color w:val="auto"/>
                <w:sz w:val="24"/>
                <w:szCs w:val="24"/>
              </w:rPr>
              <w:t>A</w:t>
            </w:r>
            <w:r>
              <w:rPr>
                <w:rFonts w:hint="eastAsia" w:cs="宋体"/>
                <w:color w:val="auto"/>
                <w:sz w:val="24"/>
                <w:szCs w:val="24"/>
              </w:rPr>
              <w:t>。</w:t>
            </w:r>
          </w:p>
          <w:p w14:paraId="336D4932">
            <w:pPr>
              <w:spacing w:line="360" w:lineRule="auto"/>
              <w:ind w:firstLine="480" w:firstLineChars="200"/>
              <w:rPr>
                <w:color w:val="auto"/>
                <w:sz w:val="24"/>
                <w:szCs w:val="24"/>
              </w:rPr>
            </w:pPr>
            <w:r>
              <w:rPr>
                <w:rFonts w:hint="eastAsia" w:cs="宋体"/>
                <w:color w:val="auto"/>
                <w:sz w:val="24"/>
                <w:szCs w:val="24"/>
              </w:rPr>
              <w:t>（4）施工固体废物</w:t>
            </w:r>
          </w:p>
          <w:p w14:paraId="27DA7E76">
            <w:pPr>
              <w:spacing w:line="360" w:lineRule="auto"/>
              <w:ind w:firstLine="480" w:firstLineChars="200"/>
              <w:rPr>
                <w:rFonts w:hint="eastAsia" w:eastAsia="宋体"/>
                <w:color w:val="auto"/>
                <w:lang w:eastAsia="zh-CN"/>
              </w:rPr>
            </w:pPr>
            <w:r>
              <w:rPr>
                <w:rFonts w:ascii="宋体" w:hAnsi="宋体"/>
                <w:color w:val="auto"/>
                <w:sz w:val="24"/>
              </w:rPr>
              <w:t>本项目施工期的固体废物主</w:t>
            </w:r>
            <w:r>
              <w:rPr>
                <w:rFonts w:ascii="宋体" w:hAnsi="宋体" w:eastAsia="宋体" w:cs="Times New Roman"/>
                <w:color w:val="auto"/>
                <w:sz w:val="24"/>
              </w:rPr>
              <w:t>要为</w:t>
            </w:r>
            <w:r>
              <w:rPr>
                <w:rFonts w:hint="eastAsia" w:ascii="宋体" w:hAnsi="宋体" w:eastAsia="宋体" w:cs="Times New Roman"/>
                <w:color w:val="auto"/>
                <w:sz w:val="24"/>
              </w:rPr>
              <w:t>施工渣土、废弃包装材料及施工人员的生活垃圾等</w:t>
            </w:r>
            <w:r>
              <w:rPr>
                <w:rFonts w:ascii="宋体" w:hAnsi="宋体" w:eastAsia="宋体" w:cs="Times New Roman"/>
                <w:color w:val="auto"/>
                <w:sz w:val="24"/>
              </w:rPr>
              <w:t>。</w:t>
            </w:r>
            <w:r>
              <w:rPr>
                <w:rFonts w:hint="eastAsia" w:ascii="宋体" w:hAnsi="宋体" w:eastAsia="宋体" w:cs="Times New Roman"/>
                <w:color w:val="auto"/>
                <w:sz w:val="24"/>
              </w:rPr>
              <w:t>施工渣土</w:t>
            </w:r>
            <w:r>
              <w:rPr>
                <w:rFonts w:hint="eastAsia" w:ascii="宋体" w:hAnsi="宋体" w:eastAsia="宋体" w:cs="Times New Roman"/>
                <w:color w:val="auto"/>
                <w:sz w:val="24"/>
                <w:lang w:eastAsia="zh-CN"/>
              </w:rPr>
              <w:t>及废弃包装材料送至运往城建部门指定地点场所统一处置，</w:t>
            </w:r>
            <w:r>
              <w:rPr>
                <w:rFonts w:hint="eastAsia" w:ascii="宋体" w:hAnsi="宋体"/>
                <w:color w:val="auto"/>
                <w:sz w:val="24"/>
              </w:rPr>
              <w:t>生活垃圾经统一收集后</w:t>
            </w:r>
            <w:r>
              <w:rPr>
                <w:rFonts w:hint="eastAsia" w:ascii="宋体" w:hAnsi="宋体"/>
                <w:color w:val="auto"/>
                <w:sz w:val="24"/>
                <w:lang w:eastAsia="zh-CN"/>
              </w:rPr>
              <w:t>，</w:t>
            </w:r>
            <w:r>
              <w:rPr>
                <w:rFonts w:hint="eastAsia" w:ascii="宋体" w:hAnsi="宋体"/>
                <w:color w:val="auto"/>
                <w:sz w:val="24"/>
              </w:rPr>
              <w:t>委托当地环卫部门及时清运、集中处置。</w:t>
            </w:r>
            <w:r>
              <w:rPr>
                <w:rFonts w:hint="eastAsia" w:ascii="宋体" w:hAnsi="宋体"/>
                <w:bCs/>
                <w:color w:val="auto"/>
                <w:sz w:val="24"/>
              </w:rPr>
              <w:t>施工期的固废均能得到有效处置</w:t>
            </w:r>
            <w:r>
              <w:rPr>
                <w:rFonts w:hint="eastAsia" w:ascii="宋体" w:hAnsi="宋体"/>
                <w:bCs/>
                <w:color w:val="auto"/>
                <w:sz w:val="24"/>
                <w:lang w:eastAsia="zh-CN"/>
              </w:rPr>
              <w:t>，</w:t>
            </w:r>
            <w:r>
              <w:rPr>
                <w:rFonts w:hint="eastAsia" w:ascii="宋体" w:hAnsi="宋体"/>
                <w:bCs/>
                <w:color w:val="auto"/>
                <w:sz w:val="24"/>
              </w:rPr>
              <w:t>不随意外排</w:t>
            </w:r>
            <w:r>
              <w:rPr>
                <w:rFonts w:hint="eastAsia" w:ascii="宋体" w:hAnsi="宋体"/>
                <w:bCs/>
                <w:color w:val="auto"/>
                <w:sz w:val="24"/>
                <w:lang w:eastAsia="zh-CN"/>
              </w:rPr>
              <w:t>，</w:t>
            </w:r>
            <w:r>
              <w:rPr>
                <w:rFonts w:hint="eastAsia" w:ascii="宋体" w:hAnsi="宋体"/>
                <w:bCs/>
                <w:color w:val="auto"/>
                <w:sz w:val="24"/>
              </w:rPr>
              <w:t>不会产生二次污染</w:t>
            </w:r>
            <w:r>
              <w:rPr>
                <w:rFonts w:hint="eastAsia" w:ascii="宋体" w:hAnsi="宋体"/>
                <w:bCs/>
                <w:color w:val="auto"/>
                <w:sz w:val="24"/>
                <w:lang w:eastAsia="zh-CN"/>
              </w:rPr>
              <w:t>，</w:t>
            </w:r>
            <w:r>
              <w:rPr>
                <w:rFonts w:hint="eastAsia" w:ascii="宋体" w:hAnsi="宋体"/>
                <w:bCs/>
                <w:color w:val="auto"/>
                <w:sz w:val="24"/>
              </w:rPr>
              <w:t>对周边环境影响较小</w:t>
            </w:r>
            <w:r>
              <w:rPr>
                <w:rFonts w:hint="eastAsia" w:ascii="宋体" w:hAnsi="宋体"/>
                <w:bCs/>
                <w:color w:val="auto"/>
                <w:sz w:val="24"/>
                <w:lang w:eastAsia="zh-CN"/>
              </w:rPr>
              <w:t>。</w:t>
            </w:r>
          </w:p>
          <w:p w14:paraId="2D947127">
            <w:pPr>
              <w:spacing w:before="240" w:beforeLines="100" w:line="360" w:lineRule="auto"/>
              <w:ind w:left="720" w:leftChars="228" w:hanging="241" w:hangingChars="100"/>
              <w:rPr>
                <w:rFonts w:hint="eastAsia" w:ascii="Times New Roman" w:hAnsi="Times New Roman" w:eastAsia="宋体" w:cs="Times New Roman"/>
                <w:b/>
                <w:color w:val="auto"/>
                <w:kern w:val="0"/>
                <w:sz w:val="24"/>
                <w:szCs w:val="24"/>
                <w:lang w:val="en-US" w:eastAsia="zh-CN" w:bidi="ar-SA"/>
              </w:rPr>
            </w:pPr>
            <w:r>
              <w:rPr>
                <w:rFonts w:hint="eastAsia" w:ascii="Times New Roman" w:hAnsi="Times New Roman" w:eastAsia="宋体" w:cs="Times New Roman"/>
                <w:b/>
                <w:color w:val="auto"/>
                <w:kern w:val="0"/>
                <w:sz w:val="24"/>
                <w:szCs w:val="24"/>
                <w:lang w:val="en-US" w:eastAsia="zh-CN" w:bidi="ar-SA"/>
              </w:rPr>
              <w:t>2、运营期工艺流程和产污环节</w:t>
            </w:r>
          </w:p>
          <w:p w14:paraId="324D1A84">
            <w:pPr>
              <w:pStyle w:val="46"/>
              <w:ind w:firstLine="480" w:firstLineChars="200"/>
              <w:rPr>
                <w:color w:val="auto"/>
              </w:rPr>
            </w:pPr>
            <w:r>
              <w:rPr>
                <w:rFonts w:hint="eastAsia"/>
                <w:b w:val="0"/>
                <w:bCs/>
                <w:color w:val="auto"/>
                <w:lang w:eastAsia="zh-CN"/>
              </w:rPr>
              <w:t>本项目产品主要为煤矸石烧结砖，其</w:t>
            </w:r>
            <w:r>
              <w:rPr>
                <w:rFonts w:hint="eastAsia"/>
                <w:b w:val="0"/>
                <w:bCs/>
                <w:color w:val="auto"/>
              </w:rPr>
              <w:t>生产工艺流程及产污环节见图2-</w:t>
            </w:r>
            <w:r>
              <w:rPr>
                <w:rFonts w:hint="eastAsia"/>
                <w:b w:val="0"/>
                <w:bCs/>
                <w:color w:val="auto"/>
                <w:lang w:val="en-US" w:eastAsia="zh-CN"/>
              </w:rPr>
              <w:t>2：</w:t>
            </w:r>
          </w:p>
          <w:p w14:paraId="19661FAC">
            <w:pPr>
              <w:pStyle w:val="46"/>
              <w:jc w:val="center"/>
              <w:rPr>
                <w:rFonts w:hint="eastAsia" w:eastAsia="宋体"/>
                <w:color w:val="auto"/>
                <w:lang w:eastAsia="zh-CN"/>
              </w:rPr>
            </w:pPr>
          </w:p>
          <w:p w14:paraId="7A63155E">
            <w:pPr>
              <w:pStyle w:val="46"/>
              <w:jc w:val="center"/>
              <w:rPr>
                <w:rFonts w:hint="eastAsia" w:eastAsia="宋体"/>
                <w:color w:val="auto"/>
                <w:lang w:eastAsia="zh-CN"/>
              </w:rPr>
            </w:pP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194310</wp:posOffset>
                      </wp:positionH>
                      <wp:positionV relativeFrom="paragraph">
                        <wp:posOffset>6746875</wp:posOffset>
                      </wp:positionV>
                      <wp:extent cx="754380" cy="738505"/>
                      <wp:effectExtent l="5080" t="4445" r="15240" b="6350"/>
                      <wp:wrapNone/>
                      <wp:docPr id="1" name="文本框 3"/>
                      <wp:cNvGraphicFramePr/>
                      <a:graphic xmlns:a="http://schemas.openxmlformats.org/drawingml/2006/main">
                        <a:graphicData uri="http://schemas.microsoft.com/office/word/2010/wordprocessingShape">
                          <wps:wsp>
                            <wps:cNvSpPr txBox="1"/>
                            <wps:spPr>
                              <a:xfrm>
                                <a:off x="0" y="0"/>
                                <a:ext cx="754380" cy="7385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1E747E">
                                  <w:pPr>
                                    <w:rPr>
                                      <w:rFonts w:hint="eastAsia"/>
                                      <w:color w:val="0000FF"/>
                                      <w:sz w:val="20"/>
                                      <w:szCs w:val="20"/>
                                      <w:lang w:val="en-US" w:eastAsia="zh-CN"/>
                                    </w:rPr>
                                  </w:pPr>
                                  <w:r>
                                    <w:rPr>
                                      <w:rFonts w:hint="eastAsia"/>
                                      <w:color w:val="0000FF"/>
                                      <w:sz w:val="20"/>
                                      <w:szCs w:val="20"/>
                                      <w:lang w:val="en-US" w:eastAsia="zh-CN"/>
                                    </w:rPr>
                                    <w:t>图例：</w:t>
                                  </w:r>
                                </w:p>
                                <w:p w14:paraId="51299462">
                                  <w:pPr>
                                    <w:ind w:firstLine="200" w:firstLineChars="100"/>
                                    <w:rPr>
                                      <w:rFonts w:hint="eastAsia"/>
                                      <w:color w:val="0000FF"/>
                                      <w:sz w:val="20"/>
                                      <w:szCs w:val="20"/>
                                      <w:lang w:val="en-US" w:eastAsia="zh-CN"/>
                                    </w:rPr>
                                  </w:pPr>
                                  <w:r>
                                    <w:rPr>
                                      <w:rFonts w:hint="eastAsia"/>
                                      <w:color w:val="0000FF"/>
                                      <w:sz w:val="20"/>
                                      <w:szCs w:val="20"/>
                                      <w:lang w:val="en-US" w:eastAsia="zh-CN"/>
                                    </w:rPr>
                                    <w:t>G 废气</w:t>
                                  </w:r>
                                </w:p>
                                <w:p w14:paraId="11398D6D">
                                  <w:pPr>
                                    <w:ind w:firstLine="200" w:firstLineChars="100"/>
                                    <w:rPr>
                                      <w:rFonts w:hint="eastAsia"/>
                                      <w:color w:val="0000FF"/>
                                      <w:sz w:val="20"/>
                                      <w:szCs w:val="20"/>
                                      <w:lang w:val="en-US" w:eastAsia="zh-CN"/>
                                    </w:rPr>
                                  </w:pPr>
                                  <w:r>
                                    <w:rPr>
                                      <w:rFonts w:hint="eastAsia"/>
                                      <w:color w:val="0000FF"/>
                                      <w:sz w:val="20"/>
                                      <w:szCs w:val="20"/>
                                      <w:lang w:val="en-US" w:eastAsia="zh-CN"/>
                                    </w:rPr>
                                    <w:t>N 噪声</w:t>
                                  </w:r>
                                </w:p>
                                <w:p w14:paraId="12239AAF">
                                  <w:pPr>
                                    <w:ind w:firstLine="200" w:firstLineChars="100"/>
                                    <w:rPr>
                                      <w:rFonts w:hint="eastAsia"/>
                                      <w:color w:val="0000FF"/>
                                      <w:sz w:val="20"/>
                                      <w:szCs w:val="20"/>
                                      <w:lang w:val="en-US" w:eastAsia="zh-CN"/>
                                    </w:rPr>
                                  </w:pPr>
                                  <w:r>
                                    <w:rPr>
                                      <w:rFonts w:hint="eastAsia"/>
                                      <w:color w:val="0000FF"/>
                                      <w:sz w:val="20"/>
                                      <w:szCs w:val="20"/>
                                      <w:lang w:val="en-US" w:eastAsia="zh-CN"/>
                                    </w:rPr>
                                    <w:t>S 固废</w:t>
                                  </w:r>
                                </w:p>
                                <w:p w14:paraId="0B997BA6">
                                  <w:pPr>
                                    <w:pStyle w:val="6"/>
                                    <w:rPr>
                                      <w:rFonts w:hint="default"/>
                                      <w:lang w:val="en-US" w:eastAsia="zh-CN"/>
                                    </w:rPr>
                                  </w:pPr>
                                </w:p>
                                <w:p w14:paraId="5A91FB6C">
                                  <w:pPr>
                                    <w:rPr>
                                      <w:rFonts w:hint="default" w:eastAsia="宋体"/>
                                      <w:sz w:val="20"/>
                                      <w:szCs w:val="20"/>
                                      <w:lang w:val="en-US" w:eastAsia="zh-CN"/>
                                    </w:rPr>
                                  </w:pPr>
                                </w:p>
                              </w:txbxContent>
                            </wps:txbx>
                            <wps:bodyPr upright="1"/>
                          </wps:wsp>
                        </a:graphicData>
                      </a:graphic>
                    </wp:anchor>
                  </w:drawing>
                </mc:Choice>
                <mc:Fallback>
                  <w:pict>
                    <v:shape id="文本框 3" o:spid="_x0000_s1026" o:spt="202" type="#_x0000_t202" style="position:absolute;left:0pt;margin-left:15.3pt;margin-top:531.25pt;height:58.15pt;width:59.4pt;z-index:251660288;mso-width-relative:page;mso-height-relative:page;" fillcolor="#FFFFFF" filled="t" stroked="t" coordsize="21600,21600" o:gfxdata="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nzc83aAAAADAEAAA8AAAAAAAAAAQAgAAAA&#10;IgAAAGRycy9kb3ducmV2LnhtbFBLAQIUABQAAAAIAIdO4kC4xzgECQIAADUEAAAOAAAAAAAAAAEA&#10;IAAAACkBAABkcnMvZTJvRG9jLnhtbFBLBQYAAAAABgAGAFkBAACkBQAAAAA=&#10;">
                      <v:fill on="t" focussize="0,0"/>
                      <v:stroke color="#000000" joinstyle="miter"/>
                      <v:imagedata o:title=""/>
                      <o:lock v:ext="edit" aspectratio="f"/>
                      <v:textbox>
                        <w:txbxContent>
                          <w:p w14:paraId="731E747E">
                            <w:pPr>
                              <w:rPr>
                                <w:rFonts w:hint="eastAsia"/>
                                <w:color w:val="0000FF"/>
                                <w:sz w:val="20"/>
                                <w:szCs w:val="20"/>
                                <w:lang w:val="en-US" w:eastAsia="zh-CN"/>
                              </w:rPr>
                            </w:pPr>
                            <w:r>
                              <w:rPr>
                                <w:rFonts w:hint="eastAsia"/>
                                <w:color w:val="0000FF"/>
                                <w:sz w:val="20"/>
                                <w:szCs w:val="20"/>
                                <w:lang w:val="en-US" w:eastAsia="zh-CN"/>
                              </w:rPr>
                              <w:t>图例：</w:t>
                            </w:r>
                          </w:p>
                          <w:p w14:paraId="51299462">
                            <w:pPr>
                              <w:ind w:firstLine="200" w:firstLineChars="100"/>
                              <w:rPr>
                                <w:rFonts w:hint="eastAsia"/>
                                <w:color w:val="0000FF"/>
                                <w:sz w:val="20"/>
                                <w:szCs w:val="20"/>
                                <w:lang w:val="en-US" w:eastAsia="zh-CN"/>
                              </w:rPr>
                            </w:pPr>
                            <w:r>
                              <w:rPr>
                                <w:rFonts w:hint="eastAsia"/>
                                <w:color w:val="0000FF"/>
                                <w:sz w:val="20"/>
                                <w:szCs w:val="20"/>
                                <w:lang w:val="en-US" w:eastAsia="zh-CN"/>
                              </w:rPr>
                              <w:t>G 废气</w:t>
                            </w:r>
                          </w:p>
                          <w:p w14:paraId="11398D6D">
                            <w:pPr>
                              <w:ind w:firstLine="200" w:firstLineChars="100"/>
                              <w:rPr>
                                <w:rFonts w:hint="eastAsia"/>
                                <w:color w:val="0000FF"/>
                                <w:sz w:val="20"/>
                                <w:szCs w:val="20"/>
                                <w:lang w:val="en-US" w:eastAsia="zh-CN"/>
                              </w:rPr>
                            </w:pPr>
                            <w:r>
                              <w:rPr>
                                <w:rFonts w:hint="eastAsia"/>
                                <w:color w:val="0000FF"/>
                                <w:sz w:val="20"/>
                                <w:szCs w:val="20"/>
                                <w:lang w:val="en-US" w:eastAsia="zh-CN"/>
                              </w:rPr>
                              <w:t>N 噪声</w:t>
                            </w:r>
                          </w:p>
                          <w:p w14:paraId="12239AAF">
                            <w:pPr>
                              <w:ind w:firstLine="200" w:firstLineChars="100"/>
                              <w:rPr>
                                <w:rFonts w:hint="eastAsia"/>
                                <w:color w:val="0000FF"/>
                                <w:sz w:val="20"/>
                                <w:szCs w:val="20"/>
                                <w:lang w:val="en-US" w:eastAsia="zh-CN"/>
                              </w:rPr>
                            </w:pPr>
                            <w:r>
                              <w:rPr>
                                <w:rFonts w:hint="eastAsia"/>
                                <w:color w:val="0000FF"/>
                                <w:sz w:val="20"/>
                                <w:szCs w:val="20"/>
                                <w:lang w:val="en-US" w:eastAsia="zh-CN"/>
                              </w:rPr>
                              <w:t>S 固废</w:t>
                            </w:r>
                          </w:p>
                          <w:p w14:paraId="0B997BA6">
                            <w:pPr>
                              <w:pStyle w:val="6"/>
                              <w:rPr>
                                <w:rFonts w:hint="default"/>
                                <w:lang w:val="en-US" w:eastAsia="zh-CN"/>
                              </w:rPr>
                            </w:pPr>
                          </w:p>
                          <w:p w14:paraId="5A91FB6C">
                            <w:pPr>
                              <w:rPr>
                                <w:rFonts w:hint="default" w:eastAsia="宋体"/>
                                <w:sz w:val="20"/>
                                <w:szCs w:val="20"/>
                                <w:lang w:val="en-US" w:eastAsia="zh-CN"/>
                              </w:rPr>
                            </w:pPr>
                          </w:p>
                        </w:txbxContent>
                      </v:textbox>
                    </v:shape>
                  </w:pict>
                </mc:Fallback>
              </mc:AlternateContent>
            </w:r>
            <w:r>
              <w:rPr>
                <w:rFonts w:hint="eastAsia" w:eastAsia="宋体"/>
                <w:color w:val="auto"/>
                <w:lang w:eastAsia="zh-CN"/>
              </w:rPr>
              <w:drawing>
                <wp:inline distT="0" distB="0" distL="114300" distR="114300">
                  <wp:extent cx="3686175" cy="7386320"/>
                  <wp:effectExtent l="0" t="0" r="9525" b="5080"/>
                  <wp:docPr id="5" name="图片 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2"/>
                          <pic:cNvPicPr>
                            <a:picLocks noChangeAspect="1"/>
                          </pic:cNvPicPr>
                        </pic:nvPicPr>
                        <pic:blipFill>
                          <a:blip r:embed="rId12"/>
                          <a:srcRect b="6795"/>
                          <a:stretch>
                            <a:fillRect/>
                          </a:stretch>
                        </pic:blipFill>
                        <pic:spPr>
                          <a:xfrm>
                            <a:off x="0" y="0"/>
                            <a:ext cx="3686175" cy="7386320"/>
                          </a:xfrm>
                          <a:prstGeom prst="rect">
                            <a:avLst/>
                          </a:prstGeom>
                          <a:noFill/>
                          <a:ln>
                            <a:noFill/>
                          </a:ln>
                        </pic:spPr>
                      </pic:pic>
                    </a:graphicData>
                  </a:graphic>
                </wp:inline>
              </w:drawing>
            </w:r>
          </w:p>
          <w:p w14:paraId="0810E891">
            <w:pPr>
              <w:adjustRightInd w:val="0"/>
              <w:snapToGrid w:val="0"/>
              <w:spacing w:before="120" w:beforeLines="50" w:line="360" w:lineRule="auto"/>
              <w:jc w:val="center"/>
              <w:rPr>
                <w:color w:val="auto"/>
              </w:rPr>
            </w:pPr>
            <w:r>
              <w:rPr>
                <w:rFonts w:hint="eastAsia"/>
                <w:color w:val="auto"/>
              </w:rPr>
              <w:t>图</w:t>
            </w:r>
            <w:r>
              <w:rPr>
                <w:color w:val="auto"/>
              </w:rPr>
              <w:t>2-</w:t>
            </w:r>
            <w:r>
              <w:rPr>
                <w:rFonts w:hint="eastAsia"/>
                <w:color w:val="auto"/>
              </w:rPr>
              <w:t>2</w:t>
            </w:r>
            <w:r>
              <w:rPr>
                <w:color w:val="auto"/>
              </w:rPr>
              <w:t xml:space="preserve">  </w:t>
            </w:r>
            <w:r>
              <w:rPr>
                <w:rFonts w:hint="eastAsia"/>
                <w:color w:val="auto"/>
                <w:lang w:eastAsia="zh-CN"/>
              </w:rPr>
              <w:t>煤矸石烧结砖</w:t>
            </w:r>
            <w:r>
              <w:rPr>
                <w:rFonts w:hint="eastAsia"/>
                <w:color w:val="auto"/>
              </w:rPr>
              <w:t>生产工艺和产污环节图</w:t>
            </w:r>
          </w:p>
          <w:p w14:paraId="7AADB3E3">
            <w:pPr>
              <w:spacing w:line="360" w:lineRule="auto"/>
              <w:ind w:firstLine="480" w:firstLineChars="200"/>
              <w:rPr>
                <w:color w:val="auto"/>
                <w:kern w:val="0"/>
                <w:sz w:val="24"/>
                <w:szCs w:val="24"/>
              </w:rPr>
            </w:pPr>
            <w:r>
              <w:rPr>
                <w:rFonts w:hint="eastAsia"/>
                <w:color w:val="auto"/>
                <w:kern w:val="0"/>
                <w:sz w:val="24"/>
                <w:szCs w:val="24"/>
              </w:rPr>
              <w:t>生产工艺说明：</w:t>
            </w:r>
          </w:p>
          <w:p w14:paraId="52E151F0">
            <w:pPr>
              <w:spacing w:line="500" w:lineRule="exact"/>
              <w:ind w:firstLine="527"/>
              <w:rPr>
                <w:color w:val="auto"/>
                <w:sz w:val="24"/>
              </w:rPr>
            </w:pPr>
            <w:r>
              <w:rPr>
                <w:rFonts w:hint="eastAsia"/>
                <w:color w:val="auto"/>
                <w:kern w:val="0"/>
                <w:sz w:val="24"/>
                <w:szCs w:val="24"/>
                <w:lang w:val="en-US" w:eastAsia="zh-CN"/>
              </w:rPr>
              <w:t>1、</w:t>
            </w:r>
            <w:r>
              <w:rPr>
                <w:rFonts w:hint="eastAsia"/>
                <w:color w:val="auto"/>
                <w:sz w:val="24"/>
              </w:rPr>
              <w:t>破碎</w:t>
            </w:r>
            <w:r>
              <w:rPr>
                <w:rFonts w:hint="eastAsia"/>
                <w:color w:val="auto"/>
                <w:sz w:val="24"/>
                <w:lang w:eastAsia="zh-CN"/>
              </w:rPr>
              <w:t>、筛分</w:t>
            </w:r>
            <w:r>
              <w:rPr>
                <w:rFonts w:hint="eastAsia"/>
                <w:color w:val="auto"/>
                <w:sz w:val="24"/>
              </w:rPr>
              <w:t>工艺</w:t>
            </w:r>
          </w:p>
          <w:p w14:paraId="3618B001">
            <w:pPr>
              <w:spacing w:line="500" w:lineRule="exact"/>
              <w:ind w:firstLine="527"/>
              <w:rPr>
                <w:rFonts w:hint="eastAsia"/>
                <w:color w:val="auto"/>
                <w:sz w:val="24"/>
                <w:lang w:val="en-US" w:eastAsia="zh-CN"/>
              </w:rPr>
            </w:pPr>
            <w:r>
              <w:rPr>
                <w:rFonts w:hint="eastAsia"/>
                <w:color w:val="auto"/>
                <w:sz w:val="24"/>
                <w:lang w:eastAsia="zh-CN"/>
              </w:rPr>
              <w:t>本项目原料主要为煤矸石，外购的煤矸石由汽车运送至厂内物料库中堆放，堆放过程中会产生部分粉尘。将</w:t>
            </w:r>
            <w:r>
              <w:rPr>
                <w:rFonts w:hint="eastAsia"/>
                <w:color w:val="auto"/>
                <w:sz w:val="24"/>
              </w:rPr>
              <w:t>煤矸石由铲车送</w:t>
            </w:r>
            <w:r>
              <w:rPr>
                <w:rFonts w:hint="eastAsia"/>
                <w:color w:val="auto"/>
                <w:sz w:val="24"/>
                <w:lang w:eastAsia="zh-CN"/>
              </w:rPr>
              <w:t>至</w:t>
            </w:r>
            <w:r>
              <w:rPr>
                <w:rFonts w:hint="eastAsia"/>
                <w:color w:val="auto"/>
                <w:sz w:val="24"/>
              </w:rPr>
              <w:t>供料机，由给料机给料后通过皮带运输机将物料煤矸石送入</w:t>
            </w:r>
            <w:r>
              <w:rPr>
                <w:rFonts w:hint="eastAsia"/>
                <w:color w:val="auto"/>
                <w:sz w:val="24"/>
                <w:lang w:eastAsia="zh-CN"/>
              </w:rPr>
              <w:t>煤矸石粉碎机</w:t>
            </w:r>
            <w:r>
              <w:rPr>
                <w:rFonts w:hint="eastAsia"/>
                <w:color w:val="auto"/>
                <w:sz w:val="24"/>
              </w:rPr>
              <w:t>进行破碎</w:t>
            </w:r>
            <w:r>
              <w:rPr>
                <w:rFonts w:hint="eastAsia"/>
                <w:color w:val="auto"/>
                <w:sz w:val="24"/>
                <w:lang w:eastAsia="zh-CN"/>
              </w:rPr>
              <w:t>。破碎后的物料经筛分机进行筛分，筛分规格应低于</w:t>
            </w:r>
            <w:r>
              <w:rPr>
                <w:rFonts w:hint="eastAsia"/>
                <w:color w:val="auto"/>
                <w:sz w:val="24"/>
                <w:lang w:val="en-US" w:eastAsia="zh-CN"/>
              </w:rPr>
              <w:t>2.5mm，</w:t>
            </w:r>
            <w:r>
              <w:rPr>
                <w:rFonts w:hint="eastAsia"/>
                <w:color w:val="auto"/>
                <w:sz w:val="24"/>
                <w:lang w:eastAsia="zh-CN"/>
              </w:rPr>
              <w:t>大于</w:t>
            </w:r>
            <w:r>
              <w:rPr>
                <w:rFonts w:hint="eastAsia"/>
                <w:color w:val="auto"/>
                <w:sz w:val="24"/>
                <w:lang w:val="en-US" w:eastAsia="zh-CN"/>
              </w:rPr>
              <w:t>2.5mm的筛上物应进行再次破碎。</w:t>
            </w:r>
            <w:r>
              <w:rPr>
                <w:rFonts w:hint="eastAsia"/>
                <w:color w:val="auto"/>
                <w:sz w:val="24"/>
                <w:lang w:val="en-US" w:eastAsia="zh-CN"/>
              </w:rPr>
              <w:br w:type="textWrapping"/>
            </w:r>
            <w:r>
              <w:rPr>
                <w:rFonts w:hint="eastAsia"/>
                <w:color w:val="auto"/>
                <w:sz w:val="24"/>
                <w:lang w:val="en-US" w:eastAsia="zh-CN"/>
              </w:rPr>
              <w:t xml:space="preserve">    此工序会产生堆场扬尘（G1）、输送、上料粉尘（G1）、破碎粉尘（G1）、筛分粉尘（G1）、除尘器收集的粉尘（S3）及噪声（N）。</w:t>
            </w:r>
          </w:p>
          <w:p w14:paraId="791D14D0">
            <w:pPr>
              <w:numPr>
                <w:ilvl w:val="0"/>
                <w:numId w:val="0"/>
              </w:numPr>
              <w:spacing w:line="500" w:lineRule="exact"/>
              <w:ind w:firstLine="480" w:firstLineChars="200"/>
              <w:rPr>
                <w:color w:val="auto"/>
                <w:sz w:val="24"/>
              </w:rPr>
            </w:pPr>
            <w:r>
              <w:rPr>
                <w:rFonts w:hint="eastAsia"/>
                <w:color w:val="auto"/>
                <w:sz w:val="24"/>
                <w:lang w:val="en-US" w:eastAsia="zh-CN"/>
              </w:rPr>
              <w:t>2、搅拌</w:t>
            </w:r>
          </w:p>
          <w:p w14:paraId="39FCADF9">
            <w:pPr>
              <w:numPr>
                <w:ilvl w:val="0"/>
                <w:numId w:val="0"/>
              </w:numPr>
              <w:spacing w:line="500" w:lineRule="exact"/>
              <w:ind w:left="479" w:leftChars="228" w:firstLine="0" w:firstLineChars="0"/>
              <w:rPr>
                <w:rFonts w:hint="eastAsia"/>
                <w:color w:val="auto"/>
                <w:sz w:val="24"/>
                <w:lang w:eastAsia="zh-CN"/>
              </w:rPr>
            </w:pPr>
            <w:r>
              <w:rPr>
                <w:rFonts w:hint="eastAsia"/>
                <w:color w:val="auto"/>
                <w:sz w:val="24"/>
              </w:rPr>
              <w:t>经破碎</w:t>
            </w:r>
            <w:r>
              <w:rPr>
                <w:rFonts w:hint="eastAsia"/>
                <w:color w:val="auto"/>
                <w:sz w:val="24"/>
                <w:lang w:eastAsia="zh-CN"/>
              </w:rPr>
              <w:t>筛分合格</w:t>
            </w:r>
            <w:r>
              <w:rPr>
                <w:rFonts w:hint="eastAsia"/>
                <w:color w:val="auto"/>
                <w:sz w:val="24"/>
              </w:rPr>
              <w:t>后的煤矸石</w:t>
            </w:r>
            <w:r>
              <w:rPr>
                <w:rFonts w:hint="eastAsia"/>
                <w:color w:val="auto"/>
                <w:sz w:val="24"/>
                <w:lang w:eastAsia="zh-CN"/>
              </w:rPr>
              <w:t>、建筑弃土、污泥</w:t>
            </w:r>
            <w:r>
              <w:rPr>
                <w:rFonts w:hint="eastAsia"/>
                <w:color w:val="auto"/>
                <w:sz w:val="24"/>
              </w:rPr>
              <w:t>送入搅拌机加水混合</w:t>
            </w:r>
            <w:r>
              <w:rPr>
                <w:rFonts w:hint="eastAsia"/>
                <w:color w:val="auto"/>
                <w:sz w:val="24"/>
                <w:lang w:eastAsia="zh-CN"/>
              </w:rPr>
              <w:t>搅拌。</w:t>
            </w:r>
            <w:r>
              <w:rPr>
                <w:rFonts w:hint="eastAsia"/>
                <w:color w:val="auto"/>
                <w:sz w:val="24"/>
                <w:lang w:eastAsia="zh-CN"/>
              </w:rPr>
              <w:br w:type="textWrapping"/>
            </w:r>
            <w:r>
              <w:rPr>
                <w:rFonts w:hint="eastAsia"/>
                <w:color w:val="auto"/>
                <w:sz w:val="24"/>
                <w:lang w:val="en-US" w:eastAsia="zh-CN"/>
              </w:rPr>
              <w:t>此工序会产生噪声（N）。</w:t>
            </w:r>
          </w:p>
          <w:p w14:paraId="13BF624D">
            <w:pPr>
              <w:spacing w:line="500" w:lineRule="exact"/>
              <w:ind w:firstLine="527"/>
              <w:rPr>
                <w:bCs/>
                <w:color w:val="auto"/>
                <w:sz w:val="24"/>
              </w:rPr>
            </w:pPr>
            <w:r>
              <w:rPr>
                <w:rFonts w:hint="eastAsia"/>
                <w:color w:val="auto"/>
                <w:sz w:val="24"/>
                <w:lang w:val="en-US" w:eastAsia="zh-CN"/>
              </w:rPr>
              <w:t>3、</w:t>
            </w:r>
            <w:r>
              <w:rPr>
                <w:rFonts w:hint="eastAsia"/>
                <w:color w:val="auto"/>
                <w:sz w:val="24"/>
              </w:rPr>
              <w:t>陈</w:t>
            </w:r>
            <w:r>
              <w:rPr>
                <w:rFonts w:hint="eastAsia"/>
                <w:bCs/>
                <w:color w:val="auto"/>
                <w:sz w:val="24"/>
              </w:rPr>
              <w:t>化</w:t>
            </w:r>
          </w:p>
          <w:p w14:paraId="2F539CC7">
            <w:pPr>
              <w:spacing w:line="500" w:lineRule="exact"/>
              <w:ind w:firstLine="527"/>
              <w:rPr>
                <w:rFonts w:hint="eastAsia"/>
                <w:bCs/>
                <w:color w:val="auto"/>
                <w:sz w:val="24"/>
                <w:lang w:eastAsia="zh-CN"/>
              </w:rPr>
            </w:pPr>
            <w:r>
              <w:rPr>
                <w:rFonts w:hint="eastAsia"/>
                <w:bCs/>
                <w:color w:val="auto"/>
                <w:sz w:val="24"/>
              </w:rPr>
              <w:t>经充分搅拌后物料经输送带送入陈化库</w:t>
            </w:r>
            <w:r>
              <w:rPr>
                <w:rFonts w:hint="eastAsia"/>
                <w:bCs/>
                <w:color w:val="auto"/>
                <w:sz w:val="24"/>
                <w:lang w:eastAsia="zh-CN"/>
              </w:rPr>
              <w:t>，</w:t>
            </w:r>
            <w:r>
              <w:rPr>
                <w:rFonts w:hint="eastAsia"/>
                <w:bCs/>
                <w:color w:val="auto"/>
                <w:sz w:val="24"/>
              </w:rPr>
              <w:t>陈化的主要作用是使物料充分混合均匀、均化水分，使一些硅酸盐矿物与水分接触水解成为胶结物质，从而提高原料的塑性；还可以发生一些氧化还原反应使原料松软均匀，进一步增加塑性、提高流动性和粘结性，为坯体成型做好充分的准备。陈化时间为72小时以上</w:t>
            </w:r>
            <w:r>
              <w:rPr>
                <w:rFonts w:hint="eastAsia"/>
                <w:bCs/>
                <w:color w:val="auto"/>
                <w:sz w:val="24"/>
                <w:lang w:eastAsia="zh-CN"/>
              </w:rPr>
              <w:t>。</w:t>
            </w:r>
          </w:p>
          <w:p w14:paraId="5C148899">
            <w:pPr>
              <w:numPr>
                <w:ilvl w:val="0"/>
                <w:numId w:val="0"/>
              </w:numPr>
              <w:spacing w:line="500" w:lineRule="exact"/>
              <w:ind w:leftChars="228"/>
              <w:rPr>
                <w:rFonts w:hint="eastAsia"/>
                <w:color w:val="auto"/>
                <w:sz w:val="24"/>
                <w:lang w:eastAsia="zh-CN"/>
              </w:rPr>
            </w:pPr>
            <w:r>
              <w:rPr>
                <w:rFonts w:hint="eastAsia" w:cs="Times New Roman"/>
                <w:bCs/>
                <w:color w:val="auto"/>
                <w:sz w:val="24"/>
                <w:lang w:val="en-US" w:eastAsia="zh-CN"/>
              </w:rPr>
              <w:t>4</w:t>
            </w:r>
            <w:r>
              <w:rPr>
                <w:rFonts w:hint="eastAsia" w:ascii="Times New Roman" w:hAnsi="Times New Roman" w:eastAsia="宋体" w:cs="Times New Roman"/>
                <w:bCs/>
                <w:color w:val="auto"/>
                <w:sz w:val="24"/>
                <w:lang w:val="en-US" w:eastAsia="zh-CN"/>
              </w:rPr>
              <w:t>、搅拌</w:t>
            </w:r>
            <w:r>
              <w:rPr>
                <w:rFonts w:hint="eastAsia" w:ascii="Times New Roman" w:hAnsi="Times New Roman" w:eastAsia="宋体" w:cs="Times New Roman"/>
                <w:bCs/>
                <w:color w:val="auto"/>
                <w:sz w:val="24"/>
                <w:lang w:val="en-US" w:eastAsia="zh-CN"/>
              </w:rPr>
              <w:br w:type="textWrapping"/>
            </w:r>
            <w:r>
              <w:rPr>
                <w:rFonts w:hint="eastAsia" w:cs="Times New Roman"/>
                <w:bCs/>
                <w:color w:val="auto"/>
                <w:sz w:val="24"/>
                <w:lang w:val="en-US" w:eastAsia="zh-CN"/>
              </w:rPr>
              <w:t>陈</w:t>
            </w:r>
            <w:r>
              <w:rPr>
                <w:rFonts w:hint="eastAsia"/>
                <w:bCs/>
                <w:color w:val="auto"/>
                <w:sz w:val="24"/>
              </w:rPr>
              <w:t>化</w:t>
            </w:r>
            <w:r>
              <w:rPr>
                <w:rFonts w:hint="eastAsia" w:cs="Times New Roman"/>
                <w:bCs/>
                <w:color w:val="auto"/>
                <w:sz w:val="24"/>
                <w:lang w:val="en-US" w:eastAsia="zh-CN"/>
              </w:rPr>
              <w:t>后的物料</w:t>
            </w:r>
            <w:r>
              <w:rPr>
                <w:rFonts w:hint="eastAsia" w:ascii="Times New Roman" w:hAnsi="Times New Roman" w:eastAsia="宋体" w:cs="Times New Roman"/>
                <w:bCs/>
                <w:color w:val="auto"/>
                <w:sz w:val="24"/>
                <w:lang w:val="en-US" w:eastAsia="zh-CN"/>
              </w:rPr>
              <w:t>进行再次</w:t>
            </w:r>
            <w:r>
              <w:rPr>
                <w:rFonts w:hint="eastAsia"/>
                <w:color w:val="auto"/>
                <w:sz w:val="24"/>
              </w:rPr>
              <w:t>送入搅拌机加水混合</w:t>
            </w:r>
            <w:r>
              <w:rPr>
                <w:rFonts w:hint="eastAsia"/>
                <w:color w:val="auto"/>
                <w:sz w:val="24"/>
                <w:lang w:eastAsia="zh-CN"/>
              </w:rPr>
              <w:t>搅拌。</w:t>
            </w:r>
          </w:p>
          <w:p w14:paraId="3E467510">
            <w:pPr>
              <w:numPr>
                <w:ilvl w:val="0"/>
                <w:numId w:val="0"/>
              </w:numPr>
              <w:spacing w:line="500" w:lineRule="exact"/>
              <w:ind w:leftChars="228"/>
              <w:rPr>
                <w:rFonts w:hint="default" w:ascii="Times New Roman" w:hAnsi="Times New Roman" w:eastAsia="宋体" w:cs="Times New Roman"/>
                <w:bCs/>
                <w:color w:val="auto"/>
                <w:sz w:val="24"/>
                <w:lang w:val="en-US" w:eastAsia="zh-CN"/>
              </w:rPr>
            </w:pPr>
            <w:r>
              <w:rPr>
                <w:rFonts w:hint="eastAsia"/>
                <w:color w:val="auto"/>
                <w:sz w:val="24"/>
                <w:lang w:val="en-US" w:eastAsia="zh-CN"/>
              </w:rPr>
              <w:t>此工序会产生噪声（N）。</w:t>
            </w:r>
          </w:p>
          <w:p w14:paraId="07377BEC">
            <w:pPr>
              <w:numPr>
                <w:ilvl w:val="0"/>
                <w:numId w:val="0"/>
              </w:numPr>
              <w:spacing w:line="500" w:lineRule="exact"/>
              <w:ind w:firstLine="480" w:firstLineChars="200"/>
              <w:rPr>
                <w:color w:val="auto"/>
                <w:sz w:val="24"/>
              </w:rPr>
            </w:pPr>
            <w:r>
              <w:rPr>
                <w:rFonts w:hint="eastAsia" w:cs="Times New Roman"/>
                <w:bCs/>
                <w:color w:val="auto"/>
                <w:sz w:val="24"/>
                <w:lang w:val="en-US" w:eastAsia="zh-CN"/>
              </w:rPr>
              <w:t>5</w:t>
            </w:r>
            <w:r>
              <w:rPr>
                <w:rFonts w:hint="eastAsia" w:ascii="Times New Roman" w:hAnsi="Times New Roman" w:eastAsia="宋体" w:cs="Times New Roman"/>
                <w:bCs/>
                <w:color w:val="auto"/>
                <w:sz w:val="24"/>
                <w:lang w:val="en-US" w:eastAsia="zh-CN"/>
              </w:rPr>
              <w:t>、</w:t>
            </w:r>
            <w:r>
              <w:rPr>
                <w:rFonts w:hint="eastAsia" w:ascii="Times New Roman" w:hAnsi="Times New Roman" w:eastAsia="宋体" w:cs="Times New Roman"/>
                <w:bCs/>
                <w:color w:val="auto"/>
                <w:sz w:val="24"/>
              </w:rPr>
              <w:t>挤</w:t>
            </w:r>
            <w:r>
              <w:rPr>
                <w:rFonts w:hint="eastAsia"/>
                <w:color w:val="auto"/>
                <w:sz w:val="24"/>
              </w:rPr>
              <w:t>出</w:t>
            </w:r>
            <w:r>
              <w:rPr>
                <w:rFonts w:hint="eastAsia"/>
                <w:color w:val="auto"/>
                <w:sz w:val="24"/>
                <w:lang w:eastAsia="zh-CN"/>
              </w:rPr>
              <w:t>、</w:t>
            </w:r>
            <w:r>
              <w:rPr>
                <w:rFonts w:hint="eastAsia"/>
                <w:color w:val="auto"/>
                <w:sz w:val="24"/>
              </w:rPr>
              <w:t>切条切坯</w:t>
            </w:r>
          </w:p>
          <w:p w14:paraId="486905F1">
            <w:pPr>
              <w:numPr>
                <w:ilvl w:val="0"/>
                <w:numId w:val="0"/>
              </w:numPr>
              <w:spacing w:line="500" w:lineRule="exact"/>
              <w:ind w:firstLine="480" w:firstLineChars="200"/>
              <w:rPr>
                <w:rFonts w:hint="eastAsia"/>
                <w:color w:val="auto"/>
                <w:sz w:val="24"/>
              </w:rPr>
            </w:pPr>
            <w:r>
              <w:rPr>
                <w:rFonts w:hint="eastAsia"/>
                <w:color w:val="auto"/>
                <w:sz w:val="24"/>
              </w:rPr>
              <w:t>经过加水搅拌后的原料送入真空挤砖机挤出成型后的泥条经表面处理后经切坯切条机切割成所要求尺寸的砖坯</w:t>
            </w:r>
            <w:r>
              <w:rPr>
                <w:rFonts w:hint="eastAsia"/>
                <w:color w:val="auto"/>
                <w:sz w:val="24"/>
                <w:lang w:eastAsia="zh-CN"/>
              </w:rPr>
              <w:t>，经翻坯、编组后码上窑车</w:t>
            </w:r>
            <w:r>
              <w:rPr>
                <w:rFonts w:hint="eastAsia"/>
                <w:color w:val="auto"/>
                <w:sz w:val="24"/>
              </w:rPr>
              <w:t>。</w:t>
            </w:r>
            <w:r>
              <w:rPr>
                <w:rFonts w:hint="eastAsia"/>
                <w:color w:val="auto"/>
                <w:sz w:val="24"/>
                <w:lang w:val="en-US" w:eastAsia="zh-CN"/>
              </w:rPr>
              <w:t>不合格产品回用于搅拌原料重新挤坯。</w:t>
            </w:r>
          </w:p>
          <w:p w14:paraId="118C9D4A">
            <w:pPr>
              <w:numPr>
                <w:ilvl w:val="0"/>
                <w:numId w:val="0"/>
              </w:numPr>
              <w:spacing w:line="500" w:lineRule="exact"/>
              <w:ind w:leftChars="228"/>
              <w:rPr>
                <w:rFonts w:hint="default" w:ascii="Times New Roman" w:hAnsi="Times New Roman" w:eastAsia="宋体" w:cs="Times New Roman"/>
                <w:bCs/>
                <w:color w:val="auto"/>
                <w:sz w:val="24"/>
                <w:lang w:val="en-US" w:eastAsia="zh-CN"/>
              </w:rPr>
            </w:pPr>
            <w:r>
              <w:rPr>
                <w:rFonts w:hint="eastAsia"/>
                <w:color w:val="auto"/>
                <w:sz w:val="24"/>
                <w:lang w:val="en-US" w:eastAsia="zh-CN"/>
              </w:rPr>
              <w:t>此工序会产生废边角料（S1）、噪声（N）。</w:t>
            </w:r>
          </w:p>
          <w:p w14:paraId="0EAA17D4">
            <w:pPr>
              <w:spacing w:line="500" w:lineRule="exact"/>
              <w:ind w:firstLine="527"/>
              <w:rPr>
                <w:color w:val="auto"/>
                <w:sz w:val="24"/>
              </w:rPr>
            </w:pPr>
            <w:r>
              <w:rPr>
                <w:rFonts w:hint="eastAsia"/>
                <w:color w:val="auto"/>
                <w:sz w:val="24"/>
                <w:lang w:val="en-US" w:eastAsia="zh-CN"/>
              </w:rPr>
              <w:t>6、烘干、</w:t>
            </w:r>
            <w:r>
              <w:rPr>
                <w:rFonts w:hint="eastAsia"/>
                <w:color w:val="auto"/>
                <w:sz w:val="24"/>
              </w:rPr>
              <w:t>焙烧</w:t>
            </w:r>
          </w:p>
          <w:p w14:paraId="0FEE6983">
            <w:pPr>
              <w:spacing w:line="500" w:lineRule="exact"/>
              <w:ind w:firstLine="527"/>
              <w:rPr>
                <w:rFonts w:hint="default" w:eastAsia="宋体"/>
                <w:color w:val="auto"/>
                <w:lang w:val="en-US" w:eastAsia="zh-CN"/>
              </w:rPr>
            </w:pPr>
            <w:r>
              <w:rPr>
                <w:rFonts w:hint="eastAsia"/>
                <w:color w:val="auto"/>
                <w:sz w:val="24"/>
                <w:lang w:eastAsia="zh-CN"/>
              </w:rPr>
              <w:t>砖坯烘干</w:t>
            </w:r>
            <w:r>
              <w:rPr>
                <w:rFonts w:hint="eastAsia"/>
                <w:color w:val="auto"/>
                <w:sz w:val="24"/>
              </w:rPr>
              <w:t>干燥热源利用隧道窑焙烧的余热。通过调节系统自动调节送风温度及风量大小，确保砖坯干燥质量。窑体结构设计成平吊顶结构，采用内燃焙烧砖工艺，热源来自砖坯内燃料。煤矸石烧结砖，需点火引燃，</w:t>
            </w:r>
            <w:r>
              <w:rPr>
                <w:rFonts w:hint="eastAsia"/>
                <w:color w:val="auto"/>
                <w:sz w:val="24"/>
                <w:lang w:eastAsia="zh-CN"/>
              </w:rPr>
              <w:t>点火使用生物质燃料</w:t>
            </w:r>
            <w:r>
              <w:rPr>
                <w:rFonts w:hint="eastAsia"/>
                <w:color w:val="auto"/>
                <w:sz w:val="24"/>
              </w:rPr>
              <w:t>进行点燃，使窑内温度达到 950～1000℃，砖坯烘干后，依靠煤矸石自身的能量进行自燃。由煤矸石所含热量来满足烧砖工艺要求。</w:t>
            </w:r>
            <w:r>
              <w:rPr>
                <w:rFonts w:hint="eastAsia"/>
                <w:color w:val="auto"/>
                <w:sz w:val="24"/>
              </w:rPr>
              <w:br w:type="textWrapping"/>
            </w:r>
            <w:r>
              <w:rPr>
                <w:rFonts w:hint="eastAsia"/>
                <w:color w:val="auto"/>
                <w:sz w:val="24"/>
                <w:lang w:val="en-US" w:eastAsia="zh-CN"/>
              </w:rPr>
              <w:t xml:space="preserve">    此工序会产生焙烧废气</w:t>
            </w:r>
            <w:r>
              <w:rPr>
                <w:rFonts w:hint="eastAsia"/>
                <w:color w:val="auto"/>
                <w:sz w:val="24"/>
                <w:highlight w:val="none"/>
                <w:lang w:val="en-US" w:eastAsia="zh-CN"/>
              </w:rPr>
              <w:t>（G1颗粒物、G4二氧化硫、G5氮氧化物、G6氟化物、G7重金属）及脱硫脱硝废渣（S4）</w:t>
            </w:r>
            <w:r>
              <w:rPr>
                <w:rFonts w:hint="eastAsia"/>
                <w:color w:val="auto"/>
                <w:sz w:val="24"/>
                <w:lang w:val="en-US" w:eastAsia="zh-CN"/>
              </w:rPr>
              <w:t>。</w:t>
            </w:r>
          </w:p>
          <w:p w14:paraId="7D183137">
            <w:pPr>
              <w:spacing w:line="500" w:lineRule="exact"/>
              <w:ind w:firstLine="527"/>
              <w:rPr>
                <w:color w:val="auto"/>
                <w:sz w:val="24"/>
              </w:rPr>
            </w:pPr>
            <w:r>
              <w:rPr>
                <w:rFonts w:hint="eastAsia"/>
                <w:color w:val="auto"/>
                <w:sz w:val="24"/>
                <w:lang w:val="en-US" w:eastAsia="zh-CN"/>
              </w:rPr>
              <w:t>7、</w:t>
            </w:r>
            <w:r>
              <w:rPr>
                <w:rFonts w:hint="eastAsia"/>
                <w:color w:val="auto"/>
                <w:sz w:val="24"/>
              </w:rPr>
              <w:t>检验</w:t>
            </w:r>
          </w:p>
          <w:p w14:paraId="6E0ADDC5">
            <w:pPr>
              <w:spacing w:line="500" w:lineRule="exact"/>
              <w:ind w:firstLine="527"/>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焙烧后的砖坯通过检验合格后即入库待售，不合格产品（S</w:t>
            </w:r>
            <w:r>
              <w:rPr>
                <w:rFonts w:hint="eastAsia"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rPr>
              <w:t>）返回到破碎工段，重新破碎综合利用。</w:t>
            </w:r>
          </w:p>
          <w:p w14:paraId="6F18F25A">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color w:val="auto"/>
              </w:rPr>
            </w:pPr>
            <w:r>
              <w:rPr>
                <w:rFonts w:hint="eastAsia"/>
                <w:color w:val="auto"/>
                <w:sz w:val="24"/>
                <w:lang w:val="en-US" w:eastAsia="zh-CN"/>
              </w:rPr>
              <w:t>此工序会产生</w:t>
            </w:r>
            <w:r>
              <w:rPr>
                <w:rFonts w:hint="eastAsia" w:ascii="Times New Roman" w:hAnsi="Times New Roman" w:eastAsia="宋体" w:cs="Times New Roman"/>
                <w:color w:val="auto"/>
                <w:sz w:val="24"/>
              </w:rPr>
              <w:t>不合格产品（S</w:t>
            </w:r>
            <w:r>
              <w:rPr>
                <w:rFonts w:hint="eastAsia"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rPr>
              <w:t>）</w:t>
            </w:r>
            <w:r>
              <w:rPr>
                <w:rFonts w:hint="eastAsia"/>
                <w:color w:val="auto"/>
                <w:sz w:val="24"/>
                <w:lang w:val="en-US" w:eastAsia="zh-CN"/>
              </w:rPr>
              <w:t>。</w:t>
            </w:r>
          </w:p>
          <w:p w14:paraId="6F58FB92">
            <w:pPr>
              <w:adjustRightInd w:val="0"/>
              <w:snapToGrid w:val="0"/>
              <w:spacing w:before="120" w:beforeLines="50" w:line="360" w:lineRule="auto"/>
              <w:ind w:firstLine="480" w:firstLineChars="200"/>
              <w:jc w:val="left"/>
              <w:rPr>
                <w:color w:val="auto"/>
                <w:kern w:val="0"/>
                <w:sz w:val="24"/>
                <w:szCs w:val="24"/>
              </w:rPr>
            </w:pPr>
            <w:r>
              <w:rPr>
                <w:rFonts w:hint="eastAsia"/>
                <w:color w:val="auto"/>
                <w:kern w:val="0"/>
                <w:sz w:val="24"/>
                <w:szCs w:val="24"/>
              </w:rPr>
              <w:t>2.2 项目产排污环节一览表</w:t>
            </w:r>
          </w:p>
          <w:p w14:paraId="123BB5CF">
            <w:pPr>
              <w:adjustRightInd w:val="0"/>
              <w:snapToGrid w:val="0"/>
              <w:spacing w:line="360" w:lineRule="auto"/>
              <w:jc w:val="center"/>
              <w:rPr>
                <w:b/>
                <w:bCs/>
                <w:color w:val="auto"/>
              </w:rPr>
            </w:pPr>
            <w:r>
              <w:rPr>
                <w:rFonts w:hint="eastAsia"/>
                <w:b/>
                <w:bCs/>
                <w:color w:val="auto"/>
              </w:rPr>
              <w:t>表2-7 产排污一览表</w:t>
            </w:r>
          </w:p>
          <w:tbl>
            <w:tblPr>
              <w:tblStyle w:val="38"/>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57"/>
              <w:gridCol w:w="2297"/>
              <w:gridCol w:w="1824"/>
              <w:gridCol w:w="2274"/>
            </w:tblGrid>
            <w:tr w14:paraId="0CDE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46" w:type="dxa"/>
                  <w:vAlign w:val="center"/>
                </w:tcPr>
                <w:p w14:paraId="6C79A8F6">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类别</w:t>
                  </w:r>
                </w:p>
              </w:tc>
              <w:tc>
                <w:tcPr>
                  <w:tcW w:w="1257" w:type="dxa"/>
                  <w:vAlign w:val="center"/>
                </w:tcPr>
                <w:p w14:paraId="1253D5C3">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编号</w:t>
                  </w:r>
                </w:p>
              </w:tc>
              <w:tc>
                <w:tcPr>
                  <w:tcW w:w="2297" w:type="dxa"/>
                  <w:vAlign w:val="center"/>
                </w:tcPr>
                <w:p w14:paraId="353C5F00">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污染物名称</w:t>
                  </w:r>
                </w:p>
              </w:tc>
              <w:tc>
                <w:tcPr>
                  <w:tcW w:w="1824" w:type="dxa"/>
                  <w:vAlign w:val="center"/>
                </w:tcPr>
                <w:p w14:paraId="68154F93">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产生工序</w:t>
                  </w:r>
                </w:p>
              </w:tc>
              <w:tc>
                <w:tcPr>
                  <w:tcW w:w="2274" w:type="dxa"/>
                  <w:vAlign w:val="center"/>
                </w:tcPr>
                <w:p w14:paraId="149AACAC">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污染因子</w:t>
                  </w:r>
                </w:p>
              </w:tc>
            </w:tr>
            <w:tr w14:paraId="6153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46" w:type="dxa"/>
                  <w:vMerge w:val="restart"/>
                  <w:vAlign w:val="center"/>
                </w:tcPr>
                <w:p w14:paraId="60918FE8">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废气</w:t>
                  </w:r>
                </w:p>
              </w:tc>
              <w:tc>
                <w:tcPr>
                  <w:tcW w:w="1257" w:type="dxa"/>
                  <w:vAlign w:val="center"/>
                </w:tcPr>
                <w:p w14:paraId="4B4AB2EA">
                  <w:pPr>
                    <w:autoSpaceDE w:val="0"/>
                    <w:autoSpaceDN w:val="0"/>
                    <w:jc w:val="center"/>
                    <w:rPr>
                      <w:rFonts w:ascii="Times New Roman" w:hAnsi="Times New Roman" w:cs="Times New Roman"/>
                      <w:color w:val="auto"/>
                      <w:szCs w:val="21"/>
                      <w:vertAlign w:val="subscript"/>
                    </w:rPr>
                  </w:pPr>
                  <w:r>
                    <w:rPr>
                      <w:rFonts w:hint="eastAsia" w:ascii="Times New Roman" w:hAnsi="Times New Roman" w:cs="Times New Roman"/>
                      <w:color w:val="auto"/>
                      <w:szCs w:val="21"/>
                    </w:rPr>
                    <w:t>G1</w:t>
                  </w:r>
                </w:p>
              </w:tc>
              <w:tc>
                <w:tcPr>
                  <w:tcW w:w="2297" w:type="dxa"/>
                  <w:vAlign w:val="center"/>
                </w:tcPr>
                <w:p w14:paraId="0BBE899C">
                  <w:pPr>
                    <w:autoSpaceDE w:val="0"/>
                    <w:autoSpaceDN w:val="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堆场扬尘</w:t>
                  </w:r>
                </w:p>
              </w:tc>
              <w:tc>
                <w:tcPr>
                  <w:tcW w:w="1824" w:type="dxa"/>
                  <w:vAlign w:val="center"/>
                </w:tcPr>
                <w:p w14:paraId="27B1EDE8">
                  <w:pPr>
                    <w:autoSpaceDE w:val="0"/>
                    <w:autoSpaceDN w:val="0"/>
                    <w:jc w:val="center"/>
                    <w:rPr>
                      <w:rFonts w:ascii="Times New Roman" w:hAnsi="Times New Roman" w:cs="Times New Roman"/>
                      <w:color w:val="auto"/>
                      <w:szCs w:val="21"/>
                    </w:rPr>
                  </w:pPr>
                  <w:r>
                    <w:rPr>
                      <w:rFonts w:hint="eastAsia" w:ascii="Times New Roman" w:hAnsi="Times New Roman" w:eastAsia="宋体" w:cs="Times New Roman"/>
                      <w:color w:val="auto"/>
                      <w:szCs w:val="21"/>
                      <w:lang w:val="en-US" w:eastAsia="zh-CN"/>
                    </w:rPr>
                    <w:t>原料堆放</w:t>
                  </w:r>
                </w:p>
              </w:tc>
              <w:tc>
                <w:tcPr>
                  <w:tcW w:w="2274" w:type="dxa"/>
                  <w:vAlign w:val="center"/>
                </w:tcPr>
                <w:p w14:paraId="700094A7">
                  <w:pPr>
                    <w:autoSpaceDE w:val="0"/>
                    <w:autoSpaceDN w:val="0"/>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颗粒物</w:t>
                  </w:r>
                </w:p>
              </w:tc>
            </w:tr>
            <w:tr w14:paraId="77EC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46" w:type="dxa"/>
                  <w:vMerge w:val="continue"/>
                  <w:vAlign w:val="center"/>
                </w:tcPr>
                <w:p w14:paraId="62A91E9D">
                  <w:pPr>
                    <w:autoSpaceDE w:val="0"/>
                    <w:autoSpaceDN w:val="0"/>
                    <w:jc w:val="center"/>
                    <w:rPr>
                      <w:rFonts w:hint="eastAsia" w:ascii="Times New Roman" w:hAnsi="Times New Roman" w:cs="Times New Roman"/>
                      <w:color w:val="auto"/>
                      <w:szCs w:val="21"/>
                    </w:rPr>
                  </w:pPr>
                </w:p>
              </w:tc>
              <w:tc>
                <w:tcPr>
                  <w:tcW w:w="1257" w:type="dxa"/>
                  <w:vAlign w:val="center"/>
                </w:tcPr>
                <w:p w14:paraId="40317887">
                  <w:pPr>
                    <w:autoSpaceDE w:val="0"/>
                    <w:autoSpaceDN w:val="0"/>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rPr>
                    <w:t>G</w:t>
                  </w:r>
                  <w:r>
                    <w:rPr>
                      <w:rFonts w:hint="eastAsia" w:cs="Times New Roman"/>
                      <w:color w:val="auto"/>
                      <w:szCs w:val="21"/>
                      <w:lang w:val="en-US" w:eastAsia="zh-CN"/>
                    </w:rPr>
                    <w:t>2</w:t>
                  </w:r>
                </w:p>
              </w:tc>
              <w:tc>
                <w:tcPr>
                  <w:tcW w:w="2297" w:type="dxa"/>
                  <w:vAlign w:val="center"/>
                </w:tcPr>
                <w:p w14:paraId="5230CB7E">
                  <w:pPr>
                    <w:autoSpaceDE w:val="0"/>
                    <w:autoSpaceDN w:val="0"/>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污泥库废气</w:t>
                  </w:r>
                </w:p>
              </w:tc>
              <w:tc>
                <w:tcPr>
                  <w:tcW w:w="1824" w:type="dxa"/>
                  <w:vAlign w:val="center"/>
                </w:tcPr>
                <w:p w14:paraId="3DD411E2">
                  <w:pPr>
                    <w:autoSpaceDE w:val="0"/>
                    <w:autoSpaceDN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原料堆放</w:t>
                  </w:r>
                </w:p>
              </w:tc>
              <w:tc>
                <w:tcPr>
                  <w:tcW w:w="2274" w:type="dxa"/>
                  <w:vAlign w:val="center"/>
                </w:tcPr>
                <w:p w14:paraId="488AD114">
                  <w:pPr>
                    <w:autoSpaceDE w:val="0"/>
                    <w:autoSpaceDN w:val="0"/>
                    <w:jc w:val="center"/>
                    <w:rPr>
                      <w:rFonts w:hint="eastAsia" w:ascii="Times New Roman" w:hAnsi="Times New Roman" w:cs="Times New Roman"/>
                      <w:color w:val="auto"/>
                      <w:szCs w:val="21"/>
                      <w:lang w:eastAsia="zh-CN"/>
                    </w:rPr>
                  </w:pPr>
                  <w:r>
                    <w:rPr>
                      <w:rFonts w:hint="eastAsia" w:cs="Times New Roman"/>
                      <w:color w:val="auto"/>
                      <w:szCs w:val="21"/>
                      <w:lang w:eastAsia="zh-CN"/>
                    </w:rPr>
                    <w:t>氨气</w:t>
                  </w:r>
                </w:p>
              </w:tc>
            </w:tr>
            <w:tr w14:paraId="4C06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46" w:type="dxa"/>
                  <w:vMerge w:val="continue"/>
                  <w:vAlign w:val="center"/>
                </w:tcPr>
                <w:p w14:paraId="688DDEAF">
                  <w:pPr>
                    <w:autoSpaceDE w:val="0"/>
                    <w:autoSpaceDN w:val="0"/>
                    <w:jc w:val="center"/>
                    <w:rPr>
                      <w:rFonts w:hint="eastAsia" w:ascii="Times New Roman" w:hAnsi="Times New Roman" w:cs="Times New Roman"/>
                      <w:color w:val="auto"/>
                      <w:szCs w:val="21"/>
                    </w:rPr>
                  </w:pPr>
                </w:p>
              </w:tc>
              <w:tc>
                <w:tcPr>
                  <w:tcW w:w="1257" w:type="dxa"/>
                  <w:vAlign w:val="center"/>
                </w:tcPr>
                <w:p w14:paraId="1A39F56D">
                  <w:pPr>
                    <w:autoSpaceDE w:val="0"/>
                    <w:autoSpaceDN w:val="0"/>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rPr>
                    <w:t>G</w:t>
                  </w:r>
                  <w:r>
                    <w:rPr>
                      <w:rFonts w:hint="eastAsia" w:cs="Times New Roman"/>
                      <w:color w:val="auto"/>
                      <w:szCs w:val="21"/>
                      <w:lang w:val="en-US" w:eastAsia="zh-CN"/>
                    </w:rPr>
                    <w:t>3</w:t>
                  </w:r>
                </w:p>
              </w:tc>
              <w:tc>
                <w:tcPr>
                  <w:tcW w:w="2297" w:type="dxa"/>
                  <w:vAlign w:val="center"/>
                </w:tcPr>
                <w:p w14:paraId="4EFA1895">
                  <w:pPr>
                    <w:autoSpaceDE w:val="0"/>
                    <w:autoSpaceDN w:val="0"/>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污泥库废气</w:t>
                  </w:r>
                </w:p>
              </w:tc>
              <w:tc>
                <w:tcPr>
                  <w:tcW w:w="1824" w:type="dxa"/>
                  <w:vAlign w:val="center"/>
                </w:tcPr>
                <w:p w14:paraId="05FBC652">
                  <w:pPr>
                    <w:autoSpaceDE w:val="0"/>
                    <w:autoSpaceDN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原料堆放</w:t>
                  </w:r>
                </w:p>
              </w:tc>
              <w:tc>
                <w:tcPr>
                  <w:tcW w:w="2274" w:type="dxa"/>
                  <w:vAlign w:val="center"/>
                </w:tcPr>
                <w:p w14:paraId="7B88BDF2">
                  <w:pPr>
                    <w:autoSpaceDE w:val="0"/>
                    <w:autoSpaceDN w:val="0"/>
                    <w:jc w:val="center"/>
                    <w:rPr>
                      <w:rFonts w:hint="eastAsia" w:ascii="Times New Roman" w:hAnsi="Times New Roman" w:cs="Times New Roman"/>
                      <w:color w:val="auto"/>
                      <w:szCs w:val="21"/>
                      <w:lang w:eastAsia="zh-CN"/>
                    </w:rPr>
                  </w:pPr>
                  <w:r>
                    <w:rPr>
                      <w:rFonts w:hint="eastAsia" w:ascii="宋体" w:hAnsi="宋体" w:cs="宋体"/>
                      <w:color w:val="auto"/>
                      <w:lang w:eastAsia="zh-CN"/>
                    </w:rPr>
                    <w:t>硫化氢</w:t>
                  </w:r>
                </w:p>
              </w:tc>
            </w:tr>
            <w:tr w14:paraId="64D1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46" w:type="dxa"/>
                  <w:vMerge w:val="continue"/>
                  <w:vAlign w:val="center"/>
                </w:tcPr>
                <w:p w14:paraId="65168AE8">
                  <w:pPr>
                    <w:autoSpaceDE w:val="0"/>
                    <w:autoSpaceDN w:val="0"/>
                    <w:jc w:val="center"/>
                    <w:rPr>
                      <w:rFonts w:hint="eastAsia" w:ascii="Times New Roman" w:hAnsi="Times New Roman" w:cs="Times New Roman"/>
                      <w:color w:val="auto"/>
                      <w:szCs w:val="21"/>
                    </w:rPr>
                  </w:pPr>
                </w:p>
              </w:tc>
              <w:tc>
                <w:tcPr>
                  <w:tcW w:w="1257" w:type="dxa"/>
                  <w:vAlign w:val="center"/>
                </w:tcPr>
                <w:p w14:paraId="71826240">
                  <w:pPr>
                    <w:autoSpaceDE w:val="0"/>
                    <w:autoSpaceDN w:val="0"/>
                    <w:jc w:val="center"/>
                    <w:rPr>
                      <w:rFonts w:hint="eastAsia" w:ascii="Times New Roman" w:hAnsi="Times New Roman" w:cs="Times New Roman"/>
                      <w:color w:val="auto"/>
                      <w:szCs w:val="21"/>
                    </w:rPr>
                  </w:pPr>
                  <w:r>
                    <w:rPr>
                      <w:rFonts w:hint="eastAsia" w:ascii="Times New Roman" w:hAnsi="Times New Roman" w:cs="Times New Roman"/>
                      <w:color w:val="auto"/>
                      <w:szCs w:val="21"/>
                    </w:rPr>
                    <w:t>G1</w:t>
                  </w:r>
                </w:p>
              </w:tc>
              <w:tc>
                <w:tcPr>
                  <w:tcW w:w="2297" w:type="dxa"/>
                  <w:vAlign w:val="center"/>
                </w:tcPr>
                <w:p w14:paraId="43048725">
                  <w:pPr>
                    <w:autoSpaceDE w:val="0"/>
                    <w:autoSpaceDN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破碎粉尘</w:t>
                  </w:r>
                </w:p>
              </w:tc>
              <w:tc>
                <w:tcPr>
                  <w:tcW w:w="1824" w:type="dxa"/>
                  <w:vAlign w:val="center"/>
                </w:tcPr>
                <w:p w14:paraId="64262AC2">
                  <w:pPr>
                    <w:autoSpaceDE w:val="0"/>
                    <w:autoSpaceDN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破碎</w:t>
                  </w:r>
                </w:p>
              </w:tc>
              <w:tc>
                <w:tcPr>
                  <w:tcW w:w="2274" w:type="dxa"/>
                  <w:vAlign w:val="center"/>
                </w:tcPr>
                <w:p w14:paraId="19E1D04F">
                  <w:pPr>
                    <w:autoSpaceDE w:val="0"/>
                    <w:autoSpaceDN w:val="0"/>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颗粒物</w:t>
                  </w:r>
                </w:p>
              </w:tc>
            </w:tr>
            <w:tr w14:paraId="5544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46" w:type="dxa"/>
                  <w:vMerge w:val="continue"/>
                  <w:vAlign w:val="center"/>
                </w:tcPr>
                <w:p w14:paraId="0C5FF9E3">
                  <w:pPr>
                    <w:autoSpaceDE w:val="0"/>
                    <w:autoSpaceDN w:val="0"/>
                    <w:jc w:val="center"/>
                    <w:rPr>
                      <w:rFonts w:hint="eastAsia" w:ascii="Times New Roman" w:hAnsi="Times New Roman" w:cs="Times New Roman"/>
                      <w:color w:val="auto"/>
                      <w:szCs w:val="21"/>
                    </w:rPr>
                  </w:pPr>
                </w:p>
              </w:tc>
              <w:tc>
                <w:tcPr>
                  <w:tcW w:w="1257" w:type="dxa"/>
                  <w:vAlign w:val="center"/>
                </w:tcPr>
                <w:p w14:paraId="4EFB95CA">
                  <w:pPr>
                    <w:autoSpaceDE w:val="0"/>
                    <w:autoSpaceDN w:val="0"/>
                    <w:jc w:val="center"/>
                    <w:rPr>
                      <w:rFonts w:hint="eastAsia" w:ascii="Times New Roman" w:hAnsi="Times New Roman" w:cs="Times New Roman"/>
                      <w:color w:val="auto"/>
                      <w:szCs w:val="21"/>
                    </w:rPr>
                  </w:pPr>
                  <w:r>
                    <w:rPr>
                      <w:rFonts w:hint="eastAsia" w:ascii="Times New Roman" w:hAnsi="Times New Roman" w:cs="Times New Roman"/>
                      <w:color w:val="auto"/>
                      <w:szCs w:val="21"/>
                    </w:rPr>
                    <w:t>G1</w:t>
                  </w:r>
                </w:p>
              </w:tc>
              <w:tc>
                <w:tcPr>
                  <w:tcW w:w="2297" w:type="dxa"/>
                  <w:vAlign w:val="center"/>
                </w:tcPr>
                <w:p w14:paraId="02DFAA66">
                  <w:pPr>
                    <w:autoSpaceDE w:val="0"/>
                    <w:autoSpaceDN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筛分粉尘</w:t>
                  </w:r>
                </w:p>
              </w:tc>
              <w:tc>
                <w:tcPr>
                  <w:tcW w:w="1824" w:type="dxa"/>
                  <w:vAlign w:val="center"/>
                </w:tcPr>
                <w:p w14:paraId="04C8BE9A">
                  <w:pPr>
                    <w:autoSpaceDE w:val="0"/>
                    <w:autoSpaceDN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筛分</w:t>
                  </w:r>
                </w:p>
              </w:tc>
              <w:tc>
                <w:tcPr>
                  <w:tcW w:w="2274" w:type="dxa"/>
                  <w:vAlign w:val="center"/>
                </w:tcPr>
                <w:p w14:paraId="347ABA3A">
                  <w:pPr>
                    <w:autoSpaceDE w:val="0"/>
                    <w:autoSpaceDN w:val="0"/>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颗粒物</w:t>
                  </w:r>
                </w:p>
              </w:tc>
            </w:tr>
            <w:tr w14:paraId="788E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46" w:type="dxa"/>
                  <w:vMerge w:val="continue"/>
                  <w:vAlign w:val="center"/>
                </w:tcPr>
                <w:p w14:paraId="22230060">
                  <w:pPr>
                    <w:autoSpaceDE w:val="0"/>
                    <w:autoSpaceDN w:val="0"/>
                    <w:jc w:val="center"/>
                    <w:rPr>
                      <w:rFonts w:hint="eastAsia" w:ascii="Times New Roman" w:hAnsi="Times New Roman" w:cs="Times New Roman"/>
                      <w:color w:val="auto"/>
                      <w:szCs w:val="21"/>
                    </w:rPr>
                  </w:pPr>
                </w:p>
              </w:tc>
              <w:tc>
                <w:tcPr>
                  <w:tcW w:w="1257" w:type="dxa"/>
                  <w:vAlign w:val="center"/>
                </w:tcPr>
                <w:p w14:paraId="265558CE">
                  <w:pPr>
                    <w:autoSpaceDE w:val="0"/>
                    <w:autoSpaceDN w:val="0"/>
                    <w:jc w:val="center"/>
                    <w:rPr>
                      <w:rFonts w:hint="eastAsia" w:ascii="Times New Roman" w:hAnsi="Times New Roman" w:cs="Times New Roman"/>
                      <w:color w:val="auto"/>
                      <w:szCs w:val="21"/>
                    </w:rPr>
                  </w:pPr>
                  <w:r>
                    <w:rPr>
                      <w:rFonts w:hint="eastAsia" w:ascii="Times New Roman" w:hAnsi="Times New Roman" w:cs="Times New Roman"/>
                      <w:color w:val="auto"/>
                      <w:szCs w:val="21"/>
                    </w:rPr>
                    <w:t>G1</w:t>
                  </w:r>
                </w:p>
              </w:tc>
              <w:tc>
                <w:tcPr>
                  <w:tcW w:w="2297" w:type="dxa"/>
                  <w:vAlign w:val="center"/>
                </w:tcPr>
                <w:p w14:paraId="092ADAA1">
                  <w:pPr>
                    <w:autoSpaceDE w:val="0"/>
                    <w:autoSpaceDN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焙烧废气</w:t>
                  </w:r>
                </w:p>
              </w:tc>
              <w:tc>
                <w:tcPr>
                  <w:tcW w:w="1824" w:type="dxa"/>
                  <w:vAlign w:val="center"/>
                </w:tcPr>
                <w:p w14:paraId="1B087027">
                  <w:pPr>
                    <w:autoSpaceDE w:val="0"/>
                    <w:autoSpaceDN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隧道窑焙烧</w:t>
                  </w:r>
                </w:p>
              </w:tc>
              <w:tc>
                <w:tcPr>
                  <w:tcW w:w="2274" w:type="dxa"/>
                  <w:vAlign w:val="center"/>
                </w:tcPr>
                <w:p w14:paraId="447632BA">
                  <w:pPr>
                    <w:autoSpaceDE w:val="0"/>
                    <w:autoSpaceDN w:val="0"/>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颗粒物</w:t>
                  </w:r>
                </w:p>
              </w:tc>
            </w:tr>
            <w:tr w14:paraId="10DA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46" w:type="dxa"/>
                  <w:vMerge w:val="continue"/>
                  <w:vAlign w:val="center"/>
                </w:tcPr>
                <w:p w14:paraId="0383B6E3">
                  <w:pPr>
                    <w:autoSpaceDE w:val="0"/>
                    <w:autoSpaceDN w:val="0"/>
                    <w:jc w:val="center"/>
                    <w:rPr>
                      <w:color w:val="auto"/>
                    </w:rPr>
                  </w:pPr>
                </w:p>
              </w:tc>
              <w:tc>
                <w:tcPr>
                  <w:tcW w:w="1257" w:type="dxa"/>
                  <w:vAlign w:val="center"/>
                </w:tcPr>
                <w:p w14:paraId="55A0F5EC">
                  <w:pPr>
                    <w:autoSpaceDE w:val="0"/>
                    <w:autoSpaceDN w:val="0"/>
                    <w:jc w:val="center"/>
                    <w:rPr>
                      <w:color w:val="auto"/>
                    </w:rPr>
                  </w:pPr>
                  <w:r>
                    <w:rPr>
                      <w:rFonts w:hint="eastAsia" w:ascii="Times New Roman" w:hAnsi="Times New Roman" w:cs="Times New Roman"/>
                      <w:color w:val="auto"/>
                      <w:szCs w:val="21"/>
                    </w:rPr>
                    <w:t>G</w:t>
                  </w:r>
                  <w:r>
                    <w:rPr>
                      <w:rFonts w:hint="eastAsia" w:cs="Times New Roman"/>
                      <w:color w:val="auto"/>
                      <w:szCs w:val="21"/>
                      <w:lang w:val="en-US" w:eastAsia="zh-CN"/>
                    </w:rPr>
                    <w:t>4</w:t>
                  </w:r>
                </w:p>
              </w:tc>
              <w:tc>
                <w:tcPr>
                  <w:tcW w:w="2297" w:type="dxa"/>
                  <w:vMerge w:val="restart"/>
                  <w:shd w:val="clear" w:color="auto" w:fill="auto"/>
                  <w:vAlign w:val="center"/>
                </w:tcPr>
                <w:p w14:paraId="26F6D94B">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焙烧废气</w:t>
                  </w:r>
                </w:p>
              </w:tc>
              <w:tc>
                <w:tcPr>
                  <w:tcW w:w="1824" w:type="dxa"/>
                  <w:vMerge w:val="restart"/>
                  <w:shd w:val="clear" w:color="auto" w:fill="auto"/>
                  <w:vAlign w:val="center"/>
                </w:tcPr>
                <w:p w14:paraId="38BF296A">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隧道窑焙烧</w:t>
                  </w:r>
                </w:p>
              </w:tc>
              <w:tc>
                <w:tcPr>
                  <w:tcW w:w="2274" w:type="dxa"/>
                  <w:vAlign w:val="center"/>
                </w:tcPr>
                <w:p w14:paraId="7F3D79C8">
                  <w:pPr>
                    <w:autoSpaceDE w:val="0"/>
                    <w:autoSpaceDN w:val="0"/>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SO</w:t>
                  </w:r>
                  <w:r>
                    <w:rPr>
                      <w:rFonts w:hint="eastAsia" w:ascii="Times New Roman" w:hAnsi="Times New Roman" w:cs="Times New Roman"/>
                      <w:color w:val="auto"/>
                      <w:szCs w:val="21"/>
                      <w:vertAlign w:val="subscript"/>
                      <w:lang w:eastAsia="zh-CN"/>
                    </w:rPr>
                    <w:t>2</w:t>
                  </w:r>
                </w:p>
              </w:tc>
            </w:tr>
            <w:tr w14:paraId="3BF5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46" w:type="dxa"/>
                  <w:vMerge w:val="continue"/>
                  <w:vAlign w:val="center"/>
                </w:tcPr>
                <w:p w14:paraId="0876B7A7">
                  <w:pPr>
                    <w:autoSpaceDE w:val="0"/>
                    <w:autoSpaceDN w:val="0"/>
                    <w:jc w:val="center"/>
                    <w:rPr>
                      <w:rFonts w:hint="eastAsia" w:ascii="Times New Roman" w:hAnsi="Times New Roman" w:cs="Times New Roman"/>
                      <w:color w:val="auto"/>
                      <w:szCs w:val="21"/>
                      <w:lang w:eastAsia="zh-CN"/>
                    </w:rPr>
                  </w:pPr>
                </w:p>
              </w:tc>
              <w:tc>
                <w:tcPr>
                  <w:tcW w:w="1257" w:type="dxa"/>
                  <w:vAlign w:val="center"/>
                </w:tcPr>
                <w:p w14:paraId="695442C0">
                  <w:pPr>
                    <w:autoSpaceDE w:val="0"/>
                    <w:autoSpaceDN w:val="0"/>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rPr>
                    <w:t>G</w:t>
                  </w:r>
                  <w:r>
                    <w:rPr>
                      <w:rFonts w:hint="eastAsia" w:cs="Times New Roman"/>
                      <w:color w:val="auto"/>
                      <w:szCs w:val="21"/>
                      <w:lang w:val="en-US" w:eastAsia="zh-CN"/>
                    </w:rPr>
                    <w:t>5</w:t>
                  </w:r>
                </w:p>
              </w:tc>
              <w:tc>
                <w:tcPr>
                  <w:tcW w:w="2297" w:type="dxa"/>
                  <w:vMerge w:val="continue"/>
                  <w:vAlign w:val="center"/>
                </w:tcPr>
                <w:p w14:paraId="37EED7DD">
                  <w:pPr>
                    <w:autoSpaceDE w:val="0"/>
                    <w:autoSpaceDN w:val="0"/>
                    <w:jc w:val="center"/>
                    <w:rPr>
                      <w:rFonts w:hint="eastAsia" w:ascii="Times New Roman" w:hAnsi="Times New Roman" w:cs="Times New Roman"/>
                      <w:color w:val="auto"/>
                      <w:szCs w:val="21"/>
                      <w:lang w:eastAsia="zh-CN"/>
                    </w:rPr>
                  </w:pPr>
                </w:p>
              </w:tc>
              <w:tc>
                <w:tcPr>
                  <w:tcW w:w="1824" w:type="dxa"/>
                  <w:vMerge w:val="continue"/>
                  <w:vAlign w:val="center"/>
                </w:tcPr>
                <w:p w14:paraId="5393D5A0">
                  <w:pPr>
                    <w:autoSpaceDE w:val="0"/>
                    <w:autoSpaceDN w:val="0"/>
                    <w:jc w:val="center"/>
                    <w:rPr>
                      <w:rFonts w:hint="eastAsia" w:ascii="Times New Roman" w:hAnsi="Times New Roman" w:cs="Times New Roman"/>
                      <w:color w:val="auto"/>
                      <w:szCs w:val="21"/>
                      <w:lang w:eastAsia="zh-CN"/>
                    </w:rPr>
                  </w:pPr>
                </w:p>
              </w:tc>
              <w:tc>
                <w:tcPr>
                  <w:tcW w:w="2274" w:type="dxa"/>
                  <w:vAlign w:val="center"/>
                </w:tcPr>
                <w:p w14:paraId="48D269D3">
                  <w:pPr>
                    <w:autoSpaceDE w:val="0"/>
                    <w:autoSpaceDN w:val="0"/>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NOx</w:t>
                  </w:r>
                </w:p>
              </w:tc>
            </w:tr>
            <w:tr w14:paraId="468B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jc w:val="center"/>
              </w:trPr>
              <w:tc>
                <w:tcPr>
                  <w:tcW w:w="746" w:type="dxa"/>
                  <w:vMerge w:val="continue"/>
                  <w:vAlign w:val="center"/>
                </w:tcPr>
                <w:p w14:paraId="7E1503BE">
                  <w:pPr>
                    <w:autoSpaceDE w:val="0"/>
                    <w:autoSpaceDN w:val="0"/>
                    <w:jc w:val="center"/>
                    <w:rPr>
                      <w:rFonts w:hint="eastAsia" w:ascii="Times New Roman" w:hAnsi="Times New Roman" w:cs="Times New Roman"/>
                      <w:color w:val="auto"/>
                      <w:szCs w:val="21"/>
                      <w:lang w:eastAsia="zh-CN"/>
                    </w:rPr>
                  </w:pPr>
                </w:p>
              </w:tc>
              <w:tc>
                <w:tcPr>
                  <w:tcW w:w="1257" w:type="dxa"/>
                  <w:vAlign w:val="center"/>
                </w:tcPr>
                <w:p w14:paraId="21E2BDE0">
                  <w:pPr>
                    <w:autoSpaceDE w:val="0"/>
                    <w:autoSpaceDN w:val="0"/>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rPr>
                    <w:t>G</w:t>
                  </w:r>
                  <w:r>
                    <w:rPr>
                      <w:rFonts w:hint="eastAsia" w:cs="Times New Roman"/>
                      <w:color w:val="auto"/>
                      <w:szCs w:val="21"/>
                      <w:lang w:val="en-US" w:eastAsia="zh-CN"/>
                    </w:rPr>
                    <w:t>6</w:t>
                  </w:r>
                </w:p>
              </w:tc>
              <w:tc>
                <w:tcPr>
                  <w:tcW w:w="2297" w:type="dxa"/>
                  <w:vMerge w:val="continue"/>
                  <w:vAlign w:val="center"/>
                </w:tcPr>
                <w:p w14:paraId="34FB61D0">
                  <w:pPr>
                    <w:autoSpaceDE w:val="0"/>
                    <w:autoSpaceDN w:val="0"/>
                    <w:jc w:val="center"/>
                    <w:rPr>
                      <w:rFonts w:hint="eastAsia" w:ascii="Times New Roman" w:hAnsi="Times New Roman" w:cs="Times New Roman"/>
                      <w:color w:val="auto"/>
                      <w:szCs w:val="21"/>
                      <w:lang w:eastAsia="zh-CN"/>
                    </w:rPr>
                  </w:pPr>
                </w:p>
              </w:tc>
              <w:tc>
                <w:tcPr>
                  <w:tcW w:w="1824" w:type="dxa"/>
                  <w:vMerge w:val="continue"/>
                  <w:vAlign w:val="center"/>
                </w:tcPr>
                <w:p w14:paraId="7C03E329">
                  <w:pPr>
                    <w:autoSpaceDE w:val="0"/>
                    <w:autoSpaceDN w:val="0"/>
                    <w:jc w:val="center"/>
                    <w:rPr>
                      <w:rFonts w:hint="eastAsia" w:ascii="Times New Roman" w:hAnsi="Times New Roman" w:cs="Times New Roman"/>
                      <w:color w:val="auto"/>
                      <w:szCs w:val="21"/>
                      <w:lang w:eastAsia="zh-CN"/>
                    </w:rPr>
                  </w:pPr>
                </w:p>
              </w:tc>
              <w:tc>
                <w:tcPr>
                  <w:tcW w:w="2274" w:type="dxa"/>
                  <w:vAlign w:val="center"/>
                </w:tcPr>
                <w:p w14:paraId="28B4D07F">
                  <w:pPr>
                    <w:autoSpaceDE w:val="0"/>
                    <w:autoSpaceDN w:val="0"/>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氟化物</w:t>
                  </w:r>
                </w:p>
              </w:tc>
            </w:tr>
            <w:tr w14:paraId="5BE9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46" w:type="dxa"/>
                  <w:vMerge w:val="continue"/>
                  <w:vAlign w:val="center"/>
                </w:tcPr>
                <w:p w14:paraId="1037F924">
                  <w:pPr>
                    <w:autoSpaceDE w:val="0"/>
                    <w:autoSpaceDN w:val="0"/>
                    <w:jc w:val="center"/>
                    <w:rPr>
                      <w:rFonts w:hint="eastAsia" w:ascii="Times New Roman" w:hAnsi="Times New Roman" w:cs="Times New Roman"/>
                      <w:color w:val="auto"/>
                      <w:szCs w:val="21"/>
                      <w:lang w:eastAsia="zh-CN"/>
                    </w:rPr>
                  </w:pPr>
                </w:p>
              </w:tc>
              <w:tc>
                <w:tcPr>
                  <w:tcW w:w="1257" w:type="dxa"/>
                  <w:vAlign w:val="center"/>
                </w:tcPr>
                <w:p w14:paraId="723E3B36">
                  <w:pPr>
                    <w:autoSpaceDE w:val="0"/>
                    <w:autoSpaceDN w:val="0"/>
                    <w:jc w:val="center"/>
                    <w:rPr>
                      <w:rFonts w:hint="eastAsia" w:ascii="Times New Roman" w:hAnsi="Times New Roman" w:cs="Times New Roman"/>
                      <w:color w:val="auto"/>
                      <w:szCs w:val="21"/>
                    </w:rPr>
                  </w:pPr>
                  <w:r>
                    <w:rPr>
                      <w:rFonts w:hint="eastAsia" w:ascii="Times New Roman" w:hAnsi="Times New Roman" w:cs="Times New Roman"/>
                      <w:color w:val="auto"/>
                      <w:szCs w:val="21"/>
                    </w:rPr>
                    <w:t>G</w:t>
                  </w:r>
                  <w:r>
                    <w:rPr>
                      <w:rFonts w:hint="eastAsia" w:cs="Times New Roman"/>
                      <w:color w:val="auto"/>
                      <w:szCs w:val="21"/>
                      <w:lang w:val="en-US" w:eastAsia="zh-CN"/>
                    </w:rPr>
                    <w:t>7</w:t>
                  </w:r>
                </w:p>
              </w:tc>
              <w:tc>
                <w:tcPr>
                  <w:tcW w:w="2297" w:type="dxa"/>
                  <w:vMerge w:val="continue"/>
                  <w:vAlign w:val="center"/>
                </w:tcPr>
                <w:p w14:paraId="33FC26D8">
                  <w:pPr>
                    <w:autoSpaceDE w:val="0"/>
                    <w:autoSpaceDN w:val="0"/>
                    <w:jc w:val="center"/>
                    <w:rPr>
                      <w:rFonts w:hint="eastAsia" w:ascii="Times New Roman" w:hAnsi="Times New Roman" w:cs="Times New Roman"/>
                      <w:color w:val="auto"/>
                      <w:szCs w:val="21"/>
                      <w:lang w:eastAsia="zh-CN"/>
                    </w:rPr>
                  </w:pPr>
                </w:p>
              </w:tc>
              <w:tc>
                <w:tcPr>
                  <w:tcW w:w="1824" w:type="dxa"/>
                  <w:vMerge w:val="continue"/>
                  <w:vAlign w:val="center"/>
                </w:tcPr>
                <w:p w14:paraId="2C3ED1FB">
                  <w:pPr>
                    <w:autoSpaceDE w:val="0"/>
                    <w:autoSpaceDN w:val="0"/>
                    <w:jc w:val="center"/>
                    <w:rPr>
                      <w:rFonts w:hint="eastAsia" w:ascii="Times New Roman" w:hAnsi="Times New Roman" w:cs="Times New Roman"/>
                      <w:color w:val="auto"/>
                      <w:szCs w:val="21"/>
                      <w:lang w:eastAsia="zh-CN"/>
                    </w:rPr>
                  </w:pPr>
                </w:p>
              </w:tc>
              <w:tc>
                <w:tcPr>
                  <w:tcW w:w="2274" w:type="dxa"/>
                  <w:vAlign w:val="center"/>
                </w:tcPr>
                <w:p w14:paraId="10593953">
                  <w:pPr>
                    <w:autoSpaceDE w:val="0"/>
                    <w:autoSpaceDN w:val="0"/>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重金属</w:t>
                  </w:r>
                </w:p>
              </w:tc>
            </w:tr>
            <w:tr w14:paraId="202C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46" w:type="dxa"/>
                  <w:vMerge w:val="restart"/>
                  <w:vAlign w:val="center"/>
                </w:tcPr>
                <w:p w14:paraId="4502CFB3">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废水</w:t>
                  </w:r>
                </w:p>
              </w:tc>
              <w:tc>
                <w:tcPr>
                  <w:tcW w:w="1257" w:type="dxa"/>
                  <w:vAlign w:val="center"/>
                </w:tcPr>
                <w:p w14:paraId="17E6D275">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W1</w:t>
                  </w:r>
                </w:p>
              </w:tc>
              <w:tc>
                <w:tcPr>
                  <w:tcW w:w="2297" w:type="dxa"/>
                  <w:vAlign w:val="center"/>
                </w:tcPr>
                <w:p w14:paraId="0D249079">
                  <w:pPr>
                    <w:autoSpaceDE w:val="0"/>
                    <w:autoSpaceDN w:val="0"/>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车辆清洗废水</w:t>
                  </w:r>
                </w:p>
              </w:tc>
              <w:tc>
                <w:tcPr>
                  <w:tcW w:w="1824" w:type="dxa"/>
                  <w:vAlign w:val="center"/>
                </w:tcPr>
                <w:p w14:paraId="4EC72DC0">
                  <w:pPr>
                    <w:autoSpaceDE w:val="0"/>
                    <w:autoSpaceDN w:val="0"/>
                    <w:jc w:val="center"/>
                    <w:rPr>
                      <w:rFonts w:ascii="Times New Roman" w:hAnsi="Times New Roman" w:cs="Times New Roman"/>
                      <w:color w:val="auto"/>
                      <w:szCs w:val="21"/>
                    </w:rPr>
                  </w:pPr>
                  <w:r>
                    <w:rPr>
                      <w:rFonts w:hint="eastAsia" w:cs="Times New Roman"/>
                      <w:color w:val="auto"/>
                      <w:szCs w:val="21"/>
                      <w:lang w:eastAsia="zh-CN"/>
                    </w:rPr>
                    <w:t>车辆清洗</w:t>
                  </w:r>
                </w:p>
              </w:tc>
              <w:tc>
                <w:tcPr>
                  <w:tcW w:w="2274" w:type="dxa"/>
                  <w:vAlign w:val="center"/>
                </w:tcPr>
                <w:p w14:paraId="4A32F6A4">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SS</w:t>
                  </w:r>
                </w:p>
              </w:tc>
            </w:tr>
            <w:tr w14:paraId="6584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46" w:type="dxa"/>
                  <w:vMerge w:val="continue"/>
                  <w:vAlign w:val="center"/>
                </w:tcPr>
                <w:p w14:paraId="2E9A1E5E">
                  <w:pPr>
                    <w:autoSpaceDE w:val="0"/>
                    <w:autoSpaceDN w:val="0"/>
                    <w:jc w:val="center"/>
                    <w:rPr>
                      <w:rFonts w:hint="eastAsia" w:ascii="Times New Roman" w:hAnsi="Times New Roman" w:cs="Times New Roman"/>
                      <w:color w:val="auto"/>
                      <w:szCs w:val="21"/>
                    </w:rPr>
                  </w:pPr>
                </w:p>
              </w:tc>
              <w:tc>
                <w:tcPr>
                  <w:tcW w:w="1257" w:type="dxa"/>
                  <w:vAlign w:val="center"/>
                </w:tcPr>
                <w:p w14:paraId="43533379">
                  <w:pPr>
                    <w:autoSpaceDE w:val="0"/>
                    <w:autoSpaceDN w:val="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rPr>
                    <w:t>W</w:t>
                  </w:r>
                  <w:r>
                    <w:rPr>
                      <w:rFonts w:hint="eastAsia" w:cs="Times New Roman"/>
                      <w:color w:val="auto"/>
                      <w:szCs w:val="21"/>
                      <w:lang w:val="en-US" w:eastAsia="zh-CN"/>
                    </w:rPr>
                    <w:t>2</w:t>
                  </w:r>
                </w:p>
              </w:tc>
              <w:tc>
                <w:tcPr>
                  <w:tcW w:w="2297" w:type="dxa"/>
                  <w:vAlign w:val="center"/>
                </w:tcPr>
                <w:p w14:paraId="3516F839">
                  <w:pPr>
                    <w:autoSpaceDE w:val="0"/>
                    <w:autoSpaceDN w:val="0"/>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rPr>
                    <w:t>生活污水</w:t>
                  </w:r>
                </w:p>
              </w:tc>
              <w:tc>
                <w:tcPr>
                  <w:tcW w:w="1824" w:type="dxa"/>
                  <w:vAlign w:val="center"/>
                </w:tcPr>
                <w:p w14:paraId="4D782DB9">
                  <w:pPr>
                    <w:autoSpaceDE w:val="0"/>
                    <w:autoSpaceDN w:val="0"/>
                    <w:jc w:val="center"/>
                    <w:rPr>
                      <w:rFonts w:hint="eastAsia" w:ascii="Times New Roman" w:hAnsi="Times New Roman" w:cs="Times New Roman"/>
                      <w:color w:val="auto"/>
                      <w:szCs w:val="21"/>
                    </w:rPr>
                  </w:pPr>
                  <w:r>
                    <w:rPr>
                      <w:rFonts w:hint="eastAsia" w:ascii="Times New Roman" w:hAnsi="Times New Roman" w:cs="Times New Roman"/>
                      <w:color w:val="auto"/>
                      <w:szCs w:val="21"/>
                    </w:rPr>
                    <w:t>职工生活</w:t>
                  </w:r>
                </w:p>
              </w:tc>
              <w:tc>
                <w:tcPr>
                  <w:tcW w:w="2274" w:type="dxa"/>
                  <w:vAlign w:val="center"/>
                </w:tcPr>
                <w:p w14:paraId="4CD41F4B">
                  <w:pPr>
                    <w:autoSpaceDE w:val="0"/>
                    <w:autoSpaceDN w:val="0"/>
                    <w:jc w:val="center"/>
                    <w:rPr>
                      <w:rFonts w:hint="eastAsia" w:ascii="Times New Roman" w:hAnsi="Times New Roman" w:cs="Times New Roman"/>
                      <w:color w:val="auto"/>
                      <w:szCs w:val="21"/>
                    </w:rPr>
                  </w:pPr>
                  <w:r>
                    <w:rPr>
                      <w:rFonts w:hint="eastAsia" w:ascii="Times New Roman" w:hAnsi="Times New Roman" w:cs="Times New Roman"/>
                      <w:color w:val="auto"/>
                      <w:szCs w:val="21"/>
                    </w:rPr>
                    <w:t>pH、COD、NH</w:t>
                  </w:r>
                  <w:r>
                    <w:rPr>
                      <w:rFonts w:hint="eastAsia" w:ascii="Times New Roman" w:hAnsi="Times New Roman" w:cs="Times New Roman"/>
                      <w:color w:val="auto"/>
                      <w:szCs w:val="21"/>
                      <w:vertAlign w:val="subscript"/>
                    </w:rPr>
                    <w:t>3</w:t>
                  </w:r>
                  <w:r>
                    <w:rPr>
                      <w:rFonts w:hint="eastAsia" w:ascii="Times New Roman" w:hAnsi="Times New Roman" w:cs="Times New Roman"/>
                      <w:color w:val="auto"/>
                      <w:szCs w:val="21"/>
                    </w:rPr>
                    <w:t>-N、SS、BOD</w:t>
                  </w:r>
                  <w:r>
                    <w:rPr>
                      <w:rFonts w:hint="eastAsia" w:ascii="Times New Roman" w:hAnsi="Times New Roman" w:cs="Times New Roman"/>
                      <w:color w:val="auto"/>
                      <w:szCs w:val="21"/>
                      <w:vertAlign w:val="subscript"/>
                    </w:rPr>
                    <w:t>5</w:t>
                  </w:r>
                </w:p>
              </w:tc>
            </w:tr>
            <w:tr w14:paraId="705F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46" w:type="dxa"/>
                  <w:vAlign w:val="center"/>
                </w:tcPr>
                <w:p w14:paraId="71E37546">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噪声</w:t>
                  </w:r>
                </w:p>
              </w:tc>
              <w:tc>
                <w:tcPr>
                  <w:tcW w:w="5378" w:type="dxa"/>
                  <w:gridSpan w:val="3"/>
                  <w:vAlign w:val="center"/>
                </w:tcPr>
                <w:p w14:paraId="3E16E947">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设备运行噪声</w:t>
                  </w:r>
                </w:p>
              </w:tc>
              <w:tc>
                <w:tcPr>
                  <w:tcW w:w="2274" w:type="dxa"/>
                  <w:vAlign w:val="center"/>
                </w:tcPr>
                <w:p w14:paraId="10002389">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等效连续A声级</w:t>
                  </w:r>
                </w:p>
              </w:tc>
            </w:tr>
            <w:tr w14:paraId="02FF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46" w:type="dxa"/>
                  <w:vMerge w:val="restart"/>
                  <w:vAlign w:val="center"/>
                </w:tcPr>
                <w:p w14:paraId="2BAC4EC2">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固废</w:t>
                  </w:r>
                </w:p>
              </w:tc>
              <w:tc>
                <w:tcPr>
                  <w:tcW w:w="1257" w:type="dxa"/>
                  <w:vAlign w:val="center"/>
                </w:tcPr>
                <w:p w14:paraId="0C563B47">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S1</w:t>
                  </w:r>
                </w:p>
              </w:tc>
              <w:tc>
                <w:tcPr>
                  <w:tcW w:w="2297" w:type="dxa"/>
                  <w:vAlign w:val="center"/>
                </w:tcPr>
                <w:p w14:paraId="632CBB41">
                  <w:pPr>
                    <w:autoSpaceDE w:val="0"/>
                    <w:autoSpaceDN w:val="0"/>
                    <w:jc w:val="center"/>
                    <w:rPr>
                      <w:rFonts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废边角料</w:t>
                  </w:r>
                </w:p>
              </w:tc>
              <w:tc>
                <w:tcPr>
                  <w:tcW w:w="1824" w:type="dxa"/>
                  <w:vAlign w:val="center"/>
                </w:tcPr>
                <w:p w14:paraId="461889C0">
                  <w:pPr>
                    <w:autoSpaceDE w:val="0"/>
                    <w:autoSpaceDN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切条切坯</w:t>
                  </w:r>
                </w:p>
              </w:tc>
              <w:tc>
                <w:tcPr>
                  <w:tcW w:w="2274" w:type="dxa"/>
                  <w:vAlign w:val="center"/>
                </w:tcPr>
                <w:p w14:paraId="36695C1F">
                  <w:pPr>
                    <w:autoSpaceDE w:val="0"/>
                    <w:autoSpaceDN w:val="0"/>
                    <w:jc w:val="center"/>
                    <w:rPr>
                      <w:rFonts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废边角料</w:t>
                  </w:r>
                </w:p>
              </w:tc>
            </w:tr>
            <w:tr w14:paraId="23B8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46" w:type="dxa"/>
                  <w:vMerge w:val="continue"/>
                  <w:vAlign w:val="center"/>
                </w:tcPr>
                <w:p w14:paraId="306C44CA">
                  <w:pPr>
                    <w:autoSpaceDE w:val="0"/>
                    <w:autoSpaceDN w:val="0"/>
                    <w:jc w:val="center"/>
                    <w:rPr>
                      <w:rFonts w:ascii="Times New Roman" w:hAnsi="Times New Roman" w:cs="Times New Roman"/>
                      <w:color w:val="auto"/>
                      <w:szCs w:val="21"/>
                    </w:rPr>
                  </w:pPr>
                </w:p>
              </w:tc>
              <w:tc>
                <w:tcPr>
                  <w:tcW w:w="1257" w:type="dxa"/>
                  <w:vAlign w:val="center"/>
                </w:tcPr>
                <w:p w14:paraId="4497C3A4">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S2</w:t>
                  </w:r>
                </w:p>
              </w:tc>
              <w:tc>
                <w:tcPr>
                  <w:tcW w:w="2297" w:type="dxa"/>
                  <w:vAlign w:val="center"/>
                </w:tcPr>
                <w:p w14:paraId="0D393549">
                  <w:pPr>
                    <w:autoSpaceDE w:val="0"/>
                    <w:autoSpaceDN w:val="0"/>
                    <w:jc w:val="center"/>
                    <w:rPr>
                      <w:rFonts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不合格产品</w:t>
                  </w:r>
                </w:p>
              </w:tc>
              <w:tc>
                <w:tcPr>
                  <w:tcW w:w="1824" w:type="dxa"/>
                  <w:vAlign w:val="center"/>
                </w:tcPr>
                <w:p w14:paraId="66BDE8AA">
                  <w:pPr>
                    <w:autoSpaceDE w:val="0"/>
                    <w:autoSpaceDN w:val="0"/>
                    <w:jc w:val="center"/>
                    <w:rPr>
                      <w:rFonts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检验</w:t>
                  </w:r>
                </w:p>
              </w:tc>
              <w:tc>
                <w:tcPr>
                  <w:tcW w:w="2274" w:type="dxa"/>
                  <w:vAlign w:val="center"/>
                </w:tcPr>
                <w:p w14:paraId="1E93B5F9">
                  <w:pPr>
                    <w:autoSpaceDE w:val="0"/>
                    <w:autoSpaceDN w:val="0"/>
                    <w:jc w:val="center"/>
                    <w:rPr>
                      <w:rFonts w:ascii="Times New Roman" w:hAnsi="Times New Roman" w:eastAsia="宋体" w:cs="Times New Roman"/>
                      <w:bCs/>
                      <w:color w:val="auto"/>
                      <w:kern w:val="2"/>
                      <w:sz w:val="21"/>
                      <w:szCs w:val="21"/>
                      <w:lang w:val="en-US" w:eastAsia="zh-CN" w:bidi="ar-SA"/>
                    </w:rPr>
                  </w:pPr>
                  <w:r>
                    <w:rPr>
                      <w:rFonts w:ascii="Times New Roman" w:hAnsi="Times New Roman" w:eastAsia="宋体" w:cs="Times New Roman"/>
                      <w:bCs/>
                      <w:color w:val="auto"/>
                      <w:kern w:val="2"/>
                      <w:sz w:val="21"/>
                      <w:szCs w:val="21"/>
                      <w:lang w:val="en-US" w:eastAsia="zh-CN" w:bidi="ar-SA"/>
                    </w:rPr>
                    <w:t>废煤矸石砖</w:t>
                  </w:r>
                </w:p>
              </w:tc>
            </w:tr>
            <w:tr w14:paraId="6C1D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46" w:type="dxa"/>
                  <w:vMerge w:val="continue"/>
                  <w:vAlign w:val="center"/>
                </w:tcPr>
                <w:p w14:paraId="06924685">
                  <w:pPr>
                    <w:autoSpaceDE w:val="0"/>
                    <w:autoSpaceDN w:val="0"/>
                    <w:jc w:val="center"/>
                    <w:rPr>
                      <w:rFonts w:ascii="Times New Roman" w:hAnsi="Times New Roman" w:cs="Times New Roman"/>
                      <w:color w:val="auto"/>
                      <w:szCs w:val="21"/>
                    </w:rPr>
                  </w:pPr>
                </w:p>
              </w:tc>
              <w:tc>
                <w:tcPr>
                  <w:tcW w:w="1257" w:type="dxa"/>
                  <w:vAlign w:val="center"/>
                </w:tcPr>
                <w:p w14:paraId="34A814F7">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S3</w:t>
                  </w:r>
                </w:p>
              </w:tc>
              <w:tc>
                <w:tcPr>
                  <w:tcW w:w="2297" w:type="dxa"/>
                  <w:vAlign w:val="center"/>
                </w:tcPr>
                <w:p w14:paraId="2F39077F">
                  <w:pPr>
                    <w:autoSpaceDE w:val="0"/>
                    <w:autoSpaceDN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除尘器收集的粉尘</w:t>
                  </w:r>
                </w:p>
              </w:tc>
              <w:tc>
                <w:tcPr>
                  <w:tcW w:w="1824" w:type="dxa"/>
                  <w:vAlign w:val="center"/>
                </w:tcPr>
                <w:p w14:paraId="39E15CB8">
                  <w:pPr>
                    <w:autoSpaceDE w:val="0"/>
                    <w:autoSpaceDN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废气处理</w:t>
                  </w:r>
                </w:p>
              </w:tc>
              <w:tc>
                <w:tcPr>
                  <w:tcW w:w="2274" w:type="dxa"/>
                  <w:vAlign w:val="center"/>
                </w:tcPr>
                <w:p w14:paraId="15AEC08F">
                  <w:pPr>
                    <w:autoSpaceDE w:val="0"/>
                    <w:autoSpaceDN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粉尘</w:t>
                  </w:r>
                </w:p>
              </w:tc>
            </w:tr>
            <w:tr w14:paraId="1501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746" w:type="dxa"/>
                  <w:vMerge w:val="continue"/>
                  <w:vAlign w:val="center"/>
                </w:tcPr>
                <w:p w14:paraId="5315B07B">
                  <w:pPr>
                    <w:autoSpaceDE w:val="0"/>
                    <w:autoSpaceDN w:val="0"/>
                    <w:jc w:val="center"/>
                    <w:rPr>
                      <w:rFonts w:ascii="Times New Roman" w:hAnsi="Times New Roman" w:cs="Times New Roman"/>
                      <w:color w:val="auto"/>
                      <w:szCs w:val="21"/>
                    </w:rPr>
                  </w:pPr>
                </w:p>
              </w:tc>
              <w:tc>
                <w:tcPr>
                  <w:tcW w:w="1257" w:type="dxa"/>
                  <w:vAlign w:val="center"/>
                </w:tcPr>
                <w:p w14:paraId="02204DCE">
                  <w:pPr>
                    <w:autoSpaceDE w:val="0"/>
                    <w:autoSpaceDN w:val="0"/>
                    <w:jc w:val="center"/>
                    <w:rPr>
                      <w:rFonts w:ascii="Times New Roman" w:hAnsi="Times New Roman" w:cs="Times New Roman"/>
                      <w:color w:val="auto"/>
                      <w:szCs w:val="21"/>
                    </w:rPr>
                  </w:pPr>
                  <w:r>
                    <w:rPr>
                      <w:rFonts w:hint="eastAsia" w:ascii="Times New Roman" w:hAnsi="Times New Roman" w:cs="Times New Roman"/>
                      <w:color w:val="auto"/>
                      <w:szCs w:val="21"/>
                    </w:rPr>
                    <w:t>S4</w:t>
                  </w:r>
                </w:p>
              </w:tc>
              <w:tc>
                <w:tcPr>
                  <w:tcW w:w="2297" w:type="dxa"/>
                  <w:vAlign w:val="center"/>
                </w:tcPr>
                <w:p w14:paraId="2C5599A0">
                  <w:pPr>
                    <w:autoSpaceDE w:val="0"/>
                    <w:autoSpaceDN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脱硫废渣</w:t>
                  </w:r>
                </w:p>
              </w:tc>
              <w:tc>
                <w:tcPr>
                  <w:tcW w:w="1824" w:type="dxa"/>
                  <w:vAlign w:val="center"/>
                </w:tcPr>
                <w:p w14:paraId="6AF35508">
                  <w:pPr>
                    <w:autoSpaceDE w:val="0"/>
                    <w:autoSpaceDN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废气处理</w:t>
                  </w:r>
                </w:p>
              </w:tc>
              <w:tc>
                <w:tcPr>
                  <w:tcW w:w="2274" w:type="dxa"/>
                  <w:vAlign w:val="center"/>
                </w:tcPr>
                <w:p w14:paraId="141216CF">
                  <w:pPr>
                    <w:autoSpaceDE w:val="0"/>
                    <w:autoSpaceDN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脱硫设备产生的废弃物</w:t>
                  </w:r>
                  <w:r>
                    <w:rPr>
                      <w:rFonts w:hint="eastAsia" w:cs="Times New Roman"/>
                      <w:bCs/>
                      <w:color w:val="auto"/>
                      <w:kern w:val="2"/>
                      <w:sz w:val="21"/>
                      <w:szCs w:val="21"/>
                      <w:lang w:val="en-US" w:eastAsia="zh-CN" w:bidi="ar-SA"/>
                    </w:rPr>
                    <w:t>，主要成分是亚硫酸钙和硫酸钙</w:t>
                  </w:r>
                </w:p>
              </w:tc>
            </w:tr>
          </w:tbl>
          <w:p w14:paraId="2DF8B427">
            <w:pPr>
              <w:adjustRightInd w:val="0"/>
              <w:snapToGrid w:val="0"/>
              <w:spacing w:before="120" w:beforeLines="50"/>
              <w:jc w:val="both"/>
              <w:rPr>
                <w:color w:val="auto"/>
              </w:rPr>
            </w:pPr>
          </w:p>
        </w:tc>
      </w:tr>
      <w:tr w14:paraId="11AF89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600" w:type="dxa"/>
            <w:tcBorders>
              <w:bottom w:val="single" w:color="auto" w:sz="8" w:space="0"/>
            </w:tcBorders>
            <w:vAlign w:val="center"/>
          </w:tcPr>
          <w:p w14:paraId="79FC5600">
            <w:pPr>
              <w:pStyle w:val="34"/>
              <w:adjustRightInd w:val="0"/>
              <w:snapToGrid w:val="0"/>
              <w:spacing w:before="0" w:beforeAutospacing="0" w:after="0" w:afterAutospacing="0"/>
              <w:jc w:val="center"/>
              <w:rPr>
                <w:rFonts w:cs="Times New Roman"/>
                <w:color w:val="auto"/>
                <w:sz w:val="21"/>
                <w:szCs w:val="21"/>
              </w:rPr>
            </w:pPr>
            <w:r>
              <w:rPr>
                <w:rFonts w:hint="eastAsia"/>
                <w:color w:val="auto"/>
                <w:kern w:val="2"/>
              </w:rPr>
              <w:t>与项目有关的原有环境污染问题</w:t>
            </w:r>
          </w:p>
        </w:tc>
        <w:tc>
          <w:tcPr>
            <w:tcW w:w="8552" w:type="dxa"/>
            <w:tcBorders>
              <w:bottom w:val="single" w:color="auto" w:sz="8" w:space="0"/>
            </w:tcBorders>
          </w:tcPr>
          <w:p w14:paraId="0F31F156">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ind w:firstLine="422" w:firstLineChars="200"/>
              <w:textAlignment w:val="auto"/>
              <w:rPr>
                <w:rFonts w:hint="eastAsia" w:ascii="宋体" w:hAnsi="宋体" w:eastAsia="宋体" w:cs="宋体"/>
                <w:color w:val="auto"/>
                <w:sz w:val="24"/>
                <w:szCs w:val="24"/>
                <w:lang w:val="en-US" w:eastAsia="zh-CN"/>
              </w:rPr>
            </w:pPr>
            <w:r>
              <w:rPr>
                <w:rFonts w:hint="eastAsia"/>
                <w:b/>
                <w:bCs/>
                <w:color w:val="auto"/>
                <w:lang w:val="en-US" w:eastAsia="zh-CN"/>
              </w:rPr>
              <w:t>1、</w:t>
            </w:r>
            <w:r>
              <w:rPr>
                <w:b/>
                <w:bCs/>
                <w:color w:val="auto"/>
                <w:sz w:val="24"/>
                <w:lang w:bidi="ar"/>
              </w:rPr>
              <w:t>现有</w:t>
            </w:r>
            <w:r>
              <w:rPr>
                <w:rFonts w:hint="eastAsia"/>
                <w:b/>
                <w:bCs/>
                <w:color w:val="auto"/>
                <w:sz w:val="24"/>
                <w:lang w:val="en-US" w:eastAsia="zh-CN" w:bidi="ar"/>
              </w:rPr>
              <w:t>工程</w:t>
            </w:r>
            <w:r>
              <w:rPr>
                <w:b/>
                <w:bCs/>
                <w:color w:val="auto"/>
                <w:sz w:val="24"/>
                <w:lang w:bidi="ar"/>
              </w:rPr>
              <w:t>基本情况</w:t>
            </w:r>
          </w:p>
          <w:p w14:paraId="21E2D348">
            <w:pPr>
              <w:numPr>
                <w:ilvl w:val="0"/>
                <w:numId w:val="0"/>
              </w:numPr>
              <w:autoSpaceDE w:val="0"/>
              <w:autoSpaceDN w:val="0"/>
              <w:adjustRightInd w:val="0"/>
              <w:snapToGrid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濉溪县国华新型建材有限公司现有项目位于濉溪县刘桥镇刘桥二矿南500m，已建设完成一条隧道窑生产线、生产车间、破碎车间、陈化库、1#晾坯道、2#晾坯道、隧道窑、成品装载区、成品打包区等工程，年产煤矸石烧结砖7200万块。</w:t>
            </w:r>
          </w:p>
          <w:p w14:paraId="41AAA1AE">
            <w:pPr>
              <w:pStyle w:val="12"/>
              <w:spacing w:line="360" w:lineRule="auto"/>
              <w:ind w:firstLine="480" w:firstLineChars="200"/>
              <w:rPr>
                <w:rFonts w:hint="eastAsia" w:ascii="宋体" w:hAnsi="宋体" w:eastAsia="宋体" w:cs="宋体"/>
                <w:color w:val="auto"/>
                <w:sz w:val="24"/>
                <w:szCs w:val="24"/>
                <w:lang w:val="en-US" w:eastAsia="zh-CN"/>
              </w:rPr>
            </w:pPr>
            <w:r>
              <w:rPr>
                <w:rFonts w:hint="eastAsia" w:ascii="Times New Roman" w:hAnsi="Times New Roman" w:eastAsia="宋体" w:cs="Times New Roman"/>
                <w:b w:val="0"/>
                <w:bCs w:val="0"/>
                <w:color w:val="auto"/>
                <w:highlight w:val="none"/>
                <w:lang w:eastAsia="zh-CN"/>
              </w:rPr>
              <w:t>（</w:t>
            </w:r>
            <w:r>
              <w:rPr>
                <w:rFonts w:hint="eastAsia" w:ascii="Times New Roman" w:hAnsi="Times New Roman" w:eastAsia="宋体" w:cs="Times New Roman"/>
                <w:b w:val="0"/>
                <w:bCs w:val="0"/>
                <w:color w:val="auto"/>
                <w:highlight w:val="none"/>
                <w:lang w:val="en-US" w:eastAsia="zh-CN"/>
              </w:rPr>
              <w:t>1</w:t>
            </w:r>
            <w:r>
              <w:rPr>
                <w:rFonts w:hint="eastAsia" w:ascii="Times New Roman" w:hAnsi="Times New Roman" w:eastAsia="宋体" w:cs="Times New Roman"/>
                <w:b w:val="0"/>
                <w:bCs w:val="0"/>
                <w:color w:val="auto"/>
                <w:highlight w:val="none"/>
                <w:lang w:eastAsia="zh-CN"/>
              </w:rPr>
              <w:t>）</w:t>
            </w:r>
            <w:r>
              <w:rPr>
                <w:rFonts w:hint="default" w:ascii="Times New Roman" w:hAnsi="Times New Roman" w:eastAsia="宋体" w:cs="Times New Roman"/>
                <w:b w:val="0"/>
                <w:bCs w:val="0"/>
                <w:color w:val="auto"/>
                <w:highlight w:val="none"/>
              </w:rPr>
              <w:t>现有</w:t>
            </w:r>
            <w:r>
              <w:rPr>
                <w:rFonts w:hint="eastAsia" w:ascii="Times New Roman" w:hAnsi="Times New Roman" w:eastAsia="宋体" w:cs="Times New Roman"/>
                <w:b w:val="0"/>
                <w:bCs w:val="0"/>
                <w:color w:val="auto"/>
                <w:highlight w:val="none"/>
                <w:lang w:val="en-US" w:eastAsia="zh-CN"/>
              </w:rPr>
              <w:t>工程环保手续履行</w:t>
            </w:r>
            <w:r>
              <w:rPr>
                <w:rFonts w:hint="default" w:ascii="Times New Roman" w:hAnsi="Times New Roman" w:eastAsia="宋体" w:cs="Times New Roman"/>
                <w:b w:val="0"/>
                <w:bCs w:val="0"/>
                <w:color w:val="auto"/>
                <w:highlight w:val="none"/>
              </w:rPr>
              <w:t>情况</w:t>
            </w:r>
          </w:p>
          <w:p w14:paraId="3C81B6A4">
            <w:pPr>
              <w:adjustRightInd w:val="0"/>
              <w:snapToGrid w:val="0"/>
              <w:spacing w:line="360" w:lineRule="auto"/>
              <w:jc w:val="center"/>
              <w:rPr>
                <w:bCs/>
                <w:color w:val="auto"/>
                <w:sz w:val="24"/>
              </w:rPr>
            </w:pPr>
            <w:r>
              <w:rPr>
                <w:rFonts w:hint="eastAsia"/>
                <w:b/>
                <w:bCs w:val="0"/>
                <w:color w:val="auto"/>
                <w:sz w:val="24"/>
              </w:rPr>
              <w:t>表</w:t>
            </w:r>
            <w:r>
              <w:rPr>
                <w:b/>
                <w:bCs w:val="0"/>
                <w:color w:val="auto"/>
                <w:sz w:val="24"/>
              </w:rPr>
              <w:t>2</w:t>
            </w:r>
            <w:r>
              <w:rPr>
                <w:rFonts w:hint="eastAsia"/>
                <w:b/>
                <w:bCs w:val="0"/>
                <w:color w:val="auto"/>
                <w:sz w:val="24"/>
              </w:rPr>
              <w:t>-</w:t>
            </w:r>
            <w:r>
              <w:rPr>
                <w:rFonts w:hint="eastAsia"/>
                <w:b/>
                <w:bCs w:val="0"/>
                <w:color w:val="auto"/>
                <w:sz w:val="24"/>
                <w:lang w:val="en-US" w:eastAsia="zh-CN"/>
              </w:rPr>
              <w:t>8</w:t>
            </w:r>
            <w:r>
              <w:rPr>
                <w:rFonts w:hint="eastAsia"/>
                <w:b/>
                <w:bCs w:val="0"/>
                <w:color w:val="auto"/>
                <w:sz w:val="24"/>
              </w:rPr>
              <w:t xml:space="preserve"> 现有</w:t>
            </w:r>
            <w:r>
              <w:rPr>
                <w:rFonts w:hint="eastAsia"/>
                <w:b/>
                <w:bCs w:val="0"/>
                <w:color w:val="auto"/>
                <w:sz w:val="24"/>
                <w:lang w:eastAsia="zh-CN"/>
              </w:rPr>
              <w:t>项目</w:t>
            </w:r>
            <w:r>
              <w:rPr>
                <w:rFonts w:hint="eastAsia"/>
                <w:b/>
                <w:bCs w:val="0"/>
                <w:color w:val="auto"/>
                <w:sz w:val="24"/>
              </w:rPr>
              <w:t>环保履行情况表</w:t>
            </w:r>
          </w:p>
          <w:tbl>
            <w:tblPr>
              <w:tblStyle w:val="37"/>
              <w:tblW w:w="8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6059"/>
            </w:tblGrid>
            <w:tr w14:paraId="2083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180" w:type="dxa"/>
                  <w:tcBorders>
                    <w:top w:val="single" w:color="auto" w:sz="4" w:space="0"/>
                    <w:left w:val="single" w:color="auto" w:sz="4" w:space="0"/>
                    <w:bottom w:val="single" w:color="auto" w:sz="4" w:space="0"/>
                    <w:right w:val="single" w:color="auto" w:sz="4" w:space="0"/>
                  </w:tcBorders>
                  <w:vAlign w:val="center"/>
                </w:tcPr>
                <w:p w14:paraId="1E9FC1BD">
                  <w:pPr>
                    <w:adjustRightInd w:val="0"/>
                    <w:snapToGrid w:val="0"/>
                    <w:spacing w:line="300" w:lineRule="exact"/>
                    <w:jc w:val="center"/>
                    <w:rPr>
                      <w:rFonts w:ascii="Calibri" w:hAnsi="Calibri"/>
                      <w:bCs/>
                      <w:color w:val="auto"/>
                      <w:szCs w:val="21"/>
                    </w:rPr>
                  </w:pPr>
                  <w:r>
                    <w:rPr>
                      <w:rFonts w:hint="eastAsia" w:ascii="Calibri" w:hAnsi="Calibri"/>
                      <w:bCs/>
                      <w:color w:val="auto"/>
                      <w:szCs w:val="21"/>
                    </w:rPr>
                    <w:t>项目名称</w:t>
                  </w:r>
                </w:p>
              </w:tc>
              <w:tc>
                <w:tcPr>
                  <w:tcW w:w="6059" w:type="dxa"/>
                  <w:tcBorders>
                    <w:top w:val="single" w:color="auto" w:sz="4" w:space="0"/>
                    <w:left w:val="single" w:color="auto" w:sz="4" w:space="0"/>
                    <w:bottom w:val="single" w:color="auto" w:sz="4" w:space="0"/>
                    <w:right w:val="single" w:color="auto" w:sz="4" w:space="0"/>
                  </w:tcBorders>
                  <w:vAlign w:val="center"/>
                </w:tcPr>
                <w:p w14:paraId="1156E456">
                  <w:pPr>
                    <w:adjustRightInd w:val="0"/>
                    <w:snapToGrid w:val="0"/>
                    <w:spacing w:line="300" w:lineRule="exact"/>
                    <w:jc w:val="center"/>
                    <w:rPr>
                      <w:rFonts w:hint="eastAsia" w:ascii="Calibri" w:hAnsi="Calibri" w:eastAsia="宋体" w:cs="Times New Roman"/>
                      <w:bCs/>
                      <w:color w:val="auto"/>
                      <w:szCs w:val="21"/>
                      <w:lang w:val="en-US" w:eastAsia="zh-CN"/>
                    </w:rPr>
                  </w:pPr>
                  <w:r>
                    <w:rPr>
                      <w:rFonts w:hint="eastAsia" w:ascii="Calibri" w:hAnsi="Calibri" w:eastAsia="宋体" w:cs="Times New Roman"/>
                      <w:bCs/>
                      <w:color w:val="auto"/>
                      <w:szCs w:val="21"/>
                      <w:lang w:val="en-US" w:eastAsia="zh-CN"/>
                    </w:rPr>
                    <w:t>年产7200万块空心砖、多孔砖、煤矸石砖生产线项目</w:t>
                  </w:r>
                </w:p>
              </w:tc>
            </w:tr>
            <w:tr w14:paraId="4B0FD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80" w:type="dxa"/>
                  <w:tcBorders>
                    <w:top w:val="single" w:color="auto" w:sz="4" w:space="0"/>
                    <w:left w:val="single" w:color="auto" w:sz="4" w:space="0"/>
                    <w:bottom w:val="single" w:color="auto" w:sz="4" w:space="0"/>
                    <w:right w:val="single" w:color="auto" w:sz="4" w:space="0"/>
                  </w:tcBorders>
                  <w:vAlign w:val="center"/>
                </w:tcPr>
                <w:p w14:paraId="3CD98E8D">
                  <w:pPr>
                    <w:adjustRightInd w:val="0"/>
                    <w:snapToGrid w:val="0"/>
                    <w:spacing w:line="300" w:lineRule="exact"/>
                    <w:jc w:val="center"/>
                    <w:rPr>
                      <w:rFonts w:hint="eastAsia" w:ascii="Calibri" w:hAnsi="Calibri"/>
                      <w:color w:val="auto"/>
                      <w:szCs w:val="21"/>
                      <w:lang w:eastAsia="zh-CN"/>
                    </w:rPr>
                  </w:pPr>
                  <w:r>
                    <w:rPr>
                      <w:rFonts w:hint="eastAsia" w:ascii="Calibri" w:hAnsi="Calibri" w:eastAsia="宋体" w:cs="Times New Roman"/>
                      <w:bCs/>
                      <w:color w:val="auto"/>
                      <w:szCs w:val="21"/>
                      <w:lang w:val="en-US" w:eastAsia="zh-CN"/>
                    </w:rPr>
                    <w:t>主要建设内容及规模</w:t>
                  </w:r>
                </w:p>
              </w:tc>
              <w:tc>
                <w:tcPr>
                  <w:tcW w:w="6059" w:type="dxa"/>
                  <w:tcBorders>
                    <w:top w:val="single" w:color="auto" w:sz="4" w:space="0"/>
                    <w:left w:val="single" w:color="auto" w:sz="4" w:space="0"/>
                    <w:bottom w:val="single" w:color="auto" w:sz="4" w:space="0"/>
                    <w:right w:val="single" w:color="auto" w:sz="4" w:space="0"/>
                  </w:tcBorders>
                  <w:vAlign w:val="center"/>
                </w:tcPr>
                <w:p w14:paraId="6F54CCF4">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Calibri" w:hAnsi="Calibri" w:eastAsia="宋体" w:cs="Times New Roman"/>
                      <w:bCs/>
                      <w:color w:val="auto"/>
                      <w:szCs w:val="21"/>
                      <w:lang w:val="en-US" w:eastAsia="zh-CN"/>
                    </w:rPr>
                  </w:pPr>
                  <w:r>
                    <w:rPr>
                      <w:rFonts w:hint="eastAsia" w:ascii="Calibri" w:hAnsi="Calibri" w:eastAsia="宋体" w:cs="Times New Roman"/>
                      <w:bCs/>
                      <w:color w:val="auto"/>
                      <w:szCs w:val="21"/>
                      <w:lang w:val="en-US" w:eastAsia="zh-CN"/>
                    </w:rPr>
                    <w:t>已建设完成一条隧道窑生产线、生产车间、破碎车间、陈化库、1#晾坯道、2#晾坯道、隧道窑、成品装载区、成品打包区等工程，年产煤矸石烧结砖7200万块。</w:t>
                  </w:r>
                </w:p>
              </w:tc>
            </w:tr>
            <w:tr w14:paraId="34EA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2180" w:type="dxa"/>
                  <w:tcBorders>
                    <w:top w:val="single" w:color="auto" w:sz="4" w:space="0"/>
                    <w:left w:val="single" w:color="auto" w:sz="4" w:space="0"/>
                    <w:bottom w:val="single" w:color="auto" w:sz="4" w:space="0"/>
                    <w:right w:val="single" w:color="auto" w:sz="4" w:space="0"/>
                  </w:tcBorders>
                  <w:vAlign w:val="center"/>
                </w:tcPr>
                <w:p w14:paraId="383B42E3">
                  <w:pPr>
                    <w:adjustRightInd w:val="0"/>
                    <w:snapToGrid w:val="0"/>
                    <w:spacing w:line="300" w:lineRule="exact"/>
                    <w:jc w:val="center"/>
                    <w:rPr>
                      <w:rFonts w:hint="eastAsia" w:ascii="Calibri" w:hAnsi="Calibri"/>
                      <w:color w:val="auto"/>
                      <w:szCs w:val="21"/>
                      <w:lang w:eastAsia="zh-CN"/>
                    </w:rPr>
                  </w:pPr>
                  <w:r>
                    <w:rPr>
                      <w:rFonts w:hint="eastAsia" w:ascii="Calibri" w:hAnsi="Calibri"/>
                      <w:bCs/>
                      <w:color w:val="auto"/>
                      <w:szCs w:val="21"/>
                    </w:rPr>
                    <w:t>环评手续执行情况</w:t>
                  </w:r>
                </w:p>
              </w:tc>
              <w:tc>
                <w:tcPr>
                  <w:tcW w:w="6059" w:type="dxa"/>
                  <w:tcBorders>
                    <w:top w:val="single" w:color="auto" w:sz="4" w:space="0"/>
                    <w:left w:val="single" w:color="auto" w:sz="4" w:space="0"/>
                    <w:bottom w:val="single" w:color="auto" w:sz="4" w:space="0"/>
                    <w:right w:val="single" w:color="auto" w:sz="4" w:space="0"/>
                  </w:tcBorders>
                  <w:vAlign w:val="center"/>
                </w:tcPr>
                <w:p w14:paraId="66823878">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Calibri" w:hAnsi="Calibri" w:eastAsia="宋体" w:cs="Times New Roman"/>
                      <w:bCs/>
                      <w:color w:val="auto"/>
                      <w:szCs w:val="21"/>
                      <w:lang w:val="en-US" w:eastAsia="zh-CN"/>
                    </w:rPr>
                  </w:pPr>
                  <w:r>
                    <w:rPr>
                      <w:rFonts w:hint="eastAsia" w:ascii="Calibri" w:hAnsi="Calibri" w:eastAsia="宋体" w:cs="Times New Roman"/>
                      <w:bCs/>
                      <w:color w:val="auto"/>
                      <w:szCs w:val="21"/>
                      <w:lang w:val="en-US" w:eastAsia="zh-CN"/>
                    </w:rPr>
                    <w:t>2017年3月15日取得濉溪县环境保护局通过的《年产7200万块空心砖、多孔砖、煤矸石砖生产线项目》审批意见》（濉环行审【2017】18号）。</w:t>
                  </w:r>
                </w:p>
              </w:tc>
            </w:tr>
            <w:tr w14:paraId="0224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80" w:type="dxa"/>
                  <w:tcBorders>
                    <w:top w:val="single" w:color="auto" w:sz="4" w:space="0"/>
                    <w:left w:val="single" w:color="auto" w:sz="4" w:space="0"/>
                    <w:bottom w:val="single" w:color="auto" w:sz="4" w:space="0"/>
                    <w:right w:val="single" w:color="auto" w:sz="4" w:space="0"/>
                  </w:tcBorders>
                  <w:vAlign w:val="center"/>
                </w:tcPr>
                <w:p w14:paraId="02C27018">
                  <w:pPr>
                    <w:adjustRightInd w:val="0"/>
                    <w:snapToGrid w:val="0"/>
                    <w:spacing w:line="300" w:lineRule="exact"/>
                    <w:jc w:val="center"/>
                    <w:rPr>
                      <w:rFonts w:hint="eastAsia" w:ascii="Calibri" w:hAnsi="Calibri"/>
                      <w:color w:val="auto"/>
                      <w:szCs w:val="21"/>
                      <w:lang w:eastAsia="zh-CN"/>
                    </w:rPr>
                  </w:pPr>
                  <w:r>
                    <w:rPr>
                      <w:rFonts w:hint="eastAsia" w:ascii="Calibri" w:hAnsi="Calibri"/>
                      <w:bCs/>
                      <w:color w:val="auto"/>
                      <w:szCs w:val="21"/>
                    </w:rPr>
                    <w:t>验收情况</w:t>
                  </w:r>
                </w:p>
              </w:tc>
              <w:tc>
                <w:tcPr>
                  <w:tcW w:w="6059" w:type="dxa"/>
                  <w:tcBorders>
                    <w:top w:val="single" w:color="auto" w:sz="4" w:space="0"/>
                    <w:left w:val="single" w:color="auto" w:sz="4" w:space="0"/>
                    <w:bottom w:val="single" w:color="auto" w:sz="4" w:space="0"/>
                    <w:right w:val="single" w:color="auto" w:sz="4" w:space="0"/>
                  </w:tcBorders>
                  <w:vAlign w:val="center"/>
                </w:tcPr>
                <w:p w14:paraId="232F03DC">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Calibri" w:hAnsi="Calibri" w:eastAsia="宋体" w:cs="Times New Roman"/>
                      <w:bCs/>
                      <w:color w:val="auto"/>
                      <w:szCs w:val="21"/>
                      <w:lang w:val="en-US" w:eastAsia="zh-CN"/>
                    </w:rPr>
                  </w:pPr>
                  <w:r>
                    <w:rPr>
                      <w:rFonts w:hint="eastAsia" w:ascii="Calibri" w:hAnsi="Calibri" w:eastAsia="宋体" w:cs="Times New Roman"/>
                      <w:bCs/>
                      <w:color w:val="auto"/>
                      <w:szCs w:val="21"/>
                      <w:lang w:val="en-US" w:eastAsia="zh-CN"/>
                    </w:rPr>
                    <w:t>2017年12月1日濉溪县国华新型建材有限公司年产7200万块空心砖、多孔砖、煤矸石砖生产线项目通过验收并形成验收意见。</w:t>
                  </w:r>
                </w:p>
              </w:tc>
            </w:tr>
            <w:tr w14:paraId="6BEB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180" w:type="dxa"/>
                  <w:tcBorders>
                    <w:top w:val="single" w:color="auto" w:sz="4" w:space="0"/>
                    <w:left w:val="single" w:color="auto" w:sz="4" w:space="0"/>
                    <w:bottom w:val="single" w:color="auto" w:sz="4" w:space="0"/>
                    <w:right w:val="single" w:color="auto" w:sz="4" w:space="0"/>
                  </w:tcBorders>
                  <w:vAlign w:val="center"/>
                </w:tcPr>
                <w:p w14:paraId="6EEBEE85">
                  <w:pPr>
                    <w:pStyle w:val="12"/>
                    <w:jc w:val="center"/>
                    <w:rPr>
                      <w:rFonts w:hint="eastAsia" w:ascii="Calibri" w:hAnsi="Calibri" w:eastAsia="宋体" w:cs="Times New Roman"/>
                      <w:bCs/>
                      <w:color w:val="auto"/>
                      <w:kern w:val="2"/>
                      <w:sz w:val="21"/>
                      <w:szCs w:val="21"/>
                      <w:lang w:val="en-US" w:eastAsia="zh-CN" w:bidi="ar-SA"/>
                    </w:rPr>
                  </w:pPr>
                  <w:r>
                    <w:rPr>
                      <w:rFonts w:hint="eastAsia" w:ascii="Calibri" w:hAnsi="Calibri" w:eastAsia="宋体" w:cs="Times New Roman"/>
                      <w:bCs/>
                      <w:color w:val="auto"/>
                      <w:kern w:val="2"/>
                      <w:sz w:val="21"/>
                      <w:szCs w:val="21"/>
                      <w:lang w:val="en-US" w:eastAsia="zh-CN" w:bidi="ar-SA"/>
                    </w:rPr>
                    <w:t>排污许可申报</w:t>
                  </w:r>
                </w:p>
              </w:tc>
              <w:tc>
                <w:tcPr>
                  <w:tcW w:w="6059" w:type="dxa"/>
                  <w:tcBorders>
                    <w:top w:val="single" w:color="auto" w:sz="4" w:space="0"/>
                    <w:left w:val="single" w:color="auto" w:sz="4" w:space="0"/>
                    <w:bottom w:val="single" w:color="auto" w:sz="4" w:space="0"/>
                    <w:right w:val="single" w:color="auto" w:sz="4" w:space="0"/>
                  </w:tcBorders>
                  <w:vAlign w:val="center"/>
                </w:tcPr>
                <w:p w14:paraId="35CA86E4">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Calibri" w:hAnsi="Calibri" w:eastAsia="宋体" w:cs="Times New Roman"/>
                      <w:bCs/>
                      <w:color w:val="auto"/>
                      <w:szCs w:val="21"/>
                      <w:lang w:val="en-US" w:eastAsia="zh-CN"/>
                    </w:rPr>
                  </w:pPr>
                  <w:r>
                    <w:rPr>
                      <w:rFonts w:hint="eastAsia" w:ascii="Calibri" w:hAnsi="Calibri" w:eastAsia="宋体" w:cs="Times New Roman"/>
                      <w:bCs/>
                      <w:color w:val="auto"/>
                      <w:szCs w:val="21"/>
                      <w:lang w:val="en-US" w:eastAsia="zh-CN"/>
                    </w:rPr>
                    <w:t>2019年8月16日申报通过排污许可证申请，证书编号为：91340621MA2T3KRT76001Q。</w:t>
                  </w:r>
                </w:p>
              </w:tc>
            </w:tr>
            <w:tr w14:paraId="2ACA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180" w:type="dxa"/>
                  <w:tcBorders>
                    <w:top w:val="single" w:color="auto" w:sz="4" w:space="0"/>
                    <w:left w:val="single" w:color="auto" w:sz="4" w:space="0"/>
                    <w:bottom w:val="single" w:color="auto" w:sz="4" w:space="0"/>
                    <w:right w:val="single" w:color="auto" w:sz="4" w:space="0"/>
                  </w:tcBorders>
                  <w:vAlign w:val="center"/>
                </w:tcPr>
                <w:p w14:paraId="2FA0F9C4">
                  <w:pPr>
                    <w:pStyle w:val="12"/>
                    <w:jc w:val="center"/>
                    <w:rPr>
                      <w:rFonts w:hint="eastAsia" w:ascii="Calibri" w:hAnsi="Calibri" w:eastAsia="宋体" w:cs="Times New Roman"/>
                      <w:bCs/>
                      <w:color w:val="auto"/>
                      <w:kern w:val="2"/>
                      <w:sz w:val="21"/>
                      <w:szCs w:val="21"/>
                      <w:lang w:val="en-US" w:eastAsia="zh-CN" w:bidi="ar-SA"/>
                    </w:rPr>
                  </w:pPr>
                  <w:r>
                    <w:rPr>
                      <w:rFonts w:hint="default" w:ascii="Calibri" w:hAnsi="Calibri" w:eastAsia="宋体" w:cs="Times New Roman"/>
                      <w:bCs/>
                      <w:color w:val="auto"/>
                      <w:kern w:val="2"/>
                      <w:sz w:val="21"/>
                      <w:szCs w:val="21"/>
                      <w:lang w:val="en-US" w:eastAsia="zh-CN" w:bidi="ar-SA"/>
                    </w:rPr>
                    <w:t>突发环境事件应急预案备案情况</w:t>
                  </w:r>
                </w:p>
              </w:tc>
              <w:tc>
                <w:tcPr>
                  <w:tcW w:w="6059" w:type="dxa"/>
                  <w:tcBorders>
                    <w:top w:val="single" w:color="auto" w:sz="4" w:space="0"/>
                    <w:left w:val="single" w:color="auto" w:sz="4" w:space="0"/>
                    <w:bottom w:val="single" w:color="auto" w:sz="4" w:space="0"/>
                    <w:right w:val="single" w:color="auto" w:sz="4" w:space="0"/>
                  </w:tcBorders>
                  <w:vAlign w:val="center"/>
                </w:tcPr>
                <w:p w14:paraId="57548A99">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无</w:t>
                  </w:r>
                </w:p>
              </w:tc>
            </w:tr>
          </w:tbl>
          <w:p w14:paraId="3C03C228">
            <w:pPr>
              <w:pStyle w:val="12"/>
              <w:spacing w:line="360" w:lineRule="auto"/>
              <w:ind w:left="480" w:hanging="480" w:hanging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textWrapping"/>
            </w:r>
            <w:r>
              <w:rPr>
                <w:rFonts w:hint="eastAsia" w:ascii="Times New Roman" w:hAnsi="Times New Roman" w:eastAsia="宋体" w:cs="Times New Roman"/>
                <w:b w:val="0"/>
                <w:bCs w:val="0"/>
                <w:color w:val="auto"/>
                <w:sz w:val="24"/>
                <w:szCs w:val="24"/>
                <w:lang w:val="en-US" w:eastAsia="zh-CN"/>
              </w:rPr>
              <w:t>（2）</w:t>
            </w:r>
            <w:r>
              <w:rPr>
                <w:rFonts w:hint="default" w:ascii="Times New Roman" w:hAnsi="Times New Roman" w:eastAsia="宋体" w:cs="Times New Roman"/>
                <w:b w:val="0"/>
                <w:bCs w:val="0"/>
                <w:color w:val="auto"/>
                <w:sz w:val="24"/>
                <w:szCs w:val="24"/>
                <w:lang w:val="en-US" w:eastAsia="zh-CN"/>
              </w:rPr>
              <w:t>项目原有污染排放及达标情况</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①废气</w:t>
            </w:r>
          </w:p>
          <w:p w14:paraId="2DF3C111">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现有项目</w:t>
            </w:r>
            <w:r>
              <w:rPr>
                <w:rFonts w:hint="eastAsia" w:ascii="宋体" w:hAnsi="宋体" w:cs="宋体"/>
                <w:color w:val="auto"/>
                <w:sz w:val="24"/>
                <w:szCs w:val="24"/>
                <w:lang w:val="en-US" w:eastAsia="zh-CN"/>
              </w:rPr>
              <w:t>废气主要有</w:t>
            </w:r>
            <w:r>
              <w:rPr>
                <w:rFonts w:hint="eastAsia" w:ascii="宋体" w:hAnsi="宋体" w:eastAsia="宋体" w:cs="宋体"/>
                <w:color w:val="auto"/>
                <w:sz w:val="24"/>
                <w:szCs w:val="24"/>
                <w:lang w:val="en-US" w:eastAsia="zh-CN"/>
              </w:rPr>
              <w:t>主要有原料堆场扬尘、破碎、筛分产生的粉尘排放；隧道窑产生废气。</w:t>
            </w:r>
          </w:p>
          <w:p w14:paraId="2A38B569">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4"/>
                <w:szCs w:val="24"/>
                <w:lang w:val="en-US" w:eastAsia="zh-CN"/>
              </w:rPr>
              <w:t>堆场粉尘通过采用堆棚储存原料，能够有效减少粉尘排放对周围环境的影响，其他有组织粉尘排放采用布袋除尘器处理，处理后的粉尘经过15m高排气筒排放。本项目隧道窑废气主要有SO</w:t>
            </w:r>
            <w:r>
              <w:rPr>
                <w:rFonts w:hint="eastAsia" w:ascii="宋体" w:hAnsi="宋体" w:eastAsia="宋体" w:cs="宋体"/>
                <w:color w:val="auto"/>
                <w:sz w:val="24"/>
                <w:szCs w:val="24"/>
                <w:vertAlign w:val="subscript"/>
                <w:lang w:val="en-US" w:eastAsia="zh-CN"/>
              </w:rPr>
              <w:t>2</w:t>
            </w:r>
            <w:r>
              <w:rPr>
                <w:rFonts w:hint="eastAsia" w:ascii="宋体" w:hAnsi="宋体" w:eastAsia="宋体" w:cs="宋体"/>
                <w:color w:val="auto"/>
                <w:sz w:val="24"/>
                <w:szCs w:val="24"/>
                <w:lang w:val="en-US" w:eastAsia="zh-CN"/>
              </w:rPr>
              <w:t>、NO</w:t>
            </w:r>
            <w:r>
              <w:rPr>
                <w:rFonts w:hint="eastAsia" w:ascii="宋体" w:hAnsi="宋体" w:eastAsia="宋体" w:cs="宋体"/>
                <w:color w:val="auto"/>
                <w:sz w:val="24"/>
                <w:szCs w:val="24"/>
                <w:vertAlign w:val="subscript"/>
                <w:lang w:val="en-US" w:eastAsia="zh-CN"/>
              </w:rPr>
              <w:t>X</w:t>
            </w:r>
            <w:r>
              <w:rPr>
                <w:rFonts w:hint="eastAsia" w:ascii="宋体" w:hAnsi="宋体" w:eastAsia="宋体" w:cs="宋体"/>
                <w:color w:val="auto"/>
                <w:sz w:val="24"/>
                <w:szCs w:val="24"/>
                <w:lang w:val="en-US" w:eastAsia="zh-CN"/>
              </w:rPr>
              <w:t>、烟尘和氟化物，通过采用除尘脱硫脱硝一体化设施，处理后的废气经</w:t>
            </w:r>
            <w:r>
              <w:rPr>
                <w:rFonts w:hint="eastAsia" w:ascii="宋体" w:hAnsi="宋体" w:cs="宋体"/>
                <w:color w:val="auto"/>
                <w:sz w:val="24"/>
                <w:szCs w:val="24"/>
                <w:lang w:val="en-US" w:eastAsia="zh-CN"/>
              </w:rPr>
              <w:t>26</w:t>
            </w:r>
            <w:r>
              <w:rPr>
                <w:rFonts w:hint="eastAsia" w:ascii="宋体" w:hAnsi="宋体" w:eastAsia="宋体" w:cs="宋体"/>
                <w:color w:val="auto"/>
                <w:sz w:val="24"/>
                <w:szCs w:val="24"/>
                <w:lang w:val="en-US" w:eastAsia="zh-CN"/>
              </w:rPr>
              <w:t>m高排气筒排放。</w:t>
            </w: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濉溪县国华新型建材有限公司</w:t>
            </w:r>
            <w:r>
              <w:rPr>
                <w:rFonts w:hint="eastAsia" w:ascii="宋体" w:hAnsi="宋体" w:eastAsia="宋体" w:cs="宋体"/>
                <w:color w:val="auto"/>
                <w:sz w:val="24"/>
                <w:szCs w:val="24"/>
                <w:highlight w:val="none"/>
                <w:lang w:val="en-US" w:eastAsia="zh-CN"/>
              </w:rPr>
              <w:t>排污许可2024年年度执行报告》中数据</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项目现有工程废气排放情况见下表所示:</w:t>
            </w:r>
          </w:p>
          <w:p w14:paraId="1AE175C5">
            <w:pPr>
              <w:numPr>
                <w:ilvl w:val="0"/>
                <w:numId w:val="0"/>
              </w:numPr>
              <w:autoSpaceDE w:val="0"/>
              <w:autoSpaceDN w:val="0"/>
              <w:adjustRightInd w:val="0"/>
              <w:snapToGrid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1"/>
                <w:szCs w:val="21"/>
                <w:highlight w:val="none"/>
                <w:lang w:val="en-US" w:eastAsia="zh-CN"/>
              </w:rPr>
              <w:t>表2-9 现有项目污染物排放量汇总表</w:t>
            </w:r>
          </w:p>
          <w:tbl>
            <w:tblPr>
              <w:tblStyle w:val="38"/>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2740"/>
              <w:gridCol w:w="2740"/>
            </w:tblGrid>
            <w:tr w14:paraId="3C70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480" w:type="dxa"/>
                  <w:gridSpan w:val="2"/>
                  <w:vAlign w:val="center"/>
                </w:tcPr>
                <w:p w14:paraId="00F16C90">
                  <w:pPr>
                    <w:numPr>
                      <w:ilvl w:val="0"/>
                      <w:numId w:val="0"/>
                    </w:numPr>
                    <w:autoSpaceDE w:val="0"/>
                    <w:autoSpaceDN w:val="0"/>
                    <w:adjustRightInd w:val="0"/>
                    <w:snapToGrid w:val="0"/>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类别</w:t>
                  </w:r>
                </w:p>
              </w:tc>
              <w:tc>
                <w:tcPr>
                  <w:tcW w:w="2740" w:type="dxa"/>
                  <w:vAlign w:val="center"/>
                </w:tcPr>
                <w:p w14:paraId="19F28278">
                  <w:pPr>
                    <w:numPr>
                      <w:ilvl w:val="0"/>
                      <w:numId w:val="0"/>
                    </w:numPr>
                    <w:autoSpaceDE w:val="0"/>
                    <w:autoSpaceDN w:val="0"/>
                    <w:adjustRightInd w:val="0"/>
                    <w:snapToGrid w:val="0"/>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污染物排放量</w:t>
                  </w:r>
                </w:p>
              </w:tc>
            </w:tr>
            <w:tr w14:paraId="2EC1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740" w:type="dxa"/>
                  <w:vMerge w:val="restart"/>
                  <w:vAlign w:val="center"/>
                </w:tcPr>
                <w:p w14:paraId="7F9273AF">
                  <w:pPr>
                    <w:numPr>
                      <w:ilvl w:val="0"/>
                      <w:numId w:val="0"/>
                    </w:numPr>
                    <w:autoSpaceDE w:val="0"/>
                    <w:autoSpaceDN w:val="0"/>
                    <w:adjustRightInd w:val="0"/>
                    <w:snapToGrid w:val="0"/>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有组织</w:t>
                  </w:r>
                </w:p>
              </w:tc>
              <w:tc>
                <w:tcPr>
                  <w:tcW w:w="2740" w:type="dxa"/>
                  <w:vAlign w:val="center"/>
                </w:tcPr>
                <w:p w14:paraId="4B8B0614">
                  <w:pPr>
                    <w:numPr>
                      <w:ilvl w:val="0"/>
                      <w:numId w:val="0"/>
                    </w:numPr>
                    <w:autoSpaceDE w:val="0"/>
                    <w:autoSpaceDN w:val="0"/>
                    <w:adjustRightInd w:val="0"/>
                    <w:snapToGrid w:val="0"/>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颗粒物</w:t>
                  </w:r>
                </w:p>
              </w:tc>
              <w:tc>
                <w:tcPr>
                  <w:tcW w:w="2740" w:type="dxa"/>
                  <w:vAlign w:val="center"/>
                </w:tcPr>
                <w:p w14:paraId="4B8D17A3">
                  <w:pPr>
                    <w:numPr>
                      <w:ilvl w:val="0"/>
                      <w:numId w:val="0"/>
                    </w:numPr>
                    <w:autoSpaceDE w:val="0"/>
                    <w:autoSpaceDN w:val="0"/>
                    <w:adjustRightInd w:val="0"/>
                    <w:snapToGrid w:val="0"/>
                    <w:spacing w:line="24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0.</w:t>
                  </w:r>
                  <w:r>
                    <w:rPr>
                      <w:rFonts w:hint="eastAsia" w:ascii="宋体" w:hAnsi="宋体" w:cs="宋体"/>
                      <w:color w:val="auto"/>
                      <w:sz w:val="21"/>
                      <w:szCs w:val="21"/>
                      <w:highlight w:val="none"/>
                      <w:vertAlign w:val="baseline"/>
                      <w:lang w:val="en-US" w:eastAsia="zh-CN"/>
                    </w:rPr>
                    <w:t>904106</w:t>
                  </w:r>
                </w:p>
              </w:tc>
            </w:tr>
            <w:tr w14:paraId="1842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740" w:type="dxa"/>
                  <w:vMerge w:val="continue"/>
                  <w:vAlign w:val="center"/>
                </w:tcPr>
                <w:p w14:paraId="24BFDA6A">
                  <w:pPr>
                    <w:numPr>
                      <w:ilvl w:val="0"/>
                      <w:numId w:val="0"/>
                    </w:numPr>
                    <w:autoSpaceDE w:val="0"/>
                    <w:autoSpaceDN w:val="0"/>
                    <w:adjustRightInd w:val="0"/>
                    <w:snapToGrid w:val="0"/>
                    <w:spacing w:line="240" w:lineRule="auto"/>
                    <w:jc w:val="center"/>
                    <w:rPr>
                      <w:rFonts w:hint="eastAsia" w:ascii="宋体" w:hAnsi="宋体" w:eastAsia="宋体" w:cs="宋体"/>
                      <w:color w:val="auto"/>
                      <w:sz w:val="21"/>
                      <w:szCs w:val="21"/>
                      <w:highlight w:val="none"/>
                      <w:vertAlign w:val="baseline"/>
                      <w:lang w:val="en-US" w:eastAsia="zh-CN"/>
                    </w:rPr>
                  </w:pPr>
                </w:p>
              </w:tc>
              <w:tc>
                <w:tcPr>
                  <w:tcW w:w="2740" w:type="dxa"/>
                  <w:vAlign w:val="center"/>
                </w:tcPr>
                <w:p w14:paraId="344359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vertAlign w:val="baseline"/>
                      <w:lang w:val="en-US" w:eastAsia="zh-CN"/>
                    </w:rPr>
                  </w:pPr>
                  <w:r>
                    <w:rPr>
                      <w:rFonts w:hint="eastAsia"/>
                      <w:bCs/>
                      <w:color w:val="auto"/>
                      <w:sz w:val="21"/>
                      <w:szCs w:val="21"/>
                      <w:highlight w:val="none"/>
                      <w:vertAlign w:val="baseline"/>
                      <w:lang w:val="en-US" w:eastAsia="zh-CN"/>
                    </w:rPr>
                    <w:t>二氧化硫</w:t>
                  </w:r>
                </w:p>
              </w:tc>
              <w:tc>
                <w:tcPr>
                  <w:tcW w:w="2740" w:type="dxa"/>
                  <w:vAlign w:val="center"/>
                </w:tcPr>
                <w:p w14:paraId="03E0B666">
                  <w:pPr>
                    <w:numPr>
                      <w:ilvl w:val="0"/>
                      <w:numId w:val="0"/>
                    </w:numPr>
                    <w:autoSpaceDE w:val="0"/>
                    <w:autoSpaceDN w:val="0"/>
                    <w:adjustRightInd w:val="0"/>
                    <w:snapToGrid w:val="0"/>
                    <w:spacing w:line="24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r>
                    <w:rPr>
                      <w:rFonts w:hint="eastAsia" w:ascii="宋体" w:hAnsi="宋体" w:eastAsia="宋体" w:cs="宋体"/>
                      <w:color w:val="auto"/>
                      <w:sz w:val="21"/>
                      <w:szCs w:val="21"/>
                      <w:highlight w:val="none"/>
                      <w:vertAlign w:val="baseline"/>
                      <w:lang w:val="en-US" w:eastAsia="zh-CN"/>
                    </w:rPr>
                    <w:t>8.</w:t>
                  </w:r>
                  <w:r>
                    <w:rPr>
                      <w:rFonts w:hint="eastAsia" w:ascii="宋体" w:hAnsi="宋体" w:cs="宋体"/>
                      <w:color w:val="auto"/>
                      <w:sz w:val="21"/>
                      <w:szCs w:val="21"/>
                      <w:highlight w:val="none"/>
                      <w:vertAlign w:val="baseline"/>
                      <w:lang w:val="en-US" w:eastAsia="zh-CN"/>
                    </w:rPr>
                    <w:t>77931</w:t>
                  </w:r>
                </w:p>
              </w:tc>
            </w:tr>
            <w:tr w14:paraId="27D4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740" w:type="dxa"/>
                  <w:vMerge w:val="continue"/>
                  <w:vAlign w:val="center"/>
                </w:tcPr>
                <w:p w14:paraId="67B02516">
                  <w:pPr>
                    <w:numPr>
                      <w:ilvl w:val="0"/>
                      <w:numId w:val="0"/>
                    </w:numPr>
                    <w:autoSpaceDE w:val="0"/>
                    <w:autoSpaceDN w:val="0"/>
                    <w:adjustRightInd w:val="0"/>
                    <w:snapToGrid w:val="0"/>
                    <w:spacing w:line="240" w:lineRule="auto"/>
                    <w:jc w:val="center"/>
                    <w:rPr>
                      <w:rFonts w:hint="eastAsia" w:ascii="宋体" w:hAnsi="宋体" w:eastAsia="宋体" w:cs="宋体"/>
                      <w:color w:val="auto"/>
                      <w:sz w:val="21"/>
                      <w:szCs w:val="21"/>
                      <w:highlight w:val="none"/>
                      <w:vertAlign w:val="baseline"/>
                      <w:lang w:val="en-US" w:eastAsia="zh-CN"/>
                    </w:rPr>
                  </w:pPr>
                </w:p>
              </w:tc>
              <w:tc>
                <w:tcPr>
                  <w:tcW w:w="2740" w:type="dxa"/>
                  <w:vAlign w:val="center"/>
                </w:tcPr>
                <w:p w14:paraId="53F283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vertAlign w:val="baseline"/>
                      <w:lang w:val="en-US" w:eastAsia="zh-CN"/>
                    </w:rPr>
                  </w:pPr>
                  <w:r>
                    <w:rPr>
                      <w:rFonts w:hint="eastAsia"/>
                      <w:bCs/>
                      <w:color w:val="auto"/>
                      <w:sz w:val="21"/>
                      <w:szCs w:val="21"/>
                      <w:highlight w:val="none"/>
                      <w:vertAlign w:val="baseline"/>
                      <w:lang w:val="en-US" w:eastAsia="zh-CN"/>
                    </w:rPr>
                    <w:t>氮氧化物</w:t>
                  </w:r>
                </w:p>
              </w:tc>
              <w:tc>
                <w:tcPr>
                  <w:tcW w:w="2740" w:type="dxa"/>
                  <w:vAlign w:val="center"/>
                </w:tcPr>
                <w:p w14:paraId="01642D6A">
                  <w:pPr>
                    <w:numPr>
                      <w:ilvl w:val="0"/>
                      <w:numId w:val="0"/>
                    </w:numPr>
                    <w:autoSpaceDE w:val="0"/>
                    <w:autoSpaceDN w:val="0"/>
                    <w:adjustRightInd w:val="0"/>
                    <w:snapToGrid w:val="0"/>
                    <w:spacing w:line="24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14.77415</w:t>
                  </w:r>
                </w:p>
              </w:tc>
            </w:tr>
          </w:tbl>
          <w:p w14:paraId="674CCEC4">
            <w:pPr>
              <w:numPr>
                <w:ilvl w:val="0"/>
                <w:numId w:val="0"/>
              </w:numPr>
              <w:autoSpaceDE w:val="0"/>
              <w:autoSpaceDN w:val="0"/>
              <w:adjustRightInd w:val="0"/>
              <w:snapToGrid w:val="0"/>
              <w:spacing w:line="360" w:lineRule="auto"/>
              <w:jc w:val="center"/>
              <w:rPr>
                <w:rFonts w:hint="eastAsia" w:ascii="宋体" w:hAnsi="宋体" w:eastAsia="宋体" w:cs="宋体"/>
                <w:color w:val="auto"/>
                <w:sz w:val="24"/>
                <w:szCs w:val="24"/>
                <w:highlight w:val="none"/>
                <w:lang w:val="en-US" w:eastAsia="zh-CN"/>
              </w:rPr>
            </w:pPr>
          </w:p>
          <w:p w14:paraId="7314F81B">
            <w:pPr>
              <w:numPr>
                <w:ilvl w:val="0"/>
                <w:numId w:val="0"/>
              </w:numPr>
              <w:autoSpaceDE w:val="0"/>
              <w:autoSpaceDN w:val="0"/>
              <w:adjustRightInd w:val="0"/>
              <w:snapToGrid w:val="0"/>
              <w:spacing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安徽相和环境检测股份有限公司2024年8月2日出具的报告编号为2024-06-165的</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濉溪县国华新型建材有限公司环境检测（半年检测）</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检测报告（见附件）</w:t>
            </w:r>
            <w:r>
              <w:rPr>
                <w:rFonts w:hint="eastAsia" w:ascii="宋体" w:hAnsi="宋体" w:eastAsia="宋体" w:cs="宋体"/>
                <w:color w:val="auto"/>
                <w:sz w:val="24"/>
                <w:szCs w:val="24"/>
                <w:highlight w:val="none"/>
                <w:lang w:val="en-US" w:eastAsia="zh-CN"/>
              </w:rPr>
              <w:t>中数据显示2024年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月2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日无组织</w:t>
            </w:r>
            <w:r>
              <w:rPr>
                <w:rFonts w:hint="eastAsia" w:ascii="宋体" w:hAnsi="宋体" w:eastAsia="宋体" w:cs="宋体"/>
                <w:color w:val="auto"/>
                <w:sz w:val="24"/>
                <w:szCs w:val="24"/>
                <w:highlight w:val="none"/>
                <w:vertAlign w:val="baseline"/>
                <w:lang w:val="en-US" w:eastAsia="zh-CN"/>
              </w:rPr>
              <w:t>氟化物</w:t>
            </w:r>
            <w:r>
              <w:rPr>
                <w:rFonts w:hint="eastAsia" w:ascii="宋体" w:hAnsi="宋体" w:eastAsia="宋体" w:cs="宋体"/>
                <w:color w:val="auto"/>
                <w:sz w:val="24"/>
                <w:szCs w:val="24"/>
                <w:highlight w:val="none"/>
                <w:lang w:val="en-US" w:eastAsia="zh-CN"/>
              </w:rPr>
              <w:t>实测浓度为0.00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mg/Nm</w:t>
            </w:r>
            <w:r>
              <w:rPr>
                <w:rFonts w:hint="eastAsia" w:ascii="宋体" w:hAnsi="宋体" w:eastAsia="宋体" w:cs="宋体"/>
                <w:color w:val="auto"/>
                <w:sz w:val="24"/>
                <w:szCs w:val="24"/>
                <w:highlight w:val="none"/>
                <w:vertAlign w:val="superscript"/>
                <w:lang w:val="en-US" w:eastAsia="zh-CN"/>
              </w:rPr>
              <w:t>3</w:t>
            </w:r>
            <w:r>
              <w:rPr>
                <w:rFonts w:hint="eastAsia" w:ascii="宋体" w:hAnsi="宋体" w:cs="宋体"/>
                <w:color w:val="auto"/>
                <w:sz w:val="24"/>
                <w:szCs w:val="24"/>
                <w:highlight w:val="none"/>
                <w:vertAlign w:val="baseline"/>
                <w:lang w:val="en-US" w:eastAsia="zh-CN"/>
              </w:rPr>
              <w:t>，总悬浮</w:t>
            </w:r>
            <w:r>
              <w:rPr>
                <w:rFonts w:hint="eastAsia" w:ascii="宋体" w:hAnsi="宋体" w:eastAsia="宋体" w:cs="宋体"/>
                <w:color w:val="auto"/>
                <w:sz w:val="24"/>
                <w:szCs w:val="24"/>
                <w:highlight w:val="none"/>
                <w:lang w:val="en-US" w:eastAsia="zh-CN"/>
              </w:rPr>
              <w:t>颗粒物实测浓度为0.</w:t>
            </w:r>
            <w:r>
              <w:rPr>
                <w:rFonts w:hint="eastAsia" w:ascii="宋体" w:hAnsi="宋体" w:cs="宋体"/>
                <w:color w:val="auto"/>
                <w:sz w:val="24"/>
                <w:szCs w:val="24"/>
                <w:highlight w:val="none"/>
                <w:lang w:val="en-US" w:eastAsia="zh-CN"/>
              </w:rPr>
              <w:t>629</w:t>
            </w:r>
            <w:r>
              <w:rPr>
                <w:rFonts w:hint="eastAsia" w:ascii="宋体" w:hAnsi="宋体" w:eastAsia="宋体" w:cs="宋体"/>
                <w:color w:val="auto"/>
                <w:sz w:val="24"/>
                <w:szCs w:val="24"/>
                <w:highlight w:val="none"/>
                <w:lang w:val="en-US" w:eastAsia="zh-CN"/>
              </w:rPr>
              <w:t>mg/Nm</w:t>
            </w:r>
            <w:r>
              <w:rPr>
                <w:rFonts w:hint="eastAsia" w:ascii="宋体" w:hAnsi="宋体" w:eastAsia="宋体" w:cs="宋体"/>
                <w:color w:val="auto"/>
                <w:sz w:val="24"/>
                <w:szCs w:val="24"/>
                <w:highlight w:val="none"/>
                <w:vertAlign w:val="superscript"/>
                <w:lang w:val="en-US" w:eastAsia="zh-CN"/>
              </w:rPr>
              <w:t>3</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二氧化硫实测浓度为0.0</w:t>
            </w:r>
            <w:r>
              <w:rPr>
                <w:rFonts w:hint="eastAsia" w:ascii="宋体" w:hAnsi="宋体" w:cs="宋体"/>
                <w:color w:val="auto"/>
                <w:sz w:val="24"/>
                <w:szCs w:val="24"/>
                <w:highlight w:val="none"/>
                <w:vertAlign w:val="baseline"/>
                <w:lang w:val="en-US" w:eastAsia="zh-CN"/>
              </w:rPr>
              <w:t>1</w:t>
            </w:r>
            <w:r>
              <w:rPr>
                <w:rFonts w:hint="eastAsia" w:ascii="宋体" w:hAnsi="宋体" w:eastAsia="宋体" w:cs="宋体"/>
                <w:color w:val="auto"/>
                <w:sz w:val="24"/>
                <w:szCs w:val="24"/>
                <w:highlight w:val="none"/>
                <w:lang w:val="en-US" w:eastAsia="zh-CN"/>
              </w:rPr>
              <w:t>mg/Nm</w:t>
            </w:r>
            <w:r>
              <w:rPr>
                <w:rFonts w:hint="eastAsia" w:ascii="宋体" w:hAnsi="宋体" w:eastAsia="宋体" w:cs="宋体"/>
                <w:color w:val="auto"/>
                <w:sz w:val="24"/>
                <w:szCs w:val="24"/>
                <w:highlight w:val="none"/>
                <w:vertAlign w:val="superscript"/>
                <w:lang w:val="en-US" w:eastAsia="zh-CN"/>
              </w:rPr>
              <w:t>3</w:t>
            </w:r>
            <w:r>
              <w:rPr>
                <w:rFonts w:hint="eastAsia" w:ascii="宋体" w:hAnsi="宋体" w:cs="宋体"/>
                <w:color w:val="auto"/>
                <w:sz w:val="24"/>
                <w:szCs w:val="24"/>
                <w:highlight w:val="none"/>
                <w:vertAlign w:val="baseline"/>
                <w:lang w:val="en-US" w:eastAsia="zh-CN"/>
              </w:rPr>
              <w:t>；有组织除尘器排气筒（DA001）颗粒物实测浓度为12.3</w:t>
            </w:r>
            <w:r>
              <w:rPr>
                <w:rFonts w:hint="eastAsia" w:ascii="宋体" w:hAnsi="宋体" w:eastAsia="宋体" w:cs="宋体"/>
                <w:color w:val="auto"/>
                <w:sz w:val="24"/>
                <w:szCs w:val="24"/>
                <w:highlight w:val="none"/>
                <w:lang w:val="en-US" w:eastAsia="zh-CN"/>
              </w:rPr>
              <w:t>mg/Nm</w:t>
            </w:r>
            <w:r>
              <w:rPr>
                <w:rFonts w:hint="eastAsia" w:ascii="宋体" w:hAnsi="宋体" w:eastAsia="宋体" w:cs="宋体"/>
                <w:color w:val="auto"/>
                <w:sz w:val="24"/>
                <w:szCs w:val="24"/>
                <w:highlight w:val="none"/>
                <w:vertAlign w:val="superscript"/>
                <w:lang w:val="en-US" w:eastAsia="zh-CN"/>
              </w:rPr>
              <w:t>3</w:t>
            </w:r>
            <w:r>
              <w:rPr>
                <w:rFonts w:hint="eastAsia" w:ascii="宋体" w:hAnsi="宋体" w:cs="宋体"/>
                <w:color w:val="auto"/>
                <w:sz w:val="24"/>
                <w:szCs w:val="24"/>
                <w:highlight w:val="none"/>
                <w:vertAlign w:val="baseline"/>
                <w:lang w:val="en-US" w:eastAsia="zh-CN"/>
              </w:rPr>
              <w:t>；脱硫塔排气筒（DA002）氟化物实测浓度为0.59</w:t>
            </w:r>
            <w:r>
              <w:rPr>
                <w:rFonts w:hint="eastAsia" w:ascii="宋体" w:hAnsi="宋体" w:eastAsia="宋体" w:cs="宋体"/>
                <w:color w:val="auto"/>
                <w:sz w:val="24"/>
                <w:szCs w:val="24"/>
                <w:highlight w:val="none"/>
                <w:lang w:val="en-US" w:eastAsia="zh-CN"/>
              </w:rPr>
              <w:t>mg/Nm</w:t>
            </w:r>
            <w:r>
              <w:rPr>
                <w:rFonts w:hint="eastAsia" w:ascii="宋体" w:hAnsi="宋体" w:eastAsia="宋体" w:cs="宋体"/>
                <w:color w:val="auto"/>
                <w:sz w:val="24"/>
                <w:szCs w:val="24"/>
                <w:highlight w:val="none"/>
                <w:vertAlign w:val="superscript"/>
                <w:lang w:val="en-US" w:eastAsia="zh-CN"/>
              </w:rPr>
              <w:t>3</w:t>
            </w:r>
            <w:r>
              <w:rPr>
                <w:rFonts w:hint="eastAsia" w:ascii="宋体" w:hAnsi="宋体" w:eastAsia="宋体" w:cs="宋体"/>
                <w:color w:val="auto"/>
                <w:sz w:val="24"/>
                <w:szCs w:val="24"/>
                <w:highlight w:val="none"/>
                <w:vertAlign w:val="baseline"/>
                <w:lang w:val="en-US" w:eastAsia="zh-CN"/>
              </w:rPr>
              <w:t>，均满足《砖瓦工业大气污染物排放标准》（DB34/ 4362-2023）中相关标准。</w:t>
            </w:r>
            <w:r>
              <w:rPr>
                <w:rFonts w:hint="eastAsia" w:ascii="宋体" w:hAnsi="宋体" w:eastAsia="宋体" w:cs="宋体"/>
                <w:color w:val="auto"/>
                <w:sz w:val="24"/>
                <w:szCs w:val="24"/>
                <w:highlight w:val="none"/>
                <w:vertAlign w:val="baseline"/>
                <w:lang w:val="en-US" w:eastAsia="zh-CN"/>
              </w:rPr>
              <w:br w:type="textWrapping"/>
            </w:r>
            <w:r>
              <w:rPr>
                <w:rFonts w:hint="eastAsia" w:ascii="宋体" w:hAnsi="宋体" w:cs="宋体"/>
                <w:color w:val="auto"/>
                <w:sz w:val="24"/>
                <w:szCs w:val="24"/>
                <w:vertAlign w:val="baseline"/>
                <w:lang w:val="en-US" w:eastAsia="zh-CN"/>
              </w:rPr>
              <w:t xml:space="preserve"> </w:t>
            </w:r>
            <w:r>
              <w:rPr>
                <w:rFonts w:hint="eastAsia" w:ascii="宋体" w:hAnsi="宋体" w:eastAsia="宋体" w:cs="宋体"/>
                <w:color w:val="auto"/>
                <w:sz w:val="24"/>
                <w:szCs w:val="24"/>
                <w:lang w:val="en-US" w:eastAsia="zh-CN"/>
              </w:rPr>
              <w:t xml:space="preserve">   ②废水</w:t>
            </w:r>
          </w:p>
          <w:p w14:paraId="3ED910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lang w:val="en-US" w:eastAsia="zh-CN"/>
              </w:rPr>
            </w:pPr>
            <w:r>
              <w:rPr>
                <w:rFonts w:hint="eastAsia" w:ascii="宋体" w:hAnsi="宋体" w:eastAsia="宋体" w:cs="宋体"/>
                <w:color w:val="auto"/>
                <w:sz w:val="24"/>
                <w:szCs w:val="24"/>
                <w:lang w:val="en-US" w:eastAsia="zh-CN"/>
              </w:rPr>
              <w:t>现有项目主要废水为生活污水</w:t>
            </w:r>
            <w:r>
              <w:rPr>
                <w:rFonts w:hint="eastAsia" w:ascii="宋体" w:hAnsi="宋体" w:cs="宋体"/>
                <w:color w:val="auto"/>
                <w:sz w:val="24"/>
                <w:szCs w:val="24"/>
                <w:lang w:val="en-US" w:eastAsia="zh-CN"/>
              </w:rPr>
              <w:t>，</w:t>
            </w:r>
            <w:r>
              <w:rPr>
                <w:rFonts w:hint="eastAsia" w:ascii="宋体" w:hAnsi="宋体" w:eastAsia="宋体" w:cs="宋体"/>
                <w:color w:val="auto"/>
                <w:sz w:val="24"/>
                <w:szCs w:val="24"/>
                <w:highlight w:val="none"/>
                <w:lang w:val="en-US" w:eastAsia="zh-CN"/>
              </w:rPr>
              <w:t>生活污水</w:t>
            </w:r>
            <w:r>
              <w:rPr>
                <w:rFonts w:hint="eastAsia" w:ascii="宋体" w:hAnsi="宋体" w:cs="宋体"/>
                <w:color w:val="auto"/>
                <w:sz w:val="24"/>
                <w:szCs w:val="24"/>
                <w:highlight w:val="none"/>
                <w:lang w:val="en-US" w:eastAsia="zh-CN"/>
              </w:rPr>
              <w:t>年产生量约为276.48t/a，</w:t>
            </w:r>
            <w:r>
              <w:rPr>
                <w:rFonts w:hint="eastAsia" w:ascii="宋体" w:hAnsi="宋体" w:eastAsia="宋体" w:cs="宋体"/>
                <w:color w:val="auto"/>
                <w:sz w:val="24"/>
                <w:szCs w:val="24"/>
                <w:highlight w:val="none"/>
                <w:lang w:val="en-US" w:eastAsia="zh-CN"/>
              </w:rPr>
              <w:t>经化粪池处理后</w:t>
            </w:r>
            <w:r>
              <w:rPr>
                <w:rFonts w:hint="eastAsia" w:ascii="宋体" w:hAnsi="宋体" w:cs="宋体"/>
                <w:color w:val="auto"/>
                <w:sz w:val="24"/>
                <w:szCs w:val="24"/>
                <w:highlight w:val="none"/>
                <w:lang w:val="en-US" w:eastAsia="zh-CN"/>
              </w:rPr>
              <w:t>定期清掏，</w:t>
            </w:r>
            <w:r>
              <w:rPr>
                <w:rFonts w:hint="eastAsia" w:ascii="宋体" w:hAnsi="宋体" w:eastAsia="宋体" w:cs="宋体"/>
                <w:color w:val="auto"/>
                <w:sz w:val="24"/>
                <w:szCs w:val="24"/>
                <w:highlight w:val="none"/>
                <w:lang w:val="en-US" w:eastAsia="zh-CN"/>
              </w:rPr>
              <w:t>不外排。</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③固废</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现有项目运营期产生的固体废物主要为生活垃圾</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不合格产品</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除尘器收集粉尘。</w:t>
            </w:r>
          </w:p>
          <w:p w14:paraId="6C17D7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val="0"/>
                <w:color w:val="auto"/>
                <w:sz w:val="21"/>
                <w:szCs w:val="21"/>
                <w:lang w:val="en-US" w:eastAsia="zh-CN"/>
              </w:rPr>
            </w:pPr>
            <w:r>
              <w:rPr>
                <w:rFonts w:hint="eastAsia"/>
                <w:b/>
                <w:bCs/>
                <w:color w:val="auto"/>
                <w:sz w:val="21"/>
                <w:szCs w:val="21"/>
                <w:lang w:val="en-US" w:eastAsia="zh-CN"/>
              </w:rPr>
              <w:t>表2-10 现有固废产生及处置措施表</w:t>
            </w:r>
          </w:p>
          <w:tbl>
            <w:tblPr>
              <w:tblStyle w:val="39"/>
              <w:tblW w:w="839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90"/>
              <w:gridCol w:w="2148"/>
              <w:gridCol w:w="1959"/>
              <w:gridCol w:w="2501"/>
            </w:tblGrid>
            <w:tr w14:paraId="0BEBF4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2" w:hRule="atLeast"/>
                <w:jc w:val="center"/>
              </w:trPr>
              <w:tc>
                <w:tcPr>
                  <w:tcW w:w="1065" w:type="pct"/>
                  <w:tcBorders>
                    <w:tl2br w:val="nil"/>
                    <w:tr2bl w:val="nil"/>
                  </w:tcBorders>
                  <w:shd w:val="clear" w:color="auto" w:fill="auto"/>
                  <w:noWrap w:val="0"/>
                  <w:vAlign w:val="center"/>
                </w:tcPr>
                <w:p w14:paraId="0AD014C6">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b w:val="0"/>
                      <w:bCs w:val="0"/>
                      <w:color w:val="auto"/>
                      <w:sz w:val="21"/>
                      <w:szCs w:val="21"/>
                    </w:rPr>
                  </w:pPr>
                  <w:r>
                    <w:rPr>
                      <w:b w:val="0"/>
                      <w:bCs w:val="0"/>
                      <w:color w:val="auto"/>
                      <w:sz w:val="21"/>
                      <w:szCs w:val="21"/>
                    </w:rPr>
                    <w:t>类别</w:t>
                  </w:r>
                </w:p>
              </w:tc>
              <w:tc>
                <w:tcPr>
                  <w:tcW w:w="1278" w:type="pct"/>
                  <w:tcBorders>
                    <w:tl2br w:val="nil"/>
                    <w:tr2bl w:val="nil"/>
                  </w:tcBorders>
                  <w:shd w:val="clear" w:color="auto" w:fill="auto"/>
                  <w:noWrap w:val="0"/>
                  <w:vAlign w:val="center"/>
                </w:tcPr>
                <w:p w14:paraId="4398BFA9">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b w:val="0"/>
                      <w:bCs w:val="0"/>
                      <w:color w:val="auto"/>
                      <w:sz w:val="21"/>
                      <w:szCs w:val="21"/>
                    </w:rPr>
                  </w:pPr>
                  <w:r>
                    <w:rPr>
                      <w:b w:val="0"/>
                      <w:bCs w:val="0"/>
                      <w:color w:val="auto"/>
                      <w:sz w:val="21"/>
                      <w:szCs w:val="21"/>
                    </w:rPr>
                    <w:t>固废名称</w:t>
                  </w:r>
                </w:p>
              </w:tc>
              <w:tc>
                <w:tcPr>
                  <w:tcW w:w="1166" w:type="pct"/>
                  <w:tcBorders>
                    <w:tl2br w:val="nil"/>
                    <w:tr2bl w:val="nil"/>
                  </w:tcBorders>
                  <w:shd w:val="clear" w:color="auto" w:fill="auto"/>
                  <w:noWrap w:val="0"/>
                  <w:vAlign w:val="center"/>
                </w:tcPr>
                <w:p w14:paraId="14849109">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b w:val="0"/>
                      <w:bCs w:val="0"/>
                      <w:color w:val="auto"/>
                      <w:sz w:val="21"/>
                      <w:szCs w:val="21"/>
                    </w:rPr>
                  </w:pPr>
                  <w:r>
                    <w:rPr>
                      <w:b w:val="0"/>
                      <w:bCs w:val="0"/>
                      <w:color w:val="auto"/>
                      <w:sz w:val="21"/>
                      <w:szCs w:val="21"/>
                    </w:rPr>
                    <w:t>产生量t/a</w:t>
                  </w:r>
                </w:p>
              </w:tc>
              <w:tc>
                <w:tcPr>
                  <w:tcW w:w="1489" w:type="pct"/>
                  <w:tcBorders>
                    <w:tl2br w:val="nil"/>
                    <w:tr2bl w:val="nil"/>
                  </w:tcBorders>
                  <w:shd w:val="clear" w:color="auto" w:fill="auto"/>
                  <w:noWrap w:val="0"/>
                  <w:vAlign w:val="center"/>
                </w:tcPr>
                <w:p w14:paraId="26EE4533">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b w:val="0"/>
                      <w:bCs w:val="0"/>
                      <w:color w:val="auto"/>
                      <w:sz w:val="21"/>
                      <w:szCs w:val="21"/>
                    </w:rPr>
                  </w:pPr>
                  <w:r>
                    <w:rPr>
                      <w:b w:val="0"/>
                      <w:bCs w:val="0"/>
                      <w:color w:val="auto"/>
                      <w:sz w:val="21"/>
                      <w:szCs w:val="21"/>
                    </w:rPr>
                    <w:t>处置措施</w:t>
                  </w:r>
                </w:p>
              </w:tc>
            </w:tr>
            <w:tr w14:paraId="3E3D0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9" w:hRule="atLeast"/>
                <w:jc w:val="center"/>
              </w:trPr>
              <w:tc>
                <w:tcPr>
                  <w:tcW w:w="1065" w:type="pct"/>
                  <w:vMerge w:val="restart"/>
                  <w:tcBorders>
                    <w:tl2br w:val="nil"/>
                    <w:tr2bl w:val="nil"/>
                  </w:tcBorders>
                  <w:shd w:val="clear" w:color="auto" w:fill="auto"/>
                  <w:noWrap w:val="0"/>
                  <w:vAlign w:val="center"/>
                </w:tcPr>
                <w:p w14:paraId="5F8FF796">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b w:val="0"/>
                      <w:bCs w:val="0"/>
                      <w:color w:val="auto"/>
                      <w:sz w:val="21"/>
                      <w:szCs w:val="21"/>
                    </w:rPr>
                  </w:pPr>
                  <w:r>
                    <w:rPr>
                      <w:b w:val="0"/>
                      <w:bCs w:val="0"/>
                      <w:color w:val="auto"/>
                      <w:sz w:val="21"/>
                      <w:szCs w:val="21"/>
                    </w:rPr>
                    <w:t>一般固废</w:t>
                  </w:r>
                </w:p>
              </w:tc>
              <w:tc>
                <w:tcPr>
                  <w:tcW w:w="1278" w:type="pct"/>
                  <w:tcBorders>
                    <w:tl2br w:val="nil"/>
                    <w:tr2bl w:val="nil"/>
                  </w:tcBorders>
                  <w:shd w:val="clear" w:color="auto" w:fill="auto"/>
                  <w:noWrap w:val="0"/>
                  <w:vAlign w:val="center"/>
                </w:tcPr>
                <w:p w14:paraId="58B9C7D7">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废边角料</w:t>
                  </w:r>
                </w:p>
              </w:tc>
              <w:tc>
                <w:tcPr>
                  <w:tcW w:w="1166" w:type="pct"/>
                  <w:tcBorders>
                    <w:tl2br w:val="nil"/>
                    <w:tr2bl w:val="nil"/>
                  </w:tcBorders>
                  <w:shd w:val="clear" w:color="auto" w:fill="auto"/>
                  <w:noWrap w:val="0"/>
                  <w:vAlign w:val="center"/>
                </w:tcPr>
                <w:p w14:paraId="7FF26187">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2000</w:t>
                  </w:r>
                </w:p>
              </w:tc>
              <w:tc>
                <w:tcPr>
                  <w:tcW w:w="1489" w:type="pct"/>
                  <w:vMerge w:val="restart"/>
                  <w:tcBorders>
                    <w:tl2br w:val="nil"/>
                    <w:tr2bl w:val="nil"/>
                  </w:tcBorders>
                  <w:shd w:val="clear" w:color="auto" w:fill="auto"/>
                  <w:noWrap w:val="0"/>
                  <w:vAlign w:val="center"/>
                </w:tcPr>
                <w:p w14:paraId="6AFDA7D7">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b w:val="0"/>
                      <w:bCs w:val="0"/>
                      <w:color w:val="auto"/>
                      <w:sz w:val="21"/>
                      <w:szCs w:val="21"/>
                    </w:rPr>
                  </w:pPr>
                  <w:r>
                    <w:rPr>
                      <w:b w:val="0"/>
                      <w:bCs w:val="0"/>
                      <w:color w:val="auto"/>
                      <w:sz w:val="21"/>
                      <w:szCs w:val="21"/>
                    </w:rPr>
                    <w:t>回用于生产</w:t>
                  </w:r>
                </w:p>
              </w:tc>
            </w:tr>
            <w:tr w14:paraId="2709C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9" w:hRule="atLeast"/>
                <w:jc w:val="center"/>
              </w:trPr>
              <w:tc>
                <w:tcPr>
                  <w:tcW w:w="1065" w:type="pct"/>
                  <w:vMerge w:val="continue"/>
                  <w:tcBorders>
                    <w:tl2br w:val="nil"/>
                    <w:tr2bl w:val="nil"/>
                  </w:tcBorders>
                  <w:shd w:val="clear" w:color="auto" w:fill="auto"/>
                  <w:noWrap w:val="0"/>
                  <w:vAlign w:val="center"/>
                </w:tcPr>
                <w:p w14:paraId="02F0CE3D">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b w:val="0"/>
                      <w:bCs w:val="0"/>
                      <w:color w:val="auto"/>
                      <w:sz w:val="21"/>
                      <w:szCs w:val="21"/>
                    </w:rPr>
                  </w:pPr>
                </w:p>
              </w:tc>
              <w:tc>
                <w:tcPr>
                  <w:tcW w:w="1278" w:type="pct"/>
                  <w:tcBorders>
                    <w:tl2br w:val="nil"/>
                    <w:tr2bl w:val="nil"/>
                  </w:tcBorders>
                  <w:shd w:val="clear" w:color="auto" w:fill="auto"/>
                  <w:noWrap w:val="0"/>
                  <w:vAlign w:val="center"/>
                </w:tcPr>
                <w:p w14:paraId="4D23ACD8">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rFonts w:hint="default"/>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不合格产品</w:t>
                  </w:r>
                </w:p>
              </w:tc>
              <w:tc>
                <w:tcPr>
                  <w:tcW w:w="1166" w:type="pct"/>
                  <w:tcBorders>
                    <w:tl2br w:val="nil"/>
                    <w:tr2bl w:val="nil"/>
                  </w:tcBorders>
                  <w:shd w:val="clear" w:color="auto" w:fill="auto"/>
                  <w:noWrap w:val="0"/>
                  <w:vAlign w:val="center"/>
                </w:tcPr>
                <w:p w14:paraId="2E281C25">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350</w:t>
                  </w:r>
                </w:p>
              </w:tc>
              <w:tc>
                <w:tcPr>
                  <w:tcW w:w="1489" w:type="pct"/>
                  <w:vMerge w:val="continue"/>
                  <w:tcBorders>
                    <w:tl2br w:val="nil"/>
                    <w:tr2bl w:val="nil"/>
                  </w:tcBorders>
                  <w:shd w:val="clear" w:color="auto" w:fill="auto"/>
                  <w:noWrap w:val="0"/>
                  <w:vAlign w:val="center"/>
                </w:tcPr>
                <w:p w14:paraId="1199A55E">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b w:val="0"/>
                      <w:bCs w:val="0"/>
                      <w:color w:val="auto"/>
                      <w:sz w:val="21"/>
                      <w:szCs w:val="21"/>
                    </w:rPr>
                  </w:pPr>
                </w:p>
              </w:tc>
            </w:tr>
            <w:tr w14:paraId="5FB02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6" w:hRule="atLeast"/>
                <w:jc w:val="center"/>
              </w:trPr>
              <w:tc>
                <w:tcPr>
                  <w:tcW w:w="1065" w:type="pct"/>
                  <w:vMerge w:val="continue"/>
                  <w:tcBorders>
                    <w:tl2br w:val="nil"/>
                    <w:tr2bl w:val="nil"/>
                  </w:tcBorders>
                  <w:shd w:val="clear" w:color="auto" w:fill="auto"/>
                  <w:noWrap w:val="0"/>
                  <w:vAlign w:val="center"/>
                </w:tcPr>
                <w:p w14:paraId="2BB4B61F">
                  <w:pPr>
                    <w:keepNext w:val="0"/>
                    <w:keepLines w:val="0"/>
                    <w:pageBreakBefore w:val="0"/>
                    <w:widowControl/>
                    <w:kinsoku/>
                    <w:wordWrap/>
                    <w:overflowPunct/>
                    <w:topLinePunct w:val="0"/>
                    <w:autoSpaceDE/>
                    <w:autoSpaceDN/>
                    <w:bidi w:val="0"/>
                    <w:adjustRightInd/>
                    <w:spacing w:line="240" w:lineRule="auto"/>
                    <w:ind w:left="0" w:leftChars="0" w:right="0"/>
                    <w:jc w:val="left"/>
                    <w:textAlignment w:val="auto"/>
                    <w:rPr>
                      <w:b w:val="0"/>
                      <w:bCs w:val="0"/>
                      <w:color w:val="auto"/>
                      <w:sz w:val="21"/>
                      <w:szCs w:val="21"/>
                    </w:rPr>
                  </w:pPr>
                </w:p>
              </w:tc>
              <w:tc>
                <w:tcPr>
                  <w:tcW w:w="1278" w:type="pct"/>
                  <w:tcBorders>
                    <w:tl2br w:val="nil"/>
                    <w:tr2bl w:val="nil"/>
                  </w:tcBorders>
                  <w:shd w:val="clear" w:color="auto" w:fill="auto"/>
                  <w:noWrap w:val="0"/>
                  <w:vAlign w:val="center"/>
                </w:tcPr>
                <w:p w14:paraId="0082B7AD">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b w:val="0"/>
                      <w:bCs w:val="0"/>
                      <w:color w:val="auto"/>
                      <w:sz w:val="21"/>
                      <w:szCs w:val="21"/>
                    </w:rPr>
                  </w:pPr>
                  <w:r>
                    <w:rPr>
                      <w:rFonts w:hint="eastAsia" w:ascii="宋体" w:hAnsi="宋体" w:eastAsia="宋体" w:cs="宋体"/>
                      <w:b w:val="0"/>
                      <w:bCs w:val="0"/>
                      <w:color w:val="auto"/>
                      <w:sz w:val="21"/>
                      <w:szCs w:val="21"/>
                      <w:lang w:val="en-US" w:eastAsia="zh-CN"/>
                    </w:rPr>
                    <w:t>除尘器收集的粉尘</w:t>
                  </w:r>
                </w:p>
              </w:tc>
              <w:tc>
                <w:tcPr>
                  <w:tcW w:w="1166" w:type="pct"/>
                  <w:tcBorders>
                    <w:tl2br w:val="nil"/>
                    <w:tr2bl w:val="nil"/>
                  </w:tcBorders>
                  <w:shd w:val="clear" w:color="auto" w:fill="auto"/>
                  <w:noWrap w:val="0"/>
                  <w:vAlign w:val="center"/>
                </w:tcPr>
                <w:p w14:paraId="2E96A880">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33</w:t>
                  </w:r>
                </w:p>
              </w:tc>
              <w:tc>
                <w:tcPr>
                  <w:tcW w:w="1489" w:type="pct"/>
                  <w:vMerge w:val="continue"/>
                  <w:tcBorders>
                    <w:tl2br w:val="nil"/>
                    <w:tr2bl w:val="nil"/>
                  </w:tcBorders>
                  <w:shd w:val="clear" w:color="auto" w:fill="auto"/>
                  <w:noWrap w:val="0"/>
                  <w:vAlign w:val="center"/>
                </w:tcPr>
                <w:p w14:paraId="4E581046">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b w:val="0"/>
                      <w:bCs w:val="0"/>
                      <w:color w:val="auto"/>
                      <w:sz w:val="21"/>
                      <w:szCs w:val="21"/>
                    </w:rPr>
                  </w:pPr>
                </w:p>
              </w:tc>
            </w:tr>
            <w:tr w14:paraId="2FD55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6" w:hRule="atLeast"/>
                <w:jc w:val="center"/>
              </w:trPr>
              <w:tc>
                <w:tcPr>
                  <w:tcW w:w="1065" w:type="pct"/>
                  <w:vMerge w:val="continue"/>
                  <w:tcBorders>
                    <w:tl2br w:val="nil"/>
                    <w:tr2bl w:val="nil"/>
                  </w:tcBorders>
                  <w:shd w:val="clear" w:color="auto" w:fill="auto"/>
                  <w:noWrap w:val="0"/>
                  <w:vAlign w:val="center"/>
                </w:tcPr>
                <w:p w14:paraId="532C5E8C">
                  <w:pPr>
                    <w:keepNext w:val="0"/>
                    <w:keepLines w:val="0"/>
                    <w:pageBreakBefore w:val="0"/>
                    <w:widowControl/>
                    <w:kinsoku/>
                    <w:wordWrap/>
                    <w:overflowPunct/>
                    <w:topLinePunct w:val="0"/>
                    <w:autoSpaceDE/>
                    <w:autoSpaceDN/>
                    <w:bidi w:val="0"/>
                    <w:adjustRightInd/>
                    <w:spacing w:line="240" w:lineRule="auto"/>
                    <w:ind w:left="0" w:leftChars="0" w:right="0"/>
                    <w:jc w:val="left"/>
                    <w:textAlignment w:val="auto"/>
                    <w:rPr>
                      <w:b w:val="0"/>
                      <w:bCs w:val="0"/>
                      <w:color w:val="auto"/>
                      <w:sz w:val="21"/>
                      <w:szCs w:val="21"/>
                    </w:rPr>
                  </w:pPr>
                </w:p>
              </w:tc>
              <w:tc>
                <w:tcPr>
                  <w:tcW w:w="1278" w:type="pct"/>
                  <w:tcBorders>
                    <w:tl2br w:val="nil"/>
                    <w:tr2bl w:val="nil"/>
                  </w:tcBorders>
                  <w:shd w:val="clear" w:color="auto" w:fill="auto"/>
                  <w:noWrap w:val="0"/>
                  <w:vAlign w:val="center"/>
                </w:tcPr>
                <w:p w14:paraId="0DA89904">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脱硫脱硝废渣</w:t>
                  </w:r>
                </w:p>
              </w:tc>
              <w:tc>
                <w:tcPr>
                  <w:tcW w:w="1166" w:type="pct"/>
                  <w:tcBorders>
                    <w:tl2br w:val="nil"/>
                    <w:tr2bl w:val="nil"/>
                  </w:tcBorders>
                  <w:shd w:val="clear" w:color="auto" w:fill="auto"/>
                  <w:noWrap w:val="0"/>
                  <w:vAlign w:val="center"/>
                </w:tcPr>
                <w:p w14:paraId="064A4496">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280</w:t>
                  </w:r>
                </w:p>
              </w:tc>
              <w:tc>
                <w:tcPr>
                  <w:tcW w:w="1489" w:type="pct"/>
                  <w:vMerge w:val="continue"/>
                  <w:tcBorders>
                    <w:tl2br w:val="nil"/>
                    <w:tr2bl w:val="nil"/>
                  </w:tcBorders>
                  <w:shd w:val="clear" w:color="auto" w:fill="auto"/>
                  <w:noWrap w:val="0"/>
                  <w:vAlign w:val="center"/>
                </w:tcPr>
                <w:p w14:paraId="73D4733A">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b w:val="0"/>
                      <w:bCs w:val="0"/>
                      <w:color w:val="auto"/>
                      <w:sz w:val="21"/>
                      <w:szCs w:val="21"/>
                    </w:rPr>
                  </w:pPr>
                </w:p>
              </w:tc>
            </w:tr>
            <w:tr w14:paraId="4696F7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6" w:hRule="atLeast"/>
                <w:jc w:val="center"/>
              </w:trPr>
              <w:tc>
                <w:tcPr>
                  <w:tcW w:w="1065" w:type="pct"/>
                  <w:tcBorders>
                    <w:tl2br w:val="nil"/>
                    <w:tr2bl w:val="nil"/>
                  </w:tcBorders>
                  <w:shd w:val="clear" w:color="auto" w:fill="auto"/>
                  <w:noWrap w:val="0"/>
                  <w:vAlign w:val="center"/>
                </w:tcPr>
                <w:p w14:paraId="730F0849">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b w:val="0"/>
                      <w:bCs w:val="0"/>
                      <w:color w:val="auto"/>
                      <w:sz w:val="21"/>
                      <w:szCs w:val="21"/>
                    </w:rPr>
                  </w:pPr>
                  <w:r>
                    <w:rPr>
                      <w:b w:val="0"/>
                      <w:bCs w:val="0"/>
                      <w:color w:val="auto"/>
                      <w:sz w:val="21"/>
                      <w:szCs w:val="21"/>
                    </w:rPr>
                    <w:t>生活固废</w:t>
                  </w:r>
                </w:p>
              </w:tc>
              <w:tc>
                <w:tcPr>
                  <w:tcW w:w="1278" w:type="pct"/>
                  <w:tcBorders>
                    <w:tl2br w:val="nil"/>
                    <w:tr2bl w:val="nil"/>
                  </w:tcBorders>
                  <w:shd w:val="clear" w:color="auto" w:fill="auto"/>
                  <w:noWrap w:val="0"/>
                  <w:vAlign w:val="center"/>
                </w:tcPr>
                <w:p w14:paraId="07E132CB">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b w:val="0"/>
                      <w:bCs w:val="0"/>
                      <w:color w:val="auto"/>
                      <w:sz w:val="21"/>
                      <w:szCs w:val="21"/>
                    </w:rPr>
                  </w:pPr>
                  <w:r>
                    <w:rPr>
                      <w:b w:val="0"/>
                      <w:bCs w:val="0"/>
                      <w:color w:val="auto"/>
                      <w:sz w:val="21"/>
                      <w:szCs w:val="21"/>
                    </w:rPr>
                    <w:t>生活垃圾</w:t>
                  </w:r>
                </w:p>
              </w:tc>
              <w:tc>
                <w:tcPr>
                  <w:tcW w:w="1166" w:type="pct"/>
                  <w:tcBorders>
                    <w:tl2br w:val="nil"/>
                    <w:tr2bl w:val="nil"/>
                  </w:tcBorders>
                  <w:shd w:val="clear" w:color="auto" w:fill="auto"/>
                  <w:noWrap w:val="0"/>
                  <w:vAlign w:val="center"/>
                </w:tcPr>
                <w:p w14:paraId="58870F30">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p>
              </w:tc>
              <w:tc>
                <w:tcPr>
                  <w:tcW w:w="1489" w:type="pct"/>
                  <w:tcBorders>
                    <w:tl2br w:val="nil"/>
                    <w:tr2bl w:val="nil"/>
                  </w:tcBorders>
                  <w:shd w:val="clear" w:color="auto" w:fill="auto"/>
                  <w:noWrap w:val="0"/>
                  <w:vAlign w:val="center"/>
                </w:tcPr>
                <w:p w14:paraId="519F1558">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textAlignment w:val="auto"/>
                    <w:rPr>
                      <w:b w:val="0"/>
                      <w:bCs w:val="0"/>
                      <w:color w:val="auto"/>
                      <w:sz w:val="21"/>
                      <w:szCs w:val="21"/>
                    </w:rPr>
                  </w:pPr>
                  <w:r>
                    <w:rPr>
                      <w:b w:val="0"/>
                      <w:bCs w:val="0"/>
                      <w:color w:val="auto"/>
                      <w:sz w:val="21"/>
                      <w:szCs w:val="21"/>
                    </w:rPr>
                    <w:t>环卫部门清运</w:t>
                  </w:r>
                </w:p>
              </w:tc>
            </w:tr>
          </w:tbl>
          <w:p w14:paraId="694363E1">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④噪声</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根据</w:t>
            </w:r>
            <w:r>
              <w:rPr>
                <w:rFonts w:hint="eastAsia" w:ascii="宋体" w:hAnsi="宋体" w:cs="宋体"/>
                <w:color w:val="auto"/>
                <w:sz w:val="24"/>
                <w:szCs w:val="24"/>
                <w:lang w:val="en-US" w:eastAsia="zh-CN"/>
              </w:rPr>
              <w:t>安徽相和环境检测股份有限公司2024年8月2日出具的报告编号为2024-06-165的</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濉溪县国华新型建材有限公司环境检测（半年检测）</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检测报告（见附件）</w:t>
            </w:r>
            <w:r>
              <w:rPr>
                <w:rFonts w:hint="eastAsia" w:ascii="宋体" w:hAnsi="宋体" w:eastAsia="宋体" w:cs="宋体"/>
                <w:color w:val="auto"/>
                <w:sz w:val="24"/>
                <w:szCs w:val="24"/>
                <w:lang w:val="en-US" w:eastAsia="zh-CN"/>
              </w:rPr>
              <w:t>中数据显示202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25</w:t>
            </w:r>
            <w:r>
              <w:rPr>
                <w:rFonts w:hint="eastAsia" w:ascii="宋体" w:hAnsi="宋体" w:eastAsia="宋体" w:cs="宋体"/>
                <w:color w:val="auto"/>
                <w:sz w:val="24"/>
                <w:szCs w:val="24"/>
                <w:lang w:val="en-US" w:eastAsia="zh-CN"/>
              </w:rPr>
              <w:t>日检测结果为</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项目四个厂界的昼间噪声在5</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～58dB（A）之间</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夜间噪声在4</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～4</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dB（A）之间。厂界昼间、夜间噪声均满足《工业企业厂界环境噪声排放标准》（GB12348-2008）中2类标准要求</w:t>
            </w:r>
            <w:r>
              <w:rPr>
                <w:rFonts w:hint="eastAsia" w:ascii="宋体" w:hAnsi="宋体" w:cs="宋体"/>
                <w:color w:val="auto"/>
                <w:sz w:val="24"/>
                <w:szCs w:val="24"/>
                <w:lang w:val="en-US" w:eastAsia="zh-CN"/>
              </w:rPr>
              <w:t>。现</w:t>
            </w:r>
            <w:r>
              <w:rPr>
                <w:rFonts w:hint="eastAsia" w:ascii="宋体" w:hAnsi="宋体" w:eastAsia="宋体" w:cs="宋体"/>
                <w:color w:val="auto"/>
                <w:sz w:val="24"/>
                <w:szCs w:val="24"/>
                <w:lang w:val="en-US" w:eastAsia="zh-CN"/>
              </w:rPr>
              <w:t>有工程厂界噪声监测结果表见下表：</w:t>
            </w:r>
          </w:p>
          <w:p w14:paraId="6A1614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vertAlign w:val="baseline"/>
                <w:lang w:val="en-US" w:eastAsia="zh-CN"/>
              </w:rPr>
            </w:pPr>
            <w:r>
              <w:rPr>
                <w:rFonts w:hint="eastAsia"/>
                <w:b/>
                <w:bCs/>
                <w:color w:val="auto"/>
                <w:sz w:val="21"/>
                <w:szCs w:val="21"/>
                <w:lang w:val="en-US" w:eastAsia="zh-CN"/>
              </w:rPr>
              <w:t xml:space="preserve">表2-11 </w:t>
            </w:r>
            <w:r>
              <w:rPr>
                <w:rFonts w:hint="eastAsia" w:ascii="Times New Roman" w:hAnsi="Times New Roman" w:eastAsia="宋体" w:cs="Times New Roman"/>
                <w:b/>
                <w:bCs/>
                <w:color w:val="auto"/>
                <w:sz w:val="21"/>
                <w:szCs w:val="21"/>
                <w:lang w:val="en-US" w:eastAsia="zh-CN"/>
              </w:rPr>
              <w:t>现有工程厂界噪声监测</w:t>
            </w:r>
            <w:r>
              <w:rPr>
                <w:rFonts w:hint="eastAsia"/>
                <w:b/>
                <w:bCs/>
                <w:color w:val="auto"/>
                <w:sz w:val="21"/>
                <w:szCs w:val="21"/>
                <w:lang w:val="en-US" w:eastAsia="zh-CN"/>
              </w:rPr>
              <w:t>表</w:t>
            </w:r>
          </w:p>
          <w:tbl>
            <w:tblPr>
              <w:tblStyle w:val="38"/>
              <w:tblW w:w="7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329"/>
              <w:gridCol w:w="1329"/>
              <w:gridCol w:w="664"/>
              <w:gridCol w:w="665"/>
              <w:gridCol w:w="665"/>
              <w:gridCol w:w="666"/>
              <w:gridCol w:w="1331"/>
            </w:tblGrid>
            <w:tr w14:paraId="6609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29" w:type="dxa"/>
                  <w:vMerge w:val="restart"/>
                  <w:vAlign w:val="center"/>
                </w:tcPr>
                <w:p w14:paraId="3A8FCEEF">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监测时间</w:t>
                  </w:r>
                </w:p>
              </w:tc>
              <w:tc>
                <w:tcPr>
                  <w:tcW w:w="1329" w:type="dxa"/>
                  <w:vMerge w:val="restart"/>
                  <w:vAlign w:val="center"/>
                </w:tcPr>
                <w:p w14:paraId="6BC88379">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监测点名称</w:t>
                  </w:r>
                </w:p>
              </w:tc>
              <w:tc>
                <w:tcPr>
                  <w:tcW w:w="1329" w:type="dxa"/>
                  <w:vMerge w:val="restart"/>
                  <w:vAlign w:val="center"/>
                </w:tcPr>
                <w:p w14:paraId="5AF9BF17">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监测内容</w:t>
                  </w:r>
                </w:p>
              </w:tc>
              <w:tc>
                <w:tcPr>
                  <w:tcW w:w="1329" w:type="dxa"/>
                  <w:gridSpan w:val="2"/>
                  <w:vAlign w:val="center"/>
                </w:tcPr>
                <w:p w14:paraId="15725BA2">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监测结果</w:t>
                  </w:r>
                </w:p>
              </w:tc>
              <w:tc>
                <w:tcPr>
                  <w:tcW w:w="1331" w:type="dxa"/>
                  <w:gridSpan w:val="2"/>
                  <w:vAlign w:val="center"/>
                </w:tcPr>
                <w:p w14:paraId="12FC3A8E">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标准要求</w:t>
                  </w:r>
                </w:p>
              </w:tc>
              <w:tc>
                <w:tcPr>
                  <w:tcW w:w="1331" w:type="dxa"/>
                  <w:vMerge w:val="restart"/>
                  <w:vAlign w:val="center"/>
                </w:tcPr>
                <w:p w14:paraId="3A354640">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达标情况</w:t>
                  </w:r>
                </w:p>
              </w:tc>
            </w:tr>
            <w:tr w14:paraId="16AE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329" w:type="dxa"/>
                  <w:vMerge w:val="continue"/>
                  <w:vAlign w:val="center"/>
                </w:tcPr>
                <w:p w14:paraId="1EE9C145">
                  <w:pPr>
                    <w:pStyle w:val="14"/>
                    <w:keepNext w:val="0"/>
                    <w:keepLines w:val="0"/>
                    <w:pageBreakBefore w:val="0"/>
                    <w:widowControl w:val="0"/>
                    <w:kinsoku/>
                    <w:wordWrap/>
                    <w:overflowPunct/>
                    <w:topLinePunct w:val="0"/>
                    <w:bidi w:val="0"/>
                    <w:snapToGrid/>
                    <w:spacing w:after="0"/>
                    <w:ind w:left="0" w:leftChars="0"/>
                    <w:jc w:val="center"/>
                    <w:textAlignment w:val="auto"/>
                    <w:rPr>
                      <w:color w:val="auto"/>
                    </w:rPr>
                  </w:pPr>
                </w:p>
              </w:tc>
              <w:tc>
                <w:tcPr>
                  <w:tcW w:w="1329" w:type="dxa"/>
                  <w:vMerge w:val="continue"/>
                  <w:vAlign w:val="center"/>
                </w:tcPr>
                <w:p w14:paraId="3908FB0F">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p>
              </w:tc>
              <w:tc>
                <w:tcPr>
                  <w:tcW w:w="1329" w:type="dxa"/>
                  <w:vMerge w:val="continue"/>
                  <w:vAlign w:val="center"/>
                </w:tcPr>
                <w:p w14:paraId="0D338907">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p>
              </w:tc>
              <w:tc>
                <w:tcPr>
                  <w:tcW w:w="664" w:type="dxa"/>
                  <w:vAlign w:val="center"/>
                </w:tcPr>
                <w:p w14:paraId="2D0FD23B">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昼间</w:t>
                  </w:r>
                </w:p>
              </w:tc>
              <w:tc>
                <w:tcPr>
                  <w:tcW w:w="665" w:type="dxa"/>
                  <w:vAlign w:val="center"/>
                </w:tcPr>
                <w:p w14:paraId="010688D8">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夜间</w:t>
                  </w:r>
                </w:p>
              </w:tc>
              <w:tc>
                <w:tcPr>
                  <w:tcW w:w="665" w:type="dxa"/>
                  <w:vAlign w:val="center"/>
                </w:tcPr>
                <w:p w14:paraId="3E8AB4F4">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昼间</w:t>
                  </w:r>
                </w:p>
              </w:tc>
              <w:tc>
                <w:tcPr>
                  <w:tcW w:w="666" w:type="dxa"/>
                  <w:vAlign w:val="center"/>
                </w:tcPr>
                <w:p w14:paraId="325CF4A2">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夜间</w:t>
                  </w:r>
                </w:p>
              </w:tc>
              <w:tc>
                <w:tcPr>
                  <w:tcW w:w="1331" w:type="dxa"/>
                  <w:vMerge w:val="continue"/>
                  <w:vAlign w:val="center"/>
                </w:tcPr>
                <w:p w14:paraId="4C99A9B5">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p>
              </w:tc>
            </w:tr>
            <w:tr w14:paraId="68BC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29" w:type="dxa"/>
                  <w:vMerge w:val="restart"/>
                  <w:vAlign w:val="center"/>
                </w:tcPr>
                <w:p w14:paraId="7B50BBEB">
                  <w:pPr>
                    <w:pStyle w:val="14"/>
                    <w:keepNext w:val="0"/>
                    <w:keepLines w:val="0"/>
                    <w:pageBreakBefore w:val="0"/>
                    <w:widowControl w:val="0"/>
                    <w:kinsoku/>
                    <w:wordWrap/>
                    <w:overflowPunct/>
                    <w:topLinePunct w:val="0"/>
                    <w:bidi w:val="0"/>
                    <w:snapToGrid/>
                    <w:spacing w:after="0"/>
                    <w:ind w:left="0" w:leftChars="0"/>
                    <w:jc w:val="center"/>
                    <w:textAlignment w:val="auto"/>
                    <w:rPr>
                      <w:rFonts w:hint="default"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w:t>
                  </w:r>
                  <w:r>
                    <w:rPr>
                      <w:rFonts w:hint="eastAsia" w:cs="Times New Roman"/>
                      <w:color w:val="auto"/>
                      <w:sz w:val="21"/>
                      <w:szCs w:val="21"/>
                      <w:lang w:val="en-US" w:eastAsia="zh-CN"/>
                    </w:rPr>
                    <w:t>4.06.25</w:t>
                  </w:r>
                </w:p>
                <w:p w14:paraId="0B4424AE">
                  <w:pPr>
                    <w:pStyle w:val="15"/>
                    <w:rPr>
                      <w:rFonts w:hint="default"/>
                      <w:color w:val="auto"/>
                      <w:lang w:val="en-US" w:eastAsia="zh-CN"/>
                    </w:rPr>
                  </w:pPr>
                </w:p>
              </w:tc>
              <w:tc>
                <w:tcPr>
                  <w:tcW w:w="1329" w:type="dxa"/>
                  <w:vAlign w:val="center"/>
                </w:tcPr>
                <w:p w14:paraId="0DC64504">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东厂界噪声监测点</w:t>
                  </w:r>
                </w:p>
              </w:tc>
              <w:tc>
                <w:tcPr>
                  <w:tcW w:w="1329" w:type="dxa"/>
                  <w:vAlign w:val="center"/>
                </w:tcPr>
                <w:p w14:paraId="0BD9B847">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工业企业厂界环境噪声</w:t>
                  </w:r>
                </w:p>
              </w:tc>
              <w:tc>
                <w:tcPr>
                  <w:tcW w:w="664" w:type="dxa"/>
                  <w:vAlign w:val="center"/>
                </w:tcPr>
                <w:p w14:paraId="2BDC74FE">
                  <w:pPr>
                    <w:pStyle w:val="14"/>
                    <w:keepNext w:val="0"/>
                    <w:keepLines w:val="0"/>
                    <w:pageBreakBefore w:val="0"/>
                    <w:widowControl w:val="0"/>
                    <w:kinsoku/>
                    <w:wordWrap/>
                    <w:overflowPunct/>
                    <w:topLinePunct w:val="0"/>
                    <w:bidi w:val="0"/>
                    <w:snapToGrid/>
                    <w:spacing w:after="0"/>
                    <w:ind w:left="0" w:left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55</w:t>
                  </w:r>
                </w:p>
              </w:tc>
              <w:tc>
                <w:tcPr>
                  <w:tcW w:w="665" w:type="dxa"/>
                  <w:vAlign w:val="center"/>
                </w:tcPr>
                <w:p w14:paraId="4F456EF3">
                  <w:pPr>
                    <w:pStyle w:val="14"/>
                    <w:keepNext w:val="0"/>
                    <w:keepLines w:val="0"/>
                    <w:pageBreakBefore w:val="0"/>
                    <w:widowControl w:val="0"/>
                    <w:kinsoku/>
                    <w:wordWrap/>
                    <w:overflowPunct/>
                    <w:topLinePunct w:val="0"/>
                    <w:bidi w:val="0"/>
                    <w:snapToGrid/>
                    <w:spacing w:after="0"/>
                    <w:ind w:left="0" w:left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47</w:t>
                  </w:r>
                </w:p>
              </w:tc>
              <w:tc>
                <w:tcPr>
                  <w:tcW w:w="665" w:type="dxa"/>
                  <w:vAlign w:val="center"/>
                </w:tcPr>
                <w:p w14:paraId="5538F5FC">
                  <w:pPr>
                    <w:pStyle w:val="14"/>
                    <w:keepNext w:val="0"/>
                    <w:keepLines w:val="0"/>
                    <w:pageBreakBefore w:val="0"/>
                    <w:widowControl w:val="0"/>
                    <w:kinsoku/>
                    <w:wordWrap/>
                    <w:overflowPunct/>
                    <w:topLinePunct w:val="0"/>
                    <w:bidi w:val="0"/>
                    <w:snapToGrid/>
                    <w:spacing w:after="0"/>
                    <w:ind w:left="0" w:lef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666" w:type="dxa"/>
                  <w:vAlign w:val="center"/>
                </w:tcPr>
                <w:p w14:paraId="2BF16E1D">
                  <w:pPr>
                    <w:pStyle w:val="14"/>
                    <w:keepNext w:val="0"/>
                    <w:keepLines w:val="0"/>
                    <w:pageBreakBefore w:val="0"/>
                    <w:widowControl w:val="0"/>
                    <w:kinsoku/>
                    <w:wordWrap/>
                    <w:overflowPunct/>
                    <w:topLinePunct w:val="0"/>
                    <w:bidi w:val="0"/>
                    <w:snapToGrid/>
                    <w:spacing w:after="0"/>
                    <w:ind w:left="0" w:lef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c>
                <w:tcPr>
                  <w:tcW w:w="1331" w:type="dxa"/>
                  <w:vAlign w:val="center"/>
                </w:tcPr>
                <w:p w14:paraId="6338CAEF">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r>
            <w:tr w14:paraId="08EEF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29" w:type="dxa"/>
                  <w:vMerge w:val="continue"/>
                  <w:vAlign w:val="center"/>
                </w:tcPr>
                <w:p w14:paraId="6B3BD195">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sz w:val="24"/>
                      <w:szCs w:val="24"/>
                      <w:vertAlign w:val="baseline"/>
                      <w:lang w:val="en-US" w:eastAsia="zh-CN"/>
                    </w:rPr>
                  </w:pPr>
                </w:p>
              </w:tc>
              <w:tc>
                <w:tcPr>
                  <w:tcW w:w="1329" w:type="dxa"/>
                  <w:vAlign w:val="center"/>
                </w:tcPr>
                <w:p w14:paraId="59E3F13B">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南厂界噪声监测点</w:t>
                  </w:r>
                </w:p>
              </w:tc>
              <w:tc>
                <w:tcPr>
                  <w:tcW w:w="1329" w:type="dxa"/>
                  <w:vAlign w:val="center"/>
                </w:tcPr>
                <w:p w14:paraId="666B719E">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工业企业厂界环境噪声</w:t>
                  </w:r>
                </w:p>
              </w:tc>
              <w:tc>
                <w:tcPr>
                  <w:tcW w:w="664" w:type="dxa"/>
                  <w:vAlign w:val="center"/>
                </w:tcPr>
                <w:p w14:paraId="3E21CC91">
                  <w:pPr>
                    <w:pStyle w:val="14"/>
                    <w:keepNext w:val="0"/>
                    <w:keepLines w:val="0"/>
                    <w:pageBreakBefore w:val="0"/>
                    <w:widowControl w:val="0"/>
                    <w:kinsoku/>
                    <w:wordWrap/>
                    <w:overflowPunct/>
                    <w:topLinePunct w:val="0"/>
                    <w:bidi w:val="0"/>
                    <w:snapToGrid/>
                    <w:spacing w:after="0"/>
                    <w:ind w:left="0" w:left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55</w:t>
                  </w:r>
                </w:p>
              </w:tc>
              <w:tc>
                <w:tcPr>
                  <w:tcW w:w="665" w:type="dxa"/>
                  <w:vAlign w:val="center"/>
                </w:tcPr>
                <w:p w14:paraId="6AA53212">
                  <w:pPr>
                    <w:pStyle w:val="14"/>
                    <w:keepNext w:val="0"/>
                    <w:keepLines w:val="0"/>
                    <w:pageBreakBefore w:val="0"/>
                    <w:widowControl w:val="0"/>
                    <w:kinsoku/>
                    <w:wordWrap/>
                    <w:overflowPunct/>
                    <w:topLinePunct w:val="0"/>
                    <w:bidi w:val="0"/>
                    <w:snapToGrid/>
                    <w:spacing w:after="0"/>
                    <w:ind w:left="0" w:left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45</w:t>
                  </w:r>
                </w:p>
              </w:tc>
              <w:tc>
                <w:tcPr>
                  <w:tcW w:w="665" w:type="dxa"/>
                  <w:vAlign w:val="center"/>
                </w:tcPr>
                <w:p w14:paraId="1CDF700E">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666" w:type="dxa"/>
                  <w:vAlign w:val="center"/>
                </w:tcPr>
                <w:p w14:paraId="699D5E1A">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c>
                <w:tcPr>
                  <w:tcW w:w="1331" w:type="dxa"/>
                  <w:vAlign w:val="center"/>
                </w:tcPr>
                <w:p w14:paraId="7B67BE13">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r>
            <w:tr w14:paraId="6DC3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29" w:type="dxa"/>
                  <w:vMerge w:val="continue"/>
                  <w:vAlign w:val="center"/>
                </w:tcPr>
                <w:p w14:paraId="139F697D">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sz w:val="24"/>
                      <w:szCs w:val="24"/>
                      <w:vertAlign w:val="baseline"/>
                      <w:lang w:val="en-US" w:eastAsia="zh-CN"/>
                    </w:rPr>
                  </w:pPr>
                </w:p>
              </w:tc>
              <w:tc>
                <w:tcPr>
                  <w:tcW w:w="1329" w:type="dxa"/>
                  <w:vAlign w:val="center"/>
                </w:tcPr>
                <w:p w14:paraId="05CD38A8">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西厂界噪声监测点</w:t>
                  </w:r>
                </w:p>
              </w:tc>
              <w:tc>
                <w:tcPr>
                  <w:tcW w:w="1329" w:type="dxa"/>
                  <w:vAlign w:val="center"/>
                </w:tcPr>
                <w:p w14:paraId="23BB1D3A">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工业企业厂界环境噪声</w:t>
                  </w:r>
                </w:p>
              </w:tc>
              <w:tc>
                <w:tcPr>
                  <w:tcW w:w="664" w:type="dxa"/>
                  <w:vAlign w:val="center"/>
                </w:tcPr>
                <w:p w14:paraId="4A5439A1">
                  <w:pPr>
                    <w:pStyle w:val="14"/>
                    <w:keepNext w:val="0"/>
                    <w:keepLines w:val="0"/>
                    <w:pageBreakBefore w:val="0"/>
                    <w:widowControl w:val="0"/>
                    <w:kinsoku/>
                    <w:wordWrap/>
                    <w:overflowPunct/>
                    <w:topLinePunct w:val="0"/>
                    <w:bidi w:val="0"/>
                    <w:snapToGrid/>
                    <w:spacing w:after="0"/>
                    <w:ind w:left="0" w:left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56</w:t>
                  </w:r>
                </w:p>
              </w:tc>
              <w:tc>
                <w:tcPr>
                  <w:tcW w:w="665" w:type="dxa"/>
                  <w:vAlign w:val="center"/>
                </w:tcPr>
                <w:p w14:paraId="0617A668">
                  <w:pPr>
                    <w:pStyle w:val="14"/>
                    <w:keepNext w:val="0"/>
                    <w:keepLines w:val="0"/>
                    <w:pageBreakBefore w:val="0"/>
                    <w:widowControl w:val="0"/>
                    <w:kinsoku/>
                    <w:wordWrap/>
                    <w:overflowPunct/>
                    <w:topLinePunct w:val="0"/>
                    <w:bidi w:val="0"/>
                    <w:snapToGrid/>
                    <w:spacing w:after="0"/>
                    <w:ind w:left="0" w:left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47</w:t>
                  </w:r>
                </w:p>
              </w:tc>
              <w:tc>
                <w:tcPr>
                  <w:tcW w:w="665" w:type="dxa"/>
                  <w:vAlign w:val="center"/>
                </w:tcPr>
                <w:p w14:paraId="755EA2C2">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666" w:type="dxa"/>
                  <w:vAlign w:val="center"/>
                </w:tcPr>
                <w:p w14:paraId="39F313D4">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c>
                <w:tcPr>
                  <w:tcW w:w="1331" w:type="dxa"/>
                  <w:vAlign w:val="center"/>
                </w:tcPr>
                <w:p w14:paraId="345BE447">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r>
            <w:tr w14:paraId="2CA7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29" w:type="dxa"/>
                  <w:vMerge w:val="continue"/>
                  <w:vAlign w:val="center"/>
                </w:tcPr>
                <w:p w14:paraId="6E5C169E">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sz w:val="24"/>
                      <w:szCs w:val="24"/>
                      <w:vertAlign w:val="baseline"/>
                      <w:lang w:val="en-US" w:eastAsia="zh-CN"/>
                    </w:rPr>
                  </w:pPr>
                </w:p>
              </w:tc>
              <w:tc>
                <w:tcPr>
                  <w:tcW w:w="1329" w:type="dxa"/>
                  <w:vAlign w:val="center"/>
                </w:tcPr>
                <w:p w14:paraId="6C699634">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北厂界噪声监测点</w:t>
                  </w:r>
                </w:p>
              </w:tc>
              <w:tc>
                <w:tcPr>
                  <w:tcW w:w="1329" w:type="dxa"/>
                  <w:vAlign w:val="center"/>
                </w:tcPr>
                <w:p w14:paraId="253DADB8">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工业企业厂界环境噪声</w:t>
                  </w:r>
                </w:p>
              </w:tc>
              <w:tc>
                <w:tcPr>
                  <w:tcW w:w="664" w:type="dxa"/>
                  <w:vAlign w:val="center"/>
                </w:tcPr>
                <w:p w14:paraId="1B66708A">
                  <w:pPr>
                    <w:pStyle w:val="14"/>
                    <w:keepNext w:val="0"/>
                    <w:keepLines w:val="0"/>
                    <w:pageBreakBefore w:val="0"/>
                    <w:widowControl w:val="0"/>
                    <w:kinsoku/>
                    <w:wordWrap/>
                    <w:overflowPunct/>
                    <w:topLinePunct w:val="0"/>
                    <w:bidi w:val="0"/>
                    <w:snapToGrid/>
                    <w:spacing w:after="0"/>
                    <w:ind w:left="0" w:left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58</w:t>
                  </w:r>
                </w:p>
              </w:tc>
              <w:tc>
                <w:tcPr>
                  <w:tcW w:w="665" w:type="dxa"/>
                  <w:vAlign w:val="center"/>
                </w:tcPr>
                <w:p w14:paraId="1EC4B1FF">
                  <w:pPr>
                    <w:pStyle w:val="14"/>
                    <w:keepNext w:val="0"/>
                    <w:keepLines w:val="0"/>
                    <w:pageBreakBefore w:val="0"/>
                    <w:widowControl w:val="0"/>
                    <w:kinsoku/>
                    <w:wordWrap/>
                    <w:overflowPunct/>
                    <w:topLinePunct w:val="0"/>
                    <w:bidi w:val="0"/>
                    <w:snapToGrid/>
                    <w:spacing w:after="0"/>
                    <w:ind w:left="0" w:left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48</w:t>
                  </w:r>
                </w:p>
              </w:tc>
              <w:tc>
                <w:tcPr>
                  <w:tcW w:w="665" w:type="dxa"/>
                  <w:vAlign w:val="center"/>
                </w:tcPr>
                <w:p w14:paraId="11B001BC">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666" w:type="dxa"/>
                  <w:vAlign w:val="center"/>
                </w:tcPr>
                <w:p w14:paraId="72534444">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c>
                <w:tcPr>
                  <w:tcW w:w="1331" w:type="dxa"/>
                  <w:vAlign w:val="center"/>
                </w:tcPr>
                <w:p w14:paraId="00B0D8D7">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r>
          </w:tbl>
          <w:p w14:paraId="0ED0C47B">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69" w:beforeLines="150" w:line="360" w:lineRule="auto"/>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w:t>
            </w:r>
            <w:r>
              <w:rPr>
                <w:rFonts w:hint="default" w:ascii="宋体" w:hAnsi="宋体" w:eastAsia="宋体" w:cs="宋体"/>
                <w:color w:val="auto"/>
                <w:sz w:val="24"/>
                <w:szCs w:val="24"/>
                <w:lang w:val="en-US" w:eastAsia="zh-CN"/>
              </w:rPr>
              <w:t>现有工程污染物排放量汇总一览表</w:t>
            </w:r>
          </w:p>
          <w:p w14:paraId="5FCDD6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olor w:val="auto"/>
                <w:lang w:val="en-US" w:eastAsia="zh-CN"/>
              </w:rPr>
            </w:pPr>
            <w:r>
              <w:rPr>
                <w:rFonts w:hint="eastAsia"/>
                <w:b/>
                <w:bCs/>
                <w:color w:val="auto"/>
                <w:sz w:val="21"/>
                <w:szCs w:val="21"/>
                <w:lang w:val="en-US" w:eastAsia="zh-CN"/>
              </w:rPr>
              <w:t>表2-12 现有</w:t>
            </w:r>
            <w:r>
              <w:rPr>
                <w:rFonts w:hint="eastAsia" w:ascii="Times New Roman" w:hAnsi="Times New Roman" w:eastAsia="宋体" w:cs="Times New Roman"/>
                <w:b/>
                <w:bCs/>
                <w:color w:val="auto"/>
                <w:sz w:val="21"/>
                <w:szCs w:val="21"/>
                <w:lang w:val="en-US" w:eastAsia="zh-CN"/>
              </w:rPr>
              <w:t>工程污染物排放量汇总一览</w:t>
            </w:r>
            <w:r>
              <w:rPr>
                <w:rFonts w:hint="eastAsia"/>
                <w:b/>
                <w:bCs/>
                <w:color w:val="auto"/>
                <w:sz w:val="21"/>
                <w:szCs w:val="21"/>
                <w:lang w:val="en-US" w:eastAsia="zh-CN"/>
              </w:rPr>
              <w:t>表</w:t>
            </w:r>
          </w:p>
          <w:tbl>
            <w:tblPr>
              <w:tblStyle w:val="37"/>
              <w:tblW w:w="7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3231"/>
              <w:gridCol w:w="2507"/>
            </w:tblGrid>
            <w:tr w14:paraId="109D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53" w:type="pct"/>
                  <w:vMerge w:val="restart"/>
                  <w:noWrap w:val="0"/>
                  <w:vAlign w:val="center"/>
                </w:tcPr>
                <w:p w14:paraId="6CB087AD">
                  <w:pPr>
                    <w:numPr>
                      <w:ilvl w:val="0"/>
                      <w:numId w:val="0"/>
                    </w:numPr>
                    <w:autoSpaceDE w:val="0"/>
                    <w:autoSpaceDN w:val="0"/>
                    <w:adjustRightInd w:val="0"/>
                    <w:snapToGrid w:val="0"/>
                    <w:spacing w:line="240" w:lineRule="auto"/>
                    <w:ind w:left="0" w:leftChars="0" w:firstLine="0" w:firstLineChars="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种类</w:t>
                  </w:r>
                </w:p>
              </w:tc>
              <w:tc>
                <w:tcPr>
                  <w:tcW w:w="2165" w:type="pct"/>
                  <w:vMerge w:val="restart"/>
                  <w:noWrap w:val="0"/>
                  <w:vAlign w:val="center"/>
                </w:tcPr>
                <w:p w14:paraId="39DEB7E9">
                  <w:pPr>
                    <w:numPr>
                      <w:ilvl w:val="0"/>
                      <w:numId w:val="0"/>
                    </w:numPr>
                    <w:autoSpaceDE w:val="0"/>
                    <w:autoSpaceDN w:val="0"/>
                    <w:adjustRightInd w:val="0"/>
                    <w:snapToGrid w:val="0"/>
                    <w:spacing w:line="240" w:lineRule="auto"/>
                    <w:ind w:left="0" w:leftChars="0" w:firstLine="0" w:firstLineChars="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污染物名称</w:t>
                  </w:r>
                </w:p>
              </w:tc>
              <w:tc>
                <w:tcPr>
                  <w:tcW w:w="1680" w:type="pct"/>
                  <w:vMerge w:val="restart"/>
                  <w:noWrap w:val="0"/>
                  <w:vAlign w:val="center"/>
                </w:tcPr>
                <w:p w14:paraId="76B30132">
                  <w:pPr>
                    <w:numPr>
                      <w:ilvl w:val="0"/>
                      <w:numId w:val="0"/>
                    </w:numPr>
                    <w:autoSpaceDE w:val="0"/>
                    <w:autoSpaceDN w:val="0"/>
                    <w:adjustRightInd w:val="0"/>
                    <w:snapToGrid w:val="0"/>
                    <w:spacing w:line="240" w:lineRule="auto"/>
                    <w:ind w:left="0" w:leftChars="0" w:firstLine="0" w:firstLineChars="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现有工程排放量（t/a）</w:t>
                  </w:r>
                </w:p>
              </w:tc>
            </w:tr>
            <w:tr w14:paraId="3FAF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53" w:type="pct"/>
                  <w:vMerge w:val="continue"/>
                  <w:noWrap w:val="0"/>
                  <w:vAlign w:val="center"/>
                </w:tcPr>
                <w:p w14:paraId="04F90263">
                  <w:pPr>
                    <w:numPr>
                      <w:ilvl w:val="0"/>
                      <w:numId w:val="0"/>
                    </w:numPr>
                    <w:autoSpaceDE w:val="0"/>
                    <w:autoSpaceDN w:val="0"/>
                    <w:adjustRightInd w:val="0"/>
                    <w:snapToGrid w:val="0"/>
                    <w:spacing w:line="240" w:lineRule="auto"/>
                    <w:ind w:left="0" w:leftChars="0" w:firstLine="0" w:firstLineChars="0"/>
                    <w:jc w:val="center"/>
                    <w:rPr>
                      <w:rFonts w:hint="eastAsia" w:ascii="宋体" w:hAnsi="宋体" w:cs="宋体"/>
                      <w:color w:val="auto"/>
                      <w:sz w:val="21"/>
                      <w:szCs w:val="21"/>
                      <w:highlight w:val="none"/>
                      <w:vertAlign w:val="baseline"/>
                      <w:lang w:val="en-US" w:eastAsia="zh-CN"/>
                    </w:rPr>
                  </w:pPr>
                </w:p>
              </w:tc>
              <w:tc>
                <w:tcPr>
                  <w:tcW w:w="2165" w:type="pct"/>
                  <w:vMerge w:val="continue"/>
                  <w:noWrap w:val="0"/>
                  <w:vAlign w:val="center"/>
                </w:tcPr>
                <w:p w14:paraId="2C063364">
                  <w:pPr>
                    <w:numPr>
                      <w:ilvl w:val="0"/>
                      <w:numId w:val="0"/>
                    </w:numPr>
                    <w:autoSpaceDE w:val="0"/>
                    <w:autoSpaceDN w:val="0"/>
                    <w:adjustRightInd w:val="0"/>
                    <w:snapToGrid w:val="0"/>
                    <w:spacing w:line="240" w:lineRule="auto"/>
                    <w:ind w:left="0" w:leftChars="0" w:firstLine="0" w:firstLineChars="0"/>
                    <w:jc w:val="center"/>
                    <w:rPr>
                      <w:rFonts w:hint="eastAsia" w:ascii="宋体" w:hAnsi="宋体" w:cs="宋体"/>
                      <w:color w:val="auto"/>
                      <w:sz w:val="21"/>
                      <w:szCs w:val="21"/>
                      <w:highlight w:val="none"/>
                      <w:vertAlign w:val="baseline"/>
                      <w:lang w:val="en-US" w:eastAsia="zh-CN"/>
                    </w:rPr>
                  </w:pPr>
                </w:p>
              </w:tc>
              <w:tc>
                <w:tcPr>
                  <w:tcW w:w="1680" w:type="pct"/>
                  <w:vMerge w:val="continue"/>
                  <w:noWrap w:val="0"/>
                  <w:vAlign w:val="center"/>
                </w:tcPr>
                <w:p w14:paraId="50A886AD">
                  <w:pPr>
                    <w:numPr>
                      <w:ilvl w:val="0"/>
                      <w:numId w:val="0"/>
                    </w:numPr>
                    <w:autoSpaceDE w:val="0"/>
                    <w:autoSpaceDN w:val="0"/>
                    <w:adjustRightInd w:val="0"/>
                    <w:snapToGrid w:val="0"/>
                    <w:spacing w:line="240" w:lineRule="auto"/>
                    <w:ind w:left="0" w:leftChars="0" w:firstLine="0" w:firstLineChars="0"/>
                    <w:jc w:val="center"/>
                    <w:rPr>
                      <w:rFonts w:hint="eastAsia" w:ascii="宋体" w:hAnsi="宋体" w:cs="宋体"/>
                      <w:color w:val="auto"/>
                      <w:sz w:val="21"/>
                      <w:szCs w:val="21"/>
                      <w:highlight w:val="none"/>
                      <w:vertAlign w:val="baseline"/>
                      <w:lang w:val="en-US" w:eastAsia="zh-CN"/>
                    </w:rPr>
                  </w:pPr>
                </w:p>
              </w:tc>
            </w:tr>
            <w:tr w14:paraId="2E19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53" w:type="pct"/>
                  <w:vMerge w:val="restart"/>
                  <w:noWrap w:val="0"/>
                  <w:vAlign w:val="center"/>
                </w:tcPr>
                <w:p w14:paraId="20F31C31">
                  <w:pPr>
                    <w:numPr>
                      <w:ilvl w:val="0"/>
                      <w:numId w:val="0"/>
                    </w:numPr>
                    <w:autoSpaceDE w:val="0"/>
                    <w:autoSpaceDN w:val="0"/>
                    <w:adjustRightInd w:val="0"/>
                    <w:snapToGrid w:val="0"/>
                    <w:spacing w:line="240" w:lineRule="auto"/>
                    <w:ind w:left="0" w:leftChars="0" w:firstLine="0" w:firstLineChars="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废气</w:t>
                  </w:r>
                </w:p>
              </w:tc>
              <w:tc>
                <w:tcPr>
                  <w:tcW w:w="2165" w:type="pct"/>
                  <w:noWrap w:val="0"/>
                  <w:vAlign w:val="center"/>
                </w:tcPr>
                <w:p w14:paraId="3954D98E">
                  <w:pPr>
                    <w:numPr>
                      <w:ilvl w:val="0"/>
                      <w:numId w:val="0"/>
                    </w:numPr>
                    <w:autoSpaceDE w:val="0"/>
                    <w:autoSpaceDN w:val="0"/>
                    <w:adjustRightInd w:val="0"/>
                    <w:snapToGrid w:val="0"/>
                    <w:spacing w:line="240" w:lineRule="auto"/>
                    <w:ind w:left="0" w:leftChars="0" w:firstLine="0" w:firstLineChars="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颗粒物</w:t>
                  </w:r>
                </w:p>
              </w:tc>
              <w:tc>
                <w:tcPr>
                  <w:tcW w:w="1680" w:type="pct"/>
                  <w:noWrap w:val="0"/>
                  <w:vAlign w:val="center"/>
                </w:tcPr>
                <w:p w14:paraId="4C2A85CB">
                  <w:pPr>
                    <w:numPr>
                      <w:ilvl w:val="0"/>
                      <w:numId w:val="0"/>
                    </w:numPr>
                    <w:autoSpaceDE w:val="0"/>
                    <w:autoSpaceDN w:val="0"/>
                    <w:adjustRightInd w:val="0"/>
                    <w:snapToGrid w:val="0"/>
                    <w:spacing w:line="240" w:lineRule="auto"/>
                    <w:ind w:left="0" w:leftChars="0" w:firstLine="0" w:firstLineChars="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0.905</w:t>
                  </w:r>
                </w:p>
              </w:tc>
            </w:tr>
            <w:tr w14:paraId="7520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53" w:type="pct"/>
                  <w:vMerge w:val="continue"/>
                  <w:noWrap w:val="0"/>
                  <w:vAlign w:val="center"/>
                </w:tcPr>
                <w:p w14:paraId="4ABB7D9C">
                  <w:pPr>
                    <w:numPr>
                      <w:ilvl w:val="0"/>
                      <w:numId w:val="0"/>
                    </w:numPr>
                    <w:autoSpaceDE w:val="0"/>
                    <w:autoSpaceDN w:val="0"/>
                    <w:adjustRightInd w:val="0"/>
                    <w:snapToGrid w:val="0"/>
                    <w:spacing w:line="240" w:lineRule="auto"/>
                    <w:ind w:left="0" w:leftChars="0" w:firstLine="0" w:firstLineChars="0"/>
                    <w:jc w:val="center"/>
                    <w:rPr>
                      <w:rFonts w:hint="eastAsia" w:ascii="宋体" w:hAnsi="宋体" w:cs="宋体"/>
                      <w:color w:val="auto"/>
                      <w:sz w:val="21"/>
                      <w:szCs w:val="21"/>
                      <w:highlight w:val="none"/>
                      <w:vertAlign w:val="baseline"/>
                      <w:lang w:val="en-US" w:eastAsia="zh-CN"/>
                    </w:rPr>
                  </w:pPr>
                </w:p>
              </w:tc>
              <w:tc>
                <w:tcPr>
                  <w:tcW w:w="2165" w:type="pct"/>
                  <w:noWrap w:val="0"/>
                  <w:vAlign w:val="center"/>
                </w:tcPr>
                <w:p w14:paraId="2DD687F1">
                  <w:pPr>
                    <w:numPr>
                      <w:ilvl w:val="0"/>
                      <w:numId w:val="0"/>
                    </w:numPr>
                    <w:autoSpaceDE w:val="0"/>
                    <w:autoSpaceDN w:val="0"/>
                    <w:adjustRightInd w:val="0"/>
                    <w:snapToGrid w:val="0"/>
                    <w:spacing w:line="240" w:lineRule="auto"/>
                    <w:ind w:left="0" w:leftChars="0" w:firstLine="0" w:firstLineChars="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二氧化硫</w:t>
                  </w:r>
                </w:p>
              </w:tc>
              <w:tc>
                <w:tcPr>
                  <w:tcW w:w="1680" w:type="pct"/>
                  <w:noWrap w:val="0"/>
                  <w:vAlign w:val="center"/>
                </w:tcPr>
                <w:p w14:paraId="571FD2DE">
                  <w:pPr>
                    <w:numPr>
                      <w:ilvl w:val="0"/>
                      <w:numId w:val="0"/>
                    </w:numPr>
                    <w:autoSpaceDE w:val="0"/>
                    <w:autoSpaceDN w:val="0"/>
                    <w:adjustRightInd w:val="0"/>
                    <w:snapToGrid w:val="0"/>
                    <w:spacing w:line="240" w:lineRule="auto"/>
                    <w:ind w:left="0" w:leftChars="0" w:firstLine="0" w:firstLineChars="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18.78</w:t>
                  </w:r>
                </w:p>
              </w:tc>
            </w:tr>
            <w:tr w14:paraId="31FA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53" w:type="pct"/>
                  <w:vMerge w:val="continue"/>
                  <w:noWrap w:val="0"/>
                  <w:vAlign w:val="center"/>
                </w:tcPr>
                <w:p w14:paraId="093EDB49">
                  <w:pPr>
                    <w:numPr>
                      <w:ilvl w:val="0"/>
                      <w:numId w:val="0"/>
                    </w:numPr>
                    <w:autoSpaceDE w:val="0"/>
                    <w:autoSpaceDN w:val="0"/>
                    <w:adjustRightInd w:val="0"/>
                    <w:snapToGrid w:val="0"/>
                    <w:spacing w:line="240" w:lineRule="auto"/>
                    <w:ind w:left="0" w:leftChars="0" w:firstLine="0" w:firstLineChars="0"/>
                    <w:jc w:val="center"/>
                    <w:rPr>
                      <w:rFonts w:hint="eastAsia" w:ascii="宋体" w:hAnsi="宋体" w:cs="宋体"/>
                      <w:color w:val="auto"/>
                      <w:sz w:val="21"/>
                      <w:szCs w:val="21"/>
                      <w:highlight w:val="none"/>
                      <w:vertAlign w:val="baseline"/>
                      <w:lang w:val="en-US" w:eastAsia="zh-CN"/>
                    </w:rPr>
                  </w:pPr>
                </w:p>
              </w:tc>
              <w:tc>
                <w:tcPr>
                  <w:tcW w:w="2165" w:type="pct"/>
                  <w:noWrap w:val="0"/>
                  <w:vAlign w:val="center"/>
                </w:tcPr>
                <w:p w14:paraId="66E3C365">
                  <w:pPr>
                    <w:numPr>
                      <w:ilvl w:val="0"/>
                      <w:numId w:val="0"/>
                    </w:numPr>
                    <w:autoSpaceDE w:val="0"/>
                    <w:autoSpaceDN w:val="0"/>
                    <w:adjustRightInd w:val="0"/>
                    <w:snapToGrid w:val="0"/>
                    <w:spacing w:line="240" w:lineRule="auto"/>
                    <w:ind w:left="0" w:leftChars="0" w:firstLine="0" w:firstLineChars="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氮氧化物</w:t>
                  </w:r>
                </w:p>
              </w:tc>
              <w:tc>
                <w:tcPr>
                  <w:tcW w:w="1680" w:type="pct"/>
                  <w:noWrap w:val="0"/>
                  <w:vAlign w:val="center"/>
                </w:tcPr>
                <w:p w14:paraId="5756090A">
                  <w:pPr>
                    <w:numPr>
                      <w:ilvl w:val="0"/>
                      <w:numId w:val="0"/>
                    </w:numPr>
                    <w:autoSpaceDE w:val="0"/>
                    <w:autoSpaceDN w:val="0"/>
                    <w:adjustRightInd w:val="0"/>
                    <w:snapToGrid w:val="0"/>
                    <w:spacing w:line="240" w:lineRule="auto"/>
                    <w:ind w:left="0" w:leftChars="0" w:firstLine="0" w:firstLineChars="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14.78</w:t>
                  </w:r>
                </w:p>
              </w:tc>
            </w:tr>
            <w:tr w14:paraId="177A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53" w:type="pct"/>
                  <w:vMerge w:val="restart"/>
                  <w:noWrap w:val="0"/>
                  <w:vAlign w:val="center"/>
                </w:tcPr>
                <w:p w14:paraId="69642130">
                  <w:pPr>
                    <w:numPr>
                      <w:ilvl w:val="0"/>
                      <w:numId w:val="0"/>
                    </w:numPr>
                    <w:autoSpaceDE w:val="0"/>
                    <w:autoSpaceDN w:val="0"/>
                    <w:adjustRightInd w:val="0"/>
                    <w:snapToGrid w:val="0"/>
                    <w:spacing w:line="240" w:lineRule="auto"/>
                    <w:ind w:left="0" w:leftChars="0" w:firstLine="0" w:firstLineChars="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废水</w:t>
                  </w:r>
                </w:p>
              </w:tc>
              <w:tc>
                <w:tcPr>
                  <w:tcW w:w="2165" w:type="pct"/>
                  <w:noWrap w:val="0"/>
                  <w:vAlign w:val="center"/>
                </w:tcPr>
                <w:p w14:paraId="76AF484B">
                  <w:pPr>
                    <w:numPr>
                      <w:ilvl w:val="0"/>
                      <w:numId w:val="0"/>
                    </w:numPr>
                    <w:autoSpaceDE w:val="0"/>
                    <w:autoSpaceDN w:val="0"/>
                    <w:adjustRightInd w:val="0"/>
                    <w:snapToGrid w:val="0"/>
                    <w:spacing w:line="240" w:lineRule="auto"/>
                    <w:ind w:left="0" w:leftChars="0" w:firstLine="0" w:firstLineChars="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废水总量</w:t>
                  </w:r>
                </w:p>
              </w:tc>
              <w:tc>
                <w:tcPr>
                  <w:tcW w:w="1680" w:type="pct"/>
                  <w:noWrap w:val="0"/>
                  <w:vAlign w:val="center"/>
                </w:tcPr>
                <w:p w14:paraId="32116606">
                  <w:pPr>
                    <w:numPr>
                      <w:ilvl w:val="0"/>
                      <w:numId w:val="0"/>
                    </w:numPr>
                    <w:autoSpaceDE w:val="0"/>
                    <w:autoSpaceDN w:val="0"/>
                    <w:adjustRightInd w:val="0"/>
                    <w:snapToGrid w:val="0"/>
                    <w:spacing w:line="240" w:lineRule="auto"/>
                    <w:ind w:left="0" w:leftChars="0" w:firstLine="0" w:firstLineChars="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0</w:t>
                  </w:r>
                </w:p>
              </w:tc>
            </w:tr>
            <w:tr w14:paraId="7FEE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53" w:type="pct"/>
                  <w:vMerge w:val="continue"/>
                  <w:noWrap w:val="0"/>
                  <w:vAlign w:val="center"/>
                </w:tcPr>
                <w:p w14:paraId="359459AA">
                  <w:pPr>
                    <w:numPr>
                      <w:ilvl w:val="0"/>
                      <w:numId w:val="0"/>
                    </w:numPr>
                    <w:autoSpaceDE w:val="0"/>
                    <w:autoSpaceDN w:val="0"/>
                    <w:adjustRightInd w:val="0"/>
                    <w:snapToGrid w:val="0"/>
                    <w:spacing w:line="240" w:lineRule="auto"/>
                    <w:ind w:left="0" w:leftChars="0" w:firstLine="0" w:firstLineChars="0"/>
                    <w:jc w:val="center"/>
                    <w:rPr>
                      <w:rFonts w:hint="eastAsia" w:ascii="宋体" w:hAnsi="宋体" w:cs="宋体"/>
                      <w:color w:val="auto"/>
                      <w:sz w:val="21"/>
                      <w:szCs w:val="21"/>
                      <w:highlight w:val="none"/>
                      <w:vertAlign w:val="baseline"/>
                      <w:lang w:val="en-US" w:eastAsia="zh-CN"/>
                    </w:rPr>
                  </w:pPr>
                </w:p>
              </w:tc>
              <w:tc>
                <w:tcPr>
                  <w:tcW w:w="2165" w:type="pct"/>
                  <w:noWrap w:val="0"/>
                  <w:vAlign w:val="center"/>
                </w:tcPr>
                <w:p w14:paraId="7626BF33">
                  <w:pPr>
                    <w:numPr>
                      <w:ilvl w:val="0"/>
                      <w:numId w:val="0"/>
                    </w:numPr>
                    <w:autoSpaceDE w:val="0"/>
                    <w:autoSpaceDN w:val="0"/>
                    <w:adjustRightInd w:val="0"/>
                    <w:snapToGrid w:val="0"/>
                    <w:spacing w:line="240" w:lineRule="auto"/>
                    <w:ind w:left="0" w:leftChars="0" w:firstLine="0" w:firstLineChars="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COD</w:t>
                  </w:r>
                </w:p>
              </w:tc>
              <w:tc>
                <w:tcPr>
                  <w:tcW w:w="1680" w:type="pct"/>
                  <w:noWrap w:val="0"/>
                  <w:vAlign w:val="center"/>
                </w:tcPr>
                <w:p w14:paraId="3BED90AC">
                  <w:pPr>
                    <w:numPr>
                      <w:ilvl w:val="0"/>
                      <w:numId w:val="0"/>
                    </w:numPr>
                    <w:autoSpaceDE w:val="0"/>
                    <w:autoSpaceDN w:val="0"/>
                    <w:adjustRightInd w:val="0"/>
                    <w:snapToGrid w:val="0"/>
                    <w:spacing w:line="240" w:lineRule="auto"/>
                    <w:ind w:left="0" w:leftChars="0" w:firstLine="0" w:firstLineChars="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0</w:t>
                  </w:r>
                </w:p>
              </w:tc>
            </w:tr>
            <w:tr w14:paraId="7C02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53" w:type="pct"/>
                  <w:vMerge w:val="continue"/>
                  <w:noWrap w:val="0"/>
                  <w:vAlign w:val="center"/>
                </w:tcPr>
                <w:p w14:paraId="72B1F64A">
                  <w:pPr>
                    <w:numPr>
                      <w:ilvl w:val="0"/>
                      <w:numId w:val="0"/>
                    </w:numPr>
                    <w:autoSpaceDE w:val="0"/>
                    <w:autoSpaceDN w:val="0"/>
                    <w:adjustRightInd w:val="0"/>
                    <w:snapToGrid w:val="0"/>
                    <w:spacing w:line="240" w:lineRule="auto"/>
                    <w:ind w:left="0" w:leftChars="0" w:firstLine="0" w:firstLineChars="0"/>
                    <w:jc w:val="center"/>
                    <w:rPr>
                      <w:rFonts w:hint="eastAsia" w:ascii="宋体" w:hAnsi="宋体" w:cs="宋体"/>
                      <w:color w:val="auto"/>
                      <w:sz w:val="21"/>
                      <w:szCs w:val="21"/>
                      <w:highlight w:val="none"/>
                      <w:vertAlign w:val="baseline"/>
                      <w:lang w:val="en-US" w:eastAsia="zh-CN"/>
                    </w:rPr>
                  </w:pPr>
                </w:p>
              </w:tc>
              <w:tc>
                <w:tcPr>
                  <w:tcW w:w="2165" w:type="pct"/>
                  <w:noWrap w:val="0"/>
                  <w:vAlign w:val="center"/>
                </w:tcPr>
                <w:p w14:paraId="51721F98">
                  <w:pPr>
                    <w:numPr>
                      <w:ilvl w:val="0"/>
                      <w:numId w:val="0"/>
                    </w:numPr>
                    <w:autoSpaceDE w:val="0"/>
                    <w:autoSpaceDN w:val="0"/>
                    <w:adjustRightInd w:val="0"/>
                    <w:snapToGrid w:val="0"/>
                    <w:spacing w:line="240" w:lineRule="auto"/>
                    <w:ind w:left="0" w:leftChars="0" w:firstLine="0" w:firstLineChars="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NH3-N</w:t>
                  </w:r>
                </w:p>
              </w:tc>
              <w:tc>
                <w:tcPr>
                  <w:tcW w:w="1680" w:type="pct"/>
                  <w:noWrap w:val="0"/>
                  <w:vAlign w:val="center"/>
                </w:tcPr>
                <w:p w14:paraId="6F64A351">
                  <w:pPr>
                    <w:numPr>
                      <w:ilvl w:val="0"/>
                      <w:numId w:val="0"/>
                    </w:numPr>
                    <w:autoSpaceDE w:val="0"/>
                    <w:autoSpaceDN w:val="0"/>
                    <w:adjustRightInd w:val="0"/>
                    <w:snapToGrid w:val="0"/>
                    <w:spacing w:line="240" w:lineRule="auto"/>
                    <w:ind w:left="0" w:leftChars="0" w:firstLine="0" w:firstLineChars="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0</w:t>
                  </w:r>
                </w:p>
              </w:tc>
            </w:tr>
            <w:tr w14:paraId="741A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53" w:type="pct"/>
                  <w:vMerge w:val="restart"/>
                  <w:noWrap w:val="0"/>
                  <w:vAlign w:val="center"/>
                </w:tcPr>
                <w:p w14:paraId="78126984">
                  <w:pPr>
                    <w:numPr>
                      <w:ilvl w:val="0"/>
                      <w:numId w:val="0"/>
                    </w:numPr>
                    <w:autoSpaceDE w:val="0"/>
                    <w:autoSpaceDN w:val="0"/>
                    <w:adjustRightInd w:val="0"/>
                    <w:snapToGrid w:val="0"/>
                    <w:spacing w:line="240" w:lineRule="auto"/>
                    <w:ind w:left="0" w:leftChars="0" w:firstLine="0" w:firstLineChars="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固废（产生量）</w:t>
                  </w:r>
                </w:p>
              </w:tc>
              <w:tc>
                <w:tcPr>
                  <w:tcW w:w="2165" w:type="pct"/>
                  <w:noWrap w:val="0"/>
                  <w:vAlign w:val="center"/>
                </w:tcPr>
                <w:p w14:paraId="42EBE644">
                  <w:pPr>
                    <w:numPr>
                      <w:ilvl w:val="0"/>
                      <w:numId w:val="0"/>
                    </w:numPr>
                    <w:autoSpaceDE w:val="0"/>
                    <w:autoSpaceDN w:val="0"/>
                    <w:adjustRightInd w:val="0"/>
                    <w:snapToGrid w:val="0"/>
                    <w:spacing w:line="240" w:lineRule="auto"/>
                    <w:ind w:left="0" w:leftChars="0" w:firstLine="0" w:firstLineChars="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生活垃圾</w:t>
                  </w:r>
                </w:p>
              </w:tc>
              <w:tc>
                <w:tcPr>
                  <w:tcW w:w="1680" w:type="pct"/>
                  <w:noWrap w:val="0"/>
                  <w:vAlign w:val="center"/>
                </w:tcPr>
                <w:p w14:paraId="3A4FD3A7">
                  <w:pPr>
                    <w:numPr>
                      <w:ilvl w:val="0"/>
                      <w:numId w:val="0"/>
                    </w:numPr>
                    <w:autoSpaceDE w:val="0"/>
                    <w:autoSpaceDN w:val="0"/>
                    <w:adjustRightInd w:val="0"/>
                    <w:snapToGrid w:val="0"/>
                    <w:spacing w:line="240" w:lineRule="auto"/>
                    <w:ind w:left="0" w:leftChars="0" w:firstLine="0" w:firstLineChars="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5</w:t>
                  </w:r>
                </w:p>
              </w:tc>
            </w:tr>
            <w:tr w14:paraId="0EFE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53" w:type="pct"/>
                  <w:vMerge w:val="continue"/>
                  <w:noWrap w:val="0"/>
                  <w:vAlign w:val="center"/>
                </w:tcPr>
                <w:p w14:paraId="4BE774AF">
                  <w:pPr>
                    <w:numPr>
                      <w:ilvl w:val="0"/>
                      <w:numId w:val="0"/>
                    </w:numPr>
                    <w:autoSpaceDE w:val="0"/>
                    <w:autoSpaceDN w:val="0"/>
                    <w:adjustRightInd w:val="0"/>
                    <w:snapToGrid w:val="0"/>
                    <w:spacing w:line="240" w:lineRule="auto"/>
                    <w:ind w:left="0" w:leftChars="0" w:firstLine="0" w:firstLineChars="0"/>
                    <w:jc w:val="center"/>
                    <w:rPr>
                      <w:rFonts w:hint="eastAsia" w:ascii="宋体" w:hAnsi="宋体" w:cs="宋体"/>
                      <w:color w:val="auto"/>
                      <w:sz w:val="21"/>
                      <w:szCs w:val="21"/>
                      <w:highlight w:val="none"/>
                      <w:vertAlign w:val="baseline"/>
                      <w:lang w:val="en-US" w:eastAsia="zh-CN"/>
                    </w:rPr>
                  </w:pPr>
                </w:p>
              </w:tc>
              <w:tc>
                <w:tcPr>
                  <w:tcW w:w="2165" w:type="pct"/>
                  <w:noWrap w:val="0"/>
                  <w:vAlign w:val="center"/>
                </w:tcPr>
                <w:p w14:paraId="284C2C53">
                  <w:pPr>
                    <w:numPr>
                      <w:ilvl w:val="0"/>
                      <w:numId w:val="0"/>
                    </w:numPr>
                    <w:autoSpaceDE w:val="0"/>
                    <w:autoSpaceDN w:val="0"/>
                    <w:adjustRightInd w:val="0"/>
                    <w:snapToGrid w:val="0"/>
                    <w:spacing w:line="240" w:lineRule="auto"/>
                    <w:ind w:left="0" w:leftChars="0" w:firstLine="0" w:firstLineChars="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废边角料</w:t>
                  </w:r>
                </w:p>
              </w:tc>
              <w:tc>
                <w:tcPr>
                  <w:tcW w:w="1680" w:type="pct"/>
                  <w:noWrap w:val="0"/>
                  <w:vAlign w:val="center"/>
                </w:tcPr>
                <w:p w14:paraId="394434E8">
                  <w:pPr>
                    <w:numPr>
                      <w:ilvl w:val="0"/>
                      <w:numId w:val="0"/>
                    </w:numPr>
                    <w:autoSpaceDE w:val="0"/>
                    <w:autoSpaceDN w:val="0"/>
                    <w:adjustRightInd w:val="0"/>
                    <w:snapToGrid w:val="0"/>
                    <w:spacing w:line="240" w:lineRule="auto"/>
                    <w:ind w:left="0" w:leftChars="0" w:firstLine="0" w:firstLineChars="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4500</w:t>
                  </w:r>
                </w:p>
              </w:tc>
            </w:tr>
            <w:tr w14:paraId="10045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53" w:type="pct"/>
                  <w:vMerge w:val="continue"/>
                  <w:noWrap w:val="0"/>
                  <w:vAlign w:val="center"/>
                </w:tcPr>
                <w:p w14:paraId="32733654">
                  <w:pPr>
                    <w:numPr>
                      <w:ilvl w:val="0"/>
                      <w:numId w:val="0"/>
                    </w:numPr>
                    <w:autoSpaceDE w:val="0"/>
                    <w:autoSpaceDN w:val="0"/>
                    <w:adjustRightInd w:val="0"/>
                    <w:snapToGrid w:val="0"/>
                    <w:spacing w:line="240" w:lineRule="auto"/>
                    <w:ind w:left="0" w:leftChars="0" w:firstLine="0" w:firstLineChars="0"/>
                    <w:jc w:val="center"/>
                    <w:rPr>
                      <w:rFonts w:hint="eastAsia" w:ascii="宋体" w:hAnsi="宋体" w:cs="宋体"/>
                      <w:color w:val="auto"/>
                      <w:sz w:val="21"/>
                      <w:szCs w:val="21"/>
                      <w:highlight w:val="none"/>
                      <w:vertAlign w:val="baseline"/>
                      <w:lang w:val="en-US" w:eastAsia="zh-CN"/>
                    </w:rPr>
                  </w:pPr>
                </w:p>
              </w:tc>
              <w:tc>
                <w:tcPr>
                  <w:tcW w:w="2165" w:type="pct"/>
                  <w:noWrap w:val="0"/>
                  <w:vAlign w:val="center"/>
                </w:tcPr>
                <w:p w14:paraId="244BE290">
                  <w:pPr>
                    <w:numPr>
                      <w:ilvl w:val="0"/>
                      <w:numId w:val="0"/>
                    </w:numPr>
                    <w:autoSpaceDE w:val="0"/>
                    <w:autoSpaceDN w:val="0"/>
                    <w:adjustRightInd w:val="0"/>
                    <w:snapToGrid w:val="0"/>
                    <w:spacing w:line="240" w:lineRule="auto"/>
                    <w:ind w:left="0" w:leftChars="0" w:firstLine="0" w:firstLineChars="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除尘器收集的粉尘</w:t>
                  </w:r>
                </w:p>
              </w:tc>
              <w:tc>
                <w:tcPr>
                  <w:tcW w:w="1680" w:type="pct"/>
                  <w:noWrap w:val="0"/>
                  <w:vAlign w:val="center"/>
                </w:tcPr>
                <w:p w14:paraId="6CDDEBA2">
                  <w:pPr>
                    <w:numPr>
                      <w:ilvl w:val="0"/>
                      <w:numId w:val="0"/>
                    </w:numPr>
                    <w:autoSpaceDE w:val="0"/>
                    <w:autoSpaceDN w:val="0"/>
                    <w:adjustRightInd w:val="0"/>
                    <w:snapToGrid w:val="0"/>
                    <w:spacing w:line="240" w:lineRule="auto"/>
                    <w:ind w:left="0" w:leftChars="0" w:firstLine="0" w:firstLineChars="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33</w:t>
                  </w:r>
                </w:p>
              </w:tc>
            </w:tr>
            <w:tr w14:paraId="2304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53" w:type="pct"/>
                  <w:vMerge w:val="continue"/>
                  <w:noWrap w:val="0"/>
                  <w:vAlign w:val="center"/>
                </w:tcPr>
                <w:p w14:paraId="2737554F">
                  <w:pPr>
                    <w:numPr>
                      <w:ilvl w:val="0"/>
                      <w:numId w:val="0"/>
                    </w:numPr>
                    <w:autoSpaceDE w:val="0"/>
                    <w:autoSpaceDN w:val="0"/>
                    <w:adjustRightInd w:val="0"/>
                    <w:snapToGrid w:val="0"/>
                    <w:spacing w:line="240" w:lineRule="auto"/>
                    <w:ind w:left="0" w:leftChars="0" w:firstLine="0" w:firstLineChars="0"/>
                    <w:jc w:val="center"/>
                    <w:rPr>
                      <w:rFonts w:hint="eastAsia" w:ascii="宋体" w:hAnsi="宋体" w:cs="宋体"/>
                      <w:color w:val="auto"/>
                      <w:sz w:val="21"/>
                      <w:szCs w:val="21"/>
                      <w:highlight w:val="none"/>
                      <w:vertAlign w:val="baseline"/>
                      <w:lang w:val="en-US" w:eastAsia="zh-CN"/>
                    </w:rPr>
                  </w:pPr>
                </w:p>
              </w:tc>
              <w:tc>
                <w:tcPr>
                  <w:tcW w:w="2165" w:type="pct"/>
                  <w:noWrap w:val="0"/>
                  <w:vAlign w:val="center"/>
                </w:tcPr>
                <w:p w14:paraId="24E8F334">
                  <w:pPr>
                    <w:numPr>
                      <w:ilvl w:val="0"/>
                      <w:numId w:val="0"/>
                    </w:numPr>
                    <w:autoSpaceDE w:val="0"/>
                    <w:autoSpaceDN w:val="0"/>
                    <w:adjustRightInd w:val="0"/>
                    <w:snapToGrid w:val="0"/>
                    <w:spacing w:line="240" w:lineRule="auto"/>
                    <w:ind w:left="0" w:leftChars="0" w:firstLine="0" w:firstLineChars="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脱硫脱硝废渣</w:t>
                  </w:r>
                </w:p>
              </w:tc>
              <w:tc>
                <w:tcPr>
                  <w:tcW w:w="1680" w:type="pct"/>
                  <w:noWrap w:val="0"/>
                  <w:vAlign w:val="center"/>
                </w:tcPr>
                <w:p w14:paraId="53F2D387">
                  <w:pPr>
                    <w:numPr>
                      <w:ilvl w:val="0"/>
                      <w:numId w:val="0"/>
                    </w:numPr>
                    <w:autoSpaceDE w:val="0"/>
                    <w:autoSpaceDN w:val="0"/>
                    <w:adjustRightInd w:val="0"/>
                    <w:snapToGrid w:val="0"/>
                    <w:spacing w:line="240" w:lineRule="auto"/>
                    <w:ind w:left="0" w:leftChars="0" w:firstLine="0" w:firstLineChars="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280</w:t>
                  </w:r>
                </w:p>
              </w:tc>
            </w:tr>
            <w:tr w14:paraId="23339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53" w:type="pct"/>
                  <w:vMerge w:val="continue"/>
                  <w:noWrap w:val="0"/>
                  <w:vAlign w:val="center"/>
                </w:tcPr>
                <w:p w14:paraId="4A8AE065">
                  <w:pPr>
                    <w:numPr>
                      <w:ilvl w:val="0"/>
                      <w:numId w:val="0"/>
                    </w:numPr>
                    <w:autoSpaceDE w:val="0"/>
                    <w:autoSpaceDN w:val="0"/>
                    <w:adjustRightInd w:val="0"/>
                    <w:snapToGrid w:val="0"/>
                    <w:spacing w:line="240" w:lineRule="auto"/>
                    <w:ind w:left="0" w:leftChars="0" w:firstLine="0" w:firstLineChars="0"/>
                    <w:jc w:val="center"/>
                    <w:rPr>
                      <w:rFonts w:hint="eastAsia" w:ascii="宋体" w:hAnsi="宋体" w:cs="宋体"/>
                      <w:color w:val="auto"/>
                      <w:sz w:val="21"/>
                      <w:szCs w:val="21"/>
                      <w:highlight w:val="none"/>
                      <w:vertAlign w:val="baseline"/>
                      <w:lang w:val="en-US" w:eastAsia="zh-CN"/>
                    </w:rPr>
                  </w:pPr>
                </w:p>
              </w:tc>
              <w:tc>
                <w:tcPr>
                  <w:tcW w:w="2165" w:type="pct"/>
                  <w:noWrap w:val="0"/>
                  <w:vAlign w:val="center"/>
                </w:tcPr>
                <w:p w14:paraId="2AC0714F">
                  <w:pPr>
                    <w:numPr>
                      <w:ilvl w:val="0"/>
                      <w:numId w:val="0"/>
                    </w:numPr>
                    <w:autoSpaceDE w:val="0"/>
                    <w:autoSpaceDN w:val="0"/>
                    <w:adjustRightInd w:val="0"/>
                    <w:snapToGrid w:val="0"/>
                    <w:spacing w:line="240" w:lineRule="auto"/>
                    <w:ind w:left="0" w:leftChars="0" w:firstLine="0" w:firstLineChars="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不合格产品</w:t>
                  </w:r>
                </w:p>
              </w:tc>
              <w:tc>
                <w:tcPr>
                  <w:tcW w:w="1680" w:type="pct"/>
                  <w:noWrap w:val="0"/>
                  <w:vAlign w:val="center"/>
                </w:tcPr>
                <w:p w14:paraId="26FBEFB2">
                  <w:pPr>
                    <w:numPr>
                      <w:ilvl w:val="0"/>
                      <w:numId w:val="0"/>
                    </w:numPr>
                    <w:autoSpaceDE w:val="0"/>
                    <w:autoSpaceDN w:val="0"/>
                    <w:adjustRightInd w:val="0"/>
                    <w:snapToGrid w:val="0"/>
                    <w:spacing w:line="240" w:lineRule="auto"/>
                    <w:ind w:left="0" w:leftChars="0" w:firstLine="0" w:firstLineChars="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350</w:t>
                  </w:r>
                </w:p>
              </w:tc>
            </w:tr>
          </w:tbl>
          <w:p w14:paraId="1A2F4944">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313" w:beforeLines="100" w:line="360" w:lineRule="auto"/>
              <w:ind w:left="719" w:leftChars="228" w:hanging="240" w:hangingChars="1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⑥现有工程总量控制情况</w:t>
            </w:r>
          </w:p>
          <w:tbl>
            <w:tblPr>
              <w:tblStyle w:val="37"/>
              <w:tblW w:w="44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2475"/>
              <w:gridCol w:w="1921"/>
              <w:gridCol w:w="1704"/>
            </w:tblGrid>
            <w:tr w14:paraId="090A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8" w:type="pct"/>
                  <w:vMerge w:val="restart"/>
                  <w:noWrap w:val="0"/>
                  <w:vAlign w:val="center"/>
                </w:tcPr>
                <w:p w14:paraId="03158F88">
                  <w:pPr>
                    <w:numPr>
                      <w:ilvl w:val="0"/>
                      <w:numId w:val="0"/>
                    </w:numPr>
                    <w:autoSpaceDE w:val="0"/>
                    <w:autoSpaceDN w:val="0"/>
                    <w:adjustRightInd w:val="0"/>
                    <w:snapToGrid w:val="0"/>
                    <w:spacing w:line="240" w:lineRule="auto"/>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种类</w:t>
                  </w:r>
                </w:p>
              </w:tc>
              <w:tc>
                <w:tcPr>
                  <w:tcW w:w="1668" w:type="pct"/>
                  <w:vMerge w:val="restart"/>
                  <w:noWrap w:val="0"/>
                  <w:vAlign w:val="center"/>
                </w:tcPr>
                <w:p w14:paraId="4E162896">
                  <w:pPr>
                    <w:numPr>
                      <w:ilvl w:val="0"/>
                      <w:numId w:val="0"/>
                    </w:numPr>
                    <w:autoSpaceDE w:val="0"/>
                    <w:autoSpaceDN w:val="0"/>
                    <w:adjustRightInd w:val="0"/>
                    <w:snapToGrid w:val="0"/>
                    <w:spacing w:line="240" w:lineRule="auto"/>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污染物名称</w:t>
                  </w:r>
                </w:p>
              </w:tc>
              <w:tc>
                <w:tcPr>
                  <w:tcW w:w="1294" w:type="pct"/>
                  <w:vMerge w:val="restart"/>
                  <w:noWrap w:val="0"/>
                  <w:vAlign w:val="center"/>
                </w:tcPr>
                <w:p w14:paraId="42F22EC4">
                  <w:pPr>
                    <w:numPr>
                      <w:ilvl w:val="0"/>
                      <w:numId w:val="0"/>
                    </w:numPr>
                    <w:autoSpaceDE w:val="0"/>
                    <w:autoSpaceDN w:val="0"/>
                    <w:adjustRightInd w:val="0"/>
                    <w:snapToGrid w:val="0"/>
                    <w:spacing w:line="240" w:lineRule="auto"/>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现有工程排放量（t/a）</w:t>
                  </w:r>
                </w:p>
              </w:tc>
              <w:tc>
                <w:tcPr>
                  <w:tcW w:w="1148" w:type="pct"/>
                  <w:vMerge w:val="restart"/>
                  <w:noWrap w:val="0"/>
                  <w:vAlign w:val="center"/>
                </w:tcPr>
                <w:p w14:paraId="7B40903C">
                  <w:pPr>
                    <w:numPr>
                      <w:ilvl w:val="0"/>
                      <w:numId w:val="0"/>
                    </w:numPr>
                    <w:autoSpaceDE w:val="0"/>
                    <w:autoSpaceDN w:val="0"/>
                    <w:adjustRightInd w:val="0"/>
                    <w:snapToGrid w:val="0"/>
                    <w:spacing w:line="240" w:lineRule="auto"/>
                    <w:ind w:left="0" w:leftChars="0" w:firstLine="0" w:firstLine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污染物排放总量指标（t/a）</w:t>
                  </w:r>
                </w:p>
              </w:tc>
            </w:tr>
            <w:tr w14:paraId="3F4A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88" w:type="pct"/>
                  <w:vMerge w:val="continue"/>
                  <w:noWrap w:val="0"/>
                  <w:vAlign w:val="center"/>
                </w:tcPr>
                <w:p w14:paraId="4BEDB411">
                  <w:pPr>
                    <w:numPr>
                      <w:ilvl w:val="0"/>
                      <w:numId w:val="0"/>
                    </w:numPr>
                    <w:autoSpaceDE w:val="0"/>
                    <w:autoSpaceDN w:val="0"/>
                    <w:adjustRightInd w:val="0"/>
                    <w:snapToGrid w:val="0"/>
                    <w:spacing w:line="240" w:lineRule="auto"/>
                    <w:ind w:left="0" w:leftChars="0" w:firstLine="0" w:firstLineChars="0"/>
                    <w:jc w:val="center"/>
                    <w:rPr>
                      <w:rFonts w:hint="eastAsia" w:ascii="宋体" w:hAnsi="宋体" w:eastAsia="宋体" w:cs="宋体"/>
                      <w:color w:val="auto"/>
                      <w:sz w:val="21"/>
                      <w:szCs w:val="21"/>
                      <w:highlight w:val="none"/>
                      <w:vertAlign w:val="baseline"/>
                      <w:lang w:val="en-US" w:eastAsia="zh-CN"/>
                    </w:rPr>
                  </w:pPr>
                </w:p>
              </w:tc>
              <w:tc>
                <w:tcPr>
                  <w:tcW w:w="1668" w:type="pct"/>
                  <w:vMerge w:val="continue"/>
                  <w:noWrap w:val="0"/>
                  <w:vAlign w:val="center"/>
                </w:tcPr>
                <w:p w14:paraId="03A7BC4B">
                  <w:pPr>
                    <w:numPr>
                      <w:ilvl w:val="0"/>
                      <w:numId w:val="0"/>
                    </w:numPr>
                    <w:autoSpaceDE w:val="0"/>
                    <w:autoSpaceDN w:val="0"/>
                    <w:adjustRightInd w:val="0"/>
                    <w:snapToGrid w:val="0"/>
                    <w:spacing w:line="240" w:lineRule="auto"/>
                    <w:ind w:left="0" w:leftChars="0" w:firstLine="0" w:firstLineChars="0"/>
                    <w:jc w:val="center"/>
                    <w:rPr>
                      <w:rFonts w:hint="eastAsia" w:ascii="宋体" w:hAnsi="宋体" w:eastAsia="宋体" w:cs="宋体"/>
                      <w:color w:val="auto"/>
                      <w:sz w:val="21"/>
                      <w:szCs w:val="21"/>
                      <w:highlight w:val="none"/>
                      <w:vertAlign w:val="baseline"/>
                      <w:lang w:val="en-US" w:eastAsia="zh-CN"/>
                    </w:rPr>
                  </w:pPr>
                </w:p>
              </w:tc>
              <w:tc>
                <w:tcPr>
                  <w:tcW w:w="1294" w:type="pct"/>
                  <w:vMerge w:val="continue"/>
                  <w:noWrap w:val="0"/>
                  <w:vAlign w:val="center"/>
                </w:tcPr>
                <w:p w14:paraId="3050F34F">
                  <w:pPr>
                    <w:numPr>
                      <w:ilvl w:val="0"/>
                      <w:numId w:val="0"/>
                    </w:numPr>
                    <w:autoSpaceDE w:val="0"/>
                    <w:autoSpaceDN w:val="0"/>
                    <w:adjustRightInd w:val="0"/>
                    <w:snapToGrid w:val="0"/>
                    <w:spacing w:line="240" w:lineRule="auto"/>
                    <w:ind w:left="0" w:leftChars="0" w:firstLine="0" w:firstLineChars="0"/>
                    <w:jc w:val="center"/>
                    <w:rPr>
                      <w:rFonts w:hint="eastAsia" w:ascii="宋体" w:hAnsi="宋体" w:eastAsia="宋体" w:cs="宋体"/>
                      <w:color w:val="auto"/>
                      <w:sz w:val="21"/>
                      <w:szCs w:val="21"/>
                      <w:highlight w:val="none"/>
                      <w:vertAlign w:val="baseline"/>
                      <w:lang w:val="en-US" w:eastAsia="zh-CN"/>
                    </w:rPr>
                  </w:pPr>
                </w:p>
              </w:tc>
              <w:tc>
                <w:tcPr>
                  <w:tcW w:w="1148" w:type="pct"/>
                  <w:vMerge w:val="continue"/>
                  <w:noWrap w:val="0"/>
                  <w:vAlign w:val="center"/>
                </w:tcPr>
                <w:p w14:paraId="6573E1F2">
                  <w:pPr>
                    <w:numPr>
                      <w:ilvl w:val="0"/>
                      <w:numId w:val="0"/>
                    </w:numPr>
                    <w:autoSpaceDE w:val="0"/>
                    <w:autoSpaceDN w:val="0"/>
                    <w:adjustRightInd w:val="0"/>
                    <w:snapToGrid w:val="0"/>
                    <w:spacing w:line="240" w:lineRule="auto"/>
                    <w:ind w:left="0" w:leftChars="0" w:firstLine="0" w:firstLineChars="0"/>
                    <w:jc w:val="center"/>
                    <w:rPr>
                      <w:rFonts w:hint="eastAsia" w:ascii="宋体" w:hAnsi="宋体" w:eastAsia="宋体" w:cs="宋体"/>
                      <w:color w:val="auto"/>
                      <w:sz w:val="21"/>
                      <w:szCs w:val="21"/>
                      <w:highlight w:val="none"/>
                      <w:vertAlign w:val="baseline"/>
                      <w:lang w:val="en-US" w:eastAsia="zh-CN"/>
                    </w:rPr>
                  </w:pPr>
                </w:p>
              </w:tc>
            </w:tr>
            <w:tr w14:paraId="1280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pct"/>
                  <w:vMerge w:val="restart"/>
                  <w:noWrap w:val="0"/>
                  <w:vAlign w:val="center"/>
                </w:tcPr>
                <w:p w14:paraId="77647204">
                  <w:pPr>
                    <w:numPr>
                      <w:ilvl w:val="0"/>
                      <w:numId w:val="0"/>
                    </w:numPr>
                    <w:autoSpaceDE w:val="0"/>
                    <w:autoSpaceDN w:val="0"/>
                    <w:adjustRightInd w:val="0"/>
                    <w:snapToGrid w:val="0"/>
                    <w:spacing w:line="240" w:lineRule="auto"/>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废气</w:t>
                  </w:r>
                </w:p>
              </w:tc>
              <w:tc>
                <w:tcPr>
                  <w:tcW w:w="1668" w:type="pct"/>
                  <w:noWrap w:val="0"/>
                  <w:vAlign w:val="center"/>
                </w:tcPr>
                <w:p w14:paraId="574F47D1">
                  <w:pPr>
                    <w:numPr>
                      <w:ilvl w:val="0"/>
                      <w:numId w:val="0"/>
                    </w:numPr>
                    <w:autoSpaceDE w:val="0"/>
                    <w:autoSpaceDN w:val="0"/>
                    <w:adjustRightInd w:val="0"/>
                    <w:snapToGrid w:val="0"/>
                    <w:spacing w:line="240" w:lineRule="auto"/>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颗粒物</w:t>
                  </w:r>
                </w:p>
              </w:tc>
              <w:tc>
                <w:tcPr>
                  <w:tcW w:w="1921" w:type="dxa"/>
                  <w:noWrap w:val="0"/>
                  <w:vAlign w:val="center"/>
                </w:tcPr>
                <w:p w14:paraId="7C4E9477">
                  <w:pPr>
                    <w:numPr>
                      <w:ilvl w:val="0"/>
                      <w:numId w:val="0"/>
                    </w:numPr>
                    <w:autoSpaceDE w:val="0"/>
                    <w:autoSpaceDN w:val="0"/>
                    <w:adjustRightInd w:val="0"/>
                    <w:snapToGrid w:val="0"/>
                    <w:spacing w:line="240" w:lineRule="auto"/>
                    <w:ind w:left="0" w:leftChars="0" w:firstLine="0" w:firstLine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0.905</w:t>
                  </w:r>
                </w:p>
              </w:tc>
              <w:tc>
                <w:tcPr>
                  <w:tcW w:w="1148" w:type="pct"/>
                  <w:noWrap w:val="0"/>
                  <w:vAlign w:val="center"/>
                </w:tcPr>
                <w:p w14:paraId="5DCF71C9">
                  <w:pPr>
                    <w:numPr>
                      <w:ilvl w:val="0"/>
                      <w:numId w:val="0"/>
                    </w:numPr>
                    <w:autoSpaceDE w:val="0"/>
                    <w:autoSpaceDN w:val="0"/>
                    <w:adjustRightInd w:val="0"/>
                    <w:snapToGrid w:val="0"/>
                    <w:spacing w:line="240" w:lineRule="auto"/>
                    <w:ind w:left="0" w:leftChars="0" w:firstLine="0" w:firstLine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w:t>
                  </w:r>
                </w:p>
              </w:tc>
            </w:tr>
            <w:tr w14:paraId="1261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pct"/>
                  <w:vMerge w:val="continue"/>
                  <w:noWrap w:val="0"/>
                  <w:vAlign w:val="center"/>
                </w:tcPr>
                <w:p w14:paraId="1557CA98">
                  <w:pPr>
                    <w:numPr>
                      <w:ilvl w:val="0"/>
                      <w:numId w:val="0"/>
                    </w:numPr>
                    <w:autoSpaceDE w:val="0"/>
                    <w:autoSpaceDN w:val="0"/>
                    <w:adjustRightInd w:val="0"/>
                    <w:snapToGrid w:val="0"/>
                    <w:spacing w:line="240" w:lineRule="auto"/>
                    <w:ind w:left="0" w:leftChars="0" w:firstLine="0" w:firstLineChars="0"/>
                    <w:jc w:val="center"/>
                    <w:rPr>
                      <w:rFonts w:hint="eastAsia" w:ascii="宋体" w:hAnsi="宋体" w:eastAsia="宋体" w:cs="宋体"/>
                      <w:color w:val="auto"/>
                      <w:sz w:val="21"/>
                      <w:szCs w:val="21"/>
                      <w:highlight w:val="none"/>
                      <w:vertAlign w:val="baseline"/>
                      <w:lang w:val="en-US" w:eastAsia="zh-CN"/>
                    </w:rPr>
                  </w:pPr>
                </w:p>
              </w:tc>
              <w:tc>
                <w:tcPr>
                  <w:tcW w:w="1668" w:type="pct"/>
                  <w:noWrap w:val="0"/>
                  <w:vAlign w:val="center"/>
                </w:tcPr>
                <w:p w14:paraId="337362D9">
                  <w:pPr>
                    <w:numPr>
                      <w:ilvl w:val="0"/>
                      <w:numId w:val="0"/>
                    </w:numPr>
                    <w:autoSpaceDE w:val="0"/>
                    <w:autoSpaceDN w:val="0"/>
                    <w:adjustRightInd w:val="0"/>
                    <w:snapToGrid w:val="0"/>
                    <w:spacing w:line="240" w:lineRule="auto"/>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二氧化硫</w:t>
                  </w:r>
                </w:p>
              </w:tc>
              <w:tc>
                <w:tcPr>
                  <w:tcW w:w="1921" w:type="dxa"/>
                  <w:noWrap w:val="0"/>
                  <w:vAlign w:val="center"/>
                </w:tcPr>
                <w:p w14:paraId="548C1FEB">
                  <w:pPr>
                    <w:numPr>
                      <w:ilvl w:val="0"/>
                      <w:numId w:val="0"/>
                    </w:numPr>
                    <w:autoSpaceDE w:val="0"/>
                    <w:autoSpaceDN w:val="0"/>
                    <w:adjustRightInd w:val="0"/>
                    <w:snapToGrid w:val="0"/>
                    <w:spacing w:line="240" w:lineRule="auto"/>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18.78</w:t>
                  </w:r>
                </w:p>
              </w:tc>
              <w:tc>
                <w:tcPr>
                  <w:tcW w:w="1148" w:type="pct"/>
                  <w:noWrap w:val="0"/>
                  <w:vAlign w:val="center"/>
                </w:tcPr>
                <w:p w14:paraId="38E3EA4B">
                  <w:pPr>
                    <w:numPr>
                      <w:ilvl w:val="0"/>
                      <w:numId w:val="0"/>
                    </w:numPr>
                    <w:autoSpaceDE w:val="0"/>
                    <w:autoSpaceDN w:val="0"/>
                    <w:adjustRightInd w:val="0"/>
                    <w:snapToGrid w:val="0"/>
                    <w:spacing w:line="240" w:lineRule="auto"/>
                    <w:ind w:left="0" w:leftChars="0" w:firstLine="0" w:firstLine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91.8</w:t>
                  </w:r>
                </w:p>
              </w:tc>
            </w:tr>
            <w:tr w14:paraId="6A21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88" w:type="pct"/>
                  <w:vMerge w:val="continue"/>
                  <w:noWrap w:val="0"/>
                  <w:vAlign w:val="center"/>
                </w:tcPr>
                <w:p w14:paraId="0560627C">
                  <w:pPr>
                    <w:numPr>
                      <w:ilvl w:val="0"/>
                      <w:numId w:val="0"/>
                    </w:numPr>
                    <w:autoSpaceDE w:val="0"/>
                    <w:autoSpaceDN w:val="0"/>
                    <w:adjustRightInd w:val="0"/>
                    <w:snapToGrid w:val="0"/>
                    <w:spacing w:line="240" w:lineRule="auto"/>
                    <w:ind w:left="0" w:leftChars="0" w:firstLine="0" w:firstLineChars="0"/>
                    <w:jc w:val="center"/>
                    <w:rPr>
                      <w:rFonts w:hint="eastAsia" w:ascii="宋体" w:hAnsi="宋体" w:eastAsia="宋体" w:cs="宋体"/>
                      <w:color w:val="auto"/>
                      <w:sz w:val="21"/>
                      <w:szCs w:val="21"/>
                      <w:highlight w:val="none"/>
                      <w:vertAlign w:val="baseline"/>
                      <w:lang w:val="en-US" w:eastAsia="zh-CN"/>
                    </w:rPr>
                  </w:pPr>
                </w:p>
              </w:tc>
              <w:tc>
                <w:tcPr>
                  <w:tcW w:w="1668" w:type="pct"/>
                  <w:noWrap w:val="0"/>
                  <w:vAlign w:val="center"/>
                </w:tcPr>
                <w:p w14:paraId="7F8E47DB">
                  <w:pPr>
                    <w:numPr>
                      <w:ilvl w:val="0"/>
                      <w:numId w:val="0"/>
                    </w:numPr>
                    <w:autoSpaceDE w:val="0"/>
                    <w:autoSpaceDN w:val="0"/>
                    <w:adjustRightInd w:val="0"/>
                    <w:snapToGrid w:val="0"/>
                    <w:spacing w:line="240" w:lineRule="auto"/>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氮氧化物</w:t>
                  </w:r>
                </w:p>
              </w:tc>
              <w:tc>
                <w:tcPr>
                  <w:tcW w:w="1921" w:type="dxa"/>
                  <w:noWrap w:val="0"/>
                  <w:vAlign w:val="center"/>
                </w:tcPr>
                <w:p w14:paraId="09B3A996">
                  <w:pPr>
                    <w:numPr>
                      <w:ilvl w:val="0"/>
                      <w:numId w:val="0"/>
                    </w:numPr>
                    <w:autoSpaceDE w:val="0"/>
                    <w:autoSpaceDN w:val="0"/>
                    <w:adjustRightInd w:val="0"/>
                    <w:snapToGrid w:val="0"/>
                    <w:spacing w:line="240" w:lineRule="auto"/>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14.78</w:t>
                  </w:r>
                </w:p>
              </w:tc>
              <w:tc>
                <w:tcPr>
                  <w:tcW w:w="1148" w:type="pct"/>
                  <w:noWrap w:val="0"/>
                  <w:vAlign w:val="center"/>
                </w:tcPr>
                <w:p w14:paraId="63B1D88D">
                  <w:pPr>
                    <w:numPr>
                      <w:ilvl w:val="0"/>
                      <w:numId w:val="0"/>
                    </w:numPr>
                    <w:autoSpaceDE w:val="0"/>
                    <w:autoSpaceDN w:val="0"/>
                    <w:adjustRightInd w:val="0"/>
                    <w:snapToGrid w:val="0"/>
                    <w:spacing w:line="240" w:lineRule="auto"/>
                    <w:ind w:left="0" w:leftChars="0" w:firstLine="0" w:firstLine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13.34</w:t>
                  </w:r>
                </w:p>
              </w:tc>
            </w:tr>
          </w:tbl>
          <w:p w14:paraId="68044382">
            <w:pPr>
              <w:rPr>
                <w:rFonts w:hint="eastAsia"/>
                <w:color w:val="auto"/>
                <w:lang w:val="en-US" w:eastAsia="zh-CN"/>
              </w:rPr>
            </w:pPr>
          </w:p>
          <w:p w14:paraId="7D9FC2BF">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4、现有项目存在问题及整改措施</w:t>
            </w:r>
          </w:p>
          <w:p w14:paraId="1D0B15E5">
            <w:pPr>
              <w:numPr>
                <w:ilvl w:val="0"/>
                <w:numId w:val="0"/>
              </w:numPr>
              <w:bidi w:val="0"/>
              <w:spacing w:line="360" w:lineRule="auto"/>
              <w:ind w:firstLine="480" w:firstLineChars="200"/>
              <w:rPr>
                <w:rFonts w:hint="eastAsia"/>
                <w:color w:val="auto"/>
                <w:lang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现场部分一般固废未按要求存放</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要求</w:t>
            </w:r>
            <w:r>
              <w:rPr>
                <w:rFonts w:hint="eastAsia" w:ascii="宋体" w:hAnsi="宋体" w:cs="宋体"/>
                <w:color w:val="auto"/>
                <w:sz w:val="24"/>
                <w:szCs w:val="24"/>
                <w:lang w:val="en-US" w:eastAsia="zh-CN"/>
              </w:rPr>
              <w:t>技改</w:t>
            </w:r>
            <w:r>
              <w:rPr>
                <w:rFonts w:hint="eastAsia" w:ascii="宋体" w:hAnsi="宋体" w:eastAsia="宋体" w:cs="宋体"/>
                <w:color w:val="auto"/>
                <w:sz w:val="24"/>
                <w:szCs w:val="24"/>
                <w:lang w:val="en-US" w:eastAsia="zh-CN"/>
              </w:rPr>
              <w:t>完成后产生的一般固废及时收集并回用</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不在厂区贮存。</w:t>
            </w:r>
            <w:r>
              <w:rPr>
                <w:color w:val="auto"/>
              </w:rPr>
              <w:br w:type="textWrapping"/>
            </w:r>
            <w:r>
              <w:rPr>
                <w:rFonts w:hint="eastAsia"/>
                <w:color w:val="auto"/>
                <w:lang w:val="en-US" w:eastAsia="zh-CN"/>
              </w:rPr>
              <w:t xml:space="preserve">     （2）</w:t>
            </w:r>
            <w:r>
              <w:rPr>
                <w:rFonts w:hint="eastAsia" w:ascii="宋体" w:hAnsi="宋体" w:eastAsia="宋体" w:cs="宋体"/>
                <w:color w:val="auto"/>
                <w:sz w:val="24"/>
                <w:szCs w:val="24"/>
                <w:lang w:val="en-US" w:eastAsia="zh-CN"/>
              </w:rPr>
              <w:t>氮氧化物总量超批准总量，要求</w:t>
            </w:r>
            <w:r>
              <w:rPr>
                <w:rFonts w:hint="eastAsia" w:ascii="宋体" w:hAnsi="宋体" w:cs="宋体"/>
                <w:color w:val="auto"/>
                <w:sz w:val="24"/>
                <w:szCs w:val="24"/>
                <w:lang w:val="en-US" w:eastAsia="zh-CN"/>
              </w:rPr>
              <w:t>技改</w:t>
            </w:r>
            <w:r>
              <w:rPr>
                <w:rFonts w:hint="eastAsia" w:ascii="宋体" w:hAnsi="宋体" w:eastAsia="宋体" w:cs="宋体"/>
                <w:color w:val="auto"/>
                <w:sz w:val="24"/>
                <w:szCs w:val="24"/>
                <w:lang w:val="en-US" w:eastAsia="zh-CN"/>
              </w:rPr>
              <w:t>完成后优化氮氧化物处理设施，降低氮氧化物排放量。</w:t>
            </w:r>
          </w:p>
        </w:tc>
      </w:tr>
    </w:tbl>
    <w:p w14:paraId="3DB42DDE">
      <w:pPr>
        <w:pStyle w:val="34"/>
        <w:jc w:val="center"/>
        <w:rPr>
          <w:rFonts w:ascii="黑体" w:hAnsi="黑体" w:eastAsia="黑体" w:cs="Times New Roman"/>
          <w:snapToGrid w:val="0"/>
          <w:color w:val="auto"/>
          <w:sz w:val="36"/>
          <w:szCs w:val="36"/>
        </w:rPr>
        <w:sectPr>
          <w:pgSz w:w="11906" w:h="16838"/>
          <w:pgMar w:top="1701" w:right="1474" w:bottom="1134" w:left="1531" w:header="851" w:footer="851" w:gutter="0"/>
          <w:cols w:space="720" w:num="1"/>
          <w:docGrid w:linePitch="312" w:charSpace="0"/>
        </w:sectPr>
      </w:pPr>
    </w:p>
    <w:p w14:paraId="7D0E5798">
      <w:pPr>
        <w:pStyle w:val="34"/>
        <w:jc w:val="center"/>
        <w:outlineLvl w:val="0"/>
        <w:rPr>
          <w:rFonts w:ascii="黑体" w:hAnsi="黑体" w:eastAsia="黑体" w:cs="Times New Roman"/>
          <w:snapToGrid w:val="0"/>
          <w:color w:val="auto"/>
          <w:sz w:val="30"/>
          <w:szCs w:val="30"/>
        </w:rPr>
      </w:pPr>
      <w:r>
        <w:rPr>
          <w:rFonts w:hint="eastAsia" w:ascii="黑体" w:hAnsi="黑体" w:eastAsia="黑体" w:cs="黑体"/>
          <w:snapToGrid w:val="0"/>
          <w:color w:val="auto"/>
          <w:sz w:val="30"/>
          <w:szCs w:val="30"/>
        </w:rPr>
        <w:t>三、区域环境质量现状、环境保护目标及评价标准</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14:paraId="41B9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Align w:val="center"/>
          </w:tcPr>
          <w:p w14:paraId="7FBC7C4A">
            <w:pPr>
              <w:adjustRightInd w:val="0"/>
              <w:snapToGrid w:val="0"/>
              <w:jc w:val="center"/>
              <w:rPr>
                <w:rFonts w:ascii="宋体"/>
                <w:color w:val="auto"/>
                <w:sz w:val="24"/>
                <w:szCs w:val="24"/>
              </w:rPr>
            </w:pPr>
            <w:r>
              <w:rPr>
                <w:rFonts w:hint="eastAsia" w:ascii="宋体" w:hAnsi="宋体" w:cs="宋体"/>
                <w:color w:val="auto"/>
                <w:sz w:val="24"/>
                <w:szCs w:val="24"/>
              </w:rPr>
              <w:t>区域</w:t>
            </w:r>
          </w:p>
          <w:p w14:paraId="2CCE1902">
            <w:pPr>
              <w:adjustRightInd w:val="0"/>
              <w:snapToGrid w:val="0"/>
              <w:jc w:val="center"/>
              <w:rPr>
                <w:rFonts w:ascii="宋体"/>
                <w:color w:val="auto"/>
                <w:sz w:val="24"/>
                <w:szCs w:val="24"/>
              </w:rPr>
            </w:pPr>
            <w:r>
              <w:rPr>
                <w:rFonts w:hint="eastAsia" w:ascii="宋体" w:hAnsi="宋体" w:cs="宋体"/>
                <w:color w:val="auto"/>
                <w:sz w:val="24"/>
                <w:szCs w:val="24"/>
              </w:rPr>
              <w:t>环境</w:t>
            </w:r>
          </w:p>
          <w:p w14:paraId="18DDD34A">
            <w:pPr>
              <w:adjustRightInd w:val="0"/>
              <w:snapToGrid w:val="0"/>
              <w:jc w:val="center"/>
              <w:rPr>
                <w:rFonts w:ascii="宋体"/>
                <w:color w:val="auto"/>
                <w:sz w:val="24"/>
                <w:szCs w:val="24"/>
              </w:rPr>
            </w:pPr>
            <w:r>
              <w:rPr>
                <w:rFonts w:hint="eastAsia" w:ascii="宋体" w:hAnsi="宋体" w:cs="宋体"/>
                <w:color w:val="auto"/>
                <w:sz w:val="24"/>
                <w:szCs w:val="24"/>
              </w:rPr>
              <w:t>质量</w:t>
            </w:r>
          </w:p>
          <w:p w14:paraId="41C37B9C">
            <w:pPr>
              <w:adjustRightInd w:val="0"/>
              <w:snapToGrid w:val="0"/>
              <w:jc w:val="center"/>
              <w:rPr>
                <w:rFonts w:ascii="宋体"/>
                <w:color w:val="auto"/>
                <w:kern w:val="0"/>
              </w:rPr>
            </w:pPr>
            <w:r>
              <w:rPr>
                <w:rFonts w:hint="eastAsia" w:ascii="宋体" w:hAnsi="宋体" w:cs="宋体"/>
                <w:color w:val="auto"/>
                <w:sz w:val="24"/>
                <w:szCs w:val="24"/>
              </w:rPr>
              <w:t>现状</w:t>
            </w:r>
          </w:p>
        </w:tc>
        <w:tc>
          <w:tcPr>
            <w:tcW w:w="8190" w:type="dxa"/>
            <w:vAlign w:val="center"/>
          </w:tcPr>
          <w:p w14:paraId="68CC4BA4">
            <w:pPr>
              <w:keepNext w:val="0"/>
              <w:keepLines w:val="0"/>
              <w:pageBreakBefore w:val="0"/>
              <w:widowControl w:val="0"/>
              <w:kinsoku/>
              <w:wordWrap/>
              <w:overflowPunct/>
              <w:topLinePunct w:val="0"/>
              <w:autoSpaceDE/>
              <w:autoSpaceDN/>
              <w:bidi w:val="0"/>
              <w:adjustRightInd/>
              <w:snapToGrid/>
              <w:spacing w:before="157" w:beforeLines="50" w:line="360" w:lineRule="auto"/>
              <w:ind w:left="488" w:leftChars="228" w:hanging="9" w:hangingChars="4"/>
              <w:textAlignment w:val="auto"/>
              <w:rPr>
                <w:rFonts w:ascii="Times New Roman" w:hAnsi="Times New Roman" w:eastAsia="宋体" w:cs="Times New Roman"/>
                <w:color w:val="auto"/>
                <w:kern w:val="0"/>
                <w:sz w:val="24"/>
              </w:rPr>
            </w:pPr>
            <w:r>
              <w:rPr>
                <w:rFonts w:ascii="宋体" w:hAnsi="宋体" w:cs="宋体"/>
                <w:color w:val="auto"/>
                <w:sz w:val="24"/>
                <w:szCs w:val="24"/>
              </w:rPr>
              <w:t>1</w:t>
            </w:r>
            <w:r>
              <w:rPr>
                <w:rFonts w:hint="eastAsia" w:ascii="宋体" w:hAnsi="宋体" w:cs="宋体"/>
                <w:color w:val="auto"/>
                <w:sz w:val="24"/>
                <w:szCs w:val="24"/>
              </w:rPr>
              <w:t>、大气环境</w:t>
            </w:r>
            <w:r>
              <w:rPr>
                <w:rFonts w:hint="eastAsia" w:ascii="宋体" w:hAnsi="宋体" w:cs="宋体"/>
                <w:color w:val="auto"/>
                <w:sz w:val="24"/>
                <w:szCs w:val="24"/>
              </w:rPr>
              <w:br w:type="textWrapping"/>
            </w:r>
            <w:r>
              <w:rPr>
                <w:rFonts w:hint="eastAsia" w:ascii="Times New Roman" w:hAnsi="Times New Roman" w:eastAsia="宋体" w:cs="Times New Roman"/>
                <w:color w:val="auto"/>
                <w:kern w:val="0"/>
                <w:sz w:val="24"/>
              </w:rPr>
              <w:t>（1）基本污染物环境质量现状</w:t>
            </w:r>
          </w:p>
          <w:p w14:paraId="6FB09D83">
            <w:pPr>
              <w:spacing w:line="360" w:lineRule="auto"/>
              <w:ind w:firstLine="470" w:firstLineChars="196"/>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根据《建设项目环境影响报告表编制技术指南（污染影响类）（试行）》要求</w:t>
            </w:r>
            <w:r>
              <w:rPr>
                <w:rFonts w:hint="eastAsia"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rPr>
              <w:t>常规污染物引用与建设项目距离近的有效数据</w:t>
            </w:r>
            <w:r>
              <w:rPr>
                <w:rFonts w:hint="eastAsia"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rPr>
              <w:t>包括近 3 年的规划环境影响评价的监测数据</w:t>
            </w:r>
            <w:r>
              <w:rPr>
                <w:rFonts w:hint="eastAsia"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rPr>
              <w:t>国家、地方环境空气质量监测网数据或生态环境主管部门公开发布的质量数据等。</w:t>
            </w:r>
          </w:p>
          <w:p w14:paraId="03339669">
            <w:pPr>
              <w:spacing w:line="360" w:lineRule="auto"/>
              <w:ind w:firstLine="470" w:firstLineChars="196"/>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本项目根据</w:t>
            </w:r>
            <w:r>
              <w:rPr>
                <w:rFonts w:hint="eastAsia" w:ascii="Times New Roman" w:hAnsi="Times New Roman" w:eastAsia="宋体" w:cs="Times New Roman"/>
                <w:color w:val="auto"/>
                <w:kern w:val="0"/>
                <w:sz w:val="24"/>
                <w:highlight w:val="none"/>
              </w:rPr>
              <w:t>《202</w:t>
            </w:r>
            <w:r>
              <w:rPr>
                <w:rFonts w:hint="eastAsia" w:cs="Times New Roman"/>
                <w:color w:val="auto"/>
                <w:kern w:val="0"/>
                <w:sz w:val="24"/>
                <w:highlight w:val="none"/>
                <w:lang w:val="en-US" w:eastAsia="zh-CN"/>
              </w:rPr>
              <w:t>4</w:t>
            </w:r>
            <w:r>
              <w:rPr>
                <w:rFonts w:hint="eastAsia" w:ascii="Times New Roman" w:hAnsi="Times New Roman" w:eastAsia="宋体" w:cs="Times New Roman"/>
                <w:color w:val="auto"/>
                <w:kern w:val="0"/>
                <w:sz w:val="24"/>
                <w:highlight w:val="none"/>
              </w:rPr>
              <w:t>年度淮北市生态环境状况公报》</w:t>
            </w:r>
            <w:r>
              <w:rPr>
                <w:rFonts w:ascii="Times New Roman" w:hAnsi="Times New Roman" w:eastAsia="宋体" w:cs="Times New Roman"/>
                <w:color w:val="auto"/>
                <w:kern w:val="0"/>
                <w:sz w:val="24"/>
                <w:highlight w:val="none"/>
              </w:rPr>
              <w:t>中淮北市环境保护监测站20</w:t>
            </w:r>
            <w:r>
              <w:rPr>
                <w:rFonts w:hint="eastAsia" w:ascii="Times New Roman" w:hAnsi="Times New Roman" w:eastAsia="宋体" w:cs="Times New Roman"/>
                <w:color w:val="auto"/>
                <w:kern w:val="0"/>
                <w:sz w:val="24"/>
                <w:highlight w:val="none"/>
              </w:rPr>
              <w:t>2</w:t>
            </w:r>
            <w:r>
              <w:rPr>
                <w:rFonts w:hint="eastAsia" w:cs="Times New Roman"/>
                <w:color w:val="auto"/>
                <w:kern w:val="0"/>
                <w:sz w:val="24"/>
                <w:highlight w:val="none"/>
                <w:lang w:val="en-US" w:eastAsia="zh-CN"/>
              </w:rPr>
              <w:t>4</w:t>
            </w:r>
            <w:r>
              <w:rPr>
                <w:rFonts w:ascii="Times New Roman" w:hAnsi="Times New Roman" w:eastAsia="宋体" w:cs="Times New Roman"/>
                <w:color w:val="auto"/>
                <w:kern w:val="0"/>
                <w:sz w:val="24"/>
                <w:highlight w:val="none"/>
              </w:rPr>
              <w:t>年1月1日~20</w:t>
            </w:r>
            <w:r>
              <w:rPr>
                <w:rFonts w:hint="eastAsia" w:ascii="Times New Roman" w:hAnsi="Times New Roman" w:eastAsia="宋体" w:cs="Times New Roman"/>
                <w:color w:val="auto"/>
                <w:kern w:val="0"/>
                <w:sz w:val="24"/>
                <w:highlight w:val="none"/>
              </w:rPr>
              <w:t>2</w:t>
            </w:r>
            <w:r>
              <w:rPr>
                <w:rFonts w:hint="eastAsia" w:cs="Times New Roman"/>
                <w:color w:val="auto"/>
                <w:kern w:val="0"/>
                <w:sz w:val="24"/>
                <w:highlight w:val="none"/>
                <w:lang w:val="en-US" w:eastAsia="zh-CN"/>
              </w:rPr>
              <w:t>4</w:t>
            </w:r>
            <w:r>
              <w:rPr>
                <w:rFonts w:ascii="Times New Roman" w:hAnsi="Times New Roman" w:eastAsia="宋体" w:cs="Times New Roman"/>
                <w:color w:val="auto"/>
                <w:kern w:val="0"/>
                <w:sz w:val="24"/>
                <w:highlight w:val="none"/>
              </w:rPr>
              <w:t>年12月31日的监测数据进行评价</w:t>
            </w:r>
            <w:r>
              <w:rPr>
                <w:rFonts w:hint="eastAsia" w:cs="Times New Roman"/>
                <w:color w:val="auto"/>
                <w:kern w:val="0"/>
                <w:sz w:val="24"/>
                <w:highlight w:val="none"/>
                <w:lang w:eastAsia="zh-CN"/>
              </w:rPr>
              <w:t>，</w:t>
            </w:r>
            <w:r>
              <w:rPr>
                <w:rFonts w:ascii="Times New Roman" w:hAnsi="Times New Roman" w:eastAsia="宋体" w:cs="Times New Roman"/>
                <w:color w:val="auto"/>
                <w:kern w:val="0"/>
                <w:sz w:val="24"/>
                <w:highlight w:val="none"/>
              </w:rPr>
              <w:t>基本污染物环境质量现状评价见表3-1。</w:t>
            </w:r>
          </w:p>
          <w:p w14:paraId="7EA028BA">
            <w:pPr>
              <w:spacing w:line="360" w:lineRule="auto"/>
              <w:jc w:val="center"/>
              <w:rPr>
                <w:rFonts w:ascii="Times New Roman" w:hAnsi="Times New Roman" w:cs="Times New Roman"/>
                <w:b w:val="0"/>
                <w:bCs w:val="0"/>
                <w:color w:val="auto"/>
                <w:sz w:val="21"/>
                <w:szCs w:val="18"/>
                <w:highlight w:val="none"/>
              </w:rPr>
            </w:pPr>
            <w:r>
              <w:rPr>
                <w:rFonts w:ascii="Times New Roman" w:hAnsi="Times New Roman" w:cs="Times New Roman"/>
                <w:b w:val="0"/>
                <w:bCs w:val="0"/>
                <w:color w:val="auto"/>
                <w:sz w:val="21"/>
                <w:szCs w:val="18"/>
                <w:highlight w:val="none"/>
              </w:rPr>
              <w:t xml:space="preserve">表3-1  </w:t>
            </w:r>
            <w:r>
              <w:rPr>
                <w:rFonts w:ascii="Times New Roman" w:hAnsi="Times New Roman" w:eastAsia="宋体" w:cs="Times New Roman"/>
                <w:b w:val="0"/>
                <w:bCs w:val="0"/>
                <w:color w:val="auto"/>
                <w:sz w:val="21"/>
                <w:szCs w:val="18"/>
                <w:highlight w:val="none"/>
                <w:shd w:val="clear" w:color="auto" w:fill="FFFFFF"/>
              </w:rPr>
              <w:t>基本污染物环境质量现状</w:t>
            </w:r>
          </w:p>
          <w:tbl>
            <w:tblPr>
              <w:tblStyle w:val="38"/>
              <w:tblW w:w="8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2226"/>
              <w:gridCol w:w="1187"/>
              <w:gridCol w:w="1187"/>
              <w:gridCol w:w="933"/>
              <w:gridCol w:w="880"/>
              <w:gridCol w:w="647"/>
            </w:tblGrid>
            <w:tr w14:paraId="5120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97" w:type="dxa"/>
                  <w:vMerge w:val="restart"/>
                  <w:tcBorders>
                    <w:tl2br w:val="nil"/>
                    <w:tr2bl w:val="nil"/>
                  </w:tcBorders>
                  <w:vAlign w:val="center"/>
                </w:tcPr>
                <w:p w14:paraId="253AF293">
                  <w:pPr>
                    <w:widowControl/>
                    <w:jc w:val="center"/>
                    <w:rPr>
                      <w:rFonts w:ascii="Times New Roman" w:hAnsi="Times New Roman" w:eastAsia="宋体" w:cs="Times New Roman"/>
                      <w:b w:val="0"/>
                      <w:bCs w:val="0"/>
                      <w:color w:val="auto"/>
                      <w:kern w:val="0"/>
                      <w:szCs w:val="21"/>
                      <w:highlight w:val="none"/>
                    </w:rPr>
                  </w:pPr>
                  <w:r>
                    <w:rPr>
                      <w:rFonts w:ascii="Times New Roman" w:hAnsi="Times New Roman" w:eastAsia="宋体" w:cs="Times New Roman"/>
                      <w:b w:val="0"/>
                      <w:bCs w:val="0"/>
                      <w:color w:val="auto"/>
                      <w:kern w:val="0"/>
                      <w:szCs w:val="21"/>
                      <w:highlight w:val="none"/>
                    </w:rPr>
                    <w:t>污染物</w:t>
                  </w:r>
                </w:p>
              </w:tc>
              <w:tc>
                <w:tcPr>
                  <w:tcW w:w="2226" w:type="dxa"/>
                  <w:vMerge w:val="restart"/>
                  <w:tcBorders>
                    <w:tl2br w:val="nil"/>
                    <w:tr2bl w:val="nil"/>
                  </w:tcBorders>
                  <w:vAlign w:val="center"/>
                </w:tcPr>
                <w:p w14:paraId="6FE377B7">
                  <w:pPr>
                    <w:widowControl/>
                    <w:jc w:val="center"/>
                    <w:rPr>
                      <w:rFonts w:ascii="Times New Roman" w:hAnsi="Times New Roman" w:eastAsia="宋体" w:cs="Times New Roman"/>
                      <w:b w:val="0"/>
                      <w:bCs w:val="0"/>
                      <w:color w:val="auto"/>
                      <w:kern w:val="0"/>
                      <w:szCs w:val="21"/>
                      <w:highlight w:val="none"/>
                    </w:rPr>
                  </w:pPr>
                  <w:r>
                    <w:rPr>
                      <w:rFonts w:ascii="Times New Roman" w:hAnsi="Times New Roman" w:eastAsia="宋体" w:cs="Times New Roman"/>
                      <w:b w:val="0"/>
                      <w:bCs w:val="0"/>
                      <w:color w:val="auto"/>
                      <w:kern w:val="0"/>
                      <w:szCs w:val="21"/>
                      <w:highlight w:val="none"/>
                    </w:rPr>
                    <w:t>年评价指标</w:t>
                  </w:r>
                </w:p>
              </w:tc>
              <w:tc>
                <w:tcPr>
                  <w:tcW w:w="1187" w:type="dxa"/>
                  <w:vMerge w:val="restart"/>
                  <w:tcBorders>
                    <w:tl2br w:val="nil"/>
                    <w:tr2bl w:val="nil"/>
                  </w:tcBorders>
                  <w:vAlign w:val="center"/>
                </w:tcPr>
                <w:p w14:paraId="232A9A68">
                  <w:pPr>
                    <w:widowControl/>
                    <w:jc w:val="center"/>
                    <w:rPr>
                      <w:rFonts w:ascii="Times New Roman" w:hAnsi="Times New Roman" w:eastAsia="宋体" w:cs="Times New Roman"/>
                      <w:b w:val="0"/>
                      <w:bCs w:val="0"/>
                      <w:color w:val="auto"/>
                      <w:kern w:val="0"/>
                      <w:szCs w:val="21"/>
                      <w:highlight w:val="none"/>
                    </w:rPr>
                  </w:pPr>
                  <w:r>
                    <w:rPr>
                      <w:rFonts w:ascii="Times New Roman" w:hAnsi="Times New Roman" w:eastAsia="宋体" w:cs="Times New Roman"/>
                      <w:b w:val="0"/>
                      <w:bCs w:val="0"/>
                      <w:color w:val="auto"/>
                      <w:kern w:val="0"/>
                      <w:szCs w:val="21"/>
                      <w:highlight w:val="none"/>
                    </w:rPr>
                    <w:t>现状浓度</w:t>
                  </w:r>
                  <w:r>
                    <w:rPr>
                      <w:rFonts w:hint="eastAsia" w:cs="Times New Roman"/>
                      <w:b w:val="0"/>
                      <w:bCs w:val="0"/>
                      <w:color w:val="auto"/>
                      <w:kern w:val="0"/>
                      <w:szCs w:val="21"/>
                      <w:highlight w:val="none"/>
                      <w:lang w:eastAsia="zh-CN"/>
                    </w:rPr>
                    <w:t>（</w:t>
                  </w:r>
                  <w:r>
                    <w:rPr>
                      <w:rFonts w:ascii="Times New Roman" w:hAnsi="Times New Roman" w:eastAsia="宋体" w:cs="Times New Roman"/>
                      <w:color w:val="auto"/>
                      <w:kern w:val="0"/>
                      <w:szCs w:val="21"/>
                      <w:highlight w:val="none"/>
                    </w:rPr>
                    <w:t>μg/m</w:t>
                  </w:r>
                  <w:r>
                    <w:rPr>
                      <w:rFonts w:ascii="Times New Roman" w:hAnsi="Times New Roman" w:eastAsia="宋体" w:cs="Times New Roman"/>
                      <w:color w:val="auto"/>
                      <w:kern w:val="0"/>
                      <w:szCs w:val="21"/>
                      <w:highlight w:val="none"/>
                      <w:vertAlign w:val="superscript"/>
                    </w:rPr>
                    <w:t>3</w:t>
                  </w:r>
                  <w:r>
                    <w:rPr>
                      <w:rFonts w:hint="eastAsia" w:cs="Times New Roman"/>
                      <w:b w:val="0"/>
                      <w:bCs w:val="0"/>
                      <w:color w:val="auto"/>
                      <w:kern w:val="0"/>
                      <w:szCs w:val="21"/>
                      <w:highlight w:val="none"/>
                      <w:lang w:eastAsia="zh-CN"/>
                    </w:rPr>
                    <w:t>）</w:t>
                  </w:r>
                </w:p>
              </w:tc>
              <w:tc>
                <w:tcPr>
                  <w:tcW w:w="1187" w:type="dxa"/>
                  <w:vMerge w:val="restart"/>
                  <w:tcBorders>
                    <w:tl2br w:val="nil"/>
                    <w:tr2bl w:val="nil"/>
                  </w:tcBorders>
                  <w:vAlign w:val="center"/>
                </w:tcPr>
                <w:p w14:paraId="06BF37DD">
                  <w:pPr>
                    <w:widowControl/>
                    <w:jc w:val="center"/>
                    <w:rPr>
                      <w:rFonts w:ascii="Times New Roman" w:hAnsi="Times New Roman" w:eastAsia="宋体" w:cs="Times New Roman"/>
                      <w:b w:val="0"/>
                      <w:bCs w:val="0"/>
                      <w:color w:val="auto"/>
                      <w:kern w:val="0"/>
                      <w:szCs w:val="21"/>
                      <w:highlight w:val="none"/>
                    </w:rPr>
                  </w:pPr>
                  <w:r>
                    <w:rPr>
                      <w:rFonts w:ascii="Times New Roman" w:hAnsi="Times New Roman" w:eastAsia="宋体" w:cs="Times New Roman"/>
                      <w:b w:val="0"/>
                      <w:bCs w:val="0"/>
                      <w:color w:val="auto"/>
                      <w:kern w:val="0"/>
                      <w:szCs w:val="21"/>
                      <w:highlight w:val="none"/>
                    </w:rPr>
                    <w:t>标准值</w:t>
                  </w:r>
                  <w:r>
                    <w:rPr>
                      <w:rFonts w:hint="eastAsia" w:cs="Times New Roman"/>
                      <w:b w:val="0"/>
                      <w:bCs w:val="0"/>
                      <w:color w:val="auto"/>
                      <w:kern w:val="0"/>
                      <w:szCs w:val="21"/>
                      <w:highlight w:val="none"/>
                      <w:lang w:eastAsia="zh-CN"/>
                    </w:rPr>
                    <w:t>（</w:t>
                  </w:r>
                  <w:r>
                    <w:rPr>
                      <w:rFonts w:ascii="Times New Roman" w:hAnsi="Times New Roman" w:eastAsia="宋体" w:cs="Times New Roman"/>
                      <w:color w:val="auto"/>
                      <w:kern w:val="0"/>
                      <w:szCs w:val="21"/>
                      <w:highlight w:val="none"/>
                    </w:rPr>
                    <w:t>μg/m</w:t>
                  </w:r>
                  <w:r>
                    <w:rPr>
                      <w:rFonts w:ascii="Times New Roman" w:hAnsi="Times New Roman" w:eastAsia="宋体" w:cs="Times New Roman"/>
                      <w:color w:val="auto"/>
                      <w:kern w:val="0"/>
                      <w:szCs w:val="21"/>
                      <w:highlight w:val="none"/>
                      <w:vertAlign w:val="superscript"/>
                    </w:rPr>
                    <w:t>3</w:t>
                  </w:r>
                  <w:r>
                    <w:rPr>
                      <w:rFonts w:hint="eastAsia" w:cs="Times New Roman"/>
                      <w:b w:val="0"/>
                      <w:bCs w:val="0"/>
                      <w:color w:val="auto"/>
                      <w:kern w:val="0"/>
                      <w:szCs w:val="21"/>
                      <w:highlight w:val="none"/>
                      <w:lang w:eastAsia="zh-CN"/>
                    </w:rPr>
                    <w:t>）</w:t>
                  </w:r>
                </w:p>
              </w:tc>
              <w:tc>
                <w:tcPr>
                  <w:tcW w:w="933" w:type="dxa"/>
                  <w:vMerge w:val="restart"/>
                  <w:tcBorders>
                    <w:tl2br w:val="nil"/>
                    <w:tr2bl w:val="nil"/>
                  </w:tcBorders>
                  <w:vAlign w:val="center"/>
                </w:tcPr>
                <w:p w14:paraId="37AF35C4">
                  <w:pPr>
                    <w:widowControl/>
                    <w:jc w:val="center"/>
                    <w:rPr>
                      <w:rFonts w:ascii="Times New Roman" w:hAnsi="Times New Roman" w:eastAsia="宋体" w:cs="Times New Roman"/>
                      <w:b w:val="0"/>
                      <w:bCs w:val="0"/>
                      <w:color w:val="auto"/>
                      <w:kern w:val="0"/>
                      <w:szCs w:val="21"/>
                      <w:highlight w:val="none"/>
                    </w:rPr>
                  </w:pPr>
                  <w:r>
                    <w:rPr>
                      <w:rFonts w:ascii="Times New Roman" w:hAnsi="Times New Roman" w:eastAsia="宋体" w:cs="Times New Roman"/>
                      <w:b w:val="0"/>
                      <w:bCs w:val="0"/>
                      <w:color w:val="auto"/>
                      <w:kern w:val="0"/>
                      <w:szCs w:val="21"/>
                      <w:highlight w:val="none"/>
                    </w:rPr>
                    <w:t>占标率（%）</w:t>
                  </w:r>
                </w:p>
              </w:tc>
              <w:tc>
                <w:tcPr>
                  <w:tcW w:w="1527" w:type="dxa"/>
                  <w:gridSpan w:val="2"/>
                  <w:tcBorders>
                    <w:tl2br w:val="nil"/>
                    <w:tr2bl w:val="nil"/>
                  </w:tcBorders>
                  <w:vAlign w:val="center"/>
                </w:tcPr>
                <w:p w14:paraId="2F6AC75D">
                  <w:pPr>
                    <w:widowControl/>
                    <w:jc w:val="center"/>
                    <w:rPr>
                      <w:rFonts w:ascii="Times New Roman" w:hAnsi="Times New Roman" w:eastAsia="宋体" w:cs="Times New Roman"/>
                      <w:b w:val="0"/>
                      <w:bCs w:val="0"/>
                      <w:color w:val="auto"/>
                      <w:kern w:val="0"/>
                      <w:szCs w:val="21"/>
                      <w:highlight w:val="none"/>
                    </w:rPr>
                  </w:pPr>
                  <w:r>
                    <w:rPr>
                      <w:rFonts w:ascii="Times New Roman" w:hAnsi="Times New Roman" w:eastAsia="宋体" w:cs="Times New Roman"/>
                      <w:b w:val="0"/>
                      <w:bCs w:val="0"/>
                      <w:color w:val="auto"/>
                      <w:kern w:val="0"/>
                      <w:szCs w:val="21"/>
                      <w:highlight w:val="none"/>
                    </w:rPr>
                    <w:t>达标情况</w:t>
                  </w:r>
                </w:p>
              </w:tc>
            </w:tr>
            <w:tr w14:paraId="5AEB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97" w:type="dxa"/>
                  <w:vMerge w:val="continue"/>
                  <w:tcBorders>
                    <w:tl2br w:val="nil"/>
                    <w:tr2bl w:val="nil"/>
                  </w:tcBorders>
                  <w:vAlign w:val="center"/>
                </w:tcPr>
                <w:p w14:paraId="1DC4B928">
                  <w:pPr>
                    <w:widowControl/>
                    <w:jc w:val="center"/>
                    <w:rPr>
                      <w:rFonts w:ascii="Times New Roman" w:hAnsi="Times New Roman" w:eastAsia="宋体" w:cs="Times New Roman"/>
                      <w:b w:val="0"/>
                      <w:bCs w:val="0"/>
                      <w:color w:val="auto"/>
                      <w:szCs w:val="21"/>
                      <w:highlight w:val="none"/>
                    </w:rPr>
                  </w:pPr>
                </w:p>
              </w:tc>
              <w:tc>
                <w:tcPr>
                  <w:tcW w:w="2226" w:type="dxa"/>
                  <w:vMerge w:val="continue"/>
                  <w:tcBorders>
                    <w:tl2br w:val="nil"/>
                    <w:tr2bl w:val="nil"/>
                  </w:tcBorders>
                  <w:vAlign w:val="center"/>
                </w:tcPr>
                <w:p w14:paraId="6A700F8E">
                  <w:pPr>
                    <w:widowControl/>
                    <w:jc w:val="center"/>
                    <w:rPr>
                      <w:rFonts w:ascii="Times New Roman" w:hAnsi="Times New Roman" w:eastAsia="宋体" w:cs="Times New Roman"/>
                      <w:b w:val="0"/>
                      <w:bCs w:val="0"/>
                      <w:color w:val="auto"/>
                      <w:szCs w:val="21"/>
                      <w:highlight w:val="none"/>
                    </w:rPr>
                  </w:pPr>
                </w:p>
              </w:tc>
              <w:tc>
                <w:tcPr>
                  <w:tcW w:w="1187" w:type="dxa"/>
                  <w:vMerge w:val="continue"/>
                  <w:tcBorders>
                    <w:tl2br w:val="nil"/>
                    <w:tr2bl w:val="nil"/>
                  </w:tcBorders>
                  <w:vAlign w:val="center"/>
                </w:tcPr>
                <w:p w14:paraId="4F29946D">
                  <w:pPr>
                    <w:widowControl/>
                    <w:jc w:val="center"/>
                    <w:rPr>
                      <w:rFonts w:ascii="Times New Roman" w:hAnsi="Times New Roman" w:eastAsia="宋体" w:cs="Times New Roman"/>
                      <w:b w:val="0"/>
                      <w:bCs w:val="0"/>
                      <w:color w:val="auto"/>
                      <w:szCs w:val="21"/>
                      <w:highlight w:val="none"/>
                    </w:rPr>
                  </w:pPr>
                </w:p>
              </w:tc>
              <w:tc>
                <w:tcPr>
                  <w:tcW w:w="1187" w:type="dxa"/>
                  <w:vMerge w:val="continue"/>
                  <w:tcBorders>
                    <w:tl2br w:val="nil"/>
                    <w:tr2bl w:val="nil"/>
                  </w:tcBorders>
                  <w:vAlign w:val="center"/>
                </w:tcPr>
                <w:p w14:paraId="3468D276">
                  <w:pPr>
                    <w:widowControl/>
                    <w:jc w:val="center"/>
                    <w:rPr>
                      <w:rFonts w:ascii="Times New Roman" w:hAnsi="Times New Roman" w:eastAsia="宋体" w:cs="Times New Roman"/>
                      <w:b w:val="0"/>
                      <w:bCs w:val="0"/>
                      <w:color w:val="auto"/>
                      <w:szCs w:val="21"/>
                      <w:highlight w:val="none"/>
                    </w:rPr>
                  </w:pPr>
                </w:p>
              </w:tc>
              <w:tc>
                <w:tcPr>
                  <w:tcW w:w="933" w:type="dxa"/>
                  <w:vMerge w:val="continue"/>
                  <w:tcBorders>
                    <w:tl2br w:val="nil"/>
                    <w:tr2bl w:val="nil"/>
                  </w:tcBorders>
                  <w:vAlign w:val="center"/>
                </w:tcPr>
                <w:p w14:paraId="69AAC4D1">
                  <w:pPr>
                    <w:widowControl/>
                    <w:jc w:val="center"/>
                    <w:rPr>
                      <w:rFonts w:ascii="Times New Roman" w:hAnsi="Times New Roman" w:eastAsia="宋体" w:cs="Times New Roman"/>
                      <w:b w:val="0"/>
                      <w:bCs w:val="0"/>
                      <w:color w:val="auto"/>
                      <w:szCs w:val="21"/>
                      <w:highlight w:val="none"/>
                    </w:rPr>
                  </w:pPr>
                </w:p>
              </w:tc>
              <w:tc>
                <w:tcPr>
                  <w:tcW w:w="880" w:type="dxa"/>
                  <w:tcBorders>
                    <w:tl2br w:val="nil"/>
                    <w:tr2bl w:val="nil"/>
                  </w:tcBorders>
                  <w:vAlign w:val="center"/>
                </w:tcPr>
                <w:p w14:paraId="7FB1CD02">
                  <w:pPr>
                    <w:widowControl/>
                    <w:jc w:val="center"/>
                    <w:rPr>
                      <w:rFonts w:ascii="Times New Roman" w:hAnsi="Times New Roman" w:eastAsia="宋体" w:cs="Times New Roman"/>
                      <w:b w:val="0"/>
                      <w:bCs w:val="0"/>
                      <w:color w:val="auto"/>
                      <w:kern w:val="0"/>
                      <w:szCs w:val="21"/>
                      <w:highlight w:val="none"/>
                    </w:rPr>
                  </w:pPr>
                  <w:r>
                    <w:rPr>
                      <w:rFonts w:ascii="Times New Roman" w:hAnsi="Times New Roman" w:eastAsia="宋体" w:cs="Times New Roman"/>
                      <w:b w:val="0"/>
                      <w:bCs w:val="0"/>
                      <w:color w:val="auto"/>
                      <w:kern w:val="0"/>
                      <w:szCs w:val="21"/>
                      <w:highlight w:val="none"/>
                    </w:rPr>
                    <w:t>分项</w:t>
                  </w:r>
                </w:p>
              </w:tc>
              <w:tc>
                <w:tcPr>
                  <w:tcW w:w="647" w:type="dxa"/>
                  <w:tcBorders>
                    <w:tl2br w:val="nil"/>
                    <w:tr2bl w:val="nil"/>
                  </w:tcBorders>
                  <w:vAlign w:val="center"/>
                </w:tcPr>
                <w:p w14:paraId="31EED790">
                  <w:pPr>
                    <w:widowControl/>
                    <w:jc w:val="center"/>
                    <w:rPr>
                      <w:rFonts w:ascii="Times New Roman" w:hAnsi="Times New Roman" w:eastAsia="宋体" w:cs="Times New Roman"/>
                      <w:b w:val="0"/>
                      <w:bCs w:val="0"/>
                      <w:color w:val="auto"/>
                      <w:kern w:val="0"/>
                      <w:szCs w:val="21"/>
                      <w:highlight w:val="none"/>
                    </w:rPr>
                  </w:pPr>
                  <w:r>
                    <w:rPr>
                      <w:rFonts w:ascii="Times New Roman" w:hAnsi="Times New Roman" w:eastAsia="宋体" w:cs="Times New Roman"/>
                      <w:b w:val="0"/>
                      <w:bCs w:val="0"/>
                      <w:color w:val="auto"/>
                      <w:kern w:val="0"/>
                      <w:szCs w:val="21"/>
                      <w:highlight w:val="none"/>
                    </w:rPr>
                    <w:t>总体</w:t>
                  </w:r>
                </w:p>
              </w:tc>
            </w:tr>
            <w:tr w14:paraId="4994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97" w:type="dxa"/>
                  <w:tcBorders>
                    <w:tl2br w:val="nil"/>
                    <w:tr2bl w:val="nil"/>
                  </w:tcBorders>
                  <w:vAlign w:val="center"/>
                </w:tcPr>
                <w:p w14:paraId="359DAE60">
                  <w:pPr>
                    <w:widowControl/>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SO</w:t>
                  </w:r>
                  <w:r>
                    <w:rPr>
                      <w:rFonts w:ascii="Times New Roman" w:hAnsi="Times New Roman" w:eastAsia="宋体" w:cs="Times New Roman"/>
                      <w:color w:val="auto"/>
                      <w:kern w:val="0"/>
                      <w:szCs w:val="21"/>
                      <w:highlight w:val="none"/>
                      <w:vertAlign w:val="subscript"/>
                    </w:rPr>
                    <w:t>2</w:t>
                  </w:r>
                </w:p>
              </w:tc>
              <w:tc>
                <w:tcPr>
                  <w:tcW w:w="2226" w:type="dxa"/>
                  <w:vMerge w:val="restart"/>
                  <w:tcBorders>
                    <w:tl2br w:val="nil"/>
                    <w:tr2bl w:val="nil"/>
                  </w:tcBorders>
                  <w:vAlign w:val="center"/>
                </w:tcPr>
                <w:p w14:paraId="55E359B6">
                  <w:pPr>
                    <w:widowControl/>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年平均质量浓度</w:t>
                  </w:r>
                </w:p>
              </w:tc>
              <w:tc>
                <w:tcPr>
                  <w:tcW w:w="1187" w:type="dxa"/>
                  <w:tcBorders>
                    <w:tl2br w:val="nil"/>
                    <w:tr2bl w:val="nil"/>
                  </w:tcBorders>
                  <w:vAlign w:val="center"/>
                </w:tcPr>
                <w:p w14:paraId="0E3E095F">
                  <w:pPr>
                    <w:widowControl/>
                    <w:jc w:val="center"/>
                    <w:rPr>
                      <w:rFonts w:hint="eastAsia"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6</w:t>
                  </w:r>
                </w:p>
              </w:tc>
              <w:tc>
                <w:tcPr>
                  <w:tcW w:w="1187" w:type="dxa"/>
                  <w:tcBorders>
                    <w:tl2br w:val="nil"/>
                    <w:tr2bl w:val="nil"/>
                  </w:tcBorders>
                  <w:vAlign w:val="center"/>
                </w:tcPr>
                <w:p w14:paraId="650796EA">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60</w:t>
                  </w:r>
                </w:p>
              </w:tc>
              <w:tc>
                <w:tcPr>
                  <w:tcW w:w="933" w:type="dxa"/>
                  <w:tcBorders>
                    <w:tl2br w:val="nil"/>
                    <w:tr2bl w:val="nil"/>
                  </w:tcBorders>
                  <w:vAlign w:val="center"/>
                </w:tcPr>
                <w:p w14:paraId="163F0E21">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10</w:t>
                  </w:r>
                </w:p>
              </w:tc>
              <w:tc>
                <w:tcPr>
                  <w:tcW w:w="880" w:type="dxa"/>
                  <w:tcBorders>
                    <w:tl2br w:val="nil"/>
                    <w:tr2bl w:val="nil"/>
                  </w:tcBorders>
                  <w:vAlign w:val="center"/>
                </w:tcPr>
                <w:p w14:paraId="0274793C">
                  <w:pPr>
                    <w:widowControl/>
                    <w:jc w:val="center"/>
                    <w:rPr>
                      <w:rFonts w:ascii="Times New Roman" w:hAnsi="Times New Roman" w:eastAsia="宋体" w:cs="Times New Roman"/>
                      <w:color w:val="auto"/>
                      <w:kern w:val="0"/>
                      <w:szCs w:val="21"/>
                      <w:highlight w:val="none"/>
                    </w:rPr>
                  </w:pPr>
                  <w:r>
                    <w:rPr>
                      <w:rFonts w:hint="eastAsia" w:cs="Times New Roman"/>
                      <w:color w:val="auto"/>
                      <w:kern w:val="0"/>
                      <w:szCs w:val="21"/>
                      <w:highlight w:val="none"/>
                    </w:rPr>
                    <w:t>达</w:t>
                  </w:r>
                  <w:r>
                    <w:rPr>
                      <w:rFonts w:ascii="Times New Roman" w:hAnsi="Times New Roman" w:eastAsia="宋体" w:cs="Times New Roman"/>
                      <w:color w:val="auto"/>
                      <w:kern w:val="0"/>
                      <w:szCs w:val="21"/>
                      <w:highlight w:val="none"/>
                    </w:rPr>
                    <w:t>标</w:t>
                  </w:r>
                </w:p>
              </w:tc>
              <w:tc>
                <w:tcPr>
                  <w:tcW w:w="647" w:type="dxa"/>
                  <w:vMerge w:val="restart"/>
                  <w:tcBorders>
                    <w:tl2br w:val="nil"/>
                    <w:tr2bl w:val="nil"/>
                  </w:tcBorders>
                  <w:vAlign w:val="center"/>
                </w:tcPr>
                <w:p w14:paraId="435D5991">
                  <w:pPr>
                    <w:widowControl/>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不</w:t>
                  </w:r>
                </w:p>
                <w:p w14:paraId="6F40E591">
                  <w:pPr>
                    <w:widowControl/>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达</w:t>
                  </w:r>
                </w:p>
                <w:p w14:paraId="1D5591F9">
                  <w:pPr>
                    <w:widowControl/>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标</w:t>
                  </w:r>
                </w:p>
              </w:tc>
            </w:tr>
            <w:tr w14:paraId="5466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97" w:type="dxa"/>
                  <w:tcBorders>
                    <w:tl2br w:val="nil"/>
                    <w:tr2bl w:val="nil"/>
                  </w:tcBorders>
                  <w:vAlign w:val="center"/>
                </w:tcPr>
                <w:p w14:paraId="38A629FE">
                  <w:pPr>
                    <w:widowControl/>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NO</w:t>
                  </w:r>
                  <w:r>
                    <w:rPr>
                      <w:rFonts w:ascii="Times New Roman" w:hAnsi="Times New Roman" w:eastAsia="宋体" w:cs="Times New Roman"/>
                      <w:color w:val="auto"/>
                      <w:kern w:val="0"/>
                      <w:szCs w:val="21"/>
                      <w:highlight w:val="none"/>
                      <w:vertAlign w:val="subscript"/>
                    </w:rPr>
                    <w:t>2</w:t>
                  </w:r>
                </w:p>
              </w:tc>
              <w:tc>
                <w:tcPr>
                  <w:tcW w:w="2226" w:type="dxa"/>
                  <w:vMerge w:val="continue"/>
                  <w:tcBorders>
                    <w:tl2br w:val="nil"/>
                    <w:tr2bl w:val="nil"/>
                  </w:tcBorders>
                  <w:vAlign w:val="center"/>
                </w:tcPr>
                <w:p w14:paraId="1E270BEC">
                  <w:pPr>
                    <w:widowControl/>
                    <w:jc w:val="center"/>
                    <w:rPr>
                      <w:rFonts w:ascii="Times New Roman" w:hAnsi="Times New Roman" w:eastAsia="宋体" w:cs="Times New Roman"/>
                      <w:color w:val="auto"/>
                      <w:kern w:val="0"/>
                      <w:szCs w:val="21"/>
                      <w:highlight w:val="none"/>
                    </w:rPr>
                  </w:pPr>
                </w:p>
              </w:tc>
              <w:tc>
                <w:tcPr>
                  <w:tcW w:w="1187" w:type="dxa"/>
                  <w:tcBorders>
                    <w:tl2br w:val="nil"/>
                    <w:tr2bl w:val="nil"/>
                  </w:tcBorders>
                  <w:vAlign w:val="center"/>
                </w:tcPr>
                <w:p w14:paraId="246E18EC">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19</w:t>
                  </w:r>
                </w:p>
              </w:tc>
              <w:tc>
                <w:tcPr>
                  <w:tcW w:w="1187" w:type="dxa"/>
                  <w:tcBorders>
                    <w:tl2br w:val="nil"/>
                    <w:tr2bl w:val="nil"/>
                  </w:tcBorders>
                  <w:vAlign w:val="center"/>
                </w:tcPr>
                <w:p w14:paraId="037FC6A9">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40</w:t>
                  </w:r>
                </w:p>
              </w:tc>
              <w:tc>
                <w:tcPr>
                  <w:tcW w:w="933" w:type="dxa"/>
                  <w:tcBorders>
                    <w:tl2br w:val="nil"/>
                    <w:tr2bl w:val="nil"/>
                  </w:tcBorders>
                  <w:vAlign w:val="center"/>
                </w:tcPr>
                <w:p w14:paraId="0367D676">
                  <w:pPr>
                    <w:widowControl/>
                    <w:jc w:val="center"/>
                    <w:rPr>
                      <w:rFonts w:hint="default"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47.5</w:t>
                  </w:r>
                </w:p>
              </w:tc>
              <w:tc>
                <w:tcPr>
                  <w:tcW w:w="880" w:type="dxa"/>
                  <w:tcBorders>
                    <w:tl2br w:val="nil"/>
                    <w:tr2bl w:val="nil"/>
                  </w:tcBorders>
                  <w:vAlign w:val="center"/>
                </w:tcPr>
                <w:p w14:paraId="312138B9">
                  <w:pPr>
                    <w:widowControl/>
                    <w:jc w:val="center"/>
                    <w:rPr>
                      <w:rFonts w:ascii="Times New Roman" w:hAnsi="Times New Roman" w:eastAsia="宋体" w:cs="Times New Roman"/>
                      <w:color w:val="auto"/>
                      <w:kern w:val="0"/>
                      <w:szCs w:val="21"/>
                      <w:highlight w:val="none"/>
                    </w:rPr>
                  </w:pPr>
                  <w:r>
                    <w:rPr>
                      <w:rFonts w:hint="eastAsia" w:cs="Times New Roman"/>
                      <w:color w:val="auto"/>
                      <w:kern w:val="0"/>
                      <w:szCs w:val="21"/>
                      <w:highlight w:val="none"/>
                    </w:rPr>
                    <w:t>达</w:t>
                  </w:r>
                  <w:r>
                    <w:rPr>
                      <w:rFonts w:ascii="Times New Roman" w:hAnsi="Times New Roman" w:eastAsia="宋体" w:cs="Times New Roman"/>
                      <w:color w:val="auto"/>
                      <w:kern w:val="0"/>
                      <w:szCs w:val="21"/>
                      <w:highlight w:val="none"/>
                    </w:rPr>
                    <w:t>标</w:t>
                  </w:r>
                </w:p>
              </w:tc>
              <w:tc>
                <w:tcPr>
                  <w:tcW w:w="647" w:type="dxa"/>
                  <w:vMerge w:val="continue"/>
                  <w:tcBorders>
                    <w:tl2br w:val="nil"/>
                    <w:tr2bl w:val="nil"/>
                  </w:tcBorders>
                  <w:vAlign w:val="center"/>
                </w:tcPr>
                <w:p w14:paraId="227F0EED">
                  <w:pPr>
                    <w:widowControl/>
                    <w:jc w:val="center"/>
                    <w:rPr>
                      <w:rFonts w:ascii="Times New Roman" w:hAnsi="Times New Roman" w:eastAsia="宋体" w:cs="Times New Roman"/>
                      <w:color w:val="auto"/>
                      <w:kern w:val="0"/>
                      <w:szCs w:val="21"/>
                      <w:highlight w:val="none"/>
                    </w:rPr>
                  </w:pPr>
                </w:p>
              </w:tc>
            </w:tr>
            <w:tr w14:paraId="392D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97" w:type="dxa"/>
                  <w:tcBorders>
                    <w:tl2br w:val="nil"/>
                    <w:tr2bl w:val="nil"/>
                  </w:tcBorders>
                  <w:vAlign w:val="center"/>
                </w:tcPr>
                <w:p w14:paraId="6F1F5C2B">
                  <w:pPr>
                    <w:widowControl/>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CO</w:t>
                  </w:r>
                </w:p>
              </w:tc>
              <w:tc>
                <w:tcPr>
                  <w:tcW w:w="2226" w:type="dxa"/>
                  <w:vMerge w:val="restart"/>
                  <w:tcBorders>
                    <w:tl2br w:val="nil"/>
                    <w:tr2bl w:val="nil"/>
                  </w:tcBorders>
                  <w:vAlign w:val="center"/>
                </w:tcPr>
                <w:p w14:paraId="1E5B8F86">
                  <w:pPr>
                    <w:widowControl/>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第95百分位数日平均质量浓度</w:t>
                  </w:r>
                </w:p>
              </w:tc>
              <w:tc>
                <w:tcPr>
                  <w:tcW w:w="1187" w:type="dxa"/>
                  <w:tcBorders>
                    <w:tl2br w:val="nil"/>
                    <w:tr2bl w:val="nil"/>
                  </w:tcBorders>
                  <w:vAlign w:val="center"/>
                </w:tcPr>
                <w:p w14:paraId="0A08CC1E">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100</w:t>
                  </w:r>
                </w:p>
              </w:tc>
              <w:tc>
                <w:tcPr>
                  <w:tcW w:w="1187" w:type="dxa"/>
                  <w:tcBorders>
                    <w:tl2br w:val="nil"/>
                    <w:tr2bl w:val="nil"/>
                  </w:tcBorders>
                  <w:vAlign w:val="center"/>
                </w:tcPr>
                <w:p w14:paraId="2D967AF9">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4000</w:t>
                  </w:r>
                </w:p>
              </w:tc>
              <w:tc>
                <w:tcPr>
                  <w:tcW w:w="933" w:type="dxa"/>
                  <w:tcBorders>
                    <w:tl2br w:val="nil"/>
                    <w:tr2bl w:val="nil"/>
                  </w:tcBorders>
                  <w:vAlign w:val="center"/>
                </w:tcPr>
                <w:p w14:paraId="06ABBAB2">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2.5</w:t>
                  </w:r>
                </w:p>
              </w:tc>
              <w:tc>
                <w:tcPr>
                  <w:tcW w:w="880" w:type="dxa"/>
                  <w:tcBorders>
                    <w:tl2br w:val="nil"/>
                    <w:tr2bl w:val="nil"/>
                  </w:tcBorders>
                  <w:vAlign w:val="center"/>
                </w:tcPr>
                <w:p w14:paraId="51B58D39">
                  <w:pPr>
                    <w:widowControl/>
                    <w:jc w:val="center"/>
                    <w:rPr>
                      <w:rFonts w:ascii="Times New Roman" w:hAnsi="Times New Roman" w:eastAsia="宋体" w:cs="Times New Roman"/>
                      <w:color w:val="auto"/>
                      <w:kern w:val="0"/>
                      <w:szCs w:val="21"/>
                      <w:highlight w:val="none"/>
                    </w:rPr>
                  </w:pPr>
                  <w:r>
                    <w:rPr>
                      <w:rFonts w:hint="eastAsia" w:cs="Times New Roman"/>
                      <w:color w:val="auto"/>
                      <w:kern w:val="0"/>
                      <w:szCs w:val="21"/>
                      <w:highlight w:val="none"/>
                    </w:rPr>
                    <w:t>达标</w:t>
                  </w:r>
                </w:p>
              </w:tc>
              <w:tc>
                <w:tcPr>
                  <w:tcW w:w="647" w:type="dxa"/>
                  <w:vMerge w:val="continue"/>
                  <w:tcBorders>
                    <w:tl2br w:val="nil"/>
                    <w:tr2bl w:val="nil"/>
                  </w:tcBorders>
                  <w:vAlign w:val="center"/>
                </w:tcPr>
                <w:p w14:paraId="7236332E">
                  <w:pPr>
                    <w:widowControl/>
                    <w:jc w:val="center"/>
                    <w:rPr>
                      <w:rFonts w:ascii="Times New Roman" w:hAnsi="Times New Roman" w:eastAsia="宋体" w:cs="Times New Roman"/>
                      <w:color w:val="auto"/>
                      <w:kern w:val="0"/>
                      <w:szCs w:val="21"/>
                      <w:highlight w:val="none"/>
                    </w:rPr>
                  </w:pPr>
                </w:p>
              </w:tc>
            </w:tr>
            <w:tr w14:paraId="08C6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97" w:type="dxa"/>
                  <w:tcBorders>
                    <w:tl2br w:val="nil"/>
                    <w:tr2bl w:val="nil"/>
                  </w:tcBorders>
                  <w:vAlign w:val="center"/>
                </w:tcPr>
                <w:p w14:paraId="08B21ED5">
                  <w:pPr>
                    <w:widowControl/>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O</w:t>
                  </w:r>
                  <w:r>
                    <w:rPr>
                      <w:rFonts w:ascii="Times New Roman" w:hAnsi="Times New Roman" w:eastAsia="宋体" w:cs="Times New Roman"/>
                      <w:color w:val="auto"/>
                      <w:kern w:val="0"/>
                      <w:szCs w:val="21"/>
                      <w:highlight w:val="none"/>
                      <w:vertAlign w:val="subscript"/>
                    </w:rPr>
                    <w:t>3</w:t>
                  </w:r>
                </w:p>
              </w:tc>
              <w:tc>
                <w:tcPr>
                  <w:tcW w:w="2226" w:type="dxa"/>
                  <w:vMerge w:val="continue"/>
                  <w:tcBorders>
                    <w:tl2br w:val="nil"/>
                    <w:tr2bl w:val="nil"/>
                  </w:tcBorders>
                  <w:vAlign w:val="center"/>
                </w:tcPr>
                <w:p w14:paraId="70D7E82C">
                  <w:pPr>
                    <w:widowControl/>
                    <w:jc w:val="center"/>
                    <w:rPr>
                      <w:rFonts w:ascii="Times New Roman" w:hAnsi="Times New Roman" w:eastAsia="宋体" w:cs="Times New Roman"/>
                      <w:color w:val="auto"/>
                      <w:kern w:val="0"/>
                      <w:szCs w:val="21"/>
                      <w:highlight w:val="none"/>
                    </w:rPr>
                  </w:pPr>
                </w:p>
              </w:tc>
              <w:tc>
                <w:tcPr>
                  <w:tcW w:w="1187" w:type="dxa"/>
                  <w:tcBorders>
                    <w:tl2br w:val="nil"/>
                    <w:tr2bl w:val="nil"/>
                  </w:tcBorders>
                  <w:vAlign w:val="center"/>
                </w:tcPr>
                <w:p w14:paraId="405211D3">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175</w:t>
                  </w:r>
                </w:p>
              </w:tc>
              <w:tc>
                <w:tcPr>
                  <w:tcW w:w="1187" w:type="dxa"/>
                  <w:tcBorders>
                    <w:tl2br w:val="nil"/>
                    <w:tr2bl w:val="nil"/>
                  </w:tcBorders>
                  <w:vAlign w:val="center"/>
                </w:tcPr>
                <w:p w14:paraId="4105C702">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160</w:t>
                  </w:r>
                </w:p>
              </w:tc>
              <w:tc>
                <w:tcPr>
                  <w:tcW w:w="933" w:type="dxa"/>
                  <w:tcBorders>
                    <w:tl2br w:val="nil"/>
                    <w:tr2bl w:val="nil"/>
                  </w:tcBorders>
                  <w:vAlign w:val="center"/>
                </w:tcPr>
                <w:p w14:paraId="243D1433">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109</w:t>
                  </w:r>
                </w:p>
              </w:tc>
              <w:tc>
                <w:tcPr>
                  <w:tcW w:w="880" w:type="dxa"/>
                  <w:tcBorders>
                    <w:tl2br w:val="nil"/>
                    <w:tr2bl w:val="nil"/>
                  </w:tcBorders>
                  <w:vAlign w:val="center"/>
                </w:tcPr>
                <w:p w14:paraId="4B01AC72">
                  <w:pPr>
                    <w:widowControl/>
                    <w:jc w:val="center"/>
                    <w:rPr>
                      <w:rFonts w:ascii="Times New Roman" w:hAnsi="Times New Roman" w:eastAsia="宋体" w:cs="Times New Roman"/>
                      <w:color w:val="auto"/>
                      <w:kern w:val="0"/>
                      <w:szCs w:val="21"/>
                      <w:highlight w:val="none"/>
                    </w:rPr>
                  </w:pPr>
                  <w:r>
                    <w:rPr>
                      <w:rFonts w:hint="eastAsia" w:cs="Times New Roman"/>
                      <w:color w:val="auto"/>
                      <w:kern w:val="0"/>
                      <w:szCs w:val="21"/>
                      <w:highlight w:val="none"/>
                      <w:lang w:eastAsia="zh-CN"/>
                    </w:rPr>
                    <w:t>不</w:t>
                  </w:r>
                  <w:r>
                    <w:rPr>
                      <w:rFonts w:ascii="Times New Roman" w:hAnsi="Times New Roman" w:eastAsia="宋体" w:cs="Times New Roman"/>
                      <w:color w:val="auto"/>
                      <w:kern w:val="0"/>
                      <w:szCs w:val="21"/>
                      <w:highlight w:val="none"/>
                    </w:rPr>
                    <w:t>达标</w:t>
                  </w:r>
                </w:p>
              </w:tc>
              <w:tc>
                <w:tcPr>
                  <w:tcW w:w="647" w:type="dxa"/>
                  <w:vMerge w:val="continue"/>
                  <w:tcBorders>
                    <w:tl2br w:val="nil"/>
                    <w:tr2bl w:val="nil"/>
                  </w:tcBorders>
                  <w:vAlign w:val="center"/>
                </w:tcPr>
                <w:p w14:paraId="125D307D">
                  <w:pPr>
                    <w:widowControl/>
                    <w:jc w:val="center"/>
                    <w:rPr>
                      <w:rFonts w:ascii="Times New Roman" w:hAnsi="Times New Roman" w:eastAsia="宋体" w:cs="Times New Roman"/>
                      <w:color w:val="auto"/>
                      <w:kern w:val="0"/>
                      <w:szCs w:val="21"/>
                      <w:highlight w:val="none"/>
                    </w:rPr>
                  </w:pPr>
                </w:p>
              </w:tc>
            </w:tr>
            <w:tr w14:paraId="6BA9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97" w:type="dxa"/>
                  <w:tcBorders>
                    <w:tl2br w:val="nil"/>
                    <w:tr2bl w:val="nil"/>
                  </w:tcBorders>
                  <w:vAlign w:val="center"/>
                </w:tcPr>
                <w:p w14:paraId="23E537FE">
                  <w:pPr>
                    <w:widowControl/>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PM</w:t>
                  </w:r>
                  <w:r>
                    <w:rPr>
                      <w:rFonts w:ascii="Times New Roman" w:hAnsi="Times New Roman" w:eastAsia="宋体" w:cs="Times New Roman"/>
                      <w:color w:val="auto"/>
                      <w:kern w:val="0"/>
                      <w:szCs w:val="21"/>
                      <w:highlight w:val="none"/>
                      <w:vertAlign w:val="subscript"/>
                    </w:rPr>
                    <w:t>10</w:t>
                  </w:r>
                </w:p>
              </w:tc>
              <w:tc>
                <w:tcPr>
                  <w:tcW w:w="2226" w:type="dxa"/>
                  <w:vMerge w:val="restart"/>
                  <w:tcBorders>
                    <w:tl2br w:val="nil"/>
                    <w:tr2bl w:val="nil"/>
                  </w:tcBorders>
                  <w:vAlign w:val="center"/>
                </w:tcPr>
                <w:p w14:paraId="700EE3E2">
                  <w:pPr>
                    <w:widowControl/>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年平均质量浓度</w:t>
                  </w:r>
                </w:p>
              </w:tc>
              <w:tc>
                <w:tcPr>
                  <w:tcW w:w="1187" w:type="dxa"/>
                  <w:tcBorders>
                    <w:tl2br w:val="nil"/>
                    <w:tr2bl w:val="nil"/>
                  </w:tcBorders>
                  <w:vAlign w:val="center"/>
                </w:tcPr>
                <w:p w14:paraId="60168EE1">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70</w:t>
                  </w:r>
                </w:p>
              </w:tc>
              <w:tc>
                <w:tcPr>
                  <w:tcW w:w="1187" w:type="dxa"/>
                  <w:tcBorders>
                    <w:tl2br w:val="nil"/>
                    <w:tr2bl w:val="nil"/>
                  </w:tcBorders>
                  <w:vAlign w:val="center"/>
                </w:tcPr>
                <w:p w14:paraId="46D4D4B1">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70</w:t>
                  </w:r>
                </w:p>
              </w:tc>
              <w:tc>
                <w:tcPr>
                  <w:tcW w:w="933" w:type="dxa"/>
                  <w:tcBorders>
                    <w:tl2br w:val="nil"/>
                    <w:tr2bl w:val="nil"/>
                  </w:tcBorders>
                  <w:vAlign w:val="center"/>
                </w:tcPr>
                <w:p w14:paraId="0B02A059">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100</w:t>
                  </w:r>
                </w:p>
              </w:tc>
              <w:tc>
                <w:tcPr>
                  <w:tcW w:w="880" w:type="dxa"/>
                  <w:tcBorders>
                    <w:tl2br w:val="nil"/>
                    <w:tr2bl w:val="nil"/>
                  </w:tcBorders>
                  <w:vAlign w:val="center"/>
                </w:tcPr>
                <w:p w14:paraId="5B6F226A">
                  <w:pPr>
                    <w:widowControl/>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达标</w:t>
                  </w:r>
                </w:p>
              </w:tc>
              <w:tc>
                <w:tcPr>
                  <w:tcW w:w="647" w:type="dxa"/>
                  <w:vMerge w:val="continue"/>
                  <w:tcBorders>
                    <w:tl2br w:val="nil"/>
                    <w:tr2bl w:val="nil"/>
                  </w:tcBorders>
                  <w:vAlign w:val="center"/>
                </w:tcPr>
                <w:p w14:paraId="36BCEE2A">
                  <w:pPr>
                    <w:widowControl/>
                    <w:jc w:val="center"/>
                    <w:rPr>
                      <w:rFonts w:ascii="Times New Roman" w:hAnsi="Times New Roman" w:eastAsia="宋体" w:cs="Times New Roman"/>
                      <w:color w:val="auto"/>
                      <w:kern w:val="0"/>
                      <w:szCs w:val="21"/>
                      <w:highlight w:val="none"/>
                    </w:rPr>
                  </w:pPr>
                </w:p>
              </w:tc>
            </w:tr>
            <w:tr w14:paraId="37DB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97" w:type="dxa"/>
                  <w:tcBorders>
                    <w:tl2br w:val="nil"/>
                    <w:tr2bl w:val="nil"/>
                  </w:tcBorders>
                  <w:vAlign w:val="center"/>
                </w:tcPr>
                <w:p w14:paraId="66497024">
                  <w:pPr>
                    <w:widowControl/>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PM</w:t>
                  </w:r>
                  <w:r>
                    <w:rPr>
                      <w:rFonts w:ascii="Times New Roman" w:hAnsi="Times New Roman" w:eastAsia="宋体" w:cs="Times New Roman"/>
                      <w:color w:val="auto"/>
                      <w:kern w:val="0"/>
                      <w:szCs w:val="21"/>
                      <w:highlight w:val="none"/>
                      <w:vertAlign w:val="subscript"/>
                    </w:rPr>
                    <w:t>2.5</w:t>
                  </w:r>
                </w:p>
              </w:tc>
              <w:tc>
                <w:tcPr>
                  <w:tcW w:w="2226" w:type="dxa"/>
                  <w:vMerge w:val="continue"/>
                  <w:tcBorders>
                    <w:tl2br w:val="nil"/>
                    <w:tr2bl w:val="nil"/>
                  </w:tcBorders>
                  <w:vAlign w:val="center"/>
                </w:tcPr>
                <w:p w14:paraId="6AD9E6B3">
                  <w:pPr>
                    <w:widowControl/>
                    <w:jc w:val="center"/>
                    <w:rPr>
                      <w:rFonts w:ascii="Times New Roman" w:hAnsi="Times New Roman" w:eastAsia="宋体" w:cs="Times New Roman"/>
                      <w:color w:val="auto"/>
                      <w:kern w:val="0"/>
                      <w:szCs w:val="21"/>
                      <w:highlight w:val="none"/>
                    </w:rPr>
                  </w:pPr>
                </w:p>
              </w:tc>
              <w:tc>
                <w:tcPr>
                  <w:tcW w:w="1187" w:type="dxa"/>
                  <w:tcBorders>
                    <w:tl2br w:val="nil"/>
                    <w:tr2bl w:val="nil"/>
                  </w:tcBorders>
                  <w:vAlign w:val="center"/>
                </w:tcPr>
                <w:p w14:paraId="1ED8DA22">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43</w:t>
                  </w:r>
                </w:p>
              </w:tc>
              <w:tc>
                <w:tcPr>
                  <w:tcW w:w="1187" w:type="dxa"/>
                  <w:tcBorders>
                    <w:tl2br w:val="nil"/>
                    <w:tr2bl w:val="nil"/>
                  </w:tcBorders>
                  <w:vAlign w:val="center"/>
                </w:tcPr>
                <w:p w14:paraId="70A830BA">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35</w:t>
                  </w:r>
                </w:p>
              </w:tc>
              <w:tc>
                <w:tcPr>
                  <w:tcW w:w="933" w:type="dxa"/>
                  <w:tcBorders>
                    <w:tl2br w:val="nil"/>
                    <w:tr2bl w:val="nil"/>
                  </w:tcBorders>
                  <w:vAlign w:val="center"/>
                </w:tcPr>
                <w:p w14:paraId="102CB93F">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122</w:t>
                  </w:r>
                </w:p>
              </w:tc>
              <w:tc>
                <w:tcPr>
                  <w:tcW w:w="880" w:type="dxa"/>
                  <w:tcBorders>
                    <w:tl2br w:val="nil"/>
                    <w:tr2bl w:val="nil"/>
                  </w:tcBorders>
                  <w:vAlign w:val="center"/>
                </w:tcPr>
                <w:p w14:paraId="6108856D">
                  <w:pPr>
                    <w:widowControl/>
                    <w:jc w:val="center"/>
                    <w:rPr>
                      <w:rFonts w:ascii="Times New Roman" w:hAnsi="Times New Roman" w:eastAsia="宋体" w:cs="Times New Roman"/>
                      <w:color w:val="auto"/>
                      <w:kern w:val="0"/>
                      <w:szCs w:val="21"/>
                      <w:highlight w:val="none"/>
                    </w:rPr>
                  </w:pPr>
                  <w:r>
                    <w:rPr>
                      <w:rFonts w:hint="eastAsia" w:cs="Times New Roman"/>
                      <w:color w:val="auto"/>
                      <w:kern w:val="0"/>
                      <w:szCs w:val="21"/>
                      <w:highlight w:val="none"/>
                      <w:lang w:eastAsia="zh-CN"/>
                    </w:rPr>
                    <w:t>不</w:t>
                  </w:r>
                  <w:r>
                    <w:rPr>
                      <w:rFonts w:ascii="Times New Roman" w:hAnsi="Times New Roman" w:eastAsia="宋体" w:cs="Times New Roman"/>
                      <w:color w:val="auto"/>
                      <w:kern w:val="0"/>
                      <w:szCs w:val="21"/>
                      <w:highlight w:val="none"/>
                    </w:rPr>
                    <w:t>达标</w:t>
                  </w:r>
                </w:p>
              </w:tc>
              <w:tc>
                <w:tcPr>
                  <w:tcW w:w="647" w:type="dxa"/>
                  <w:vMerge w:val="continue"/>
                  <w:tcBorders>
                    <w:tl2br w:val="nil"/>
                    <w:tr2bl w:val="nil"/>
                  </w:tcBorders>
                  <w:vAlign w:val="center"/>
                </w:tcPr>
                <w:p w14:paraId="1304917E">
                  <w:pPr>
                    <w:widowControl/>
                    <w:jc w:val="center"/>
                    <w:rPr>
                      <w:rFonts w:ascii="Times New Roman" w:hAnsi="Times New Roman" w:eastAsia="宋体" w:cs="Times New Roman"/>
                      <w:color w:val="auto"/>
                      <w:kern w:val="0"/>
                      <w:szCs w:val="21"/>
                      <w:highlight w:val="none"/>
                    </w:rPr>
                  </w:pPr>
                </w:p>
              </w:tc>
            </w:tr>
          </w:tbl>
          <w:p w14:paraId="2CD51461">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360" w:lineRule="auto"/>
              <w:ind w:left="0" w:right="0" w:firstLine="480" w:firstLineChars="200"/>
              <w:textAlignment w:val="auto"/>
              <w:rPr>
                <w:rFonts w:hint="default" w:ascii="Times New Roman" w:hAnsi="Times New Roman" w:eastAsia="宋体" w:cs="宋体"/>
                <w:color w:val="auto"/>
                <w:sz w:val="24"/>
                <w:szCs w:val="24"/>
                <w:lang w:val="en-US" w:eastAsia="zh-CN"/>
              </w:rPr>
            </w:pPr>
            <w:r>
              <w:rPr>
                <w:rFonts w:hint="eastAsia" w:cs="Times New Roman"/>
                <w:color w:val="auto"/>
                <w:kern w:val="0"/>
                <w:sz w:val="24"/>
                <w:highlight w:val="none"/>
              </w:rPr>
              <w:t>由上表可知</w:t>
            </w:r>
            <w:r>
              <w:rPr>
                <w:rFonts w:hint="eastAsia"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rPr>
              <w:t>202</w:t>
            </w:r>
            <w:r>
              <w:rPr>
                <w:rFonts w:hint="eastAsia" w:cs="Times New Roman"/>
                <w:color w:val="auto"/>
                <w:kern w:val="0"/>
                <w:sz w:val="24"/>
                <w:highlight w:val="none"/>
                <w:lang w:val="en-US" w:eastAsia="zh-CN"/>
              </w:rPr>
              <w:t>4</w:t>
            </w:r>
            <w:r>
              <w:rPr>
                <w:rFonts w:hint="eastAsia" w:cs="Times New Roman"/>
                <w:color w:val="auto"/>
                <w:kern w:val="0"/>
                <w:sz w:val="24"/>
                <w:highlight w:val="none"/>
              </w:rPr>
              <w:t>年</w:t>
            </w:r>
            <w:r>
              <w:rPr>
                <w:rFonts w:hint="eastAsia" w:cs="Times New Roman"/>
                <w:color w:val="auto"/>
                <w:kern w:val="0"/>
                <w:sz w:val="24"/>
                <w:highlight w:val="none"/>
                <w:lang w:val="en-US" w:eastAsia="zh-CN"/>
              </w:rPr>
              <w:t>淮</w:t>
            </w:r>
            <w:bookmarkStart w:id="5" w:name="_GoBack"/>
            <w:bookmarkEnd w:id="5"/>
            <w:r>
              <w:rPr>
                <w:rFonts w:hint="eastAsia" w:cs="Times New Roman"/>
                <w:color w:val="auto"/>
                <w:kern w:val="0"/>
                <w:sz w:val="24"/>
                <w:highlight w:val="none"/>
              </w:rPr>
              <w:t>北市O</w:t>
            </w:r>
            <w:r>
              <w:rPr>
                <w:rFonts w:hint="eastAsia" w:cs="Times New Roman"/>
                <w:color w:val="auto"/>
                <w:kern w:val="0"/>
                <w:sz w:val="24"/>
                <w:highlight w:val="none"/>
                <w:vertAlign w:val="subscript"/>
              </w:rPr>
              <w:t>3</w:t>
            </w:r>
            <w:r>
              <w:rPr>
                <w:rFonts w:hint="eastAsia" w:cs="Times New Roman"/>
                <w:color w:val="auto"/>
                <w:kern w:val="0"/>
                <w:sz w:val="24"/>
                <w:highlight w:val="none"/>
              </w:rPr>
              <w:t>、PM</w:t>
            </w:r>
            <w:r>
              <w:rPr>
                <w:rFonts w:hint="eastAsia" w:cs="Times New Roman"/>
                <w:color w:val="auto"/>
                <w:kern w:val="0"/>
                <w:sz w:val="24"/>
                <w:highlight w:val="none"/>
                <w:vertAlign w:val="subscript"/>
              </w:rPr>
              <w:t>2.5</w:t>
            </w:r>
            <w:r>
              <w:rPr>
                <w:rFonts w:hint="eastAsia" w:cs="Times New Roman"/>
                <w:color w:val="auto"/>
                <w:kern w:val="0"/>
                <w:sz w:val="24"/>
                <w:highlight w:val="none"/>
              </w:rPr>
              <w:t>的评价指标不能满足《环境空气质量标</w:t>
            </w:r>
            <w:r>
              <w:rPr>
                <w:rFonts w:hint="eastAsia" w:ascii="Times New Roman" w:hAnsi="Times New Roman" w:eastAsia="宋体" w:cs="Times New Roman"/>
                <w:color w:val="auto"/>
                <w:kern w:val="0"/>
                <w:sz w:val="24"/>
                <w:highlight w:val="none"/>
              </w:rPr>
              <w:t>（GB3095-2012）</w:t>
            </w:r>
            <w:r>
              <w:rPr>
                <w:rFonts w:hint="eastAsia" w:cs="Times New Roman"/>
                <w:color w:val="auto"/>
                <w:kern w:val="0"/>
                <w:sz w:val="24"/>
                <w:highlight w:val="none"/>
              </w:rPr>
              <w:t>及其修改单二级标准限值要求</w:t>
            </w:r>
            <w:r>
              <w:rPr>
                <w:rFonts w:hint="eastAsia" w:cs="Times New Roman"/>
                <w:color w:val="auto"/>
                <w:kern w:val="0"/>
                <w:sz w:val="24"/>
                <w:highlight w:val="none"/>
                <w:lang w:eastAsia="zh-CN"/>
              </w:rPr>
              <w:t>，</w:t>
            </w:r>
            <w:r>
              <w:rPr>
                <w:rFonts w:hint="eastAsia" w:cs="Times New Roman"/>
                <w:color w:val="auto"/>
                <w:kern w:val="0"/>
                <w:sz w:val="24"/>
                <w:highlight w:val="none"/>
              </w:rPr>
              <w:t>项目所在区域为不达标区。目前</w:t>
            </w:r>
            <w:r>
              <w:rPr>
                <w:rFonts w:hint="eastAsia" w:cs="Times New Roman"/>
                <w:color w:val="auto"/>
                <w:kern w:val="0"/>
                <w:sz w:val="24"/>
                <w:highlight w:val="none"/>
                <w:lang w:eastAsia="zh-CN"/>
              </w:rPr>
              <w:t>，</w:t>
            </w:r>
            <w:r>
              <w:rPr>
                <w:rFonts w:hint="eastAsia" w:cs="Times New Roman"/>
                <w:color w:val="auto"/>
                <w:kern w:val="0"/>
                <w:sz w:val="24"/>
                <w:highlight w:val="none"/>
              </w:rPr>
              <w:t xml:space="preserve">淮北市生态环境局组织编制了《淮北市大气环境质量达标规划》 （2020-2030年）（征求意见稿） </w:t>
            </w:r>
            <w:r>
              <w:rPr>
                <w:rFonts w:hint="eastAsia" w:cs="Times New Roman"/>
                <w:color w:val="auto"/>
                <w:kern w:val="0"/>
                <w:sz w:val="24"/>
                <w:highlight w:val="none"/>
                <w:lang w:eastAsia="zh-CN"/>
              </w:rPr>
              <w:t>，</w:t>
            </w:r>
            <w:r>
              <w:rPr>
                <w:rFonts w:hint="eastAsia" w:cs="Times New Roman"/>
                <w:color w:val="auto"/>
                <w:kern w:val="0"/>
                <w:sz w:val="24"/>
                <w:highlight w:val="none"/>
              </w:rPr>
              <w:t>将以重点行业为管控对象</w:t>
            </w:r>
            <w:r>
              <w:rPr>
                <w:rFonts w:hint="eastAsia" w:cs="Times New Roman"/>
                <w:color w:val="auto"/>
                <w:kern w:val="0"/>
                <w:sz w:val="24"/>
                <w:highlight w:val="none"/>
                <w:lang w:eastAsia="zh-CN"/>
              </w:rPr>
              <w:t>，</w:t>
            </w:r>
            <w:r>
              <w:rPr>
                <w:rFonts w:hint="eastAsia" w:cs="Times New Roman"/>
                <w:color w:val="auto"/>
                <w:kern w:val="0"/>
                <w:sz w:val="24"/>
                <w:highlight w:val="none"/>
              </w:rPr>
              <w:t>秋冬季为重点管控时段</w:t>
            </w:r>
            <w:r>
              <w:rPr>
                <w:rFonts w:hint="eastAsia" w:cs="Times New Roman"/>
                <w:color w:val="auto"/>
                <w:kern w:val="0"/>
                <w:sz w:val="24"/>
                <w:highlight w:val="none"/>
                <w:lang w:eastAsia="zh-CN"/>
              </w:rPr>
              <w:t>，</w:t>
            </w:r>
            <w:r>
              <w:rPr>
                <w:rFonts w:hint="eastAsia" w:cs="Times New Roman"/>
                <w:color w:val="auto"/>
                <w:kern w:val="0"/>
                <w:sz w:val="24"/>
                <w:highlight w:val="none"/>
              </w:rPr>
              <w:t xml:space="preserve"> PM</w:t>
            </w:r>
            <w:r>
              <w:rPr>
                <w:rFonts w:hint="eastAsia" w:cs="Times New Roman"/>
                <w:color w:val="auto"/>
                <w:kern w:val="0"/>
                <w:sz w:val="24"/>
                <w:highlight w:val="none"/>
                <w:vertAlign w:val="subscript"/>
              </w:rPr>
              <w:t>2.5</w:t>
            </w:r>
            <w:r>
              <w:rPr>
                <w:rFonts w:hint="eastAsia" w:cs="Times New Roman"/>
                <w:color w:val="auto"/>
                <w:kern w:val="0"/>
                <w:sz w:val="24"/>
                <w:highlight w:val="none"/>
              </w:rPr>
              <w:t>、 VOCs和NOx为主要管控因子</w:t>
            </w:r>
            <w:r>
              <w:rPr>
                <w:rFonts w:hint="eastAsia" w:cs="Times New Roman"/>
                <w:color w:val="auto"/>
                <w:kern w:val="0"/>
                <w:sz w:val="24"/>
                <w:highlight w:val="none"/>
                <w:lang w:eastAsia="zh-CN"/>
              </w:rPr>
              <w:t>，</w:t>
            </w:r>
            <w:r>
              <w:rPr>
                <w:rFonts w:hint="eastAsia" w:cs="Times New Roman"/>
                <w:color w:val="auto"/>
                <w:kern w:val="0"/>
                <w:sz w:val="24"/>
                <w:highlight w:val="none"/>
              </w:rPr>
              <w:t>持续推进产业结构、能源结构、运输结构、用地结构等四大结构调整</w:t>
            </w:r>
            <w:r>
              <w:rPr>
                <w:rFonts w:hint="eastAsia" w:cs="Times New Roman"/>
                <w:color w:val="auto"/>
                <w:kern w:val="0"/>
                <w:sz w:val="24"/>
                <w:highlight w:val="none"/>
                <w:lang w:eastAsia="zh-CN"/>
              </w:rPr>
              <w:t>，</w:t>
            </w:r>
            <w:r>
              <w:rPr>
                <w:rFonts w:hint="eastAsia" w:cs="Times New Roman"/>
                <w:color w:val="auto"/>
                <w:kern w:val="0"/>
                <w:sz w:val="24"/>
                <w:highlight w:val="none"/>
              </w:rPr>
              <w:t>推进臭氧污染治理、面源污染治理、重点行业深度减排、VOCs污染治理和重污染天气应急管控</w:t>
            </w:r>
            <w:r>
              <w:rPr>
                <w:rFonts w:hint="eastAsia" w:cs="Times New Roman"/>
                <w:color w:val="auto"/>
                <w:kern w:val="0"/>
                <w:sz w:val="24"/>
                <w:highlight w:val="none"/>
                <w:lang w:eastAsia="zh-CN"/>
              </w:rPr>
              <w:t>，</w:t>
            </w:r>
            <w:r>
              <w:rPr>
                <w:rFonts w:hint="eastAsia" w:cs="Times New Roman"/>
                <w:color w:val="auto"/>
                <w:kern w:val="0"/>
                <w:sz w:val="24"/>
                <w:highlight w:val="none"/>
              </w:rPr>
              <w:t>不断提升大气污染治理能力建设</w:t>
            </w:r>
            <w:r>
              <w:rPr>
                <w:rFonts w:hint="eastAsia" w:cs="Times New Roman"/>
                <w:color w:val="auto"/>
                <w:kern w:val="0"/>
                <w:sz w:val="24"/>
                <w:highlight w:val="none"/>
                <w:lang w:eastAsia="zh-CN"/>
              </w:rPr>
              <w:t>，</w:t>
            </w:r>
            <w:r>
              <w:rPr>
                <w:rFonts w:hint="eastAsia" w:cs="Times New Roman"/>
                <w:color w:val="auto"/>
                <w:kern w:val="0"/>
                <w:sz w:val="24"/>
                <w:highlight w:val="none"/>
              </w:rPr>
              <w:t>确保全面实现空气质量约束性目标。采取上述措施后</w:t>
            </w:r>
            <w:r>
              <w:rPr>
                <w:rFonts w:hint="eastAsia" w:cs="Times New Roman"/>
                <w:color w:val="auto"/>
                <w:kern w:val="0"/>
                <w:sz w:val="24"/>
                <w:highlight w:val="none"/>
                <w:lang w:eastAsia="zh-CN"/>
              </w:rPr>
              <w:t>，</w:t>
            </w:r>
            <w:r>
              <w:rPr>
                <w:rFonts w:hint="eastAsia" w:cs="Times New Roman"/>
                <w:color w:val="auto"/>
                <w:kern w:val="0"/>
                <w:sz w:val="24"/>
                <w:highlight w:val="none"/>
              </w:rPr>
              <w:t>淮北市大气环境质量状况将进一步得到改善</w:t>
            </w:r>
            <w:r>
              <w:rPr>
                <w:rFonts w:hint="eastAsia" w:cs="Times New Roman"/>
                <w:color w:val="auto"/>
                <w:kern w:val="0"/>
                <w:sz w:val="24"/>
              </w:rPr>
              <w:t>。</w:t>
            </w:r>
            <w:r>
              <w:rPr>
                <w:rFonts w:hint="eastAsia" w:cs="Times New Roman"/>
                <w:color w:val="auto"/>
                <w:kern w:val="0"/>
                <w:sz w:val="24"/>
              </w:rPr>
              <w:br w:type="textWrapping"/>
            </w:r>
            <w:r>
              <w:rPr>
                <w:rFonts w:hint="eastAsia" w:cs="Times New Roman"/>
                <w:color w:val="auto"/>
                <w:kern w:val="0"/>
                <w:sz w:val="24"/>
                <w:lang w:val="en-US" w:eastAsia="zh-CN"/>
              </w:rPr>
              <w:t xml:space="preserve">  </w:t>
            </w:r>
          </w:p>
          <w:p w14:paraId="4AA1EBB0">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480" w:firstLineChars="200"/>
              <w:jc w:val="left"/>
              <w:textAlignment w:val="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、水环境质量</w:t>
            </w:r>
          </w:p>
          <w:p w14:paraId="60949BED">
            <w:pPr>
              <w:spacing w:line="360" w:lineRule="auto"/>
              <w:ind w:firstLine="480" w:firstLineChars="200"/>
              <w:rPr>
                <w:rFonts w:ascii="Times New Roman" w:hAnsi="Times New Roman" w:eastAsia="宋体" w:cs="Times New Roman"/>
                <w:color w:val="auto"/>
                <w:sz w:val="24"/>
                <w:szCs w:val="32"/>
              </w:rPr>
            </w:pPr>
            <w:r>
              <w:rPr>
                <w:rFonts w:hint="eastAsia" w:ascii="宋体" w:hAnsi="宋体" w:cs="宋体"/>
                <w:color w:val="auto"/>
                <w:sz w:val="24"/>
                <w:szCs w:val="24"/>
              </w:rPr>
              <w:t>本项目</w:t>
            </w:r>
            <w:r>
              <w:rPr>
                <w:rFonts w:hint="eastAsia" w:ascii="宋体" w:hAnsi="宋体" w:cs="宋体"/>
                <w:color w:val="auto"/>
                <w:sz w:val="24"/>
                <w:szCs w:val="24"/>
                <w:lang w:eastAsia="zh-CN"/>
              </w:rPr>
              <w:t>车辆冲洗废水经沉淀池沉淀后回用于车辆冲洗，不外排；</w:t>
            </w:r>
            <w:r>
              <w:rPr>
                <w:rFonts w:hint="eastAsia" w:ascii="宋体" w:hAnsi="宋体" w:cs="宋体"/>
                <w:color w:val="auto"/>
                <w:sz w:val="24"/>
                <w:szCs w:val="24"/>
              </w:rPr>
              <w:t>生活污水</w:t>
            </w:r>
            <w:r>
              <w:rPr>
                <w:rFonts w:hint="eastAsia" w:ascii="宋体" w:hAnsi="宋体" w:cs="宋体"/>
                <w:color w:val="auto"/>
                <w:sz w:val="24"/>
                <w:szCs w:val="24"/>
                <w:lang w:eastAsia="zh-CN"/>
              </w:rPr>
              <w:t>经化粪池处理后</w:t>
            </w:r>
            <w:r>
              <w:rPr>
                <w:rFonts w:hint="eastAsia" w:cs="宋体"/>
                <w:color w:val="auto"/>
                <w:sz w:val="24"/>
                <w:szCs w:val="24"/>
                <w:lang w:eastAsia="zh-CN"/>
              </w:rPr>
              <w:t>定期清掏，不外排</w:t>
            </w:r>
            <w:r>
              <w:rPr>
                <w:rFonts w:hint="eastAsia" w:ascii="宋体" w:hAnsi="宋体" w:cs="宋体"/>
                <w:color w:val="auto"/>
                <w:sz w:val="24"/>
                <w:szCs w:val="24"/>
              </w:rPr>
              <w:t>。本项目涉及的地表水河流为</w:t>
            </w:r>
            <w:r>
              <w:rPr>
                <w:rFonts w:hint="eastAsia" w:ascii="宋体" w:hAnsi="宋体" w:cs="宋体"/>
                <w:color w:val="auto"/>
                <w:sz w:val="24"/>
                <w:szCs w:val="24"/>
                <w:lang w:eastAsia="zh-CN"/>
              </w:rPr>
              <w:t>王引河，</w:t>
            </w:r>
            <w:r>
              <w:rPr>
                <w:rFonts w:ascii="Times New Roman" w:hAnsi="Times New Roman" w:eastAsia="宋体" w:cs="Times New Roman"/>
                <w:color w:val="auto"/>
                <w:sz w:val="24"/>
                <w:szCs w:val="32"/>
              </w:rPr>
              <w:t>根据《建设项目环境影响报告表编制技术指南（污染影响类）》</w:t>
            </w:r>
            <w:r>
              <w:rPr>
                <w:rFonts w:hint="eastAsia" w:cs="Times New Roman"/>
                <w:color w:val="auto"/>
                <w:sz w:val="24"/>
                <w:szCs w:val="32"/>
                <w:lang w:eastAsia="zh-CN"/>
              </w:rPr>
              <w:t>，</w:t>
            </w:r>
            <w:r>
              <w:rPr>
                <w:rFonts w:ascii="Times New Roman" w:hAnsi="Times New Roman" w:eastAsia="宋体" w:cs="Times New Roman"/>
                <w:color w:val="auto"/>
                <w:sz w:val="24"/>
                <w:szCs w:val="32"/>
              </w:rPr>
              <w:t>引用与建设项目距离近的有效数据</w:t>
            </w:r>
            <w:r>
              <w:rPr>
                <w:rFonts w:hint="eastAsia" w:cs="Times New Roman"/>
                <w:color w:val="auto"/>
                <w:sz w:val="24"/>
                <w:szCs w:val="32"/>
                <w:lang w:eastAsia="zh-CN"/>
              </w:rPr>
              <w:t>，</w:t>
            </w:r>
            <w:r>
              <w:rPr>
                <w:rFonts w:ascii="Times New Roman" w:hAnsi="Times New Roman" w:eastAsia="宋体" w:cs="Times New Roman"/>
                <w:color w:val="auto"/>
                <w:sz w:val="24"/>
                <w:szCs w:val="32"/>
              </w:rPr>
              <w:t>包括近3年的规划环境影响评价的监测数据</w:t>
            </w:r>
            <w:r>
              <w:rPr>
                <w:rFonts w:hint="eastAsia" w:cs="Times New Roman"/>
                <w:color w:val="auto"/>
                <w:sz w:val="24"/>
                <w:szCs w:val="32"/>
                <w:lang w:eastAsia="zh-CN"/>
              </w:rPr>
              <w:t>，</w:t>
            </w:r>
            <w:r>
              <w:rPr>
                <w:rFonts w:ascii="Times New Roman" w:hAnsi="Times New Roman" w:eastAsia="宋体" w:cs="Times New Roman"/>
                <w:color w:val="auto"/>
                <w:sz w:val="24"/>
                <w:szCs w:val="32"/>
              </w:rPr>
              <w:t>所在流域控制单元内国家、地方控制断面监测数据</w:t>
            </w:r>
            <w:r>
              <w:rPr>
                <w:rFonts w:hint="eastAsia" w:cs="Times New Roman"/>
                <w:color w:val="auto"/>
                <w:sz w:val="24"/>
                <w:szCs w:val="32"/>
                <w:lang w:eastAsia="zh-CN"/>
              </w:rPr>
              <w:t>，</w:t>
            </w:r>
            <w:r>
              <w:rPr>
                <w:rFonts w:ascii="Times New Roman" w:hAnsi="Times New Roman" w:eastAsia="宋体" w:cs="Times New Roman"/>
                <w:color w:val="auto"/>
                <w:sz w:val="24"/>
                <w:szCs w:val="32"/>
              </w:rPr>
              <w:t>生态环境主管部门发布的水环境质量数据或地表水达标情况的结论。</w:t>
            </w:r>
          </w:p>
          <w:p w14:paraId="747CB6F4">
            <w:pPr>
              <w:pStyle w:val="34"/>
              <w:adjustRightInd/>
              <w:snapToGrid/>
              <w:spacing w:before="0" w:beforeAutospacing="0" w:after="0" w:afterAutospacing="0" w:line="360" w:lineRule="auto"/>
              <w:ind w:firstLine="480" w:firstLineChars="200"/>
              <w:rPr>
                <w:rFonts w:ascii="Times New Roman" w:hAnsi="Times New Roman" w:eastAsia="宋体" w:cs="Times New Roman"/>
                <w:color w:val="auto"/>
                <w:lang w:eastAsia="zh-CN"/>
              </w:rPr>
            </w:pPr>
            <w:r>
              <w:rPr>
                <w:rFonts w:ascii="Times New Roman" w:hAnsi="Times New Roman" w:eastAsia="宋体" w:cs="Times New Roman"/>
                <w:color w:val="auto"/>
                <w:lang w:eastAsia="zh-CN"/>
              </w:rPr>
              <w:t>本项目</w:t>
            </w:r>
            <w:r>
              <w:rPr>
                <w:rFonts w:hint="eastAsia" w:ascii="Times New Roman" w:hAnsi="Times New Roman" w:eastAsia="宋体" w:cs="Times New Roman"/>
                <w:color w:val="auto"/>
                <w:lang w:eastAsia="zh-CN"/>
              </w:rPr>
              <w:t>地表</w:t>
            </w:r>
            <w:r>
              <w:rPr>
                <w:rFonts w:ascii="Times New Roman" w:hAnsi="Times New Roman" w:eastAsia="宋体" w:cs="Times New Roman"/>
                <w:color w:val="auto"/>
                <w:lang w:eastAsia="zh-CN"/>
              </w:rPr>
              <w:t>水体为王引河，王引</w:t>
            </w:r>
            <w:r>
              <w:rPr>
                <w:rFonts w:hint="eastAsia" w:ascii="Times New Roman" w:hAnsi="Times New Roman" w:eastAsia="宋体" w:cs="Times New Roman"/>
                <w:color w:val="auto"/>
                <w:lang w:eastAsia="zh-CN"/>
              </w:rPr>
              <w:t>河</w:t>
            </w:r>
            <w:r>
              <w:rPr>
                <w:rFonts w:ascii="Times New Roman" w:hAnsi="Times New Roman" w:eastAsia="宋体" w:cs="Times New Roman"/>
                <w:color w:val="auto"/>
                <w:lang w:eastAsia="zh-CN"/>
              </w:rPr>
              <w:t>地表水环境质量数据引用《安徽濉溪经济开发区总体发展规划（2023~2035）环境影响报告书 》中的检测数据，</w:t>
            </w:r>
            <w:r>
              <w:rPr>
                <w:rFonts w:ascii="Times New Roman" w:hAnsi="Times New Roman" w:cs="Times New Roman"/>
                <w:color w:val="auto"/>
                <w:szCs w:val="24"/>
                <w:lang w:eastAsia="zh-CN"/>
              </w:rPr>
              <w:t>W1~W9监测时间为</w:t>
            </w:r>
            <w:r>
              <w:rPr>
                <w:rFonts w:ascii="Times New Roman" w:hAnsi="Times New Roman" w:cs="Times New Roman"/>
                <w:color w:val="auto"/>
                <w:szCs w:val="24"/>
              </w:rPr>
              <w:t>202</w:t>
            </w:r>
            <w:r>
              <w:rPr>
                <w:rFonts w:ascii="Times New Roman" w:hAnsi="Times New Roman" w:cs="Times New Roman"/>
                <w:color w:val="auto"/>
                <w:szCs w:val="24"/>
                <w:lang w:eastAsia="zh-CN"/>
              </w:rPr>
              <w:t>3</w:t>
            </w:r>
            <w:r>
              <w:rPr>
                <w:rFonts w:ascii="Times New Roman" w:hAnsi="Times New Roman" w:cs="Times New Roman"/>
                <w:color w:val="auto"/>
                <w:szCs w:val="24"/>
              </w:rPr>
              <w:t>年</w:t>
            </w:r>
            <w:r>
              <w:rPr>
                <w:rFonts w:ascii="Times New Roman" w:hAnsi="Times New Roman" w:cs="Times New Roman"/>
                <w:color w:val="auto"/>
                <w:szCs w:val="24"/>
                <w:lang w:eastAsia="zh-CN"/>
              </w:rPr>
              <w:t>7</w:t>
            </w:r>
            <w:r>
              <w:rPr>
                <w:rFonts w:ascii="Times New Roman" w:hAnsi="Times New Roman" w:cs="Times New Roman"/>
                <w:color w:val="auto"/>
                <w:szCs w:val="24"/>
              </w:rPr>
              <w:t>月1</w:t>
            </w:r>
            <w:r>
              <w:rPr>
                <w:rFonts w:ascii="Times New Roman" w:hAnsi="Times New Roman" w:cs="Times New Roman"/>
                <w:color w:val="auto"/>
                <w:szCs w:val="24"/>
                <w:lang w:eastAsia="zh-CN"/>
              </w:rPr>
              <w:t>0</w:t>
            </w:r>
            <w:r>
              <w:rPr>
                <w:rFonts w:ascii="Times New Roman" w:hAnsi="Times New Roman" w:cs="Times New Roman"/>
                <w:color w:val="auto"/>
                <w:szCs w:val="24"/>
              </w:rPr>
              <w:t>日~</w:t>
            </w:r>
            <w:r>
              <w:rPr>
                <w:rFonts w:ascii="Times New Roman" w:hAnsi="Times New Roman" w:cs="Times New Roman"/>
                <w:color w:val="auto"/>
                <w:szCs w:val="24"/>
                <w:lang w:eastAsia="zh-CN"/>
              </w:rPr>
              <w:t>7</w:t>
            </w:r>
            <w:r>
              <w:rPr>
                <w:rFonts w:ascii="Times New Roman" w:hAnsi="Times New Roman" w:cs="Times New Roman"/>
                <w:color w:val="auto"/>
                <w:szCs w:val="24"/>
              </w:rPr>
              <w:t>月</w:t>
            </w:r>
            <w:r>
              <w:rPr>
                <w:rFonts w:ascii="Times New Roman" w:hAnsi="Times New Roman" w:cs="Times New Roman"/>
                <w:color w:val="auto"/>
                <w:szCs w:val="24"/>
                <w:lang w:eastAsia="zh-CN"/>
              </w:rPr>
              <w:t>12</w:t>
            </w:r>
            <w:r>
              <w:rPr>
                <w:rFonts w:ascii="Times New Roman" w:hAnsi="Times New Roman" w:cs="Times New Roman"/>
                <w:color w:val="auto"/>
                <w:szCs w:val="24"/>
              </w:rPr>
              <w:t>日连续3天，每天采样一次</w:t>
            </w:r>
            <w:r>
              <w:rPr>
                <w:rFonts w:ascii="Times New Roman" w:hAnsi="Times New Roman" w:eastAsia="宋体" w:cs="Times New Roman"/>
                <w:color w:val="auto"/>
                <w:szCs w:val="24"/>
                <w:lang w:eastAsia="zh-CN"/>
              </w:rPr>
              <w:t>。</w:t>
            </w:r>
            <w:r>
              <w:rPr>
                <w:rFonts w:ascii="Times New Roman" w:hAnsi="Times New Roman" w:eastAsia="宋体" w:cs="Times New Roman"/>
                <w:color w:val="auto"/>
                <w:lang w:eastAsia="zh-CN"/>
              </w:rPr>
              <w:t>满足《建设项目环境影响报告表编制技术指南（污染影响类）》：引用与建设项目距离近的有效数据，包括近3年的规划环境影响评价的检测数据，所在流域控制单元内国家、地方控制断面</w:t>
            </w:r>
            <w:r>
              <w:rPr>
                <w:rFonts w:ascii="Times New Roman" w:hAnsi="Times New Roman" w:cs="Times New Roman"/>
                <w:color w:val="auto"/>
                <w:lang w:eastAsia="zh-CN"/>
              </w:rPr>
              <w:t>监测数据</w:t>
            </w:r>
            <w:r>
              <w:rPr>
                <w:rFonts w:ascii="Times New Roman" w:hAnsi="Times New Roman" w:eastAsia="宋体" w:cs="Times New Roman"/>
                <w:color w:val="auto"/>
                <w:lang w:eastAsia="zh-CN"/>
              </w:rPr>
              <w:t>，生态环境主管部门发布的水环境质量数据或地表水达标情况的结论。</w:t>
            </w:r>
          </w:p>
          <w:p w14:paraId="6F83AC98">
            <w:pPr>
              <w:kinsoku/>
              <w:autoSpaceDE/>
              <w:autoSpaceDN/>
              <w:adjustRightInd/>
              <w:snapToGrid/>
              <w:spacing w:line="360" w:lineRule="auto"/>
              <w:ind w:firstLine="480" w:firstLineChars="200"/>
              <w:textAlignment w:val="auto"/>
              <w:rPr>
                <w:rFonts w:ascii="Times New Roman" w:hAnsi="Times New Roman" w:eastAsia="宋体" w:cs="Times New Roman"/>
                <w:color w:val="auto"/>
                <w:sz w:val="24"/>
                <w:lang w:eastAsia="zh-CN"/>
              </w:rPr>
            </w:pPr>
            <w:r>
              <w:rPr>
                <w:rFonts w:ascii="Times New Roman" w:hAnsi="Times New Roman" w:eastAsia="宋体" w:cs="Times New Roman"/>
                <w:color w:val="auto"/>
                <w:sz w:val="24"/>
                <w:lang w:eastAsia="zh-CN"/>
              </w:rPr>
              <w:t>（1）检测因子</w:t>
            </w:r>
          </w:p>
          <w:p w14:paraId="29812A19">
            <w:pPr>
              <w:kinsoku/>
              <w:autoSpaceDE/>
              <w:autoSpaceDN/>
              <w:adjustRightInd/>
              <w:snapToGrid/>
              <w:spacing w:line="360" w:lineRule="auto"/>
              <w:ind w:firstLine="480" w:firstLineChars="200"/>
              <w:textAlignment w:val="auto"/>
              <w:rPr>
                <w:rFonts w:ascii="Times New Roman" w:hAnsi="Times New Roman" w:eastAsia="宋体" w:cs="Times New Roman"/>
                <w:color w:val="auto"/>
                <w:sz w:val="24"/>
                <w:lang w:eastAsia="zh-CN"/>
              </w:rPr>
            </w:pPr>
            <w:r>
              <w:rPr>
                <w:rFonts w:ascii="Times New Roman" w:hAnsi="Times New Roman" w:eastAsia="宋体" w:cs="Times New Roman"/>
                <w:color w:val="auto"/>
                <w:sz w:val="24"/>
                <w:lang w:eastAsia="zh-CN"/>
              </w:rPr>
              <w:t>pH、COD、BOD</w:t>
            </w:r>
            <w:r>
              <w:rPr>
                <w:rFonts w:ascii="Times New Roman" w:hAnsi="Times New Roman" w:eastAsia="宋体" w:cs="Times New Roman"/>
                <w:color w:val="auto"/>
                <w:sz w:val="24"/>
                <w:vertAlign w:val="subscript"/>
                <w:lang w:eastAsia="zh-CN"/>
              </w:rPr>
              <w:t>5</w:t>
            </w:r>
            <w:r>
              <w:rPr>
                <w:rFonts w:ascii="Times New Roman" w:hAnsi="Times New Roman" w:eastAsia="宋体" w:cs="Times New Roman"/>
                <w:color w:val="auto"/>
                <w:sz w:val="24"/>
                <w:lang w:eastAsia="zh-CN"/>
              </w:rPr>
              <w:t>、NH</w:t>
            </w:r>
            <w:r>
              <w:rPr>
                <w:rFonts w:ascii="Times New Roman" w:hAnsi="Times New Roman" w:eastAsia="宋体" w:cs="Times New Roman"/>
                <w:color w:val="auto"/>
                <w:sz w:val="24"/>
                <w:vertAlign w:val="subscript"/>
                <w:lang w:eastAsia="zh-CN"/>
              </w:rPr>
              <w:t>3</w:t>
            </w:r>
            <w:r>
              <w:rPr>
                <w:rFonts w:ascii="Times New Roman" w:hAnsi="Times New Roman" w:eastAsia="宋体" w:cs="Times New Roman"/>
                <w:color w:val="auto"/>
                <w:sz w:val="24"/>
                <w:lang w:eastAsia="zh-CN"/>
              </w:rPr>
              <w:t>-N、总磷、石油类。</w:t>
            </w:r>
          </w:p>
          <w:p w14:paraId="5B38C3B1">
            <w:pPr>
              <w:kinsoku/>
              <w:autoSpaceDE/>
              <w:autoSpaceDN/>
              <w:adjustRightInd/>
              <w:snapToGrid/>
              <w:spacing w:line="360" w:lineRule="auto"/>
              <w:ind w:firstLine="480" w:firstLineChars="200"/>
              <w:textAlignment w:val="auto"/>
              <w:rPr>
                <w:rFonts w:ascii="Times New Roman" w:hAnsi="Times New Roman" w:eastAsia="宋体" w:cs="Times New Roman"/>
                <w:color w:val="auto"/>
                <w:sz w:val="24"/>
                <w:lang w:eastAsia="zh-CN"/>
              </w:rPr>
            </w:pPr>
            <w:r>
              <w:rPr>
                <w:rFonts w:ascii="Times New Roman" w:hAnsi="Times New Roman" w:eastAsia="宋体" w:cs="Times New Roman"/>
                <w:color w:val="auto"/>
                <w:sz w:val="24"/>
                <w:lang w:eastAsia="zh-CN"/>
              </w:rPr>
              <w:t>（2）监测点位</w:t>
            </w:r>
          </w:p>
          <w:p w14:paraId="2BB84980">
            <w:pPr>
              <w:kinsoku/>
              <w:autoSpaceDE/>
              <w:autoSpaceDN/>
              <w:adjustRightInd/>
              <w:snapToGrid/>
              <w:spacing w:line="360" w:lineRule="auto"/>
              <w:ind w:firstLine="480" w:firstLineChars="200"/>
              <w:textAlignment w:val="auto"/>
              <w:rPr>
                <w:rFonts w:ascii="Times New Roman" w:hAnsi="Times New Roman" w:eastAsia="宋体" w:cs="Times New Roman"/>
                <w:color w:val="auto"/>
                <w:sz w:val="24"/>
                <w:lang w:eastAsia="zh-CN"/>
              </w:rPr>
            </w:pPr>
            <w:r>
              <w:rPr>
                <w:rFonts w:ascii="Times New Roman" w:hAnsi="Times New Roman" w:eastAsia="宋体" w:cs="Times New Roman"/>
                <w:color w:val="auto"/>
                <w:sz w:val="24"/>
                <w:lang w:eastAsia="zh-CN"/>
              </w:rPr>
              <w:t>地表水监测断面一览表见下表。</w:t>
            </w:r>
          </w:p>
          <w:p w14:paraId="57E87210">
            <w:pPr>
              <w:pStyle w:val="144"/>
              <w:widowControl w:val="0"/>
              <w:kinsoku/>
              <w:autoSpaceDE/>
              <w:autoSpaceDN/>
              <w:adjustRightInd/>
              <w:snapToGrid/>
              <w:textAlignment w:val="auto"/>
              <w:rPr>
                <w:rFonts w:hint="default" w:ascii="Times New Roman" w:hAnsi="Times New Roman" w:cs="Times New Roman"/>
                <w:color w:val="auto"/>
                <w:sz w:val="24"/>
                <w:szCs w:val="32"/>
              </w:rPr>
            </w:pPr>
            <w:r>
              <w:rPr>
                <w:rFonts w:hint="default" w:ascii="Times New Roman" w:hAnsi="Times New Roman" w:cs="Times New Roman"/>
                <w:color w:val="auto"/>
                <w:sz w:val="24"/>
                <w:szCs w:val="32"/>
              </w:rPr>
              <w:t>表3</w:t>
            </w:r>
            <w:r>
              <w:rPr>
                <w:rFonts w:hint="default" w:ascii="Times New Roman" w:hAnsi="Times New Roman" w:eastAsia="宋体" w:cs="Times New Roman"/>
                <w:color w:val="auto"/>
                <w:sz w:val="24"/>
                <w:szCs w:val="32"/>
                <w:lang w:eastAsia="zh-CN"/>
              </w:rPr>
              <w:t>-4</w:t>
            </w:r>
            <w:r>
              <w:rPr>
                <w:rFonts w:hint="default" w:ascii="Times New Roman" w:hAnsi="Times New Roman" w:cs="Times New Roman"/>
                <w:color w:val="auto"/>
                <w:sz w:val="24"/>
                <w:szCs w:val="32"/>
              </w:rPr>
              <w:t xml:space="preserve">  地表水现状监测断面设置一览表</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144"/>
              <w:gridCol w:w="4296"/>
              <w:gridCol w:w="1616"/>
            </w:tblGrid>
            <w:tr w14:paraId="3E2D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pct"/>
                  <w:vAlign w:val="center"/>
                </w:tcPr>
                <w:p w14:paraId="0B6CC35B">
                  <w:pPr>
                    <w:pStyle w:val="145"/>
                    <w:rPr>
                      <w:rFonts w:ascii="Times New Roman" w:hAnsi="Times New Roman" w:cs="Times New Roman"/>
                      <w:color w:val="auto"/>
                    </w:rPr>
                  </w:pPr>
                  <w:r>
                    <w:rPr>
                      <w:rFonts w:ascii="Times New Roman" w:hAnsi="Times New Roman" w:cs="Times New Roman"/>
                      <w:color w:val="auto"/>
                    </w:rPr>
                    <w:t>河流</w:t>
                  </w:r>
                </w:p>
              </w:tc>
              <w:tc>
                <w:tcPr>
                  <w:tcW w:w="718" w:type="pct"/>
                  <w:vAlign w:val="center"/>
                </w:tcPr>
                <w:p w14:paraId="668F30FB">
                  <w:pPr>
                    <w:pStyle w:val="145"/>
                    <w:rPr>
                      <w:rFonts w:ascii="Times New Roman" w:hAnsi="Times New Roman" w:cs="Times New Roman"/>
                      <w:color w:val="auto"/>
                    </w:rPr>
                  </w:pPr>
                  <w:r>
                    <w:rPr>
                      <w:rFonts w:ascii="Times New Roman" w:hAnsi="Times New Roman" w:cs="Times New Roman"/>
                      <w:color w:val="auto"/>
                    </w:rPr>
                    <w:t>断面编号</w:t>
                  </w:r>
                </w:p>
              </w:tc>
              <w:tc>
                <w:tcPr>
                  <w:tcW w:w="2697" w:type="pct"/>
                  <w:vAlign w:val="center"/>
                </w:tcPr>
                <w:p w14:paraId="1E56EC7F">
                  <w:pPr>
                    <w:pStyle w:val="145"/>
                    <w:rPr>
                      <w:rFonts w:ascii="Times New Roman" w:hAnsi="Times New Roman" w:cs="Times New Roman"/>
                      <w:color w:val="auto"/>
                    </w:rPr>
                  </w:pPr>
                  <w:r>
                    <w:rPr>
                      <w:rFonts w:ascii="Times New Roman" w:hAnsi="Times New Roman" w:cs="Times New Roman"/>
                      <w:color w:val="auto"/>
                    </w:rPr>
                    <w:t>断面位置</w:t>
                  </w:r>
                </w:p>
              </w:tc>
              <w:tc>
                <w:tcPr>
                  <w:tcW w:w="1014" w:type="pct"/>
                  <w:vAlign w:val="center"/>
                </w:tcPr>
                <w:p w14:paraId="07BB796A">
                  <w:pPr>
                    <w:pStyle w:val="145"/>
                    <w:rPr>
                      <w:rFonts w:ascii="Times New Roman" w:hAnsi="Times New Roman" w:cs="Times New Roman"/>
                      <w:color w:val="auto"/>
                    </w:rPr>
                  </w:pPr>
                  <w:r>
                    <w:rPr>
                      <w:rFonts w:ascii="Times New Roman" w:hAnsi="Times New Roman" w:cs="Times New Roman"/>
                      <w:color w:val="auto"/>
                    </w:rPr>
                    <w:t>监测项目</w:t>
                  </w:r>
                </w:p>
              </w:tc>
            </w:tr>
            <w:tr w14:paraId="08D4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pct"/>
                  <w:vMerge w:val="restart"/>
                  <w:vAlign w:val="center"/>
                </w:tcPr>
                <w:p w14:paraId="75114D84">
                  <w:pPr>
                    <w:pStyle w:val="145"/>
                    <w:rPr>
                      <w:rFonts w:ascii="Times New Roman" w:hAnsi="Times New Roman" w:eastAsia="宋体" w:cs="Times New Roman"/>
                      <w:color w:val="auto"/>
                      <w:lang w:eastAsia="zh-CN"/>
                    </w:rPr>
                  </w:pPr>
                  <w:r>
                    <w:rPr>
                      <w:rFonts w:ascii="Times New Roman" w:hAnsi="Times New Roman" w:eastAsia="宋体" w:cs="Times New Roman"/>
                      <w:color w:val="auto"/>
                      <w:lang w:eastAsia="zh-CN"/>
                    </w:rPr>
                    <w:t>王引河</w:t>
                  </w:r>
                </w:p>
              </w:tc>
              <w:tc>
                <w:tcPr>
                  <w:tcW w:w="718" w:type="pct"/>
                  <w:vAlign w:val="center"/>
                </w:tcPr>
                <w:p w14:paraId="33D7BE89">
                  <w:pPr>
                    <w:widowControl w:val="0"/>
                    <w:kinsoku/>
                    <w:autoSpaceDE/>
                    <w:autoSpaceDN/>
                    <w:jc w:val="center"/>
                    <w:textAlignment w:val="auto"/>
                    <w:rPr>
                      <w:rFonts w:ascii="Times New Roman" w:hAnsi="Times New Roman" w:cs="Times New Roman"/>
                      <w:color w:val="auto"/>
                      <w:lang w:eastAsia="zh-CN"/>
                    </w:rPr>
                  </w:pPr>
                  <w:r>
                    <w:rPr>
                      <w:rFonts w:ascii="Times New Roman" w:hAnsi="Times New Roman" w:eastAsia="宋体" w:cs="Times New Roman"/>
                      <w:color w:val="auto"/>
                      <w:lang w:eastAsia="zh-CN"/>
                    </w:rPr>
                    <w:t>W1</w:t>
                  </w:r>
                </w:p>
              </w:tc>
              <w:tc>
                <w:tcPr>
                  <w:tcW w:w="2697" w:type="pct"/>
                  <w:vAlign w:val="center"/>
                </w:tcPr>
                <w:p w14:paraId="76B551BA">
                  <w:pPr>
                    <w:widowControl w:val="0"/>
                    <w:kinsoku/>
                    <w:autoSpaceDE/>
                    <w:autoSpaceDN/>
                    <w:jc w:val="center"/>
                    <w:textAlignment w:val="auto"/>
                    <w:rPr>
                      <w:rFonts w:ascii="Times New Roman" w:hAnsi="Times New Roman" w:cs="Times New Roman"/>
                      <w:color w:val="auto"/>
                      <w:lang w:eastAsia="zh-CN"/>
                    </w:rPr>
                  </w:pPr>
                  <w:r>
                    <w:rPr>
                      <w:rFonts w:ascii="Times New Roman" w:hAnsi="Times New Roman" w:eastAsia="宋体" w:cs="Times New Roman"/>
                      <w:color w:val="auto"/>
                      <w:lang w:eastAsia="zh-CN"/>
                    </w:rPr>
                    <w:t>王引河入开发区前500m处断面</w:t>
                  </w:r>
                </w:p>
              </w:tc>
              <w:tc>
                <w:tcPr>
                  <w:tcW w:w="1014" w:type="pct"/>
                  <w:vMerge w:val="restart"/>
                  <w:vAlign w:val="center"/>
                </w:tcPr>
                <w:p w14:paraId="250D431C">
                  <w:pPr>
                    <w:pStyle w:val="145"/>
                    <w:rPr>
                      <w:rFonts w:ascii="Times New Roman" w:hAnsi="Times New Roman" w:cs="Times New Roman"/>
                      <w:color w:val="auto"/>
                    </w:rPr>
                  </w:pPr>
                  <w:r>
                    <w:rPr>
                      <w:rFonts w:ascii="Times New Roman" w:hAnsi="Times New Roman" w:cs="Times New Roman"/>
                      <w:color w:val="auto"/>
                      <w:lang w:eastAsia="zh-CN"/>
                    </w:rPr>
                    <w:t>pH、COD、BOD</w:t>
                  </w:r>
                  <w:r>
                    <w:rPr>
                      <w:rFonts w:ascii="Times New Roman" w:hAnsi="Times New Roman" w:cs="Times New Roman"/>
                      <w:color w:val="auto"/>
                      <w:vertAlign w:val="subscript"/>
                      <w:lang w:eastAsia="zh-CN"/>
                    </w:rPr>
                    <w:t>5</w:t>
                  </w:r>
                  <w:r>
                    <w:rPr>
                      <w:rFonts w:ascii="Times New Roman" w:hAnsi="Times New Roman" w:cs="Times New Roman"/>
                      <w:color w:val="auto"/>
                      <w:lang w:eastAsia="zh-CN"/>
                    </w:rPr>
                    <w:t>、NH</w:t>
                  </w:r>
                  <w:r>
                    <w:rPr>
                      <w:rFonts w:ascii="Times New Roman" w:hAnsi="Times New Roman" w:cs="Times New Roman"/>
                      <w:color w:val="auto"/>
                      <w:vertAlign w:val="subscript"/>
                      <w:lang w:eastAsia="zh-CN"/>
                    </w:rPr>
                    <w:t>3</w:t>
                  </w:r>
                  <w:r>
                    <w:rPr>
                      <w:rFonts w:ascii="Times New Roman" w:hAnsi="Times New Roman" w:cs="Times New Roman"/>
                      <w:color w:val="auto"/>
                      <w:lang w:eastAsia="zh-CN"/>
                    </w:rPr>
                    <w:t>-N、总磷、石油类</w:t>
                  </w:r>
                </w:p>
              </w:tc>
            </w:tr>
            <w:tr w14:paraId="4EB6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pct"/>
                  <w:vMerge w:val="continue"/>
                  <w:vAlign w:val="center"/>
                </w:tcPr>
                <w:p w14:paraId="5338662E">
                  <w:pPr>
                    <w:pStyle w:val="145"/>
                    <w:rPr>
                      <w:rFonts w:ascii="Times New Roman" w:hAnsi="Times New Roman" w:cs="Times New Roman"/>
                      <w:color w:val="auto"/>
                    </w:rPr>
                  </w:pPr>
                </w:p>
              </w:tc>
              <w:tc>
                <w:tcPr>
                  <w:tcW w:w="718" w:type="pct"/>
                  <w:vAlign w:val="center"/>
                </w:tcPr>
                <w:p w14:paraId="35B4D518">
                  <w:pPr>
                    <w:widowControl w:val="0"/>
                    <w:kinsoku/>
                    <w:autoSpaceDE/>
                    <w:autoSpaceDN/>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W2</w:t>
                  </w:r>
                </w:p>
              </w:tc>
              <w:tc>
                <w:tcPr>
                  <w:tcW w:w="2697" w:type="pct"/>
                  <w:vAlign w:val="center"/>
                </w:tcPr>
                <w:p w14:paraId="755FC026">
                  <w:pPr>
                    <w:widowControl w:val="0"/>
                    <w:kinsoku/>
                    <w:autoSpaceDE/>
                    <w:autoSpaceDN/>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rPr>
                    <w:t>王引河与巴河交汇处上游500 米（王引河上）</w:t>
                  </w:r>
                </w:p>
              </w:tc>
              <w:tc>
                <w:tcPr>
                  <w:tcW w:w="1014" w:type="pct"/>
                  <w:vMerge w:val="continue"/>
                  <w:vAlign w:val="center"/>
                </w:tcPr>
                <w:p w14:paraId="755B681D">
                  <w:pPr>
                    <w:pStyle w:val="145"/>
                    <w:rPr>
                      <w:rFonts w:ascii="Times New Roman" w:hAnsi="Times New Roman" w:cs="Times New Roman"/>
                      <w:color w:val="auto"/>
                    </w:rPr>
                  </w:pPr>
                </w:p>
              </w:tc>
            </w:tr>
            <w:tr w14:paraId="19C0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pct"/>
                  <w:vMerge w:val="continue"/>
                  <w:vAlign w:val="center"/>
                </w:tcPr>
                <w:p w14:paraId="3AFED0D3">
                  <w:pPr>
                    <w:pStyle w:val="145"/>
                    <w:rPr>
                      <w:rFonts w:ascii="Times New Roman" w:hAnsi="Times New Roman" w:cs="Times New Roman"/>
                      <w:color w:val="auto"/>
                    </w:rPr>
                  </w:pPr>
                </w:p>
              </w:tc>
              <w:tc>
                <w:tcPr>
                  <w:tcW w:w="718" w:type="pct"/>
                  <w:vAlign w:val="center"/>
                </w:tcPr>
                <w:p w14:paraId="5C9DF4A2">
                  <w:pPr>
                    <w:widowControl w:val="0"/>
                    <w:kinsoku/>
                    <w:autoSpaceDE/>
                    <w:autoSpaceDN/>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W3</w:t>
                  </w:r>
                </w:p>
              </w:tc>
              <w:tc>
                <w:tcPr>
                  <w:tcW w:w="2697" w:type="pct"/>
                  <w:vAlign w:val="center"/>
                </w:tcPr>
                <w:p w14:paraId="32BEDDB8">
                  <w:pPr>
                    <w:widowControl w:val="0"/>
                    <w:kinsoku/>
                    <w:autoSpaceDE/>
                    <w:autoSpaceDN/>
                    <w:jc w:val="center"/>
                    <w:textAlignment w:val="auto"/>
                    <w:rPr>
                      <w:rFonts w:ascii="Times New Roman" w:hAnsi="Times New Roman" w:cs="Times New Roman"/>
                      <w:color w:val="auto"/>
                    </w:rPr>
                  </w:pPr>
                  <w:r>
                    <w:rPr>
                      <w:rFonts w:ascii="Times New Roman" w:hAnsi="Times New Roman" w:eastAsia="宋体" w:cs="Times New Roman"/>
                      <w:color w:val="auto"/>
                      <w:lang w:eastAsia="zh-CN"/>
                    </w:rPr>
                    <w:t>王引河与巴河交汇处下游500米断面</w:t>
                  </w:r>
                </w:p>
              </w:tc>
              <w:tc>
                <w:tcPr>
                  <w:tcW w:w="1014" w:type="pct"/>
                  <w:vMerge w:val="continue"/>
                  <w:vAlign w:val="center"/>
                </w:tcPr>
                <w:p w14:paraId="5F4CA0C7">
                  <w:pPr>
                    <w:pStyle w:val="145"/>
                    <w:rPr>
                      <w:rFonts w:ascii="Times New Roman" w:hAnsi="Times New Roman" w:cs="Times New Roman"/>
                      <w:color w:val="auto"/>
                    </w:rPr>
                  </w:pPr>
                </w:p>
              </w:tc>
            </w:tr>
            <w:tr w14:paraId="023C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pct"/>
                  <w:vMerge w:val="continue"/>
                  <w:vAlign w:val="center"/>
                </w:tcPr>
                <w:p w14:paraId="1504FEC9">
                  <w:pPr>
                    <w:pStyle w:val="145"/>
                    <w:rPr>
                      <w:rFonts w:ascii="Times New Roman" w:hAnsi="Times New Roman" w:cs="Times New Roman"/>
                      <w:color w:val="auto"/>
                    </w:rPr>
                  </w:pPr>
                </w:p>
              </w:tc>
              <w:tc>
                <w:tcPr>
                  <w:tcW w:w="718" w:type="pct"/>
                  <w:vAlign w:val="center"/>
                </w:tcPr>
                <w:p w14:paraId="7BAF1771">
                  <w:pPr>
                    <w:widowControl w:val="0"/>
                    <w:kinsoku/>
                    <w:autoSpaceDE/>
                    <w:autoSpaceDN/>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W4</w:t>
                  </w:r>
                </w:p>
              </w:tc>
              <w:tc>
                <w:tcPr>
                  <w:tcW w:w="2697" w:type="pct"/>
                  <w:vAlign w:val="center"/>
                </w:tcPr>
                <w:p w14:paraId="0723539F">
                  <w:pPr>
                    <w:widowControl w:val="0"/>
                    <w:kinsoku/>
                    <w:autoSpaceDE/>
                    <w:autoSpaceDN/>
                    <w:jc w:val="center"/>
                    <w:textAlignment w:val="auto"/>
                    <w:rPr>
                      <w:rFonts w:ascii="Times New Roman" w:hAnsi="Times New Roman" w:cs="Times New Roman"/>
                      <w:color w:val="auto"/>
                    </w:rPr>
                  </w:pPr>
                  <w:r>
                    <w:rPr>
                      <w:rFonts w:ascii="Times New Roman" w:hAnsi="Times New Roman" w:eastAsia="宋体" w:cs="Times New Roman"/>
                      <w:color w:val="auto"/>
                      <w:lang w:eastAsia="zh-CN"/>
                    </w:rPr>
                    <w:t>王引河与巴河交汇处下游2000米断面</w:t>
                  </w:r>
                </w:p>
              </w:tc>
              <w:tc>
                <w:tcPr>
                  <w:tcW w:w="1014" w:type="pct"/>
                  <w:vMerge w:val="continue"/>
                  <w:vAlign w:val="center"/>
                </w:tcPr>
                <w:p w14:paraId="714BC11E">
                  <w:pPr>
                    <w:pStyle w:val="145"/>
                    <w:rPr>
                      <w:rFonts w:ascii="Times New Roman" w:hAnsi="Times New Roman" w:cs="Times New Roman"/>
                      <w:color w:val="auto"/>
                    </w:rPr>
                  </w:pPr>
                </w:p>
              </w:tc>
            </w:tr>
          </w:tbl>
          <w:p w14:paraId="67B6A05D">
            <w:pPr>
              <w:kinsoku/>
              <w:autoSpaceDE/>
              <w:autoSpaceDN/>
              <w:adjustRightInd/>
              <w:snapToGrid/>
              <w:spacing w:line="360" w:lineRule="auto"/>
              <w:ind w:firstLine="480" w:firstLineChars="200"/>
              <w:textAlignment w:val="auto"/>
              <w:rPr>
                <w:rFonts w:ascii="Times New Roman" w:hAnsi="Times New Roman" w:eastAsia="宋体" w:cs="Times New Roman"/>
                <w:color w:val="auto"/>
                <w:sz w:val="24"/>
                <w:lang w:eastAsia="zh-CN"/>
              </w:rPr>
            </w:pPr>
            <w:r>
              <w:rPr>
                <w:rFonts w:ascii="Times New Roman" w:hAnsi="Times New Roman" w:eastAsia="宋体" w:cs="Times New Roman"/>
                <w:color w:val="auto"/>
                <w:sz w:val="24"/>
                <w:lang w:eastAsia="zh-CN"/>
              </w:rPr>
              <w:t>（3）监测结果</w:t>
            </w:r>
          </w:p>
          <w:p w14:paraId="6432FDA1">
            <w:pPr>
              <w:kinsoku/>
              <w:autoSpaceDE/>
              <w:autoSpaceDN/>
              <w:adjustRightInd/>
              <w:snapToGrid/>
              <w:spacing w:line="360" w:lineRule="auto"/>
              <w:ind w:firstLine="480" w:firstLineChars="200"/>
              <w:textAlignment w:val="auto"/>
              <w:rPr>
                <w:rFonts w:ascii="Times New Roman" w:hAnsi="Times New Roman" w:eastAsia="宋体" w:cs="Times New Roman"/>
                <w:color w:val="auto"/>
                <w:sz w:val="24"/>
                <w:lang w:eastAsia="zh-CN"/>
              </w:rPr>
            </w:pPr>
            <w:r>
              <w:rPr>
                <w:rFonts w:ascii="Times New Roman" w:hAnsi="Times New Roman" w:eastAsia="宋体" w:cs="Times New Roman"/>
                <w:color w:val="auto"/>
                <w:sz w:val="24"/>
                <w:lang w:eastAsia="zh-CN"/>
              </w:rPr>
              <w:t>监测结果见下表。</w:t>
            </w:r>
          </w:p>
          <w:p w14:paraId="13390546">
            <w:pPr>
              <w:pStyle w:val="144"/>
              <w:widowControl w:val="0"/>
              <w:kinsoku/>
              <w:autoSpaceDE/>
              <w:autoSpaceDN/>
              <w:adjustRightInd/>
              <w:snapToGrid/>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表3-</w:t>
            </w:r>
            <w:r>
              <w:rPr>
                <w:rFonts w:hint="default" w:ascii="Times New Roman" w:hAnsi="Times New Roman" w:eastAsia="宋体" w:cs="Times New Roman"/>
                <w:color w:val="auto"/>
                <w:sz w:val="24"/>
                <w:szCs w:val="32"/>
                <w:lang w:eastAsia="zh-CN"/>
              </w:rPr>
              <w:t>5</w:t>
            </w:r>
            <w:r>
              <w:rPr>
                <w:rFonts w:hint="default" w:ascii="Times New Roman" w:hAnsi="Times New Roman" w:eastAsia="宋体" w:cs="Times New Roman"/>
                <w:color w:val="auto"/>
                <w:sz w:val="24"/>
                <w:szCs w:val="32"/>
              </w:rPr>
              <w:t xml:space="preserve">  地表水现状监测结果  单位：mg/L，pH无量纲</w:t>
            </w:r>
          </w:p>
          <w:tbl>
            <w:tblPr>
              <w:tblStyle w:val="3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15"/>
              <w:gridCol w:w="1115"/>
              <w:gridCol w:w="935"/>
              <w:gridCol w:w="1410"/>
              <w:gridCol w:w="1162"/>
              <w:gridCol w:w="1115"/>
            </w:tblGrid>
            <w:tr w14:paraId="5537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5" w:type="pct"/>
                  <w:vAlign w:val="center"/>
                </w:tcPr>
                <w:p w14:paraId="0D8C049B">
                  <w:pPr>
                    <w:pStyle w:val="145"/>
                    <w:widowControl w:val="0"/>
                    <w:kinsoku/>
                    <w:autoSpaceDE/>
                    <w:autoSpaceDN/>
                    <w:adjustRightInd/>
                    <w:snapToGrid/>
                    <w:textAlignment w:val="auto"/>
                    <w:rPr>
                      <w:rFonts w:ascii="Times New Roman" w:hAnsi="Times New Roman" w:eastAsia="宋体" w:cs="Times New Roman"/>
                      <w:color w:val="auto"/>
                    </w:rPr>
                  </w:pPr>
                  <w:r>
                    <w:rPr>
                      <w:rFonts w:ascii="Times New Roman" w:hAnsi="Times New Roman" w:eastAsia="宋体" w:cs="Times New Roman"/>
                      <w:color w:val="auto"/>
                    </w:rPr>
                    <w:t>断面</w:t>
                  </w:r>
                </w:p>
              </w:tc>
              <w:tc>
                <w:tcPr>
                  <w:tcW w:w="700" w:type="pct"/>
                  <w:vAlign w:val="center"/>
                </w:tcPr>
                <w:p w14:paraId="4F996E4C">
                  <w:pPr>
                    <w:pStyle w:val="145"/>
                    <w:widowControl w:val="0"/>
                    <w:kinsoku/>
                    <w:autoSpaceDE/>
                    <w:autoSpaceDN/>
                    <w:adjustRightInd/>
                    <w:snapToGrid/>
                    <w:textAlignment w:val="auto"/>
                    <w:rPr>
                      <w:rFonts w:ascii="Times New Roman" w:hAnsi="Times New Roman" w:eastAsia="宋体" w:cs="Times New Roman"/>
                      <w:color w:val="auto"/>
                    </w:rPr>
                  </w:pPr>
                  <w:r>
                    <w:rPr>
                      <w:rFonts w:ascii="Times New Roman" w:hAnsi="Times New Roman" w:eastAsia="宋体" w:cs="Times New Roman"/>
                      <w:color w:val="auto"/>
                      <w:lang w:eastAsia="zh-CN"/>
                    </w:rPr>
                    <w:t>pH</w:t>
                  </w:r>
                </w:p>
              </w:tc>
              <w:tc>
                <w:tcPr>
                  <w:tcW w:w="700" w:type="pct"/>
                  <w:vAlign w:val="center"/>
                </w:tcPr>
                <w:p w14:paraId="4C293818">
                  <w:pPr>
                    <w:pStyle w:val="145"/>
                    <w:widowControl w:val="0"/>
                    <w:kinsoku/>
                    <w:autoSpaceDE/>
                    <w:autoSpaceDN/>
                    <w:adjustRightInd/>
                    <w:snapToGrid/>
                    <w:textAlignment w:val="auto"/>
                    <w:rPr>
                      <w:rFonts w:ascii="Times New Roman" w:hAnsi="Times New Roman" w:eastAsia="宋体" w:cs="Times New Roman"/>
                      <w:color w:val="auto"/>
                    </w:rPr>
                  </w:pPr>
                  <w:r>
                    <w:rPr>
                      <w:rFonts w:ascii="Times New Roman" w:hAnsi="Times New Roman" w:eastAsia="宋体" w:cs="Times New Roman"/>
                      <w:color w:val="auto"/>
                      <w:lang w:eastAsia="zh-CN"/>
                    </w:rPr>
                    <w:t>BOD</w:t>
                  </w:r>
                  <w:r>
                    <w:rPr>
                      <w:rFonts w:ascii="Times New Roman" w:hAnsi="Times New Roman" w:eastAsia="宋体" w:cs="Times New Roman"/>
                      <w:color w:val="auto"/>
                      <w:vertAlign w:val="subscript"/>
                      <w:lang w:eastAsia="zh-CN"/>
                    </w:rPr>
                    <w:t>5</w:t>
                  </w:r>
                </w:p>
              </w:tc>
              <w:tc>
                <w:tcPr>
                  <w:tcW w:w="587" w:type="pct"/>
                  <w:vAlign w:val="center"/>
                </w:tcPr>
                <w:p w14:paraId="6459CC6E">
                  <w:pPr>
                    <w:pStyle w:val="145"/>
                    <w:widowControl w:val="0"/>
                    <w:kinsoku/>
                    <w:autoSpaceDE/>
                    <w:autoSpaceDN/>
                    <w:adjustRightInd/>
                    <w:snapToGrid/>
                    <w:textAlignment w:val="auto"/>
                    <w:rPr>
                      <w:rFonts w:ascii="Times New Roman" w:hAnsi="Times New Roman" w:eastAsia="宋体" w:cs="Times New Roman"/>
                      <w:color w:val="auto"/>
                    </w:rPr>
                  </w:pPr>
                  <w:r>
                    <w:rPr>
                      <w:rFonts w:ascii="Times New Roman" w:hAnsi="Times New Roman" w:eastAsia="宋体" w:cs="Times New Roman"/>
                      <w:color w:val="auto"/>
                    </w:rPr>
                    <w:t>COD</w:t>
                  </w:r>
                </w:p>
              </w:tc>
              <w:tc>
                <w:tcPr>
                  <w:tcW w:w="885" w:type="pct"/>
                  <w:vAlign w:val="center"/>
                </w:tcPr>
                <w:p w14:paraId="64047E63">
                  <w:pPr>
                    <w:pStyle w:val="145"/>
                    <w:widowControl w:val="0"/>
                    <w:kinsoku/>
                    <w:autoSpaceDE/>
                    <w:autoSpaceDN/>
                    <w:adjustRightInd/>
                    <w:snapToGrid/>
                    <w:textAlignment w:val="auto"/>
                    <w:rPr>
                      <w:rFonts w:ascii="Times New Roman" w:hAnsi="Times New Roman" w:eastAsia="宋体" w:cs="Times New Roman"/>
                      <w:color w:val="auto"/>
                    </w:rPr>
                  </w:pPr>
                  <w:r>
                    <w:rPr>
                      <w:rFonts w:ascii="Times New Roman" w:hAnsi="Times New Roman" w:eastAsia="宋体" w:cs="Times New Roman"/>
                      <w:color w:val="auto"/>
                    </w:rPr>
                    <w:t>NH</w:t>
                  </w:r>
                  <w:r>
                    <w:rPr>
                      <w:rFonts w:ascii="Times New Roman" w:hAnsi="Times New Roman" w:eastAsia="宋体" w:cs="Times New Roman"/>
                      <w:color w:val="auto"/>
                      <w:vertAlign w:val="subscript"/>
                    </w:rPr>
                    <w:t>3</w:t>
                  </w:r>
                  <w:r>
                    <w:rPr>
                      <w:rFonts w:ascii="Times New Roman" w:hAnsi="Times New Roman" w:eastAsia="宋体" w:cs="Times New Roman"/>
                      <w:color w:val="auto"/>
                    </w:rPr>
                    <w:t>-N</w:t>
                  </w:r>
                </w:p>
              </w:tc>
              <w:tc>
                <w:tcPr>
                  <w:tcW w:w="729" w:type="pct"/>
                  <w:vAlign w:val="center"/>
                </w:tcPr>
                <w:p w14:paraId="1B71816C">
                  <w:pPr>
                    <w:pStyle w:val="145"/>
                    <w:widowControl w:val="0"/>
                    <w:kinsoku/>
                    <w:autoSpaceDE/>
                    <w:autoSpaceDN/>
                    <w:adjustRightInd/>
                    <w:snapToGrid/>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TP</w:t>
                  </w:r>
                </w:p>
              </w:tc>
              <w:tc>
                <w:tcPr>
                  <w:tcW w:w="700" w:type="pct"/>
                  <w:vAlign w:val="center"/>
                </w:tcPr>
                <w:p w14:paraId="6C7EBD76">
                  <w:pPr>
                    <w:pStyle w:val="145"/>
                    <w:widowControl w:val="0"/>
                    <w:kinsoku/>
                    <w:autoSpaceDE/>
                    <w:autoSpaceDN/>
                    <w:adjustRightInd/>
                    <w:snapToGrid/>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石油类</w:t>
                  </w:r>
                </w:p>
              </w:tc>
            </w:tr>
            <w:tr w14:paraId="2FAF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5" w:type="pct"/>
                  <w:vAlign w:val="center"/>
                </w:tcPr>
                <w:p w14:paraId="436C080D">
                  <w:pPr>
                    <w:widowControl w:val="0"/>
                    <w:kinsoku/>
                    <w:autoSpaceDE/>
                    <w:autoSpaceDN/>
                    <w:adjustRightInd/>
                    <w:snapToGrid/>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W1</w:t>
                  </w:r>
                </w:p>
              </w:tc>
              <w:tc>
                <w:tcPr>
                  <w:tcW w:w="700" w:type="pct"/>
                  <w:vAlign w:val="center"/>
                </w:tcPr>
                <w:p w14:paraId="227DC413">
                  <w:pPr>
                    <w:pStyle w:val="114"/>
                    <w:tabs>
                      <w:tab w:val="left" w:pos="324"/>
                    </w:tabs>
                    <w:kinsoku/>
                    <w:autoSpaceDE/>
                    <w:autoSpaceDN/>
                    <w:adjustRightInd/>
                    <w:snapToGrid/>
                    <w:ind w:left="0" w:leftChars="0" w:firstLine="0" w:firstLineChars="0"/>
                    <w:jc w:val="center"/>
                    <w:textAlignment w:val="auto"/>
                    <w:rPr>
                      <w:rFonts w:ascii="Times New Roman" w:hAnsi="Times New Roman" w:eastAsia="宋体" w:cs="Times New Roman"/>
                      <w:color w:val="auto"/>
                      <w:szCs w:val="21"/>
                      <w:lang w:eastAsia="zh-CN"/>
                    </w:rPr>
                  </w:pPr>
                  <w:r>
                    <w:rPr>
                      <w:rFonts w:ascii="Times New Roman" w:hAnsi="Times New Roman" w:eastAsia="宋体" w:cs="Times New Roman"/>
                      <w:color w:val="auto"/>
                      <w:szCs w:val="21"/>
                      <w:lang w:eastAsia="zh-CN"/>
                    </w:rPr>
                    <w:t>7.2~7.4</w:t>
                  </w:r>
                </w:p>
              </w:tc>
              <w:tc>
                <w:tcPr>
                  <w:tcW w:w="700" w:type="pct"/>
                  <w:vAlign w:val="center"/>
                </w:tcPr>
                <w:p w14:paraId="4DD7CF37">
                  <w:pPr>
                    <w:pStyle w:val="114"/>
                    <w:tabs>
                      <w:tab w:val="left" w:pos="324"/>
                    </w:tabs>
                    <w:kinsoku/>
                    <w:autoSpaceDE/>
                    <w:autoSpaceDN/>
                    <w:adjustRightInd/>
                    <w:snapToGrid/>
                    <w:ind w:left="0" w:leftChars="0" w:firstLine="0" w:firstLineChars="0"/>
                    <w:jc w:val="center"/>
                    <w:textAlignment w:val="auto"/>
                    <w:rPr>
                      <w:rFonts w:ascii="Times New Roman" w:hAnsi="Times New Roman" w:eastAsia="宋体" w:cs="Times New Roman"/>
                      <w:color w:val="auto"/>
                      <w:szCs w:val="21"/>
                      <w:lang w:eastAsia="zh-CN"/>
                    </w:rPr>
                  </w:pPr>
                  <w:r>
                    <w:rPr>
                      <w:rFonts w:ascii="Times New Roman" w:hAnsi="Times New Roman" w:eastAsia="宋体" w:cs="Times New Roman"/>
                      <w:color w:val="auto"/>
                      <w:szCs w:val="21"/>
                      <w:lang w:eastAsia="zh-CN"/>
                    </w:rPr>
                    <w:t>6.2~7.4</w:t>
                  </w:r>
                </w:p>
              </w:tc>
              <w:tc>
                <w:tcPr>
                  <w:tcW w:w="587" w:type="pct"/>
                  <w:vAlign w:val="center"/>
                </w:tcPr>
                <w:p w14:paraId="6B35414D">
                  <w:pPr>
                    <w:pStyle w:val="114"/>
                    <w:tabs>
                      <w:tab w:val="left" w:pos="324"/>
                    </w:tabs>
                    <w:kinsoku/>
                    <w:autoSpaceDE/>
                    <w:autoSpaceDN/>
                    <w:adjustRightInd/>
                    <w:snapToGrid/>
                    <w:ind w:left="0" w:leftChars="0" w:firstLine="0" w:firstLineChars="0"/>
                    <w:jc w:val="center"/>
                    <w:textAlignment w:val="auto"/>
                    <w:rPr>
                      <w:rFonts w:ascii="Times New Roman" w:hAnsi="Times New Roman" w:eastAsia="宋体" w:cs="Times New Roman"/>
                      <w:color w:val="auto"/>
                      <w:szCs w:val="21"/>
                      <w:lang w:eastAsia="zh-CN"/>
                    </w:rPr>
                  </w:pPr>
                  <w:r>
                    <w:rPr>
                      <w:rFonts w:ascii="Times New Roman" w:hAnsi="Times New Roman" w:eastAsia="宋体" w:cs="Times New Roman"/>
                      <w:color w:val="auto"/>
                      <w:szCs w:val="21"/>
                      <w:lang w:eastAsia="zh-CN"/>
                    </w:rPr>
                    <w:t>25~31</w:t>
                  </w:r>
                </w:p>
              </w:tc>
              <w:tc>
                <w:tcPr>
                  <w:tcW w:w="885" w:type="pct"/>
                  <w:vAlign w:val="center"/>
                </w:tcPr>
                <w:p w14:paraId="75171C62">
                  <w:pPr>
                    <w:pStyle w:val="114"/>
                    <w:tabs>
                      <w:tab w:val="left" w:pos="324"/>
                    </w:tabs>
                    <w:kinsoku/>
                    <w:autoSpaceDE/>
                    <w:autoSpaceDN/>
                    <w:adjustRightInd/>
                    <w:snapToGrid/>
                    <w:ind w:left="0" w:leftChars="0" w:firstLine="0" w:firstLineChars="0"/>
                    <w:jc w:val="center"/>
                    <w:textAlignment w:val="auto"/>
                    <w:rPr>
                      <w:rFonts w:ascii="Times New Roman" w:hAnsi="Times New Roman" w:eastAsia="宋体" w:cs="Times New Roman"/>
                      <w:color w:val="auto"/>
                      <w:szCs w:val="21"/>
                      <w:lang w:eastAsia="zh-CN"/>
                    </w:rPr>
                  </w:pPr>
                  <w:r>
                    <w:rPr>
                      <w:rFonts w:ascii="Times New Roman" w:hAnsi="Times New Roman" w:eastAsia="宋体" w:cs="Times New Roman"/>
                      <w:color w:val="auto"/>
                      <w:szCs w:val="21"/>
                      <w:lang w:eastAsia="zh-CN"/>
                    </w:rPr>
                    <w:t>0.611~0.706</w:t>
                  </w:r>
                </w:p>
              </w:tc>
              <w:tc>
                <w:tcPr>
                  <w:tcW w:w="729" w:type="pct"/>
                  <w:vAlign w:val="center"/>
                </w:tcPr>
                <w:p w14:paraId="12A8CDB8">
                  <w:pPr>
                    <w:pStyle w:val="114"/>
                    <w:tabs>
                      <w:tab w:val="left" w:pos="324"/>
                    </w:tabs>
                    <w:kinsoku/>
                    <w:autoSpaceDE/>
                    <w:autoSpaceDN/>
                    <w:adjustRightInd/>
                    <w:snapToGrid/>
                    <w:ind w:left="0" w:leftChars="0" w:firstLine="0" w:firstLineChars="0"/>
                    <w:jc w:val="both"/>
                    <w:textAlignment w:val="auto"/>
                    <w:rPr>
                      <w:rFonts w:ascii="Times New Roman" w:hAnsi="Times New Roman" w:eastAsia="宋体" w:cs="Times New Roman"/>
                      <w:color w:val="auto"/>
                      <w:szCs w:val="21"/>
                      <w:lang w:eastAsia="zh-CN"/>
                    </w:rPr>
                  </w:pPr>
                  <w:r>
                    <w:rPr>
                      <w:rFonts w:ascii="Times New Roman" w:hAnsi="Times New Roman" w:eastAsia="宋体" w:cs="Times New Roman"/>
                      <w:color w:val="auto"/>
                      <w:szCs w:val="21"/>
                      <w:lang w:eastAsia="zh-CN"/>
                    </w:rPr>
                    <w:t>0.16~0.26</w:t>
                  </w:r>
                </w:p>
              </w:tc>
              <w:tc>
                <w:tcPr>
                  <w:tcW w:w="700" w:type="pct"/>
                  <w:vAlign w:val="center"/>
                </w:tcPr>
                <w:p w14:paraId="70E8D7E5">
                  <w:pPr>
                    <w:pStyle w:val="114"/>
                    <w:tabs>
                      <w:tab w:val="left" w:pos="324"/>
                    </w:tabs>
                    <w:kinsoku/>
                    <w:autoSpaceDE/>
                    <w:autoSpaceDN/>
                    <w:adjustRightInd/>
                    <w:snapToGrid/>
                    <w:ind w:left="0" w:leftChars="0" w:firstLine="400" w:firstLineChars="200"/>
                    <w:jc w:val="both"/>
                    <w:textAlignment w:val="auto"/>
                    <w:rPr>
                      <w:rFonts w:ascii="Times New Roman" w:hAnsi="Times New Roman" w:eastAsia="宋体" w:cs="Times New Roman"/>
                      <w:color w:val="auto"/>
                      <w:szCs w:val="21"/>
                      <w:lang w:eastAsia="zh-CN"/>
                    </w:rPr>
                  </w:pPr>
                  <w:r>
                    <w:rPr>
                      <w:rFonts w:ascii="Times New Roman" w:hAnsi="Times New Roman" w:eastAsia="宋体" w:cs="Times New Roman"/>
                      <w:color w:val="auto"/>
                      <w:szCs w:val="21"/>
                      <w:lang w:eastAsia="zh-CN"/>
                    </w:rPr>
                    <w:t>ND</w:t>
                  </w:r>
                </w:p>
              </w:tc>
            </w:tr>
            <w:tr w14:paraId="0032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5" w:type="pct"/>
                  <w:vAlign w:val="center"/>
                </w:tcPr>
                <w:p w14:paraId="7437FA8B">
                  <w:pPr>
                    <w:widowControl w:val="0"/>
                    <w:kinsoku/>
                    <w:autoSpaceDE/>
                    <w:autoSpaceDN/>
                    <w:adjustRightInd/>
                    <w:snapToGrid/>
                    <w:jc w:val="center"/>
                    <w:textAlignment w:val="auto"/>
                    <w:rPr>
                      <w:rFonts w:ascii="Times New Roman" w:hAnsi="Times New Roman" w:eastAsia="宋体" w:cs="Times New Roman"/>
                      <w:color w:val="auto"/>
                    </w:rPr>
                  </w:pPr>
                  <w:r>
                    <w:rPr>
                      <w:rFonts w:ascii="Times New Roman" w:hAnsi="Times New Roman" w:eastAsia="宋体" w:cs="Times New Roman"/>
                      <w:color w:val="auto"/>
                      <w:lang w:eastAsia="zh-CN"/>
                    </w:rPr>
                    <w:t>W2</w:t>
                  </w:r>
                </w:p>
              </w:tc>
              <w:tc>
                <w:tcPr>
                  <w:tcW w:w="700" w:type="pct"/>
                  <w:vAlign w:val="center"/>
                </w:tcPr>
                <w:p w14:paraId="22938A74">
                  <w:pPr>
                    <w:pStyle w:val="114"/>
                    <w:tabs>
                      <w:tab w:val="left" w:pos="324"/>
                    </w:tabs>
                    <w:kinsoku/>
                    <w:autoSpaceDE/>
                    <w:autoSpaceDN/>
                    <w:adjustRightInd/>
                    <w:snapToGrid/>
                    <w:ind w:left="0" w:leftChars="0" w:firstLine="0" w:firstLineChars="0"/>
                    <w:jc w:val="center"/>
                    <w:textAlignment w:val="auto"/>
                    <w:rPr>
                      <w:rFonts w:ascii="Times New Roman" w:hAnsi="Times New Roman" w:eastAsia="宋体" w:cs="Times New Roman"/>
                      <w:color w:val="auto"/>
                      <w:szCs w:val="21"/>
                      <w:lang w:eastAsia="zh-CN"/>
                    </w:rPr>
                  </w:pPr>
                  <w:r>
                    <w:rPr>
                      <w:rFonts w:ascii="Times New Roman" w:hAnsi="Times New Roman" w:eastAsia="宋体" w:cs="Times New Roman"/>
                      <w:color w:val="auto"/>
                      <w:szCs w:val="21"/>
                      <w:lang w:eastAsia="zh-CN"/>
                    </w:rPr>
                    <w:t>7.4~7.6</w:t>
                  </w:r>
                </w:p>
              </w:tc>
              <w:tc>
                <w:tcPr>
                  <w:tcW w:w="700" w:type="pct"/>
                  <w:vAlign w:val="center"/>
                </w:tcPr>
                <w:p w14:paraId="1133439C">
                  <w:pPr>
                    <w:pStyle w:val="114"/>
                    <w:tabs>
                      <w:tab w:val="left" w:pos="324"/>
                    </w:tabs>
                    <w:kinsoku/>
                    <w:autoSpaceDE/>
                    <w:autoSpaceDN/>
                    <w:adjustRightInd/>
                    <w:snapToGrid/>
                    <w:ind w:left="0" w:leftChars="0" w:firstLine="0" w:firstLineChars="0"/>
                    <w:jc w:val="center"/>
                    <w:textAlignment w:val="auto"/>
                    <w:rPr>
                      <w:rFonts w:ascii="Times New Roman" w:hAnsi="Times New Roman" w:eastAsia="宋体" w:cs="Times New Roman"/>
                      <w:color w:val="auto"/>
                      <w:szCs w:val="21"/>
                      <w:lang w:eastAsia="zh-CN"/>
                    </w:rPr>
                  </w:pPr>
                  <w:r>
                    <w:rPr>
                      <w:rFonts w:ascii="Times New Roman" w:hAnsi="Times New Roman" w:eastAsia="宋体" w:cs="Times New Roman"/>
                      <w:color w:val="auto"/>
                      <w:szCs w:val="21"/>
                      <w:lang w:eastAsia="zh-CN"/>
                    </w:rPr>
                    <w:t>6.2~7.9</w:t>
                  </w:r>
                </w:p>
              </w:tc>
              <w:tc>
                <w:tcPr>
                  <w:tcW w:w="587" w:type="pct"/>
                  <w:vAlign w:val="center"/>
                </w:tcPr>
                <w:p w14:paraId="76B56560">
                  <w:pPr>
                    <w:pStyle w:val="114"/>
                    <w:tabs>
                      <w:tab w:val="left" w:pos="324"/>
                    </w:tabs>
                    <w:kinsoku/>
                    <w:autoSpaceDE/>
                    <w:autoSpaceDN/>
                    <w:adjustRightInd/>
                    <w:snapToGrid/>
                    <w:ind w:left="0" w:leftChars="0" w:firstLine="0" w:firstLineChars="0"/>
                    <w:jc w:val="center"/>
                    <w:textAlignment w:val="auto"/>
                    <w:rPr>
                      <w:rFonts w:ascii="Times New Roman" w:hAnsi="Times New Roman" w:eastAsia="宋体" w:cs="Times New Roman"/>
                      <w:color w:val="auto"/>
                      <w:szCs w:val="21"/>
                      <w:lang w:eastAsia="zh-CN"/>
                    </w:rPr>
                  </w:pPr>
                  <w:r>
                    <w:rPr>
                      <w:rFonts w:ascii="Times New Roman" w:hAnsi="Times New Roman" w:eastAsia="宋体" w:cs="Times New Roman"/>
                      <w:color w:val="auto"/>
                      <w:szCs w:val="21"/>
                      <w:lang w:eastAsia="zh-CN"/>
                    </w:rPr>
                    <w:t>29~35</w:t>
                  </w:r>
                </w:p>
              </w:tc>
              <w:tc>
                <w:tcPr>
                  <w:tcW w:w="885" w:type="pct"/>
                  <w:vAlign w:val="center"/>
                </w:tcPr>
                <w:p w14:paraId="27FF0C70">
                  <w:pPr>
                    <w:kinsoku/>
                    <w:autoSpaceDE/>
                    <w:autoSpaceDN/>
                    <w:adjustRightInd/>
                    <w:snapToGrid/>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0.128~0.218</w:t>
                  </w:r>
                </w:p>
              </w:tc>
              <w:tc>
                <w:tcPr>
                  <w:tcW w:w="729" w:type="pct"/>
                  <w:vAlign w:val="center"/>
                </w:tcPr>
                <w:p w14:paraId="7E8CE233">
                  <w:pPr>
                    <w:pStyle w:val="114"/>
                    <w:tabs>
                      <w:tab w:val="left" w:pos="324"/>
                    </w:tabs>
                    <w:kinsoku/>
                    <w:autoSpaceDE/>
                    <w:autoSpaceDN/>
                    <w:adjustRightInd/>
                    <w:snapToGrid/>
                    <w:ind w:left="0" w:leftChars="0" w:firstLine="0" w:firstLineChars="0"/>
                    <w:jc w:val="both"/>
                    <w:textAlignment w:val="auto"/>
                    <w:rPr>
                      <w:rFonts w:ascii="Times New Roman" w:hAnsi="Times New Roman" w:eastAsia="宋体" w:cs="Times New Roman"/>
                      <w:color w:val="auto"/>
                      <w:szCs w:val="21"/>
                      <w:lang w:eastAsia="zh-CN"/>
                    </w:rPr>
                  </w:pPr>
                  <w:r>
                    <w:rPr>
                      <w:rFonts w:ascii="Times New Roman" w:hAnsi="Times New Roman" w:eastAsia="宋体" w:cs="Times New Roman"/>
                      <w:color w:val="auto"/>
                      <w:szCs w:val="21"/>
                      <w:lang w:eastAsia="zh-CN"/>
                    </w:rPr>
                    <w:t>0.21~0.26</w:t>
                  </w:r>
                </w:p>
              </w:tc>
              <w:tc>
                <w:tcPr>
                  <w:tcW w:w="700" w:type="pct"/>
                  <w:vAlign w:val="center"/>
                </w:tcPr>
                <w:p w14:paraId="7DCEC399">
                  <w:pPr>
                    <w:kinsoku/>
                    <w:autoSpaceDE/>
                    <w:autoSpaceDN/>
                    <w:adjustRightInd/>
                    <w:snapToGrid/>
                    <w:jc w:val="center"/>
                    <w:textAlignment w:val="auto"/>
                    <w:rPr>
                      <w:rFonts w:ascii="Times New Roman" w:hAnsi="Times New Roman" w:eastAsia="宋体" w:cs="Times New Roman"/>
                      <w:color w:val="auto"/>
                    </w:rPr>
                  </w:pPr>
                  <w:r>
                    <w:rPr>
                      <w:rFonts w:ascii="Times New Roman" w:hAnsi="Times New Roman" w:eastAsia="宋体" w:cs="Times New Roman"/>
                      <w:color w:val="auto"/>
                      <w:lang w:eastAsia="zh-CN"/>
                    </w:rPr>
                    <w:t>ND</w:t>
                  </w:r>
                </w:p>
              </w:tc>
            </w:tr>
            <w:tr w14:paraId="712A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5" w:type="pct"/>
                  <w:vAlign w:val="center"/>
                </w:tcPr>
                <w:p w14:paraId="345E3FAB">
                  <w:pPr>
                    <w:widowControl w:val="0"/>
                    <w:kinsoku/>
                    <w:autoSpaceDE/>
                    <w:autoSpaceDN/>
                    <w:adjustRightInd/>
                    <w:snapToGrid/>
                    <w:jc w:val="center"/>
                    <w:textAlignment w:val="auto"/>
                    <w:rPr>
                      <w:rFonts w:ascii="Times New Roman" w:hAnsi="Times New Roman" w:eastAsia="宋体" w:cs="Times New Roman"/>
                      <w:color w:val="auto"/>
                    </w:rPr>
                  </w:pPr>
                  <w:r>
                    <w:rPr>
                      <w:rFonts w:ascii="Times New Roman" w:hAnsi="Times New Roman" w:eastAsia="宋体" w:cs="Times New Roman"/>
                      <w:color w:val="auto"/>
                      <w:lang w:eastAsia="zh-CN"/>
                    </w:rPr>
                    <w:t>W3</w:t>
                  </w:r>
                </w:p>
              </w:tc>
              <w:tc>
                <w:tcPr>
                  <w:tcW w:w="700" w:type="pct"/>
                  <w:vAlign w:val="center"/>
                </w:tcPr>
                <w:p w14:paraId="1EBD4A4F">
                  <w:pPr>
                    <w:pStyle w:val="114"/>
                    <w:tabs>
                      <w:tab w:val="left" w:pos="324"/>
                    </w:tabs>
                    <w:kinsoku/>
                    <w:autoSpaceDE/>
                    <w:autoSpaceDN/>
                    <w:adjustRightInd/>
                    <w:snapToGrid/>
                    <w:ind w:left="0" w:leftChars="0" w:firstLine="0" w:firstLineChars="0"/>
                    <w:jc w:val="center"/>
                    <w:textAlignment w:val="auto"/>
                    <w:rPr>
                      <w:rFonts w:ascii="Times New Roman" w:hAnsi="Times New Roman" w:eastAsia="宋体" w:cs="Times New Roman"/>
                      <w:color w:val="auto"/>
                      <w:szCs w:val="21"/>
                      <w:lang w:eastAsia="zh-CN"/>
                    </w:rPr>
                  </w:pPr>
                  <w:r>
                    <w:rPr>
                      <w:rFonts w:ascii="Times New Roman" w:hAnsi="Times New Roman" w:eastAsia="宋体" w:cs="Times New Roman"/>
                      <w:color w:val="auto"/>
                      <w:szCs w:val="21"/>
                      <w:lang w:eastAsia="zh-CN"/>
                    </w:rPr>
                    <w:t>7.4~7.6</w:t>
                  </w:r>
                </w:p>
              </w:tc>
              <w:tc>
                <w:tcPr>
                  <w:tcW w:w="700" w:type="pct"/>
                  <w:vAlign w:val="center"/>
                </w:tcPr>
                <w:p w14:paraId="5ED869A0">
                  <w:pPr>
                    <w:pStyle w:val="114"/>
                    <w:tabs>
                      <w:tab w:val="left" w:pos="324"/>
                    </w:tabs>
                    <w:kinsoku/>
                    <w:autoSpaceDE/>
                    <w:autoSpaceDN/>
                    <w:adjustRightInd/>
                    <w:snapToGrid/>
                    <w:ind w:left="0" w:leftChars="0" w:firstLine="0" w:firstLineChars="0"/>
                    <w:jc w:val="center"/>
                    <w:textAlignment w:val="auto"/>
                    <w:rPr>
                      <w:rFonts w:ascii="Times New Roman" w:hAnsi="Times New Roman" w:eastAsia="宋体" w:cs="Times New Roman"/>
                      <w:color w:val="auto"/>
                      <w:szCs w:val="21"/>
                      <w:lang w:eastAsia="zh-CN"/>
                    </w:rPr>
                  </w:pPr>
                  <w:r>
                    <w:rPr>
                      <w:rFonts w:ascii="Times New Roman" w:hAnsi="Times New Roman" w:eastAsia="宋体" w:cs="Times New Roman"/>
                      <w:color w:val="auto"/>
                      <w:szCs w:val="21"/>
                      <w:lang w:eastAsia="zh-CN"/>
                    </w:rPr>
                    <w:t>6.2~7.8</w:t>
                  </w:r>
                </w:p>
              </w:tc>
              <w:tc>
                <w:tcPr>
                  <w:tcW w:w="587" w:type="pct"/>
                  <w:vAlign w:val="center"/>
                </w:tcPr>
                <w:p w14:paraId="2F59106B">
                  <w:pPr>
                    <w:pStyle w:val="114"/>
                    <w:tabs>
                      <w:tab w:val="left" w:pos="324"/>
                    </w:tabs>
                    <w:kinsoku/>
                    <w:autoSpaceDE/>
                    <w:autoSpaceDN/>
                    <w:adjustRightInd/>
                    <w:snapToGrid/>
                    <w:ind w:left="0" w:leftChars="0" w:firstLine="0" w:firstLineChars="0"/>
                    <w:jc w:val="center"/>
                    <w:textAlignment w:val="auto"/>
                    <w:rPr>
                      <w:rFonts w:ascii="Times New Roman" w:hAnsi="Times New Roman" w:eastAsia="宋体" w:cs="Times New Roman"/>
                      <w:color w:val="auto"/>
                      <w:szCs w:val="21"/>
                      <w:lang w:eastAsia="zh-CN"/>
                    </w:rPr>
                  </w:pPr>
                  <w:r>
                    <w:rPr>
                      <w:rFonts w:ascii="Times New Roman" w:hAnsi="Times New Roman" w:eastAsia="宋体" w:cs="Times New Roman"/>
                      <w:color w:val="auto"/>
                      <w:szCs w:val="21"/>
                      <w:lang w:eastAsia="zh-CN"/>
                    </w:rPr>
                    <w:t>25~33</w:t>
                  </w:r>
                </w:p>
              </w:tc>
              <w:tc>
                <w:tcPr>
                  <w:tcW w:w="885" w:type="pct"/>
                  <w:vAlign w:val="center"/>
                </w:tcPr>
                <w:p w14:paraId="06D7A4ED">
                  <w:pPr>
                    <w:kinsoku/>
                    <w:autoSpaceDE/>
                    <w:autoSpaceDN/>
                    <w:adjustRightInd/>
                    <w:snapToGrid/>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0.051~0.528</w:t>
                  </w:r>
                </w:p>
              </w:tc>
              <w:tc>
                <w:tcPr>
                  <w:tcW w:w="729" w:type="pct"/>
                  <w:vAlign w:val="center"/>
                </w:tcPr>
                <w:p w14:paraId="19DED996">
                  <w:pPr>
                    <w:pStyle w:val="114"/>
                    <w:tabs>
                      <w:tab w:val="left" w:pos="324"/>
                    </w:tabs>
                    <w:kinsoku/>
                    <w:autoSpaceDE/>
                    <w:autoSpaceDN/>
                    <w:adjustRightInd/>
                    <w:snapToGrid/>
                    <w:ind w:left="0" w:leftChars="0" w:firstLine="0" w:firstLineChars="0"/>
                    <w:jc w:val="both"/>
                    <w:textAlignment w:val="auto"/>
                    <w:rPr>
                      <w:rFonts w:ascii="Times New Roman" w:hAnsi="Times New Roman" w:eastAsia="宋体" w:cs="Times New Roman"/>
                      <w:color w:val="auto"/>
                      <w:szCs w:val="21"/>
                      <w:lang w:eastAsia="zh-CN"/>
                    </w:rPr>
                  </w:pPr>
                  <w:r>
                    <w:rPr>
                      <w:rFonts w:ascii="Times New Roman" w:hAnsi="Times New Roman" w:eastAsia="宋体" w:cs="Times New Roman"/>
                      <w:color w:val="auto"/>
                      <w:szCs w:val="21"/>
                      <w:lang w:eastAsia="zh-CN"/>
                    </w:rPr>
                    <w:t>0.26~0.28</w:t>
                  </w:r>
                </w:p>
              </w:tc>
              <w:tc>
                <w:tcPr>
                  <w:tcW w:w="700" w:type="pct"/>
                  <w:vAlign w:val="center"/>
                </w:tcPr>
                <w:p w14:paraId="154E1FE5">
                  <w:pPr>
                    <w:kinsoku/>
                    <w:autoSpaceDE/>
                    <w:autoSpaceDN/>
                    <w:adjustRightInd/>
                    <w:snapToGrid/>
                    <w:jc w:val="center"/>
                    <w:textAlignment w:val="auto"/>
                    <w:rPr>
                      <w:rFonts w:ascii="Times New Roman" w:hAnsi="Times New Roman" w:eastAsia="宋体" w:cs="Times New Roman"/>
                      <w:color w:val="auto"/>
                    </w:rPr>
                  </w:pPr>
                  <w:r>
                    <w:rPr>
                      <w:rFonts w:ascii="Times New Roman" w:hAnsi="Times New Roman" w:eastAsia="宋体" w:cs="Times New Roman"/>
                      <w:color w:val="auto"/>
                      <w:lang w:eastAsia="zh-CN"/>
                    </w:rPr>
                    <w:t>ND</w:t>
                  </w:r>
                </w:p>
              </w:tc>
            </w:tr>
            <w:tr w14:paraId="0CF7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5" w:type="pct"/>
                  <w:vAlign w:val="center"/>
                </w:tcPr>
                <w:p w14:paraId="7D79A363">
                  <w:pPr>
                    <w:widowControl w:val="0"/>
                    <w:kinsoku/>
                    <w:autoSpaceDE/>
                    <w:autoSpaceDN/>
                    <w:adjustRightInd/>
                    <w:snapToGrid/>
                    <w:jc w:val="center"/>
                    <w:textAlignment w:val="auto"/>
                    <w:rPr>
                      <w:rFonts w:ascii="Times New Roman" w:hAnsi="Times New Roman" w:eastAsia="宋体" w:cs="Times New Roman"/>
                      <w:color w:val="auto"/>
                    </w:rPr>
                  </w:pPr>
                  <w:r>
                    <w:rPr>
                      <w:rFonts w:ascii="Times New Roman" w:hAnsi="Times New Roman" w:eastAsia="宋体" w:cs="Times New Roman"/>
                      <w:color w:val="auto"/>
                      <w:lang w:eastAsia="zh-CN"/>
                    </w:rPr>
                    <w:t>W4</w:t>
                  </w:r>
                </w:p>
              </w:tc>
              <w:tc>
                <w:tcPr>
                  <w:tcW w:w="700" w:type="pct"/>
                  <w:vAlign w:val="center"/>
                </w:tcPr>
                <w:p w14:paraId="3E7DF8C9">
                  <w:pPr>
                    <w:pStyle w:val="114"/>
                    <w:tabs>
                      <w:tab w:val="left" w:pos="324"/>
                    </w:tabs>
                    <w:kinsoku/>
                    <w:autoSpaceDE/>
                    <w:autoSpaceDN/>
                    <w:adjustRightInd/>
                    <w:snapToGrid/>
                    <w:ind w:left="0" w:leftChars="0" w:firstLine="0" w:firstLineChars="0"/>
                    <w:jc w:val="center"/>
                    <w:textAlignment w:val="auto"/>
                    <w:rPr>
                      <w:rFonts w:ascii="Times New Roman" w:hAnsi="Times New Roman" w:eastAsia="宋体" w:cs="Times New Roman"/>
                      <w:color w:val="auto"/>
                      <w:szCs w:val="21"/>
                      <w:lang w:eastAsia="zh-CN"/>
                    </w:rPr>
                  </w:pPr>
                  <w:r>
                    <w:rPr>
                      <w:rFonts w:ascii="Times New Roman" w:hAnsi="Times New Roman" w:eastAsia="宋体" w:cs="Times New Roman"/>
                      <w:color w:val="auto"/>
                      <w:szCs w:val="21"/>
                      <w:lang w:eastAsia="zh-CN"/>
                    </w:rPr>
                    <w:t>7.4~7.9</w:t>
                  </w:r>
                </w:p>
              </w:tc>
              <w:tc>
                <w:tcPr>
                  <w:tcW w:w="700" w:type="pct"/>
                  <w:vAlign w:val="center"/>
                </w:tcPr>
                <w:p w14:paraId="01BE1F8C">
                  <w:pPr>
                    <w:pStyle w:val="114"/>
                    <w:tabs>
                      <w:tab w:val="left" w:pos="324"/>
                    </w:tabs>
                    <w:kinsoku/>
                    <w:autoSpaceDE/>
                    <w:autoSpaceDN/>
                    <w:adjustRightInd/>
                    <w:snapToGrid/>
                    <w:ind w:left="0" w:leftChars="0" w:firstLine="0" w:firstLineChars="0"/>
                    <w:jc w:val="center"/>
                    <w:textAlignment w:val="auto"/>
                    <w:rPr>
                      <w:rFonts w:ascii="Times New Roman" w:hAnsi="Times New Roman" w:eastAsia="宋体" w:cs="Times New Roman"/>
                      <w:color w:val="auto"/>
                      <w:szCs w:val="21"/>
                      <w:lang w:eastAsia="zh-CN"/>
                    </w:rPr>
                  </w:pPr>
                  <w:r>
                    <w:rPr>
                      <w:rFonts w:ascii="Times New Roman" w:hAnsi="Times New Roman" w:eastAsia="宋体" w:cs="Times New Roman"/>
                      <w:color w:val="auto"/>
                      <w:szCs w:val="21"/>
                      <w:lang w:eastAsia="zh-CN"/>
                    </w:rPr>
                    <w:t>6.0~7.1</w:t>
                  </w:r>
                </w:p>
              </w:tc>
              <w:tc>
                <w:tcPr>
                  <w:tcW w:w="587" w:type="pct"/>
                  <w:vAlign w:val="center"/>
                </w:tcPr>
                <w:p w14:paraId="75CD003E">
                  <w:pPr>
                    <w:pStyle w:val="114"/>
                    <w:tabs>
                      <w:tab w:val="left" w:pos="324"/>
                    </w:tabs>
                    <w:kinsoku/>
                    <w:autoSpaceDE/>
                    <w:autoSpaceDN/>
                    <w:adjustRightInd/>
                    <w:snapToGrid/>
                    <w:ind w:left="0" w:leftChars="0" w:firstLine="0" w:firstLineChars="0"/>
                    <w:jc w:val="center"/>
                    <w:textAlignment w:val="auto"/>
                    <w:rPr>
                      <w:rFonts w:ascii="Times New Roman" w:hAnsi="Times New Roman" w:eastAsia="宋体" w:cs="Times New Roman"/>
                      <w:color w:val="auto"/>
                      <w:szCs w:val="21"/>
                      <w:lang w:eastAsia="zh-CN"/>
                    </w:rPr>
                  </w:pPr>
                  <w:r>
                    <w:rPr>
                      <w:rFonts w:ascii="Times New Roman" w:hAnsi="Times New Roman" w:eastAsia="宋体" w:cs="Times New Roman"/>
                      <w:color w:val="auto"/>
                      <w:szCs w:val="21"/>
                      <w:lang w:eastAsia="zh-CN"/>
                    </w:rPr>
                    <w:t>20~35</w:t>
                  </w:r>
                </w:p>
              </w:tc>
              <w:tc>
                <w:tcPr>
                  <w:tcW w:w="885" w:type="pct"/>
                  <w:vAlign w:val="center"/>
                </w:tcPr>
                <w:p w14:paraId="548F482E">
                  <w:pPr>
                    <w:kinsoku/>
                    <w:autoSpaceDE/>
                    <w:autoSpaceDN/>
                    <w:adjustRightInd/>
                    <w:snapToGrid/>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0.353~0.373</w:t>
                  </w:r>
                </w:p>
              </w:tc>
              <w:tc>
                <w:tcPr>
                  <w:tcW w:w="729" w:type="pct"/>
                  <w:vAlign w:val="center"/>
                </w:tcPr>
                <w:p w14:paraId="17D0EEA5">
                  <w:pPr>
                    <w:pStyle w:val="114"/>
                    <w:tabs>
                      <w:tab w:val="left" w:pos="324"/>
                    </w:tabs>
                    <w:kinsoku/>
                    <w:autoSpaceDE/>
                    <w:autoSpaceDN/>
                    <w:adjustRightInd/>
                    <w:snapToGrid/>
                    <w:ind w:left="0" w:leftChars="0" w:firstLine="0" w:firstLineChars="0"/>
                    <w:jc w:val="both"/>
                    <w:textAlignment w:val="auto"/>
                    <w:rPr>
                      <w:rFonts w:ascii="Times New Roman" w:hAnsi="Times New Roman" w:eastAsia="宋体" w:cs="Times New Roman"/>
                      <w:color w:val="auto"/>
                      <w:szCs w:val="21"/>
                      <w:lang w:eastAsia="zh-CN"/>
                    </w:rPr>
                  </w:pPr>
                  <w:r>
                    <w:rPr>
                      <w:rFonts w:ascii="Times New Roman" w:hAnsi="Times New Roman" w:eastAsia="宋体" w:cs="Times New Roman"/>
                      <w:color w:val="auto"/>
                      <w:szCs w:val="21"/>
                      <w:lang w:eastAsia="zh-CN"/>
                    </w:rPr>
                    <w:t>0.2~0.25</w:t>
                  </w:r>
                </w:p>
              </w:tc>
              <w:tc>
                <w:tcPr>
                  <w:tcW w:w="700" w:type="pct"/>
                  <w:vAlign w:val="center"/>
                </w:tcPr>
                <w:p w14:paraId="455FF2ED">
                  <w:pPr>
                    <w:kinsoku/>
                    <w:autoSpaceDE/>
                    <w:autoSpaceDN/>
                    <w:adjustRightInd/>
                    <w:snapToGrid/>
                    <w:jc w:val="center"/>
                    <w:textAlignment w:val="auto"/>
                    <w:rPr>
                      <w:rFonts w:ascii="Times New Roman" w:hAnsi="Times New Roman" w:eastAsia="宋体" w:cs="Times New Roman"/>
                      <w:color w:val="auto"/>
                    </w:rPr>
                  </w:pPr>
                  <w:r>
                    <w:rPr>
                      <w:rFonts w:ascii="Times New Roman" w:hAnsi="Times New Roman" w:eastAsia="宋体" w:cs="Times New Roman"/>
                      <w:color w:val="auto"/>
                      <w:lang w:eastAsia="zh-CN"/>
                    </w:rPr>
                    <w:t>ND</w:t>
                  </w:r>
                </w:p>
              </w:tc>
            </w:tr>
          </w:tbl>
          <w:p w14:paraId="15E1FF1C">
            <w:pPr>
              <w:keepNext w:val="0"/>
              <w:keepLines w:val="0"/>
              <w:pageBreakBefore w:val="0"/>
              <w:widowControl/>
              <w:kinsoku/>
              <w:wordWrap/>
              <w:overflowPunct/>
              <w:topLinePunct w:val="0"/>
              <w:autoSpaceDE/>
              <w:autoSpaceDN/>
              <w:bidi w:val="0"/>
              <w:adjustRightInd/>
              <w:snapToGrid/>
              <w:spacing w:before="157" w:beforeLines="50" w:line="360" w:lineRule="auto"/>
              <w:ind w:firstLine="480" w:firstLineChars="200"/>
              <w:jc w:val="both"/>
              <w:textAlignment w:val="auto"/>
              <w:rPr>
                <w:rFonts w:hint="eastAsia" w:ascii="宋体" w:hAnsi="宋体" w:eastAsia="宋体" w:cs="宋体"/>
                <w:color w:val="auto"/>
                <w:kern w:val="2"/>
                <w:sz w:val="24"/>
                <w:szCs w:val="24"/>
                <w:lang w:val="en-US" w:eastAsia="zh-CN" w:bidi="ar-SA"/>
              </w:rPr>
            </w:pPr>
            <w:r>
              <w:rPr>
                <w:rFonts w:hint="default" w:ascii="Times New Roman" w:hAnsi="Times New Roman" w:eastAsia="宋体" w:cs="Times New Roman"/>
                <w:color w:val="auto"/>
                <w:sz w:val="24"/>
                <w:szCs w:val="24"/>
                <w:lang w:eastAsia="zh-CN"/>
              </w:rPr>
              <w:t>由监测结果可知：</w:t>
            </w:r>
            <w:r>
              <w:rPr>
                <w:rFonts w:hint="default" w:ascii="Times New Roman" w:hAnsi="Times New Roman" w:cs="Times New Roman"/>
                <w:color w:val="auto"/>
                <w:sz w:val="24"/>
                <w:szCs w:val="24"/>
                <w:highlight w:val="none"/>
                <w:lang w:val="en-US" w:eastAsia="zh-CN"/>
              </w:rPr>
              <w:t>王引河W1、W2、W3、W4监测断面化学需氧量、五日生化需氧量、总磷</w:t>
            </w:r>
            <w:r>
              <w:rPr>
                <w:rFonts w:hint="eastAsia" w:ascii="Times New Roman" w:hAnsi="Times New Roman" w:cs="Times New Roman"/>
                <w:color w:val="auto"/>
                <w:sz w:val="24"/>
                <w:szCs w:val="24"/>
                <w:highlight w:val="none"/>
                <w:lang w:val="en-US" w:eastAsia="zh-CN"/>
              </w:rPr>
              <w:t>超标</w:t>
            </w:r>
            <w:r>
              <w:rPr>
                <w:rFonts w:hint="default" w:ascii="Times New Roman" w:hAnsi="Times New Roman" w:cs="Times New Roman"/>
                <w:color w:val="auto"/>
                <w:sz w:val="24"/>
                <w:szCs w:val="24"/>
                <w:highlight w:val="none"/>
                <w:lang w:val="en-US" w:eastAsia="zh-CN"/>
              </w:rPr>
              <w:t>，水质不能达到</w:t>
            </w:r>
            <w:r>
              <w:rPr>
                <w:rFonts w:hint="default" w:ascii="Times New Roman" w:hAnsi="Times New Roman" w:cs="Times New Roman"/>
                <w:color w:val="auto"/>
                <w:sz w:val="24"/>
                <w:szCs w:val="24"/>
                <w:highlight w:val="none"/>
              </w:rPr>
              <w:t>《地表水环境质量标准》（GB3838-2002</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中</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 3 \* ROMAN \* MERGEFORMAT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III</w:t>
            </w:r>
            <w:r>
              <w:rPr>
                <w:rFonts w:hint="default" w:ascii="Times New Roman" w:hAnsi="Times New Roman" w:cs="Times New Roman"/>
                <w:color w:val="auto"/>
                <w:sz w:val="24"/>
                <w:szCs w:val="24"/>
                <w:highlight w:val="none"/>
              </w:rPr>
              <w:fldChar w:fldCharType="end"/>
            </w:r>
            <w:r>
              <w:rPr>
                <w:rFonts w:hint="default" w:ascii="Times New Roman" w:hAnsi="Times New Roman" w:cs="Times New Roman"/>
                <w:color w:val="auto"/>
                <w:sz w:val="24"/>
                <w:szCs w:val="24"/>
                <w:highlight w:val="none"/>
              </w:rPr>
              <w:t>类水质标准的要求</w:t>
            </w:r>
            <w:r>
              <w:rPr>
                <w:rFonts w:hint="eastAsia" w:ascii="Times New Roman" w:hAnsi="Times New Roman" w:eastAsia="宋体" w:cs="Times New Roman"/>
                <w:color w:val="auto"/>
                <w:sz w:val="24"/>
                <w:szCs w:val="24"/>
                <w:highlight w:val="none"/>
                <w:lang w:val="en-US" w:eastAsia="zh-CN"/>
              </w:rPr>
              <w:t>，为Ⅳ类标准</w:t>
            </w:r>
            <w:r>
              <w:rPr>
                <w:rFonts w:hint="eastAsia" w:ascii="Times New Roman" w:hAnsi="Times New Roman" w:cs="Times New Roman"/>
                <w:color w:val="auto"/>
                <w:sz w:val="24"/>
                <w:szCs w:val="24"/>
                <w:highlight w:val="none"/>
                <w:lang w:eastAsia="zh-CN"/>
              </w:rPr>
              <w:t>。</w:t>
            </w:r>
          </w:p>
          <w:p w14:paraId="54FF57E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p>
          <w:p w14:paraId="3B98929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3、声环境</w:t>
            </w:r>
          </w:p>
          <w:p w14:paraId="61D3F2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本项目厂界外周边50米范围内无声环境保护目标。依据《建设项目环境影响报告</w:t>
            </w:r>
            <w:r>
              <w:rPr>
                <w:rFonts w:hint="eastAsia" w:ascii="宋体" w:hAnsi="宋体" w:cs="宋体"/>
                <w:color w:val="auto"/>
                <w:sz w:val="24"/>
                <w:szCs w:val="24"/>
              </w:rPr>
              <w:t>表编制技术指南》（污染影响类）（试行）</w:t>
            </w:r>
            <w:r>
              <w:rPr>
                <w:rFonts w:hint="eastAsia" w:ascii="宋体" w:hAnsi="宋体" w:cs="宋体"/>
                <w:color w:val="auto"/>
                <w:sz w:val="24"/>
                <w:szCs w:val="24"/>
                <w:lang w:eastAsia="zh-CN"/>
              </w:rPr>
              <w:t>，</w:t>
            </w:r>
            <w:r>
              <w:rPr>
                <w:rFonts w:hint="eastAsia" w:ascii="宋体" w:hAnsi="宋体" w:cs="宋体"/>
                <w:color w:val="auto"/>
                <w:sz w:val="24"/>
                <w:szCs w:val="24"/>
              </w:rPr>
              <w:t>无需进行声环境现状检测。</w:t>
            </w:r>
          </w:p>
          <w:p w14:paraId="136643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4、生态环境</w:t>
            </w:r>
          </w:p>
          <w:p w14:paraId="55035B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本项目位于</w:t>
            </w:r>
            <w:r>
              <w:rPr>
                <w:rFonts w:hint="eastAsia" w:ascii="宋体" w:hAnsi="宋体" w:cs="宋体"/>
                <w:color w:val="auto"/>
                <w:sz w:val="24"/>
                <w:szCs w:val="24"/>
                <w:lang w:eastAsia="zh-CN"/>
              </w:rPr>
              <w:t>淮北市濉溪县刘桥镇刘桥二矿南500m，</w:t>
            </w:r>
            <w:r>
              <w:rPr>
                <w:rFonts w:hint="eastAsia" w:ascii="宋体" w:hAnsi="宋体" w:eastAsia="宋体" w:cs="宋体"/>
                <w:color w:val="auto"/>
                <w:sz w:val="24"/>
                <w:szCs w:val="24"/>
              </w:rPr>
              <w:t>且用地范围内不含生态环境保护目标。</w:t>
            </w:r>
          </w:p>
          <w:p w14:paraId="13CADA4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Times New Roman" w:hAnsi="Times New Roman" w:eastAsia="宋体" w:cs="Times New Roman"/>
                <w:b w:val="0"/>
                <w:bCs w:val="0"/>
                <w:color w:val="auto"/>
                <w:sz w:val="24"/>
                <w:szCs w:val="24"/>
                <w:lang w:val="en-US" w:eastAsia="zh-CN"/>
              </w:rPr>
            </w:pPr>
            <w:r>
              <w:rPr>
                <w:rFonts w:hint="eastAsia" w:eastAsia="宋体" w:cs="Times New Roman"/>
                <w:b w:val="0"/>
                <w:bCs w:val="0"/>
                <w:color w:val="auto"/>
                <w:sz w:val="24"/>
                <w:szCs w:val="24"/>
                <w:lang w:val="en-US" w:eastAsia="zh-CN"/>
              </w:rPr>
              <w:t>5</w:t>
            </w:r>
            <w:r>
              <w:rPr>
                <w:rFonts w:hint="eastAsia" w:ascii="Times New Roman" w:hAnsi="Times New Roman" w:eastAsia="宋体" w:cs="Times New Roman"/>
                <w:b w:val="0"/>
                <w:bCs w:val="0"/>
                <w:color w:val="auto"/>
                <w:sz w:val="24"/>
                <w:szCs w:val="24"/>
                <w:lang w:val="en-US" w:eastAsia="zh-CN"/>
              </w:rPr>
              <w:t>、电磁环境质量</w:t>
            </w:r>
          </w:p>
          <w:p w14:paraId="29B2A60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color w:val="auto"/>
              </w:rPr>
            </w:pPr>
            <w:r>
              <w:rPr>
                <w:rFonts w:hint="eastAsia" w:ascii="Times New Roman" w:hAnsi="Times New Roman" w:eastAsia="宋体" w:cs="Times New Roman"/>
                <w:color w:val="auto"/>
                <w:sz w:val="24"/>
                <w:szCs w:val="24"/>
                <w:lang w:val="en-US" w:eastAsia="zh-CN"/>
              </w:rPr>
              <w:t>本项目不涉及电磁环境</w:t>
            </w:r>
            <w:r>
              <w:rPr>
                <w:color w:val="auto"/>
                <w:sz w:val="24"/>
              </w:rPr>
              <w:t>。</w:t>
            </w:r>
          </w:p>
        </w:tc>
      </w:tr>
      <w:tr w14:paraId="1C1C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2" w:hRule="atLeast"/>
          <w:jc w:val="center"/>
        </w:trPr>
        <w:tc>
          <w:tcPr>
            <w:tcW w:w="800" w:type="dxa"/>
            <w:vAlign w:val="center"/>
          </w:tcPr>
          <w:p w14:paraId="5934102A">
            <w:pPr>
              <w:adjustRightInd w:val="0"/>
              <w:snapToGrid w:val="0"/>
              <w:jc w:val="center"/>
              <w:rPr>
                <w:rFonts w:ascii="宋体"/>
                <w:color w:val="auto"/>
                <w:sz w:val="24"/>
                <w:szCs w:val="24"/>
              </w:rPr>
            </w:pPr>
            <w:r>
              <w:rPr>
                <w:rFonts w:hint="eastAsia" w:ascii="宋体" w:hAnsi="宋体" w:cs="宋体"/>
                <w:color w:val="auto"/>
                <w:sz w:val="24"/>
                <w:szCs w:val="24"/>
              </w:rPr>
              <w:t>环境</w:t>
            </w:r>
          </w:p>
          <w:p w14:paraId="08AB8F0C">
            <w:pPr>
              <w:adjustRightInd w:val="0"/>
              <w:snapToGrid w:val="0"/>
              <w:jc w:val="center"/>
              <w:rPr>
                <w:rFonts w:ascii="宋体"/>
                <w:color w:val="auto"/>
                <w:sz w:val="24"/>
                <w:szCs w:val="24"/>
              </w:rPr>
            </w:pPr>
            <w:r>
              <w:rPr>
                <w:rFonts w:hint="eastAsia" w:ascii="宋体" w:hAnsi="宋体" w:cs="宋体"/>
                <w:color w:val="auto"/>
                <w:sz w:val="24"/>
                <w:szCs w:val="24"/>
              </w:rPr>
              <w:t>保护</w:t>
            </w:r>
          </w:p>
          <w:p w14:paraId="7BFDE091">
            <w:pPr>
              <w:adjustRightInd w:val="0"/>
              <w:snapToGrid w:val="0"/>
              <w:jc w:val="center"/>
              <w:rPr>
                <w:rFonts w:ascii="宋体"/>
                <w:color w:val="auto"/>
                <w:sz w:val="24"/>
                <w:szCs w:val="24"/>
              </w:rPr>
            </w:pPr>
            <w:r>
              <w:rPr>
                <w:rFonts w:hint="eastAsia" w:ascii="宋体" w:hAnsi="宋体" w:cs="宋体"/>
                <w:color w:val="auto"/>
                <w:sz w:val="24"/>
                <w:szCs w:val="24"/>
              </w:rPr>
              <w:t>目标</w:t>
            </w:r>
          </w:p>
        </w:tc>
        <w:tc>
          <w:tcPr>
            <w:tcW w:w="8190" w:type="dxa"/>
          </w:tcPr>
          <w:p w14:paraId="64EC575C">
            <w:pPr>
              <w:spacing w:before="240" w:beforeLines="100" w:line="360" w:lineRule="auto"/>
              <w:ind w:firstLine="480" w:firstLineChars="200"/>
              <w:rPr>
                <w:rFonts w:hint="eastAsia" w:eastAsia="宋体"/>
                <w:color w:val="auto"/>
                <w:lang w:eastAsia="zh-CN" w:bidi="ar"/>
              </w:rPr>
            </w:pPr>
            <w:r>
              <w:rPr>
                <w:rFonts w:hint="eastAsia" w:ascii="宋体" w:hAnsi="宋体" w:cs="宋体"/>
                <w:color w:val="auto"/>
                <w:sz w:val="24"/>
                <w:szCs w:val="24"/>
              </w:rPr>
              <w:t>本项目位于</w:t>
            </w:r>
            <w:r>
              <w:rPr>
                <w:rFonts w:hint="eastAsia" w:ascii="宋体" w:hAnsi="宋体" w:cs="宋体"/>
                <w:color w:val="auto"/>
                <w:sz w:val="24"/>
                <w:szCs w:val="24"/>
                <w:lang w:eastAsia="zh-CN"/>
              </w:rPr>
              <w:t>淮北市濉溪县刘桥镇刘桥二矿南500m，</w:t>
            </w:r>
            <w:r>
              <w:rPr>
                <w:rFonts w:hint="eastAsia" w:ascii="宋体" w:hAnsi="宋体" w:cs="宋体"/>
                <w:color w:val="auto"/>
                <w:sz w:val="24"/>
                <w:szCs w:val="24"/>
              </w:rPr>
              <w:t>项目地周边无自然保护区、风景名胜区和文物古迹等特殊保护对象</w:t>
            </w:r>
            <w:r>
              <w:rPr>
                <w:rFonts w:hint="eastAsia" w:ascii="宋体" w:hAnsi="宋体" w:cs="宋体"/>
                <w:color w:val="auto"/>
                <w:sz w:val="24"/>
                <w:szCs w:val="24"/>
                <w:lang w:eastAsia="zh-CN"/>
              </w:rPr>
              <w:t>，</w:t>
            </w:r>
            <w:r>
              <w:rPr>
                <w:rFonts w:hint="eastAsia" w:ascii="宋体" w:hAnsi="宋体" w:cs="宋体"/>
                <w:color w:val="auto"/>
                <w:sz w:val="24"/>
                <w:szCs w:val="24"/>
              </w:rPr>
              <w:t>根据该项目特点及周围环境调查</w:t>
            </w:r>
            <w:r>
              <w:rPr>
                <w:rFonts w:hint="eastAsia" w:ascii="宋体" w:hAnsi="宋体" w:cs="宋体"/>
                <w:color w:val="auto"/>
                <w:sz w:val="24"/>
                <w:szCs w:val="24"/>
                <w:lang w:eastAsia="zh-CN"/>
              </w:rPr>
              <w:t>，</w:t>
            </w:r>
            <w:r>
              <w:rPr>
                <w:rFonts w:hint="eastAsia" w:ascii="宋体" w:hAnsi="宋体" w:cs="宋体"/>
                <w:color w:val="auto"/>
                <w:sz w:val="24"/>
                <w:szCs w:val="24"/>
              </w:rPr>
              <w:t>环境保护对象为项目地周边的水、气、声环境</w:t>
            </w:r>
            <w:r>
              <w:rPr>
                <w:rFonts w:hint="eastAsia" w:ascii="宋体" w:hAnsi="宋体" w:cs="宋体"/>
                <w:color w:val="auto"/>
                <w:sz w:val="24"/>
                <w:szCs w:val="24"/>
                <w:lang w:eastAsia="zh-CN"/>
              </w:rPr>
              <w:t>，</w:t>
            </w:r>
            <w:r>
              <w:rPr>
                <w:rFonts w:hint="eastAsia" w:ascii="宋体" w:hAnsi="宋体" w:cs="宋体"/>
                <w:color w:val="auto"/>
                <w:sz w:val="24"/>
                <w:szCs w:val="24"/>
              </w:rPr>
              <w:t>为保证建设项目所在地不因本项目建设而降低现状环境质量</w:t>
            </w:r>
            <w:r>
              <w:rPr>
                <w:rFonts w:hint="eastAsia" w:ascii="宋体" w:hAnsi="宋体" w:cs="宋体"/>
                <w:color w:val="auto"/>
                <w:sz w:val="24"/>
                <w:szCs w:val="24"/>
                <w:lang w:eastAsia="zh-CN"/>
              </w:rPr>
              <w:t>，</w:t>
            </w:r>
          </w:p>
          <w:p w14:paraId="7428D032">
            <w:pPr>
              <w:pStyle w:val="76"/>
              <w:spacing w:line="360" w:lineRule="auto"/>
              <w:ind w:firstLine="480"/>
              <w:rPr>
                <w:rFonts w:ascii="宋体"/>
                <w:color w:val="auto"/>
              </w:rPr>
            </w:pPr>
            <w:r>
              <w:rPr>
                <w:rFonts w:ascii="宋体" w:hAnsi="宋体" w:cs="宋体"/>
                <w:color w:val="auto"/>
              </w:rPr>
              <w:t>1</w:t>
            </w:r>
            <w:r>
              <w:rPr>
                <w:rFonts w:hint="eastAsia" w:ascii="宋体" w:hAnsi="宋体" w:cs="宋体"/>
                <w:color w:val="auto"/>
              </w:rPr>
              <w:t>、大气环境</w:t>
            </w:r>
          </w:p>
          <w:p w14:paraId="19535D98">
            <w:pPr>
              <w:pStyle w:val="76"/>
              <w:spacing w:line="360" w:lineRule="auto"/>
              <w:ind w:firstLine="480"/>
              <w:rPr>
                <w:rFonts w:ascii="宋体" w:hAnsi="宋体" w:cs="宋体"/>
                <w:color w:val="auto"/>
              </w:rPr>
            </w:pPr>
            <w:r>
              <w:rPr>
                <w:rFonts w:hint="eastAsia" w:ascii="宋体" w:hAnsi="宋体" w:cs="宋体"/>
                <w:color w:val="auto"/>
              </w:rPr>
              <w:t>根据现场勘查</w:t>
            </w:r>
            <w:r>
              <w:rPr>
                <w:rFonts w:hint="eastAsia" w:ascii="宋体" w:hAnsi="宋体" w:cs="宋体"/>
                <w:color w:val="auto"/>
                <w:lang w:eastAsia="zh-CN"/>
              </w:rPr>
              <w:t>，</w:t>
            </w:r>
            <w:r>
              <w:rPr>
                <w:rFonts w:hint="eastAsia" w:ascii="宋体" w:hAnsi="宋体" w:cs="宋体"/>
                <w:color w:val="auto"/>
              </w:rPr>
              <w:t>厂界外</w:t>
            </w:r>
            <w:r>
              <w:rPr>
                <w:rFonts w:ascii="宋体" w:hAnsi="宋体" w:cs="宋体"/>
                <w:color w:val="auto"/>
              </w:rPr>
              <w:t>500</w:t>
            </w:r>
            <w:r>
              <w:rPr>
                <w:rFonts w:hint="eastAsia" w:ascii="宋体" w:hAnsi="宋体" w:cs="宋体"/>
                <w:color w:val="auto"/>
              </w:rPr>
              <w:t>米范围</w:t>
            </w:r>
            <w:r>
              <w:rPr>
                <w:rFonts w:hint="eastAsia" w:ascii="宋体" w:hAnsi="宋体" w:eastAsia="宋体" w:cs="宋体"/>
                <w:color w:val="auto"/>
              </w:rPr>
              <w:t>内有</w:t>
            </w:r>
            <w:r>
              <w:rPr>
                <w:rFonts w:hint="eastAsia"/>
                <w:color w:val="auto"/>
                <w:lang w:eastAsia="zh-CN"/>
              </w:rPr>
              <w:t>振兴小区</w:t>
            </w:r>
            <w:r>
              <w:rPr>
                <w:rFonts w:hint="eastAsia" w:ascii="宋体" w:hAnsi="宋体" w:eastAsia="宋体" w:cs="宋体"/>
                <w:color w:val="auto"/>
              </w:rPr>
              <w:t>等大</w:t>
            </w:r>
            <w:r>
              <w:rPr>
                <w:rFonts w:hint="eastAsia" w:ascii="宋体" w:hAnsi="宋体" w:cs="宋体"/>
                <w:color w:val="auto"/>
              </w:rPr>
              <w:t>气环境保护目标</w:t>
            </w:r>
            <w:r>
              <w:rPr>
                <w:rFonts w:hint="eastAsia" w:ascii="宋体" w:hAnsi="宋体" w:cs="宋体"/>
                <w:color w:val="auto"/>
                <w:lang w:eastAsia="zh-CN"/>
              </w:rPr>
              <w:t>，</w:t>
            </w:r>
            <w:r>
              <w:rPr>
                <w:rFonts w:hint="eastAsia" w:ascii="宋体" w:hAnsi="宋体" w:cs="宋体"/>
                <w:color w:val="auto"/>
              </w:rPr>
              <w:t>具体见下表。</w:t>
            </w:r>
          </w:p>
          <w:p w14:paraId="268A8F14">
            <w:pPr>
              <w:pStyle w:val="46"/>
              <w:spacing w:line="360" w:lineRule="auto"/>
              <w:jc w:val="center"/>
              <w:rPr>
                <w:rFonts w:hAnsi="宋体" w:cs="宋体"/>
                <w:color w:val="auto"/>
                <w:kern w:val="2"/>
                <w:sz w:val="21"/>
                <w:szCs w:val="21"/>
              </w:rPr>
            </w:pPr>
            <w:r>
              <w:rPr>
                <w:rFonts w:hAnsi="宋体" w:cs="宋体"/>
                <w:color w:val="auto"/>
                <w:kern w:val="2"/>
                <w:sz w:val="21"/>
                <w:szCs w:val="21"/>
              </w:rPr>
              <w:t>表</w:t>
            </w:r>
            <w:r>
              <w:rPr>
                <w:rFonts w:hint="eastAsia" w:hAnsi="宋体" w:cs="宋体"/>
                <w:color w:val="auto"/>
                <w:kern w:val="2"/>
                <w:sz w:val="21"/>
                <w:szCs w:val="21"/>
              </w:rPr>
              <w:t>3-3</w:t>
            </w:r>
            <w:r>
              <w:rPr>
                <w:rFonts w:hAnsi="宋体" w:cs="宋体"/>
                <w:color w:val="auto"/>
                <w:kern w:val="2"/>
                <w:sz w:val="21"/>
                <w:szCs w:val="21"/>
              </w:rPr>
              <w:t xml:space="preserve">  环境保护目标一览表</w:t>
            </w:r>
          </w:p>
          <w:tbl>
            <w:tblPr>
              <w:tblStyle w:val="37"/>
              <w:tblpPr w:leftFromText="180" w:rightFromText="180" w:vertAnchor="text" w:horzAnchor="page" w:tblpX="119" w:tblpY="45"/>
              <w:tblOverlap w:val="never"/>
              <w:tblW w:w="8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087"/>
              <w:gridCol w:w="966"/>
              <w:gridCol w:w="1067"/>
              <w:gridCol w:w="922"/>
              <w:gridCol w:w="783"/>
              <w:gridCol w:w="804"/>
              <w:gridCol w:w="1431"/>
            </w:tblGrid>
            <w:tr w14:paraId="7C5B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blHeader/>
              </w:trPr>
              <w:tc>
                <w:tcPr>
                  <w:tcW w:w="956" w:type="dxa"/>
                  <w:vMerge w:val="restart"/>
                  <w:vAlign w:val="center"/>
                </w:tcPr>
                <w:p w14:paraId="0EFF2BBB">
                  <w:pPr>
                    <w:pStyle w:val="75"/>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textAlignment w:val="center"/>
                    <w:rPr>
                      <w:rFonts w:eastAsia="宋体"/>
                      <w:color w:val="auto"/>
                      <w:sz w:val="21"/>
                      <w:szCs w:val="21"/>
                    </w:rPr>
                  </w:pPr>
                  <w:r>
                    <w:rPr>
                      <w:rFonts w:eastAsia="宋体"/>
                      <w:color w:val="auto"/>
                      <w:sz w:val="21"/>
                      <w:szCs w:val="21"/>
                    </w:rPr>
                    <w:t>环境</w:t>
                  </w:r>
                </w:p>
                <w:p w14:paraId="2E978268">
                  <w:pPr>
                    <w:pStyle w:val="75"/>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textAlignment w:val="center"/>
                    <w:rPr>
                      <w:rFonts w:eastAsia="宋体"/>
                      <w:color w:val="auto"/>
                      <w:sz w:val="21"/>
                      <w:szCs w:val="21"/>
                    </w:rPr>
                  </w:pPr>
                  <w:r>
                    <w:rPr>
                      <w:rFonts w:eastAsia="宋体"/>
                      <w:color w:val="auto"/>
                      <w:sz w:val="21"/>
                      <w:szCs w:val="21"/>
                    </w:rPr>
                    <w:t>要素</w:t>
                  </w:r>
                </w:p>
              </w:tc>
              <w:tc>
                <w:tcPr>
                  <w:tcW w:w="1087" w:type="dxa"/>
                  <w:vMerge w:val="restart"/>
                  <w:vAlign w:val="center"/>
                </w:tcPr>
                <w:p w14:paraId="01EC9177">
                  <w:pPr>
                    <w:pStyle w:val="75"/>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textAlignment w:val="center"/>
                    <w:rPr>
                      <w:rFonts w:eastAsia="宋体"/>
                      <w:color w:val="auto"/>
                      <w:sz w:val="21"/>
                      <w:szCs w:val="21"/>
                    </w:rPr>
                  </w:pPr>
                  <w:r>
                    <w:rPr>
                      <w:rFonts w:eastAsia="宋体"/>
                      <w:color w:val="auto"/>
                      <w:sz w:val="21"/>
                      <w:szCs w:val="21"/>
                    </w:rPr>
                    <w:t>保护</w:t>
                  </w:r>
                </w:p>
                <w:p w14:paraId="63692E39">
                  <w:pPr>
                    <w:pStyle w:val="75"/>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textAlignment w:val="center"/>
                    <w:rPr>
                      <w:rFonts w:eastAsia="宋体"/>
                      <w:color w:val="auto"/>
                      <w:sz w:val="21"/>
                      <w:szCs w:val="21"/>
                    </w:rPr>
                  </w:pPr>
                  <w:r>
                    <w:rPr>
                      <w:rFonts w:eastAsia="宋体"/>
                      <w:color w:val="auto"/>
                      <w:sz w:val="21"/>
                      <w:szCs w:val="21"/>
                    </w:rPr>
                    <w:t>目标</w:t>
                  </w:r>
                </w:p>
              </w:tc>
              <w:tc>
                <w:tcPr>
                  <w:tcW w:w="2033" w:type="dxa"/>
                  <w:gridSpan w:val="2"/>
                  <w:vAlign w:val="center"/>
                </w:tcPr>
                <w:p w14:paraId="5D29742E">
                  <w:pPr>
                    <w:pStyle w:val="75"/>
                    <w:spacing w:line="240" w:lineRule="auto"/>
                    <w:ind w:firstLine="0" w:firstLineChars="0"/>
                    <w:textAlignment w:val="center"/>
                    <w:rPr>
                      <w:rFonts w:eastAsia="宋体"/>
                      <w:color w:val="auto"/>
                      <w:sz w:val="21"/>
                      <w:szCs w:val="21"/>
                    </w:rPr>
                  </w:pPr>
                  <w:r>
                    <w:rPr>
                      <w:rFonts w:eastAsia="宋体"/>
                      <w:color w:val="auto"/>
                      <w:sz w:val="21"/>
                      <w:szCs w:val="21"/>
                    </w:rPr>
                    <w:t>经纬度坐标/°</w:t>
                  </w:r>
                </w:p>
              </w:tc>
              <w:tc>
                <w:tcPr>
                  <w:tcW w:w="922" w:type="dxa"/>
                  <w:vMerge w:val="restart"/>
                  <w:vAlign w:val="center"/>
                </w:tcPr>
                <w:p w14:paraId="3343EDEF">
                  <w:pPr>
                    <w:pStyle w:val="75"/>
                    <w:spacing w:line="240" w:lineRule="auto"/>
                    <w:ind w:firstLine="0" w:firstLineChars="0"/>
                    <w:textAlignment w:val="center"/>
                    <w:rPr>
                      <w:rFonts w:eastAsia="宋体"/>
                      <w:color w:val="auto"/>
                      <w:sz w:val="21"/>
                      <w:szCs w:val="21"/>
                    </w:rPr>
                  </w:pPr>
                  <w:r>
                    <w:rPr>
                      <w:rFonts w:eastAsia="宋体"/>
                      <w:color w:val="auto"/>
                      <w:sz w:val="21"/>
                      <w:szCs w:val="21"/>
                    </w:rPr>
                    <w:t>保护内容/人</w:t>
                  </w:r>
                </w:p>
              </w:tc>
              <w:tc>
                <w:tcPr>
                  <w:tcW w:w="783" w:type="dxa"/>
                  <w:vMerge w:val="restart"/>
                  <w:vAlign w:val="center"/>
                </w:tcPr>
                <w:p w14:paraId="174FB5F0">
                  <w:pPr>
                    <w:pStyle w:val="75"/>
                    <w:spacing w:line="240" w:lineRule="auto"/>
                    <w:ind w:firstLine="0" w:firstLineChars="0"/>
                    <w:textAlignment w:val="center"/>
                    <w:rPr>
                      <w:rFonts w:eastAsia="宋体"/>
                      <w:color w:val="auto"/>
                      <w:sz w:val="21"/>
                      <w:szCs w:val="21"/>
                    </w:rPr>
                  </w:pPr>
                  <w:r>
                    <w:rPr>
                      <w:rFonts w:eastAsia="宋体"/>
                      <w:color w:val="auto"/>
                      <w:sz w:val="21"/>
                      <w:szCs w:val="21"/>
                    </w:rPr>
                    <w:t>方位</w:t>
                  </w:r>
                </w:p>
              </w:tc>
              <w:tc>
                <w:tcPr>
                  <w:tcW w:w="804" w:type="dxa"/>
                  <w:vMerge w:val="restart"/>
                  <w:vAlign w:val="center"/>
                </w:tcPr>
                <w:p w14:paraId="21FBA331">
                  <w:pPr>
                    <w:pStyle w:val="75"/>
                    <w:spacing w:line="240" w:lineRule="auto"/>
                    <w:ind w:firstLine="0" w:firstLineChars="0"/>
                    <w:textAlignment w:val="center"/>
                    <w:rPr>
                      <w:rFonts w:eastAsia="宋体"/>
                      <w:color w:val="auto"/>
                      <w:sz w:val="21"/>
                      <w:szCs w:val="21"/>
                    </w:rPr>
                  </w:pPr>
                  <w:r>
                    <w:rPr>
                      <w:rFonts w:eastAsia="宋体"/>
                      <w:color w:val="auto"/>
                      <w:sz w:val="21"/>
                      <w:szCs w:val="21"/>
                    </w:rPr>
                    <w:t>距厂界离（m）</w:t>
                  </w:r>
                </w:p>
              </w:tc>
              <w:tc>
                <w:tcPr>
                  <w:tcW w:w="1431" w:type="dxa"/>
                  <w:vMerge w:val="restart"/>
                  <w:vAlign w:val="center"/>
                </w:tcPr>
                <w:p w14:paraId="7C787C28">
                  <w:pPr>
                    <w:pStyle w:val="75"/>
                    <w:spacing w:line="240" w:lineRule="auto"/>
                    <w:ind w:firstLine="0" w:firstLineChars="0"/>
                    <w:textAlignment w:val="center"/>
                    <w:rPr>
                      <w:rFonts w:eastAsia="宋体"/>
                      <w:color w:val="auto"/>
                      <w:sz w:val="21"/>
                      <w:szCs w:val="21"/>
                    </w:rPr>
                  </w:pPr>
                  <w:r>
                    <w:rPr>
                      <w:rFonts w:eastAsia="宋体"/>
                      <w:color w:val="auto"/>
                      <w:sz w:val="21"/>
                      <w:szCs w:val="21"/>
                    </w:rPr>
                    <w:t>环境功能及保护级别</w:t>
                  </w:r>
                </w:p>
              </w:tc>
            </w:tr>
            <w:tr w14:paraId="61CD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blHeader/>
              </w:trPr>
              <w:tc>
                <w:tcPr>
                  <w:tcW w:w="956" w:type="dxa"/>
                  <w:vMerge w:val="continue"/>
                  <w:vAlign w:val="center"/>
                </w:tcPr>
                <w:p w14:paraId="13891ABE">
                  <w:pPr>
                    <w:jc w:val="center"/>
                    <w:rPr>
                      <w:b/>
                      <w:bCs/>
                      <w:color w:val="auto"/>
                    </w:rPr>
                  </w:pPr>
                </w:p>
              </w:tc>
              <w:tc>
                <w:tcPr>
                  <w:tcW w:w="1087" w:type="dxa"/>
                  <w:vMerge w:val="continue"/>
                  <w:vAlign w:val="center"/>
                </w:tcPr>
                <w:p w14:paraId="2F06CD62">
                  <w:pPr>
                    <w:jc w:val="center"/>
                    <w:rPr>
                      <w:b/>
                      <w:bCs/>
                      <w:color w:val="auto"/>
                    </w:rPr>
                  </w:pPr>
                </w:p>
              </w:tc>
              <w:tc>
                <w:tcPr>
                  <w:tcW w:w="966" w:type="dxa"/>
                  <w:vAlign w:val="center"/>
                </w:tcPr>
                <w:p w14:paraId="36916C2D">
                  <w:pPr>
                    <w:pStyle w:val="75"/>
                    <w:spacing w:line="240" w:lineRule="auto"/>
                    <w:ind w:firstLine="0" w:firstLineChars="0"/>
                    <w:textAlignment w:val="center"/>
                    <w:rPr>
                      <w:rFonts w:eastAsia="宋体"/>
                      <w:color w:val="auto"/>
                      <w:sz w:val="21"/>
                      <w:szCs w:val="21"/>
                    </w:rPr>
                  </w:pPr>
                  <w:r>
                    <w:rPr>
                      <w:rFonts w:eastAsia="宋体"/>
                      <w:color w:val="auto"/>
                      <w:sz w:val="21"/>
                      <w:szCs w:val="21"/>
                    </w:rPr>
                    <w:t>经度/E</w:t>
                  </w:r>
                </w:p>
              </w:tc>
              <w:tc>
                <w:tcPr>
                  <w:tcW w:w="1067" w:type="dxa"/>
                  <w:vAlign w:val="center"/>
                </w:tcPr>
                <w:p w14:paraId="3924D489">
                  <w:pPr>
                    <w:pStyle w:val="75"/>
                    <w:spacing w:line="240" w:lineRule="auto"/>
                    <w:ind w:firstLine="0" w:firstLineChars="0"/>
                    <w:textAlignment w:val="center"/>
                    <w:rPr>
                      <w:rFonts w:eastAsia="宋体"/>
                      <w:color w:val="auto"/>
                      <w:sz w:val="21"/>
                      <w:szCs w:val="21"/>
                    </w:rPr>
                  </w:pPr>
                  <w:r>
                    <w:rPr>
                      <w:rFonts w:eastAsia="宋体"/>
                      <w:color w:val="auto"/>
                      <w:sz w:val="21"/>
                      <w:szCs w:val="21"/>
                    </w:rPr>
                    <w:t>纬度/N</w:t>
                  </w:r>
                </w:p>
              </w:tc>
              <w:tc>
                <w:tcPr>
                  <w:tcW w:w="922" w:type="dxa"/>
                  <w:vMerge w:val="continue"/>
                  <w:vAlign w:val="center"/>
                </w:tcPr>
                <w:p w14:paraId="10D9CE62">
                  <w:pPr>
                    <w:jc w:val="center"/>
                    <w:rPr>
                      <w:b/>
                      <w:bCs/>
                      <w:color w:val="auto"/>
                    </w:rPr>
                  </w:pPr>
                </w:p>
              </w:tc>
              <w:tc>
                <w:tcPr>
                  <w:tcW w:w="783" w:type="dxa"/>
                  <w:vMerge w:val="continue"/>
                  <w:vAlign w:val="center"/>
                </w:tcPr>
                <w:p w14:paraId="422B8E6C">
                  <w:pPr>
                    <w:jc w:val="center"/>
                    <w:rPr>
                      <w:b/>
                      <w:bCs/>
                      <w:color w:val="auto"/>
                    </w:rPr>
                  </w:pPr>
                </w:p>
              </w:tc>
              <w:tc>
                <w:tcPr>
                  <w:tcW w:w="804" w:type="dxa"/>
                  <w:vMerge w:val="continue"/>
                  <w:vAlign w:val="center"/>
                </w:tcPr>
                <w:p w14:paraId="4DC97BBC">
                  <w:pPr>
                    <w:jc w:val="center"/>
                    <w:rPr>
                      <w:b/>
                      <w:bCs/>
                      <w:color w:val="auto"/>
                    </w:rPr>
                  </w:pPr>
                </w:p>
              </w:tc>
              <w:tc>
                <w:tcPr>
                  <w:tcW w:w="1431" w:type="dxa"/>
                  <w:vMerge w:val="continue"/>
                  <w:vAlign w:val="center"/>
                </w:tcPr>
                <w:p w14:paraId="7F2A0538">
                  <w:pPr>
                    <w:jc w:val="center"/>
                    <w:rPr>
                      <w:b/>
                      <w:bCs/>
                      <w:color w:val="auto"/>
                    </w:rPr>
                  </w:pPr>
                </w:p>
              </w:tc>
            </w:tr>
            <w:tr w14:paraId="18FF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56" w:type="dxa"/>
                  <w:vAlign w:val="center"/>
                </w:tcPr>
                <w:p w14:paraId="5082361E">
                  <w:pPr>
                    <w:pStyle w:val="131"/>
                    <w:rPr>
                      <w:rFonts w:ascii="Times New Roman"/>
                      <w:color w:val="auto"/>
                      <w:szCs w:val="21"/>
                    </w:rPr>
                  </w:pPr>
                  <w:r>
                    <w:rPr>
                      <w:rFonts w:ascii="Times New Roman"/>
                      <w:color w:val="auto"/>
                      <w:szCs w:val="21"/>
                    </w:rPr>
                    <w:t>大气</w:t>
                  </w:r>
                </w:p>
                <w:p w14:paraId="29C5EE3F">
                  <w:pPr>
                    <w:pStyle w:val="131"/>
                    <w:rPr>
                      <w:rFonts w:ascii="Times New Roman"/>
                      <w:color w:val="auto"/>
                      <w:szCs w:val="21"/>
                    </w:rPr>
                  </w:pPr>
                  <w:r>
                    <w:rPr>
                      <w:rFonts w:ascii="Times New Roman"/>
                      <w:color w:val="auto"/>
                      <w:szCs w:val="21"/>
                    </w:rPr>
                    <w:t>环境</w:t>
                  </w:r>
                </w:p>
              </w:tc>
              <w:tc>
                <w:tcPr>
                  <w:tcW w:w="1087" w:type="dxa"/>
                  <w:vAlign w:val="center"/>
                </w:tcPr>
                <w:p w14:paraId="7D1A2A12">
                  <w:pPr>
                    <w:jc w:val="center"/>
                    <w:rPr>
                      <w:color w:val="auto"/>
                    </w:rPr>
                  </w:pPr>
                  <w:r>
                    <w:rPr>
                      <w:rFonts w:hint="eastAsia"/>
                      <w:color w:val="auto"/>
                      <w:lang w:eastAsia="zh-CN"/>
                    </w:rPr>
                    <w:t>振兴小区</w:t>
                  </w:r>
                </w:p>
              </w:tc>
              <w:tc>
                <w:tcPr>
                  <w:tcW w:w="966" w:type="dxa"/>
                  <w:vAlign w:val="center"/>
                </w:tcPr>
                <w:p w14:paraId="51A759EA">
                  <w:pPr>
                    <w:jc w:val="center"/>
                    <w:rPr>
                      <w:color w:val="auto"/>
                    </w:rPr>
                  </w:pPr>
                  <w:r>
                    <w:rPr>
                      <w:rFonts w:hint="eastAsia"/>
                      <w:color w:val="auto"/>
                    </w:rPr>
                    <w:t>116.662743</w:t>
                  </w:r>
                </w:p>
              </w:tc>
              <w:tc>
                <w:tcPr>
                  <w:tcW w:w="1067" w:type="dxa"/>
                  <w:vAlign w:val="center"/>
                </w:tcPr>
                <w:p w14:paraId="74D86F5E">
                  <w:pPr>
                    <w:jc w:val="center"/>
                    <w:rPr>
                      <w:color w:val="auto"/>
                    </w:rPr>
                  </w:pPr>
                  <w:r>
                    <w:rPr>
                      <w:rFonts w:hint="eastAsia"/>
                      <w:color w:val="auto"/>
                    </w:rPr>
                    <w:t>33.92893</w:t>
                  </w:r>
                  <w:r>
                    <w:rPr>
                      <w:rFonts w:hint="eastAsia"/>
                      <w:color w:val="auto"/>
                      <w:lang w:val="en-US" w:eastAsia="zh-CN"/>
                    </w:rPr>
                    <w:t>2</w:t>
                  </w:r>
                </w:p>
              </w:tc>
              <w:tc>
                <w:tcPr>
                  <w:tcW w:w="922" w:type="dxa"/>
                  <w:vAlign w:val="center"/>
                </w:tcPr>
                <w:p w14:paraId="26FBD157">
                  <w:pPr>
                    <w:jc w:val="center"/>
                    <w:rPr>
                      <w:color w:val="auto"/>
                    </w:rPr>
                  </w:pPr>
                  <w:r>
                    <w:rPr>
                      <w:rFonts w:hint="eastAsia"/>
                      <w:color w:val="auto"/>
                      <w:lang w:val="en-US" w:eastAsia="zh-CN"/>
                    </w:rPr>
                    <w:t>450</w:t>
                  </w:r>
                  <w:r>
                    <w:rPr>
                      <w:rFonts w:hint="eastAsia"/>
                      <w:color w:val="auto"/>
                    </w:rPr>
                    <w:t>人</w:t>
                  </w:r>
                </w:p>
              </w:tc>
              <w:tc>
                <w:tcPr>
                  <w:tcW w:w="783" w:type="dxa"/>
                  <w:vAlign w:val="center"/>
                </w:tcPr>
                <w:p w14:paraId="0F4673FF">
                  <w:pPr>
                    <w:jc w:val="center"/>
                    <w:rPr>
                      <w:rFonts w:hint="eastAsia" w:eastAsia="宋体"/>
                      <w:color w:val="auto"/>
                      <w:lang w:val="en-US" w:eastAsia="zh-CN"/>
                    </w:rPr>
                  </w:pPr>
                  <w:r>
                    <w:rPr>
                      <w:rFonts w:hint="eastAsia"/>
                      <w:color w:val="auto"/>
                      <w:lang w:val="en-US" w:eastAsia="zh-CN"/>
                    </w:rPr>
                    <w:t>NE</w:t>
                  </w:r>
                </w:p>
              </w:tc>
              <w:tc>
                <w:tcPr>
                  <w:tcW w:w="804" w:type="dxa"/>
                  <w:vAlign w:val="center"/>
                </w:tcPr>
                <w:p w14:paraId="15E14107">
                  <w:pPr>
                    <w:jc w:val="center"/>
                    <w:rPr>
                      <w:rFonts w:hint="default" w:eastAsia="宋体"/>
                      <w:color w:val="auto"/>
                      <w:lang w:val="en-US" w:eastAsia="zh-CN"/>
                    </w:rPr>
                  </w:pPr>
                  <w:r>
                    <w:rPr>
                      <w:rFonts w:hint="eastAsia"/>
                      <w:color w:val="auto"/>
                      <w:lang w:val="en-US" w:eastAsia="zh-CN"/>
                    </w:rPr>
                    <w:t>350</w:t>
                  </w:r>
                </w:p>
              </w:tc>
              <w:tc>
                <w:tcPr>
                  <w:tcW w:w="1431" w:type="dxa"/>
                  <w:vAlign w:val="center"/>
                </w:tcPr>
                <w:p w14:paraId="04E9AB1D">
                  <w:pPr>
                    <w:pStyle w:val="131"/>
                    <w:rPr>
                      <w:rFonts w:ascii="Times New Roman"/>
                      <w:color w:val="auto"/>
                      <w:szCs w:val="21"/>
                    </w:rPr>
                  </w:pPr>
                  <w:r>
                    <w:rPr>
                      <w:rFonts w:ascii="Times New Roman"/>
                      <w:color w:val="auto"/>
                      <w:szCs w:val="21"/>
                    </w:rPr>
                    <w:t>GB3095-2012</w:t>
                  </w:r>
                </w:p>
                <w:p w14:paraId="47C26FE8">
                  <w:pPr>
                    <w:pStyle w:val="131"/>
                    <w:rPr>
                      <w:rFonts w:ascii="Times New Roman"/>
                      <w:color w:val="auto"/>
                      <w:szCs w:val="21"/>
                    </w:rPr>
                  </w:pPr>
                  <w:r>
                    <w:rPr>
                      <w:rFonts w:ascii="Times New Roman"/>
                      <w:color w:val="auto"/>
                      <w:szCs w:val="21"/>
                    </w:rPr>
                    <w:t>二级标准</w:t>
                  </w:r>
                </w:p>
              </w:tc>
            </w:tr>
          </w:tbl>
          <w:p w14:paraId="7443DC1E">
            <w:pPr>
              <w:pStyle w:val="76"/>
              <w:spacing w:line="360" w:lineRule="auto"/>
              <w:ind w:left="479" w:leftChars="228" w:firstLine="0" w:firstLineChars="0"/>
              <w:rPr>
                <w:rFonts w:ascii="宋体"/>
                <w:color w:val="auto"/>
              </w:rPr>
            </w:pPr>
            <w:r>
              <w:rPr>
                <w:rFonts w:ascii="宋体" w:hAnsi="宋体" w:cs="宋体"/>
                <w:color w:val="auto"/>
              </w:rPr>
              <w:br w:type="textWrapping"/>
            </w:r>
            <w:r>
              <w:rPr>
                <w:rFonts w:ascii="宋体" w:hAnsi="宋体" w:cs="宋体"/>
                <w:color w:val="auto"/>
              </w:rPr>
              <w:t>2</w:t>
            </w:r>
            <w:r>
              <w:rPr>
                <w:rFonts w:hint="eastAsia" w:ascii="宋体" w:hAnsi="宋体" w:cs="宋体"/>
                <w:color w:val="auto"/>
              </w:rPr>
              <w:t>、声环境</w:t>
            </w:r>
          </w:p>
          <w:p w14:paraId="5C2DFABE">
            <w:pPr>
              <w:pStyle w:val="76"/>
              <w:spacing w:line="360" w:lineRule="auto"/>
              <w:ind w:firstLine="480"/>
              <w:rPr>
                <w:rFonts w:ascii="宋体"/>
                <w:color w:val="auto"/>
              </w:rPr>
            </w:pPr>
            <w:r>
              <w:rPr>
                <w:rFonts w:hint="eastAsia" w:ascii="宋体" w:hAnsi="宋体" w:cs="宋体"/>
                <w:color w:val="auto"/>
              </w:rPr>
              <w:t>根据现场勘查</w:t>
            </w:r>
            <w:r>
              <w:rPr>
                <w:rFonts w:hint="eastAsia" w:ascii="宋体" w:hAnsi="宋体" w:cs="宋体"/>
                <w:color w:val="auto"/>
                <w:lang w:eastAsia="zh-CN"/>
              </w:rPr>
              <w:t>，</w:t>
            </w:r>
            <w:r>
              <w:rPr>
                <w:rFonts w:hint="eastAsia" w:ascii="宋体" w:hAnsi="宋体" w:cs="宋体"/>
                <w:color w:val="auto"/>
              </w:rPr>
              <w:t>厂界外</w:t>
            </w:r>
            <w:r>
              <w:rPr>
                <w:rFonts w:ascii="宋体" w:hAnsi="宋体" w:cs="宋体"/>
                <w:color w:val="auto"/>
              </w:rPr>
              <w:t>50</w:t>
            </w:r>
            <w:r>
              <w:rPr>
                <w:rFonts w:hint="eastAsia" w:ascii="宋体" w:hAnsi="宋体" w:cs="宋体"/>
                <w:color w:val="auto"/>
              </w:rPr>
              <w:t>米范围内没有声环境保护目标。</w:t>
            </w:r>
          </w:p>
          <w:p w14:paraId="358C0B28">
            <w:pPr>
              <w:pStyle w:val="76"/>
              <w:spacing w:line="360" w:lineRule="auto"/>
              <w:ind w:firstLine="480"/>
              <w:rPr>
                <w:rFonts w:ascii="宋体"/>
                <w:color w:val="auto"/>
              </w:rPr>
            </w:pPr>
            <w:r>
              <w:rPr>
                <w:rFonts w:ascii="宋体" w:hAnsi="宋体" w:cs="宋体"/>
                <w:color w:val="auto"/>
              </w:rPr>
              <w:t>3</w:t>
            </w:r>
            <w:r>
              <w:rPr>
                <w:rFonts w:hint="eastAsia" w:ascii="宋体" w:hAnsi="宋体" w:cs="宋体"/>
                <w:color w:val="auto"/>
              </w:rPr>
              <w:t>、地表水环境</w:t>
            </w:r>
          </w:p>
          <w:p w14:paraId="0425C494">
            <w:pPr>
              <w:pStyle w:val="46"/>
              <w:spacing w:line="360" w:lineRule="auto"/>
              <w:jc w:val="center"/>
              <w:rPr>
                <w:rFonts w:hAnsi="宋体" w:cs="宋体"/>
                <w:color w:val="auto"/>
                <w:kern w:val="2"/>
                <w:sz w:val="21"/>
                <w:szCs w:val="21"/>
              </w:rPr>
            </w:pPr>
            <w:r>
              <w:rPr>
                <w:rFonts w:hint="eastAsia" w:hAnsi="宋体" w:cs="宋体"/>
                <w:color w:val="auto"/>
                <w:kern w:val="2"/>
                <w:sz w:val="21"/>
                <w:szCs w:val="21"/>
              </w:rPr>
              <w:t>表</w:t>
            </w:r>
            <w:r>
              <w:rPr>
                <w:rFonts w:hAnsi="宋体" w:cs="宋体"/>
                <w:color w:val="auto"/>
                <w:kern w:val="2"/>
                <w:sz w:val="21"/>
                <w:szCs w:val="21"/>
              </w:rPr>
              <w:t>3-</w:t>
            </w:r>
            <w:r>
              <w:rPr>
                <w:rFonts w:hint="eastAsia" w:hAnsi="宋体" w:cs="宋体"/>
                <w:color w:val="auto"/>
                <w:kern w:val="2"/>
                <w:sz w:val="21"/>
                <w:szCs w:val="21"/>
                <w:lang w:val="en-US" w:eastAsia="zh-CN"/>
              </w:rPr>
              <w:t>4</w:t>
            </w:r>
            <w:r>
              <w:rPr>
                <w:rFonts w:hAnsi="宋体" w:cs="宋体"/>
                <w:color w:val="auto"/>
                <w:kern w:val="2"/>
                <w:sz w:val="21"/>
                <w:szCs w:val="21"/>
              </w:rPr>
              <w:t xml:space="preserve">  </w:t>
            </w:r>
            <w:r>
              <w:rPr>
                <w:rFonts w:hint="eastAsia" w:hAnsi="宋体" w:cs="宋体"/>
                <w:color w:val="auto"/>
                <w:kern w:val="2"/>
                <w:sz w:val="21"/>
                <w:szCs w:val="21"/>
              </w:rPr>
              <w:t>水环境保护目标一览表</w:t>
            </w:r>
          </w:p>
          <w:tbl>
            <w:tblPr>
              <w:tblStyle w:val="37"/>
              <w:tblW w:w="8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0"/>
              <w:gridCol w:w="1476"/>
              <w:gridCol w:w="1477"/>
              <w:gridCol w:w="1394"/>
              <w:gridCol w:w="2542"/>
            </w:tblGrid>
            <w:tr w14:paraId="267A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jc w:val="center"/>
              </w:trPr>
              <w:tc>
                <w:tcPr>
                  <w:tcW w:w="1130" w:type="dxa"/>
                  <w:tcBorders>
                    <w:top w:val="single" w:color="auto" w:sz="4" w:space="0"/>
                    <w:left w:val="single" w:color="auto" w:sz="4" w:space="0"/>
                    <w:bottom w:val="single" w:color="auto" w:sz="4" w:space="0"/>
                    <w:right w:val="single" w:color="auto" w:sz="4" w:space="0"/>
                  </w:tcBorders>
                  <w:vAlign w:val="center"/>
                </w:tcPr>
                <w:p w14:paraId="1F74BECB">
                  <w:pPr>
                    <w:kinsoku w:val="0"/>
                    <w:overflowPunct w:val="0"/>
                    <w:autoSpaceDE w:val="0"/>
                    <w:autoSpaceDN w:val="0"/>
                    <w:adjustRightInd w:val="0"/>
                    <w:snapToGrid w:val="0"/>
                    <w:jc w:val="center"/>
                    <w:rPr>
                      <w:color w:val="auto"/>
                      <w:sz w:val="22"/>
                      <w:szCs w:val="22"/>
                    </w:rPr>
                  </w:pPr>
                  <w:r>
                    <w:rPr>
                      <w:rFonts w:hint="eastAsia" w:cs="宋体"/>
                      <w:color w:val="auto"/>
                      <w:sz w:val="22"/>
                      <w:szCs w:val="22"/>
                    </w:rPr>
                    <w:t>环境要素</w:t>
                  </w:r>
                </w:p>
              </w:tc>
              <w:tc>
                <w:tcPr>
                  <w:tcW w:w="1476" w:type="dxa"/>
                  <w:tcBorders>
                    <w:top w:val="single" w:color="auto" w:sz="4" w:space="0"/>
                    <w:left w:val="single" w:color="auto" w:sz="4" w:space="0"/>
                    <w:bottom w:val="single" w:color="auto" w:sz="4" w:space="0"/>
                    <w:right w:val="single" w:color="auto" w:sz="4" w:space="0"/>
                  </w:tcBorders>
                  <w:vAlign w:val="center"/>
                </w:tcPr>
                <w:p w14:paraId="45661A04">
                  <w:pPr>
                    <w:kinsoku w:val="0"/>
                    <w:overflowPunct w:val="0"/>
                    <w:autoSpaceDE w:val="0"/>
                    <w:autoSpaceDN w:val="0"/>
                    <w:adjustRightInd w:val="0"/>
                    <w:snapToGrid w:val="0"/>
                    <w:jc w:val="center"/>
                    <w:rPr>
                      <w:color w:val="auto"/>
                      <w:sz w:val="22"/>
                      <w:szCs w:val="22"/>
                    </w:rPr>
                  </w:pPr>
                  <w:r>
                    <w:rPr>
                      <w:rFonts w:hint="eastAsia" w:cs="宋体"/>
                      <w:color w:val="auto"/>
                      <w:sz w:val="22"/>
                      <w:szCs w:val="22"/>
                    </w:rPr>
                    <w:t>环境保护对象</w:t>
                  </w:r>
                </w:p>
                <w:p w14:paraId="793A34FD">
                  <w:pPr>
                    <w:kinsoku w:val="0"/>
                    <w:overflowPunct w:val="0"/>
                    <w:autoSpaceDE w:val="0"/>
                    <w:autoSpaceDN w:val="0"/>
                    <w:adjustRightInd w:val="0"/>
                    <w:snapToGrid w:val="0"/>
                    <w:jc w:val="center"/>
                    <w:rPr>
                      <w:color w:val="auto"/>
                      <w:sz w:val="22"/>
                      <w:szCs w:val="22"/>
                    </w:rPr>
                  </w:pPr>
                  <w:r>
                    <w:rPr>
                      <w:rFonts w:hint="eastAsia" w:cs="宋体"/>
                      <w:color w:val="auto"/>
                      <w:sz w:val="22"/>
                      <w:szCs w:val="22"/>
                    </w:rPr>
                    <w:t>名称</w:t>
                  </w:r>
                </w:p>
              </w:tc>
              <w:tc>
                <w:tcPr>
                  <w:tcW w:w="1477" w:type="dxa"/>
                  <w:tcBorders>
                    <w:top w:val="single" w:color="auto" w:sz="4" w:space="0"/>
                    <w:left w:val="single" w:color="auto" w:sz="4" w:space="0"/>
                    <w:bottom w:val="single" w:color="auto" w:sz="4" w:space="0"/>
                    <w:right w:val="single" w:color="auto" w:sz="4" w:space="0"/>
                  </w:tcBorders>
                  <w:vAlign w:val="center"/>
                </w:tcPr>
                <w:p w14:paraId="66EB935B">
                  <w:pPr>
                    <w:kinsoku w:val="0"/>
                    <w:overflowPunct w:val="0"/>
                    <w:autoSpaceDE w:val="0"/>
                    <w:autoSpaceDN w:val="0"/>
                    <w:adjustRightInd w:val="0"/>
                    <w:snapToGrid w:val="0"/>
                    <w:jc w:val="center"/>
                    <w:rPr>
                      <w:rFonts w:hint="eastAsia" w:eastAsia="宋体"/>
                      <w:color w:val="auto"/>
                      <w:sz w:val="22"/>
                      <w:szCs w:val="22"/>
                      <w:lang w:eastAsia="zh-CN"/>
                    </w:rPr>
                  </w:pPr>
                  <w:r>
                    <w:rPr>
                      <w:rFonts w:hint="eastAsia" w:cs="宋体"/>
                      <w:color w:val="auto"/>
                      <w:sz w:val="22"/>
                      <w:szCs w:val="22"/>
                    </w:rPr>
                    <w:t>方位</w:t>
                  </w:r>
                  <w:r>
                    <w:rPr>
                      <w:color w:val="auto"/>
                      <w:sz w:val="22"/>
                      <w:szCs w:val="22"/>
                    </w:rPr>
                    <w:t>/</w:t>
                  </w:r>
                  <w:r>
                    <w:rPr>
                      <w:rFonts w:hint="eastAsia" w:cs="宋体"/>
                      <w:color w:val="auto"/>
                      <w:sz w:val="22"/>
                      <w:szCs w:val="22"/>
                    </w:rPr>
                    <w:t>距离</w:t>
                  </w:r>
                  <w:r>
                    <w:rPr>
                      <w:rFonts w:hint="eastAsia"/>
                      <w:color w:val="auto"/>
                      <w:sz w:val="22"/>
                      <w:szCs w:val="22"/>
                      <w:lang w:eastAsia="zh-CN"/>
                    </w:rPr>
                    <w:t>（</w:t>
                  </w:r>
                  <w:r>
                    <w:rPr>
                      <w:color w:val="auto"/>
                      <w:sz w:val="22"/>
                      <w:szCs w:val="22"/>
                    </w:rPr>
                    <w:t>m</w:t>
                  </w:r>
                  <w:r>
                    <w:rPr>
                      <w:rFonts w:hint="eastAsia"/>
                      <w:color w:val="auto"/>
                      <w:sz w:val="22"/>
                      <w:szCs w:val="22"/>
                      <w:lang w:eastAsia="zh-CN"/>
                    </w:rPr>
                    <w:t>）</w:t>
                  </w:r>
                </w:p>
              </w:tc>
              <w:tc>
                <w:tcPr>
                  <w:tcW w:w="1394" w:type="dxa"/>
                  <w:tcBorders>
                    <w:top w:val="single" w:color="auto" w:sz="4" w:space="0"/>
                    <w:left w:val="single" w:color="auto" w:sz="4" w:space="0"/>
                    <w:bottom w:val="single" w:color="auto" w:sz="4" w:space="0"/>
                    <w:right w:val="single" w:color="auto" w:sz="4" w:space="0"/>
                  </w:tcBorders>
                  <w:vAlign w:val="center"/>
                </w:tcPr>
                <w:p w14:paraId="1EBA6159">
                  <w:pPr>
                    <w:kinsoku w:val="0"/>
                    <w:overflowPunct w:val="0"/>
                    <w:autoSpaceDE w:val="0"/>
                    <w:autoSpaceDN w:val="0"/>
                    <w:adjustRightInd w:val="0"/>
                    <w:snapToGrid w:val="0"/>
                    <w:jc w:val="center"/>
                    <w:rPr>
                      <w:color w:val="auto"/>
                      <w:sz w:val="22"/>
                      <w:szCs w:val="22"/>
                    </w:rPr>
                  </w:pPr>
                  <w:r>
                    <w:rPr>
                      <w:rFonts w:hint="eastAsia" w:cs="宋体"/>
                      <w:color w:val="auto"/>
                      <w:sz w:val="22"/>
                      <w:szCs w:val="22"/>
                    </w:rPr>
                    <w:t>规模</w:t>
                  </w:r>
                </w:p>
              </w:tc>
              <w:tc>
                <w:tcPr>
                  <w:tcW w:w="2542" w:type="dxa"/>
                  <w:tcBorders>
                    <w:top w:val="single" w:color="auto" w:sz="4" w:space="0"/>
                    <w:left w:val="single" w:color="auto" w:sz="4" w:space="0"/>
                    <w:bottom w:val="single" w:color="auto" w:sz="4" w:space="0"/>
                    <w:right w:val="single" w:color="auto" w:sz="4" w:space="0"/>
                  </w:tcBorders>
                  <w:vAlign w:val="center"/>
                </w:tcPr>
                <w:p w14:paraId="2D1F1010">
                  <w:pPr>
                    <w:kinsoku w:val="0"/>
                    <w:overflowPunct w:val="0"/>
                    <w:autoSpaceDE w:val="0"/>
                    <w:autoSpaceDN w:val="0"/>
                    <w:adjustRightInd w:val="0"/>
                    <w:snapToGrid w:val="0"/>
                    <w:jc w:val="center"/>
                    <w:rPr>
                      <w:color w:val="auto"/>
                      <w:sz w:val="22"/>
                      <w:szCs w:val="22"/>
                    </w:rPr>
                  </w:pPr>
                  <w:r>
                    <w:rPr>
                      <w:rFonts w:hint="eastAsia" w:cs="宋体"/>
                      <w:color w:val="auto"/>
                      <w:sz w:val="22"/>
                      <w:szCs w:val="22"/>
                    </w:rPr>
                    <w:t>执行标准</w:t>
                  </w:r>
                </w:p>
              </w:tc>
            </w:tr>
            <w:tr w14:paraId="7230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jc w:val="center"/>
              </w:trPr>
              <w:tc>
                <w:tcPr>
                  <w:tcW w:w="1130" w:type="dxa"/>
                  <w:vMerge w:val="restart"/>
                  <w:tcBorders>
                    <w:top w:val="single" w:color="auto" w:sz="4" w:space="0"/>
                    <w:left w:val="single" w:color="auto" w:sz="4" w:space="0"/>
                    <w:right w:val="single" w:color="auto" w:sz="4" w:space="0"/>
                  </w:tcBorders>
                  <w:vAlign w:val="center"/>
                </w:tcPr>
                <w:p w14:paraId="4B7494AB">
                  <w:pPr>
                    <w:kinsoku w:val="0"/>
                    <w:overflowPunct w:val="0"/>
                    <w:autoSpaceDE w:val="0"/>
                    <w:autoSpaceDN w:val="0"/>
                    <w:adjustRightInd w:val="0"/>
                    <w:snapToGrid w:val="0"/>
                    <w:jc w:val="center"/>
                    <w:rPr>
                      <w:color w:val="auto"/>
                      <w:sz w:val="22"/>
                      <w:szCs w:val="22"/>
                    </w:rPr>
                  </w:pPr>
                  <w:r>
                    <w:rPr>
                      <w:rFonts w:hint="eastAsia" w:cs="宋体"/>
                      <w:color w:val="auto"/>
                      <w:sz w:val="22"/>
                      <w:szCs w:val="22"/>
                    </w:rPr>
                    <w:t>地表水</w:t>
                  </w:r>
                </w:p>
              </w:tc>
              <w:tc>
                <w:tcPr>
                  <w:tcW w:w="1476" w:type="dxa"/>
                  <w:tcBorders>
                    <w:top w:val="single" w:color="auto" w:sz="4" w:space="0"/>
                    <w:left w:val="single" w:color="auto" w:sz="4" w:space="0"/>
                    <w:bottom w:val="single" w:color="auto" w:sz="4" w:space="0"/>
                    <w:right w:val="single" w:color="auto" w:sz="4" w:space="0"/>
                  </w:tcBorders>
                  <w:vAlign w:val="center"/>
                </w:tcPr>
                <w:p w14:paraId="33C64BD7">
                  <w:pPr>
                    <w:kinsoku w:val="0"/>
                    <w:overflowPunct w:val="0"/>
                    <w:autoSpaceDE w:val="0"/>
                    <w:autoSpaceDN w:val="0"/>
                    <w:adjustRightInd w:val="0"/>
                    <w:snapToGrid w:val="0"/>
                    <w:jc w:val="center"/>
                    <w:rPr>
                      <w:rFonts w:hint="eastAsia" w:eastAsia="宋体"/>
                      <w:color w:val="auto"/>
                      <w:sz w:val="22"/>
                      <w:szCs w:val="22"/>
                      <w:lang w:eastAsia="zh-CN"/>
                    </w:rPr>
                  </w:pPr>
                  <w:r>
                    <w:rPr>
                      <w:rFonts w:hint="eastAsia" w:cs="宋体"/>
                      <w:color w:val="auto"/>
                      <w:sz w:val="22"/>
                      <w:szCs w:val="22"/>
                      <w:lang w:eastAsia="zh-CN"/>
                    </w:rPr>
                    <w:t>王引河</w:t>
                  </w:r>
                </w:p>
              </w:tc>
              <w:tc>
                <w:tcPr>
                  <w:tcW w:w="1477" w:type="dxa"/>
                  <w:tcBorders>
                    <w:top w:val="single" w:color="auto" w:sz="4" w:space="0"/>
                    <w:left w:val="single" w:color="auto" w:sz="4" w:space="0"/>
                    <w:bottom w:val="single" w:color="auto" w:sz="4" w:space="0"/>
                    <w:right w:val="single" w:color="auto" w:sz="4" w:space="0"/>
                  </w:tcBorders>
                  <w:vAlign w:val="center"/>
                </w:tcPr>
                <w:p w14:paraId="320F3419">
                  <w:pPr>
                    <w:kinsoku w:val="0"/>
                    <w:overflowPunct w:val="0"/>
                    <w:autoSpaceDE w:val="0"/>
                    <w:autoSpaceDN w:val="0"/>
                    <w:adjustRightInd w:val="0"/>
                    <w:snapToGrid w:val="0"/>
                    <w:jc w:val="center"/>
                    <w:rPr>
                      <w:color w:val="auto"/>
                      <w:sz w:val="22"/>
                      <w:szCs w:val="22"/>
                    </w:rPr>
                  </w:pPr>
                  <w:r>
                    <w:rPr>
                      <w:rFonts w:hint="eastAsia" w:cs="宋体"/>
                      <w:color w:val="auto"/>
                      <w:sz w:val="22"/>
                      <w:szCs w:val="22"/>
                    </w:rPr>
                    <w:t>N</w:t>
                  </w:r>
                  <w:r>
                    <w:rPr>
                      <w:rFonts w:hint="eastAsia" w:cs="宋体"/>
                      <w:color w:val="auto"/>
                      <w:sz w:val="22"/>
                      <w:szCs w:val="22"/>
                      <w:lang w:val="en-US" w:eastAsia="zh-CN"/>
                    </w:rPr>
                    <w:t>E</w:t>
                  </w:r>
                  <w:r>
                    <w:rPr>
                      <w:rFonts w:hint="eastAsia" w:cs="宋体"/>
                      <w:color w:val="auto"/>
                      <w:sz w:val="22"/>
                      <w:szCs w:val="22"/>
                    </w:rPr>
                    <w:t>/</w:t>
                  </w:r>
                  <w:r>
                    <w:rPr>
                      <w:rFonts w:hint="eastAsia" w:cs="宋体"/>
                      <w:color w:val="auto"/>
                      <w:sz w:val="22"/>
                      <w:szCs w:val="22"/>
                      <w:lang w:val="en-US" w:eastAsia="zh-CN"/>
                    </w:rPr>
                    <w:t>2550</w:t>
                  </w:r>
                  <w:r>
                    <w:rPr>
                      <w:color w:val="auto"/>
                      <w:sz w:val="22"/>
                      <w:szCs w:val="22"/>
                    </w:rPr>
                    <w:t>m</w:t>
                  </w:r>
                </w:p>
              </w:tc>
              <w:tc>
                <w:tcPr>
                  <w:tcW w:w="1394" w:type="dxa"/>
                  <w:tcBorders>
                    <w:top w:val="single" w:color="auto" w:sz="4" w:space="0"/>
                    <w:left w:val="single" w:color="auto" w:sz="4" w:space="0"/>
                    <w:bottom w:val="single" w:color="auto" w:sz="4" w:space="0"/>
                    <w:right w:val="single" w:color="auto" w:sz="4" w:space="0"/>
                  </w:tcBorders>
                  <w:vAlign w:val="center"/>
                </w:tcPr>
                <w:p w14:paraId="4A812104">
                  <w:pPr>
                    <w:kinsoku w:val="0"/>
                    <w:overflowPunct w:val="0"/>
                    <w:autoSpaceDE w:val="0"/>
                    <w:autoSpaceDN w:val="0"/>
                    <w:adjustRightInd w:val="0"/>
                    <w:snapToGrid w:val="0"/>
                    <w:jc w:val="center"/>
                    <w:rPr>
                      <w:color w:val="auto"/>
                      <w:sz w:val="22"/>
                      <w:szCs w:val="22"/>
                    </w:rPr>
                  </w:pPr>
                  <w:r>
                    <w:rPr>
                      <w:rFonts w:hint="eastAsia" w:cs="宋体"/>
                      <w:color w:val="auto"/>
                      <w:sz w:val="22"/>
                      <w:szCs w:val="22"/>
                    </w:rPr>
                    <w:t>小型河流</w:t>
                  </w:r>
                </w:p>
              </w:tc>
              <w:tc>
                <w:tcPr>
                  <w:tcW w:w="2542" w:type="dxa"/>
                  <w:tcBorders>
                    <w:top w:val="single" w:color="auto" w:sz="4" w:space="0"/>
                    <w:left w:val="single" w:color="auto" w:sz="4" w:space="0"/>
                    <w:bottom w:val="single" w:color="auto" w:sz="4" w:space="0"/>
                    <w:right w:val="single" w:color="auto" w:sz="4" w:space="0"/>
                  </w:tcBorders>
                  <w:vAlign w:val="center"/>
                </w:tcPr>
                <w:p w14:paraId="2B5E85C2">
                  <w:pPr>
                    <w:kinsoku w:val="0"/>
                    <w:overflowPunct w:val="0"/>
                    <w:autoSpaceDE w:val="0"/>
                    <w:autoSpaceDN w:val="0"/>
                    <w:adjustRightInd w:val="0"/>
                    <w:snapToGrid w:val="0"/>
                    <w:jc w:val="center"/>
                    <w:rPr>
                      <w:rFonts w:cs="宋体"/>
                      <w:color w:val="auto"/>
                      <w:sz w:val="22"/>
                      <w:szCs w:val="22"/>
                    </w:rPr>
                  </w:pPr>
                  <w:r>
                    <w:rPr>
                      <w:rFonts w:hint="eastAsia" w:cs="宋体"/>
                      <w:color w:val="auto"/>
                      <w:sz w:val="22"/>
                      <w:szCs w:val="22"/>
                    </w:rPr>
                    <w:t>《地表水环境质量标准》</w:t>
                  </w:r>
                </w:p>
                <w:p w14:paraId="614A0FCB">
                  <w:pPr>
                    <w:kinsoku w:val="0"/>
                    <w:overflowPunct w:val="0"/>
                    <w:autoSpaceDE w:val="0"/>
                    <w:autoSpaceDN w:val="0"/>
                    <w:adjustRightInd w:val="0"/>
                    <w:snapToGrid w:val="0"/>
                    <w:jc w:val="center"/>
                    <w:rPr>
                      <w:color w:val="auto"/>
                      <w:sz w:val="22"/>
                      <w:szCs w:val="22"/>
                    </w:rPr>
                  </w:pPr>
                  <w:r>
                    <w:rPr>
                      <w:rFonts w:hint="eastAsia" w:cs="宋体"/>
                      <w:color w:val="auto"/>
                      <w:sz w:val="22"/>
                      <w:szCs w:val="22"/>
                    </w:rPr>
                    <w:t>（</w:t>
                  </w:r>
                  <w:r>
                    <w:rPr>
                      <w:color w:val="auto"/>
                      <w:sz w:val="22"/>
                      <w:szCs w:val="22"/>
                    </w:rPr>
                    <w:t>GB3838-2002</w:t>
                  </w:r>
                  <w:r>
                    <w:rPr>
                      <w:rFonts w:hint="eastAsia" w:cs="宋体"/>
                      <w:color w:val="auto"/>
                      <w:sz w:val="22"/>
                      <w:szCs w:val="22"/>
                    </w:rPr>
                    <w:t>）</w:t>
                  </w:r>
                  <w:r>
                    <w:rPr>
                      <w:rFonts w:hint="eastAsia" w:ascii="Times New Roman" w:hAnsi="Times New Roman" w:eastAsia="宋体" w:cs="宋体"/>
                      <w:color w:val="auto"/>
                      <w:sz w:val="22"/>
                      <w:szCs w:val="22"/>
                    </w:rPr>
                    <w:t>Ⅳ类</w:t>
                  </w:r>
                </w:p>
              </w:tc>
            </w:tr>
            <w:tr w14:paraId="2B80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jc w:val="center"/>
              </w:trPr>
              <w:tc>
                <w:tcPr>
                  <w:tcW w:w="1130" w:type="dxa"/>
                  <w:vMerge w:val="continue"/>
                  <w:tcBorders>
                    <w:left w:val="single" w:color="auto" w:sz="4" w:space="0"/>
                    <w:bottom w:val="single" w:color="auto" w:sz="4" w:space="0"/>
                    <w:right w:val="single" w:color="auto" w:sz="4" w:space="0"/>
                  </w:tcBorders>
                  <w:vAlign w:val="center"/>
                </w:tcPr>
                <w:p w14:paraId="79CA07E4">
                  <w:pPr>
                    <w:kinsoku w:val="0"/>
                    <w:overflowPunct w:val="0"/>
                    <w:autoSpaceDE w:val="0"/>
                    <w:autoSpaceDN w:val="0"/>
                    <w:adjustRightInd w:val="0"/>
                    <w:snapToGrid w:val="0"/>
                    <w:jc w:val="center"/>
                    <w:rPr>
                      <w:rFonts w:hint="eastAsia" w:cs="宋体"/>
                      <w:color w:val="auto"/>
                      <w:sz w:val="22"/>
                      <w:szCs w:val="22"/>
                    </w:rPr>
                  </w:pPr>
                </w:p>
              </w:tc>
              <w:tc>
                <w:tcPr>
                  <w:tcW w:w="1476" w:type="dxa"/>
                  <w:tcBorders>
                    <w:top w:val="single" w:color="auto" w:sz="4" w:space="0"/>
                    <w:left w:val="single" w:color="auto" w:sz="4" w:space="0"/>
                    <w:bottom w:val="single" w:color="auto" w:sz="4" w:space="0"/>
                    <w:right w:val="single" w:color="auto" w:sz="4" w:space="0"/>
                  </w:tcBorders>
                  <w:vAlign w:val="center"/>
                </w:tcPr>
                <w:p w14:paraId="46591467">
                  <w:pPr>
                    <w:kinsoku w:val="0"/>
                    <w:overflowPunct w:val="0"/>
                    <w:autoSpaceDE w:val="0"/>
                    <w:autoSpaceDN w:val="0"/>
                    <w:adjustRightInd w:val="0"/>
                    <w:snapToGrid w:val="0"/>
                    <w:jc w:val="center"/>
                    <w:rPr>
                      <w:rFonts w:hint="eastAsia" w:cs="宋体"/>
                      <w:color w:val="auto"/>
                      <w:sz w:val="22"/>
                      <w:szCs w:val="22"/>
                    </w:rPr>
                  </w:pPr>
                  <w:r>
                    <w:rPr>
                      <w:rFonts w:hint="eastAsia"/>
                      <w:color w:val="auto"/>
                      <w:szCs w:val="21"/>
                      <w:lang w:eastAsia="zh-CN"/>
                    </w:rPr>
                    <w:t>任李沟</w:t>
                  </w:r>
                </w:p>
              </w:tc>
              <w:tc>
                <w:tcPr>
                  <w:tcW w:w="1477" w:type="dxa"/>
                  <w:tcBorders>
                    <w:top w:val="single" w:color="auto" w:sz="4" w:space="0"/>
                    <w:left w:val="single" w:color="auto" w:sz="4" w:space="0"/>
                    <w:bottom w:val="single" w:color="auto" w:sz="4" w:space="0"/>
                    <w:right w:val="single" w:color="auto" w:sz="4" w:space="0"/>
                  </w:tcBorders>
                  <w:vAlign w:val="center"/>
                </w:tcPr>
                <w:p w14:paraId="48E7FE49">
                  <w:pPr>
                    <w:kinsoku w:val="0"/>
                    <w:overflowPunct w:val="0"/>
                    <w:autoSpaceDE w:val="0"/>
                    <w:autoSpaceDN w:val="0"/>
                    <w:adjustRightInd w:val="0"/>
                    <w:snapToGrid w:val="0"/>
                    <w:jc w:val="center"/>
                    <w:rPr>
                      <w:rFonts w:hint="default" w:eastAsia="宋体" w:cs="宋体"/>
                      <w:color w:val="auto"/>
                      <w:sz w:val="22"/>
                      <w:szCs w:val="22"/>
                      <w:lang w:val="en-US" w:eastAsia="zh-CN"/>
                    </w:rPr>
                  </w:pPr>
                  <w:r>
                    <w:rPr>
                      <w:rFonts w:hint="eastAsia" w:cs="宋体"/>
                      <w:color w:val="auto"/>
                      <w:sz w:val="22"/>
                      <w:szCs w:val="22"/>
                      <w:lang w:val="en-US" w:eastAsia="zh-CN"/>
                    </w:rPr>
                    <w:t>W/200m</w:t>
                  </w:r>
                </w:p>
              </w:tc>
              <w:tc>
                <w:tcPr>
                  <w:tcW w:w="1394" w:type="dxa"/>
                  <w:tcBorders>
                    <w:top w:val="single" w:color="auto" w:sz="4" w:space="0"/>
                    <w:left w:val="single" w:color="auto" w:sz="4" w:space="0"/>
                    <w:bottom w:val="single" w:color="auto" w:sz="4" w:space="0"/>
                    <w:right w:val="single" w:color="auto" w:sz="4" w:space="0"/>
                  </w:tcBorders>
                  <w:vAlign w:val="center"/>
                </w:tcPr>
                <w:p w14:paraId="4D96736B">
                  <w:pPr>
                    <w:kinsoku w:val="0"/>
                    <w:overflowPunct w:val="0"/>
                    <w:autoSpaceDE w:val="0"/>
                    <w:autoSpaceDN w:val="0"/>
                    <w:adjustRightInd w:val="0"/>
                    <w:snapToGrid w:val="0"/>
                    <w:jc w:val="center"/>
                    <w:rPr>
                      <w:rFonts w:hint="eastAsia" w:cs="宋体"/>
                      <w:color w:val="auto"/>
                      <w:sz w:val="22"/>
                      <w:szCs w:val="22"/>
                    </w:rPr>
                  </w:pPr>
                  <w:r>
                    <w:rPr>
                      <w:rFonts w:hint="eastAsia" w:cs="宋体"/>
                      <w:color w:val="auto"/>
                      <w:sz w:val="22"/>
                      <w:szCs w:val="22"/>
                    </w:rPr>
                    <w:t>小型河流</w:t>
                  </w:r>
                </w:p>
              </w:tc>
              <w:tc>
                <w:tcPr>
                  <w:tcW w:w="2542" w:type="dxa"/>
                  <w:tcBorders>
                    <w:top w:val="single" w:color="auto" w:sz="4" w:space="0"/>
                    <w:left w:val="single" w:color="auto" w:sz="4" w:space="0"/>
                    <w:bottom w:val="single" w:color="auto" w:sz="4" w:space="0"/>
                    <w:right w:val="single" w:color="auto" w:sz="4" w:space="0"/>
                  </w:tcBorders>
                  <w:vAlign w:val="center"/>
                </w:tcPr>
                <w:p w14:paraId="3878CCF3">
                  <w:pPr>
                    <w:kinsoku w:val="0"/>
                    <w:overflowPunct w:val="0"/>
                    <w:autoSpaceDE w:val="0"/>
                    <w:autoSpaceDN w:val="0"/>
                    <w:adjustRightInd w:val="0"/>
                    <w:snapToGrid w:val="0"/>
                    <w:jc w:val="center"/>
                    <w:rPr>
                      <w:rFonts w:cs="宋体"/>
                      <w:color w:val="auto"/>
                      <w:sz w:val="22"/>
                      <w:szCs w:val="22"/>
                    </w:rPr>
                  </w:pPr>
                  <w:r>
                    <w:rPr>
                      <w:rFonts w:hint="eastAsia" w:cs="宋体"/>
                      <w:color w:val="auto"/>
                      <w:sz w:val="22"/>
                      <w:szCs w:val="22"/>
                    </w:rPr>
                    <w:t>《地表水环境质量标准》</w:t>
                  </w:r>
                </w:p>
                <w:p w14:paraId="6314911E">
                  <w:pPr>
                    <w:kinsoku w:val="0"/>
                    <w:overflowPunct w:val="0"/>
                    <w:autoSpaceDE w:val="0"/>
                    <w:autoSpaceDN w:val="0"/>
                    <w:adjustRightInd w:val="0"/>
                    <w:snapToGrid w:val="0"/>
                    <w:jc w:val="center"/>
                    <w:rPr>
                      <w:rFonts w:hint="eastAsia" w:cs="宋体"/>
                      <w:color w:val="auto"/>
                      <w:sz w:val="22"/>
                      <w:szCs w:val="22"/>
                    </w:rPr>
                  </w:pPr>
                  <w:r>
                    <w:rPr>
                      <w:rFonts w:hint="eastAsia" w:cs="宋体"/>
                      <w:color w:val="auto"/>
                      <w:sz w:val="22"/>
                      <w:szCs w:val="22"/>
                    </w:rPr>
                    <w:t>（</w:t>
                  </w:r>
                  <w:r>
                    <w:rPr>
                      <w:color w:val="auto"/>
                      <w:sz w:val="22"/>
                      <w:szCs w:val="22"/>
                    </w:rPr>
                    <w:t>GB3838-2002</w:t>
                  </w:r>
                  <w:r>
                    <w:rPr>
                      <w:rFonts w:hint="eastAsia" w:cs="宋体"/>
                      <w:color w:val="auto"/>
                      <w:sz w:val="22"/>
                      <w:szCs w:val="22"/>
                    </w:rPr>
                    <w:t>）</w:t>
                  </w:r>
                  <w:r>
                    <w:rPr>
                      <w:rFonts w:hint="eastAsia" w:ascii="Times New Roman" w:hAnsi="Times New Roman" w:eastAsia="宋体" w:cs="宋体"/>
                      <w:color w:val="auto"/>
                      <w:sz w:val="22"/>
                      <w:szCs w:val="22"/>
                    </w:rPr>
                    <w:t>Ⅳ类</w:t>
                  </w:r>
                </w:p>
              </w:tc>
            </w:tr>
          </w:tbl>
          <w:p w14:paraId="403AB7C4">
            <w:pPr>
              <w:pStyle w:val="76"/>
              <w:spacing w:before="120" w:beforeLines="50" w:line="360" w:lineRule="auto"/>
              <w:ind w:firstLine="480"/>
              <w:rPr>
                <w:rFonts w:ascii="宋体"/>
                <w:color w:val="auto"/>
              </w:rPr>
            </w:pPr>
            <w:r>
              <w:rPr>
                <w:rFonts w:ascii="宋体" w:hAnsi="宋体" w:cs="宋体"/>
                <w:color w:val="auto"/>
              </w:rPr>
              <w:t>4</w:t>
            </w:r>
            <w:r>
              <w:rPr>
                <w:rFonts w:hint="eastAsia" w:ascii="宋体" w:hAnsi="宋体" w:cs="宋体"/>
                <w:color w:val="auto"/>
              </w:rPr>
              <w:t>、地下水环境</w:t>
            </w:r>
          </w:p>
          <w:p w14:paraId="67D9B59A">
            <w:pPr>
              <w:pStyle w:val="76"/>
              <w:spacing w:line="360" w:lineRule="auto"/>
              <w:ind w:firstLine="480"/>
              <w:rPr>
                <w:rFonts w:ascii="宋体" w:hAnsi="宋体" w:cs="宋体"/>
                <w:color w:val="auto"/>
              </w:rPr>
            </w:pPr>
            <w:r>
              <w:rPr>
                <w:rFonts w:hint="eastAsia" w:ascii="宋体" w:hAnsi="宋体" w:cs="宋体"/>
                <w:color w:val="auto"/>
              </w:rPr>
              <w:t>根据现场勘查</w:t>
            </w:r>
            <w:r>
              <w:rPr>
                <w:rFonts w:hint="eastAsia" w:ascii="宋体" w:hAnsi="宋体" w:cs="宋体"/>
                <w:color w:val="auto"/>
                <w:lang w:eastAsia="zh-CN"/>
              </w:rPr>
              <w:t>，</w:t>
            </w:r>
            <w:r>
              <w:rPr>
                <w:rFonts w:hint="eastAsia" w:ascii="宋体" w:hAnsi="宋体" w:cs="宋体"/>
                <w:color w:val="auto"/>
              </w:rPr>
              <w:t>厂界外</w:t>
            </w:r>
            <w:r>
              <w:rPr>
                <w:rFonts w:ascii="宋体" w:hAnsi="宋体" w:cs="宋体"/>
                <w:color w:val="auto"/>
              </w:rPr>
              <w:t>500</w:t>
            </w:r>
            <w:r>
              <w:rPr>
                <w:rFonts w:hint="eastAsia" w:ascii="宋体" w:hAnsi="宋体" w:cs="宋体"/>
                <w:color w:val="auto"/>
              </w:rPr>
              <w:t>米范围内没有地下水集中式饮用水水源和热水、矿泉水、温泉等特殊地下水资源。</w:t>
            </w:r>
          </w:p>
          <w:p w14:paraId="6C18132B">
            <w:pPr>
              <w:pStyle w:val="76"/>
              <w:spacing w:line="360" w:lineRule="auto"/>
              <w:ind w:firstLine="480"/>
              <w:rPr>
                <w:rFonts w:ascii="宋体" w:hAnsi="宋体" w:cs="宋体"/>
                <w:color w:val="auto"/>
              </w:rPr>
            </w:pPr>
            <w:r>
              <w:rPr>
                <w:rFonts w:hint="eastAsia" w:ascii="宋体" w:hAnsi="宋体" w:cs="宋体"/>
                <w:color w:val="auto"/>
              </w:rPr>
              <w:t xml:space="preserve">5、生态环境                                                                                                                                                                                                                                                                                                                                                                                                                                                                                                                                                                                                                  </w:t>
            </w:r>
          </w:p>
          <w:p w14:paraId="29C9D1DA">
            <w:pPr>
              <w:pStyle w:val="76"/>
              <w:spacing w:line="360" w:lineRule="auto"/>
              <w:ind w:firstLine="480"/>
              <w:rPr>
                <w:rFonts w:ascii="宋体" w:hAnsi="宋体" w:cs="宋体"/>
                <w:color w:val="auto"/>
              </w:rPr>
            </w:pPr>
            <w:r>
              <w:rPr>
                <w:color w:val="auto"/>
                <w:szCs w:val="21"/>
                <w:lang w:bidi="ar"/>
              </w:rPr>
              <w:t>本项目位于</w:t>
            </w:r>
            <w:r>
              <w:rPr>
                <w:rFonts w:hint="eastAsia"/>
                <w:color w:val="auto"/>
                <w:szCs w:val="21"/>
                <w:lang w:eastAsia="zh-CN"/>
              </w:rPr>
              <w:t>淮北市濉溪县刘桥镇刘桥二矿南500m</w:t>
            </w:r>
            <w:r>
              <w:rPr>
                <w:rFonts w:hint="eastAsia"/>
                <w:color w:val="auto"/>
                <w:szCs w:val="21"/>
                <w:lang w:eastAsia="zh-CN" w:bidi="ar"/>
              </w:rPr>
              <w:t>，</w:t>
            </w:r>
            <w:r>
              <w:rPr>
                <w:rFonts w:ascii="宋体" w:hAnsi="宋体" w:cs="宋体"/>
                <w:color w:val="auto"/>
              </w:rPr>
              <w:t>用地范围内不涉及野生保护动植物等生态环境保护目标。</w:t>
            </w:r>
          </w:p>
        </w:tc>
      </w:tr>
      <w:tr w14:paraId="66E0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4" w:hRule="atLeast"/>
          <w:jc w:val="center"/>
        </w:trPr>
        <w:tc>
          <w:tcPr>
            <w:tcW w:w="800" w:type="dxa"/>
            <w:tcMar>
              <w:left w:w="28" w:type="dxa"/>
              <w:right w:w="28" w:type="dxa"/>
            </w:tcMar>
            <w:vAlign w:val="center"/>
          </w:tcPr>
          <w:p w14:paraId="643C127A">
            <w:pPr>
              <w:adjustRightInd w:val="0"/>
              <w:snapToGrid w:val="0"/>
              <w:jc w:val="center"/>
              <w:rPr>
                <w:rFonts w:ascii="宋体"/>
                <w:color w:val="auto"/>
                <w:sz w:val="24"/>
                <w:szCs w:val="24"/>
              </w:rPr>
            </w:pPr>
            <w:r>
              <w:rPr>
                <w:rFonts w:hint="eastAsia" w:ascii="宋体" w:hAnsi="宋体" w:cs="宋体"/>
                <w:color w:val="auto"/>
                <w:sz w:val="24"/>
                <w:szCs w:val="24"/>
              </w:rPr>
              <w:t>污染</w:t>
            </w:r>
          </w:p>
          <w:p w14:paraId="3C925301">
            <w:pPr>
              <w:adjustRightInd w:val="0"/>
              <w:snapToGrid w:val="0"/>
              <w:jc w:val="center"/>
              <w:rPr>
                <w:rFonts w:ascii="宋体"/>
                <w:color w:val="auto"/>
                <w:sz w:val="24"/>
                <w:szCs w:val="24"/>
              </w:rPr>
            </w:pPr>
            <w:r>
              <w:rPr>
                <w:rFonts w:hint="eastAsia" w:ascii="宋体" w:hAnsi="宋体" w:cs="宋体"/>
                <w:color w:val="auto"/>
                <w:sz w:val="24"/>
                <w:szCs w:val="24"/>
              </w:rPr>
              <w:t>物排</w:t>
            </w:r>
          </w:p>
          <w:p w14:paraId="2099EE50">
            <w:pPr>
              <w:adjustRightInd w:val="0"/>
              <w:snapToGrid w:val="0"/>
              <w:jc w:val="center"/>
              <w:rPr>
                <w:rFonts w:ascii="宋体"/>
                <w:color w:val="auto"/>
                <w:sz w:val="24"/>
                <w:szCs w:val="24"/>
              </w:rPr>
            </w:pPr>
            <w:r>
              <w:rPr>
                <w:rFonts w:hint="eastAsia" w:ascii="宋体" w:hAnsi="宋体" w:cs="宋体"/>
                <w:color w:val="auto"/>
                <w:sz w:val="24"/>
                <w:szCs w:val="24"/>
              </w:rPr>
              <w:t>放控</w:t>
            </w:r>
          </w:p>
          <w:p w14:paraId="07CD4710">
            <w:pPr>
              <w:adjustRightInd w:val="0"/>
              <w:snapToGrid w:val="0"/>
              <w:jc w:val="center"/>
              <w:rPr>
                <w:rFonts w:ascii="宋体"/>
                <w:color w:val="auto"/>
                <w:sz w:val="24"/>
                <w:szCs w:val="24"/>
              </w:rPr>
            </w:pPr>
            <w:r>
              <w:rPr>
                <w:rFonts w:hint="eastAsia" w:ascii="宋体" w:hAnsi="宋体" w:cs="宋体"/>
                <w:color w:val="auto"/>
                <w:sz w:val="24"/>
                <w:szCs w:val="24"/>
              </w:rPr>
              <w:t>制标</w:t>
            </w:r>
          </w:p>
          <w:p w14:paraId="360D1419">
            <w:pPr>
              <w:adjustRightInd w:val="0"/>
              <w:snapToGrid w:val="0"/>
              <w:jc w:val="center"/>
              <w:rPr>
                <w:rFonts w:ascii="宋体"/>
                <w:color w:val="auto"/>
                <w:sz w:val="24"/>
                <w:szCs w:val="24"/>
              </w:rPr>
            </w:pPr>
            <w:r>
              <w:rPr>
                <w:rFonts w:hint="eastAsia" w:ascii="宋体" w:hAnsi="宋体" w:cs="宋体"/>
                <w:color w:val="auto"/>
                <w:sz w:val="24"/>
                <w:szCs w:val="24"/>
              </w:rPr>
              <w:t>准</w:t>
            </w:r>
          </w:p>
        </w:tc>
        <w:tc>
          <w:tcPr>
            <w:tcW w:w="8190" w:type="dxa"/>
          </w:tcPr>
          <w:p w14:paraId="774D31AD">
            <w:pPr>
              <w:keepNext w:val="0"/>
              <w:keepLines w:val="0"/>
              <w:pageBreakBefore w:val="0"/>
              <w:widowControl w:val="0"/>
              <w:kinsoku/>
              <w:wordWrap/>
              <w:overflowPunct/>
              <w:topLinePunct w:val="0"/>
              <w:autoSpaceDE/>
              <w:autoSpaceDN/>
              <w:bidi w:val="0"/>
              <w:adjustRightInd w:val="0"/>
              <w:snapToGrid/>
              <w:spacing w:before="157" w:beforeLines="50" w:line="360" w:lineRule="auto"/>
              <w:ind w:left="479" w:leftChars="228" w:firstLine="0" w:firstLineChars="0"/>
              <w:contextualSpacing/>
              <w:textAlignment w:val="auto"/>
              <w:rPr>
                <w:rFonts w:hint="eastAsia"/>
                <w:color w:val="auto"/>
                <w:sz w:val="24"/>
              </w:rPr>
            </w:pPr>
            <w:r>
              <w:rPr>
                <w:rFonts w:hint="eastAsia" w:ascii="Times New Roman" w:hAnsi="Times New Roman" w:eastAsia="宋体" w:cs="Times New Roman"/>
                <w:color w:val="auto"/>
                <w:sz w:val="24"/>
                <w:szCs w:val="21"/>
              </w:rPr>
              <w:t>1、大气污染物排放标准</w:t>
            </w:r>
            <w:r>
              <w:rPr>
                <w:rFonts w:hint="eastAsia" w:ascii="宋体" w:hAnsi="宋体" w:cs="宋体"/>
                <w:color w:val="auto"/>
              </w:rPr>
              <w:br w:type="textWrapping"/>
            </w:r>
            <w:r>
              <w:rPr>
                <w:rFonts w:hint="eastAsia"/>
                <w:color w:val="auto"/>
                <w:sz w:val="24"/>
              </w:rPr>
              <w:t>（1）施工期</w:t>
            </w:r>
          </w:p>
          <w:p w14:paraId="7331F018">
            <w:pPr>
              <w:widowControl/>
              <w:numPr>
                <w:ilvl w:val="0"/>
                <w:numId w:val="0"/>
              </w:numPr>
              <w:spacing w:line="360" w:lineRule="auto"/>
              <w:ind w:firstLine="480" w:firstLineChars="200"/>
              <w:jc w:val="left"/>
              <w:rPr>
                <w:rFonts w:hint="eastAsia"/>
                <w:color w:val="auto"/>
                <w:sz w:val="24"/>
              </w:rPr>
            </w:pPr>
            <w:r>
              <w:rPr>
                <w:rFonts w:hint="eastAsia"/>
                <w:color w:val="auto"/>
                <w:sz w:val="24"/>
              </w:rPr>
              <w:t>本项目施工期扬尘执行安徽省《施工场地颗粒物排放标准》（DB34/4811-2024）中无组织排放监控浓度限值</w:t>
            </w:r>
            <w:r>
              <w:rPr>
                <w:rFonts w:hint="eastAsia"/>
                <w:color w:val="auto"/>
                <w:sz w:val="24"/>
                <w:lang w:eastAsia="zh-CN"/>
              </w:rPr>
              <w:t>，</w:t>
            </w:r>
            <w:r>
              <w:rPr>
                <w:rFonts w:hint="eastAsia"/>
                <w:color w:val="auto"/>
                <w:sz w:val="24"/>
              </w:rPr>
              <w:t>具体标准限值详见下表。</w:t>
            </w:r>
          </w:p>
          <w:p w14:paraId="15BA4547">
            <w:pPr>
              <w:widowControl/>
              <w:numPr>
                <w:ilvl w:val="0"/>
                <w:numId w:val="0"/>
              </w:numPr>
              <w:spacing w:line="360" w:lineRule="auto"/>
              <w:jc w:val="center"/>
              <w:rPr>
                <w:rFonts w:hint="eastAsia" w:ascii="Times New Roman" w:hAnsi="Times New Roman" w:eastAsia="宋体" w:cs="Times New Roman"/>
                <w:b/>
                <w:bCs/>
                <w:color w:val="auto"/>
                <w:kern w:val="0"/>
                <w:sz w:val="21"/>
                <w:szCs w:val="21"/>
                <w:vertAlign w:val="baseline"/>
                <w:lang w:val="en-US" w:eastAsia="zh-CN"/>
              </w:rPr>
            </w:pPr>
            <w:r>
              <w:rPr>
                <w:rFonts w:hint="eastAsia" w:ascii="Times New Roman" w:hAnsi="Times New Roman" w:eastAsia="宋体" w:cs="Times New Roman"/>
                <w:b/>
                <w:bCs/>
                <w:color w:val="auto"/>
                <w:kern w:val="0"/>
                <w:sz w:val="21"/>
                <w:szCs w:val="21"/>
                <w:lang w:eastAsia="zh-CN"/>
              </w:rPr>
              <w:t>表</w:t>
            </w:r>
            <w:r>
              <w:rPr>
                <w:rFonts w:hint="eastAsia" w:ascii="Times New Roman" w:hAnsi="Times New Roman" w:eastAsia="宋体" w:cs="Times New Roman"/>
                <w:b/>
                <w:bCs/>
                <w:color w:val="auto"/>
                <w:kern w:val="0"/>
                <w:sz w:val="21"/>
                <w:szCs w:val="21"/>
                <w:lang w:val="en-US" w:eastAsia="zh-CN"/>
              </w:rPr>
              <w:t>3-</w:t>
            </w:r>
            <w:r>
              <w:rPr>
                <w:rFonts w:hint="eastAsia" w:cs="Times New Roman"/>
                <w:b/>
                <w:bCs/>
                <w:color w:val="auto"/>
                <w:kern w:val="0"/>
                <w:sz w:val="21"/>
                <w:szCs w:val="21"/>
                <w:lang w:val="en-US" w:eastAsia="zh-CN"/>
              </w:rPr>
              <w:t>5</w:t>
            </w:r>
            <w:r>
              <w:rPr>
                <w:rFonts w:hint="eastAsia" w:ascii="Times New Roman" w:hAnsi="Times New Roman" w:eastAsia="宋体" w:cs="Times New Roman"/>
                <w:b/>
                <w:bCs/>
                <w:color w:val="auto"/>
                <w:kern w:val="0"/>
                <w:sz w:val="21"/>
                <w:szCs w:val="21"/>
                <w:lang w:val="en-US" w:eastAsia="zh-CN"/>
              </w:rPr>
              <w:t xml:space="preserve"> 安徽省《施工场地颗粒物排放标准》（DB34/4811-2024）</w:t>
            </w:r>
          </w:p>
          <w:tbl>
            <w:tblPr>
              <w:tblStyle w:val="38"/>
              <w:tblW w:w="8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1603"/>
              <w:gridCol w:w="1"/>
              <w:gridCol w:w="1604"/>
              <w:gridCol w:w="3208"/>
            </w:tblGrid>
            <w:tr w14:paraId="4DC4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602" w:type="dxa"/>
                  <w:noWrap w:val="0"/>
                  <w:vAlign w:val="center"/>
                </w:tcPr>
                <w:p w14:paraId="5A3F89E8">
                  <w:pPr>
                    <w:widowControl/>
                    <w:numPr>
                      <w:ilvl w:val="0"/>
                      <w:numId w:val="0"/>
                    </w:numPr>
                    <w:spacing w:line="240" w:lineRule="auto"/>
                    <w:jc w:val="center"/>
                    <w:rPr>
                      <w:rFonts w:hint="eastAsia"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控制项目</w:t>
                  </w:r>
                </w:p>
              </w:tc>
              <w:tc>
                <w:tcPr>
                  <w:tcW w:w="1604" w:type="dxa"/>
                  <w:gridSpan w:val="2"/>
                  <w:noWrap w:val="0"/>
                  <w:vAlign w:val="center"/>
                </w:tcPr>
                <w:p w14:paraId="41FA636D">
                  <w:pPr>
                    <w:widowControl/>
                    <w:numPr>
                      <w:ilvl w:val="0"/>
                      <w:numId w:val="0"/>
                    </w:numPr>
                    <w:spacing w:line="240" w:lineRule="auto"/>
                    <w:jc w:val="center"/>
                    <w:rPr>
                      <w:rFonts w:hint="eastAsia"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单位</w:t>
                  </w:r>
                </w:p>
              </w:tc>
              <w:tc>
                <w:tcPr>
                  <w:tcW w:w="1604" w:type="dxa"/>
                  <w:noWrap w:val="0"/>
                  <w:vAlign w:val="center"/>
                </w:tcPr>
                <w:p w14:paraId="188EB977">
                  <w:pPr>
                    <w:widowControl/>
                    <w:numPr>
                      <w:ilvl w:val="0"/>
                      <w:numId w:val="0"/>
                    </w:numPr>
                    <w:spacing w:line="240" w:lineRule="auto"/>
                    <w:jc w:val="center"/>
                    <w:rPr>
                      <w:rFonts w:hint="eastAsia"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监测点浓度限值</w:t>
                  </w:r>
                </w:p>
              </w:tc>
              <w:tc>
                <w:tcPr>
                  <w:tcW w:w="3208" w:type="dxa"/>
                  <w:noWrap w:val="0"/>
                  <w:vAlign w:val="center"/>
                </w:tcPr>
                <w:p w14:paraId="51FF9944">
                  <w:pPr>
                    <w:widowControl/>
                    <w:numPr>
                      <w:ilvl w:val="0"/>
                      <w:numId w:val="0"/>
                    </w:numPr>
                    <w:spacing w:line="240" w:lineRule="auto"/>
                    <w:jc w:val="center"/>
                    <w:rPr>
                      <w:rFonts w:hint="eastAsia"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达标判定依据</w:t>
                  </w:r>
                </w:p>
              </w:tc>
            </w:tr>
            <w:tr w14:paraId="58AB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02" w:type="dxa"/>
                  <w:vMerge w:val="restart"/>
                  <w:noWrap w:val="0"/>
                  <w:vAlign w:val="center"/>
                </w:tcPr>
                <w:p w14:paraId="2B6405F8">
                  <w:pPr>
                    <w:widowControl/>
                    <w:numPr>
                      <w:ilvl w:val="0"/>
                      <w:numId w:val="0"/>
                    </w:numPr>
                    <w:spacing w:line="240" w:lineRule="auto"/>
                    <w:jc w:val="center"/>
                    <w:rPr>
                      <w:rFonts w:hint="default"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TSP</w:t>
                  </w:r>
                </w:p>
              </w:tc>
              <w:tc>
                <w:tcPr>
                  <w:tcW w:w="1603" w:type="dxa"/>
                  <w:vMerge w:val="restart"/>
                  <w:noWrap w:val="0"/>
                  <w:vAlign w:val="center"/>
                </w:tcPr>
                <w:p w14:paraId="794A1A8C">
                  <w:pPr>
                    <w:widowControl/>
                    <w:numPr>
                      <w:ilvl w:val="0"/>
                      <w:numId w:val="0"/>
                    </w:numPr>
                    <w:spacing w:line="240" w:lineRule="auto"/>
                    <w:jc w:val="center"/>
                    <w:rPr>
                      <w:rFonts w:hint="default"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ug/</w:t>
                  </w:r>
                  <w:r>
                    <w:rPr>
                      <w:rFonts w:hint="eastAsia" w:ascii="Times New Roman" w:hAnsi="Times New Roman" w:eastAsia="宋体" w:cs="Times New Roman"/>
                      <w:b w:val="0"/>
                      <w:bCs w:val="0"/>
                      <w:color w:val="auto"/>
                      <w:kern w:val="0"/>
                      <w:sz w:val="21"/>
                      <w:szCs w:val="21"/>
                      <w:vertAlign w:val="superscript"/>
                      <w:lang w:val="en-US" w:eastAsia="zh-CN"/>
                    </w:rPr>
                    <w:t>3</w:t>
                  </w:r>
                </w:p>
              </w:tc>
              <w:tc>
                <w:tcPr>
                  <w:tcW w:w="1605" w:type="dxa"/>
                  <w:gridSpan w:val="2"/>
                  <w:noWrap w:val="0"/>
                  <w:vAlign w:val="center"/>
                </w:tcPr>
                <w:p w14:paraId="5D58E7C4">
                  <w:pPr>
                    <w:widowControl/>
                    <w:numPr>
                      <w:ilvl w:val="0"/>
                      <w:numId w:val="0"/>
                    </w:numPr>
                    <w:spacing w:line="240" w:lineRule="auto"/>
                    <w:jc w:val="center"/>
                    <w:rPr>
                      <w:rFonts w:hint="default"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1000</w:t>
                  </w:r>
                </w:p>
              </w:tc>
              <w:tc>
                <w:tcPr>
                  <w:tcW w:w="3208" w:type="dxa"/>
                  <w:noWrap w:val="0"/>
                  <w:vAlign w:val="center"/>
                </w:tcPr>
                <w:p w14:paraId="1062862C">
                  <w:pPr>
                    <w:widowControl/>
                    <w:numPr>
                      <w:ilvl w:val="0"/>
                      <w:numId w:val="0"/>
                    </w:numPr>
                    <w:spacing w:line="240" w:lineRule="auto"/>
                    <w:jc w:val="center"/>
                    <w:rPr>
                      <w:rFonts w:hint="default"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 xml:space="preserve">超标次数 </w:t>
                  </w:r>
                  <w:r>
                    <w:rPr>
                      <w:rFonts w:hint="default" w:ascii="Arial" w:hAnsi="Arial" w:eastAsia="宋体" w:cs="Arial"/>
                      <w:b w:val="0"/>
                      <w:bCs w:val="0"/>
                      <w:color w:val="auto"/>
                      <w:kern w:val="0"/>
                      <w:sz w:val="21"/>
                      <w:szCs w:val="21"/>
                      <w:vertAlign w:val="baseline"/>
                      <w:lang w:val="en-US" w:eastAsia="zh-CN"/>
                    </w:rPr>
                    <w:t>≤</w:t>
                  </w:r>
                  <w:r>
                    <w:rPr>
                      <w:rFonts w:hint="eastAsia" w:ascii="Times New Roman" w:hAnsi="Times New Roman" w:eastAsia="宋体" w:cs="Times New Roman"/>
                      <w:b w:val="0"/>
                      <w:bCs w:val="0"/>
                      <w:color w:val="auto"/>
                      <w:kern w:val="0"/>
                      <w:sz w:val="21"/>
                      <w:szCs w:val="21"/>
                      <w:vertAlign w:val="baseline"/>
                      <w:lang w:val="en-US" w:eastAsia="zh-CN"/>
                    </w:rPr>
                    <w:t xml:space="preserve"> 1 次/日</w:t>
                  </w:r>
                </w:p>
              </w:tc>
            </w:tr>
            <w:tr w14:paraId="0338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02" w:type="dxa"/>
                  <w:vMerge w:val="continue"/>
                  <w:noWrap w:val="0"/>
                  <w:vAlign w:val="center"/>
                </w:tcPr>
                <w:p w14:paraId="1CA662C3">
                  <w:pPr>
                    <w:widowControl/>
                    <w:spacing w:line="240" w:lineRule="auto"/>
                    <w:jc w:val="center"/>
                    <w:rPr>
                      <w:color w:val="auto"/>
                    </w:rPr>
                  </w:pPr>
                </w:p>
              </w:tc>
              <w:tc>
                <w:tcPr>
                  <w:tcW w:w="1603" w:type="dxa"/>
                  <w:vMerge w:val="continue"/>
                  <w:noWrap w:val="0"/>
                  <w:vAlign w:val="center"/>
                </w:tcPr>
                <w:p w14:paraId="0A7B3B6A">
                  <w:pPr>
                    <w:widowControl/>
                    <w:spacing w:line="240" w:lineRule="auto"/>
                    <w:jc w:val="center"/>
                    <w:rPr>
                      <w:color w:val="auto"/>
                    </w:rPr>
                  </w:pPr>
                </w:p>
              </w:tc>
              <w:tc>
                <w:tcPr>
                  <w:tcW w:w="1605" w:type="dxa"/>
                  <w:gridSpan w:val="2"/>
                  <w:noWrap w:val="0"/>
                  <w:vAlign w:val="center"/>
                </w:tcPr>
                <w:p w14:paraId="7B8CD92C">
                  <w:pPr>
                    <w:widowControl/>
                    <w:numPr>
                      <w:ilvl w:val="0"/>
                      <w:numId w:val="0"/>
                    </w:numPr>
                    <w:spacing w:line="240" w:lineRule="auto"/>
                    <w:jc w:val="center"/>
                    <w:rPr>
                      <w:rFonts w:hint="default"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500</w:t>
                  </w:r>
                </w:p>
              </w:tc>
              <w:tc>
                <w:tcPr>
                  <w:tcW w:w="3208" w:type="dxa"/>
                  <w:noWrap w:val="0"/>
                  <w:vAlign w:val="center"/>
                </w:tcPr>
                <w:p w14:paraId="7A7BA7B7">
                  <w:pPr>
                    <w:widowControl/>
                    <w:spacing w:line="240" w:lineRule="auto"/>
                    <w:jc w:val="center"/>
                    <w:rPr>
                      <w:rFonts w:hint="default"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 xml:space="preserve">超标次数 </w:t>
                  </w:r>
                  <w:r>
                    <w:rPr>
                      <w:rFonts w:hint="default" w:ascii="Arial" w:hAnsi="Arial" w:eastAsia="宋体" w:cs="Arial"/>
                      <w:b w:val="0"/>
                      <w:bCs w:val="0"/>
                      <w:color w:val="auto"/>
                      <w:kern w:val="0"/>
                      <w:sz w:val="21"/>
                      <w:szCs w:val="21"/>
                      <w:vertAlign w:val="baseline"/>
                      <w:lang w:val="en-US" w:eastAsia="zh-CN"/>
                    </w:rPr>
                    <w:t>≤</w:t>
                  </w:r>
                  <w:r>
                    <w:rPr>
                      <w:rFonts w:hint="eastAsia" w:ascii="Times New Roman" w:hAnsi="Times New Roman" w:eastAsia="宋体" w:cs="Times New Roman"/>
                      <w:b w:val="0"/>
                      <w:bCs w:val="0"/>
                      <w:color w:val="auto"/>
                      <w:kern w:val="0"/>
                      <w:sz w:val="21"/>
                      <w:szCs w:val="21"/>
                      <w:vertAlign w:val="baseline"/>
                      <w:lang w:val="en-US" w:eastAsia="zh-CN"/>
                    </w:rPr>
                    <w:t xml:space="preserve"> 6 次/日</w:t>
                  </w:r>
                </w:p>
              </w:tc>
            </w:tr>
            <w:tr w14:paraId="768B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8018" w:type="dxa"/>
                  <w:gridSpan w:val="5"/>
                  <w:noWrap w:val="0"/>
                  <w:vAlign w:val="center"/>
                </w:tcPr>
                <w:p w14:paraId="25B85F9A">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eastAsia="宋体" w:cs="Times New Roman"/>
                      <w:b w:val="0"/>
                      <w:bCs w:val="0"/>
                      <w:color w:val="auto"/>
                      <w:kern w:val="0"/>
                      <w:sz w:val="18"/>
                      <w:szCs w:val="18"/>
                      <w:vertAlign w:val="baseline"/>
                      <w:lang w:val="en-US" w:eastAsia="zh-CN"/>
                    </w:rPr>
                  </w:pPr>
                  <w:r>
                    <w:rPr>
                      <w:rFonts w:hint="eastAsia" w:ascii="Times New Roman" w:hAnsi="Times New Roman" w:eastAsia="宋体" w:cs="Times New Roman"/>
                      <w:b w:val="0"/>
                      <w:bCs w:val="0"/>
                      <w:color w:val="auto"/>
                      <w:kern w:val="0"/>
                      <w:sz w:val="18"/>
                      <w:szCs w:val="18"/>
                      <w:vertAlign w:val="baseline"/>
                      <w:lang w:val="en-US" w:eastAsia="zh-CN"/>
                    </w:rPr>
                    <w:t>任一监测点自整时起依次顺延15分钟的TSP浓度平均值不得超过的限值。超标次数指一个日历日 96个TSP15 分钟浓度平均值超过监测点浓度限值的次数。</w:t>
                  </w:r>
                </w:p>
                <w:p w14:paraId="123431E5">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18"/>
                      <w:szCs w:val="18"/>
                      <w:vertAlign w:val="baseline"/>
                      <w:lang w:val="en-US" w:eastAsia="zh-CN"/>
                    </w:rPr>
                    <w:t>根据HJ633判定设区市AQI在200~300之间且首要污染物为PM或PL时</w:t>
                  </w:r>
                  <w:r>
                    <w:rPr>
                      <w:rFonts w:hint="eastAsia" w:cs="Times New Roman"/>
                      <w:b w:val="0"/>
                      <w:bCs w:val="0"/>
                      <w:color w:val="auto"/>
                      <w:kern w:val="0"/>
                      <w:sz w:val="18"/>
                      <w:szCs w:val="18"/>
                      <w:vertAlign w:val="baseline"/>
                      <w:lang w:val="en-US" w:eastAsia="zh-CN"/>
                    </w:rPr>
                    <w:t>，</w:t>
                  </w:r>
                  <w:r>
                    <w:rPr>
                      <w:rFonts w:hint="eastAsia" w:ascii="Times New Roman" w:hAnsi="Times New Roman" w:eastAsia="宋体" w:cs="Times New Roman"/>
                      <w:b w:val="0"/>
                      <w:bCs w:val="0"/>
                      <w:color w:val="auto"/>
                      <w:kern w:val="0"/>
                      <w:sz w:val="18"/>
                      <w:szCs w:val="18"/>
                      <w:vertAlign w:val="baseline"/>
                      <w:lang w:val="en-US" w:eastAsia="zh-CN"/>
                    </w:rPr>
                    <w:t>TSP实测值扣除200ug/m后再进行评价。</w:t>
                  </w:r>
                </w:p>
              </w:tc>
            </w:tr>
          </w:tbl>
          <w:p w14:paraId="71D27691">
            <w:pPr>
              <w:pStyle w:val="76"/>
              <w:keepNext w:val="0"/>
              <w:keepLines w:val="0"/>
              <w:pageBreakBefore w:val="0"/>
              <w:widowControl/>
              <w:numPr>
                <w:ilvl w:val="0"/>
                <w:numId w:val="0"/>
              </w:numPr>
              <w:kinsoku/>
              <w:wordWrap/>
              <w:overflowPunct/>
              <w:topLinePunct w:val="0"/>
              <w:autoSpaceDE/>
              <w:autoSpaceDN/>
              <w:bidi w:val="0"/>
              <w:adjustRightInd w:val="0"/>
              <w:snapToGrid w:val="0"/>
              <w:spacing w:before="313" w:beforeLines="100" w:line="360" w:lineRule="auto"/>
              <w:ind w:leftChars="228"/>
              <w:jc w:val="both"/>
              <w:textAlignment w:val="auto"/>
              <w:rPr>
                <w:rFonts w:hint="eastAsia" w:ascii="宋体"/>
                <w:color w:val="auto"/>
                <w:lang w:eastAsia="zh-CN"/>
              </w:rPr>
            </w:pPr>
            <w:r>
              <w:rPr>
                <w:rFonts w:hint="eastAsia" w:ascii="宋体"/>
                <w:color w:val="auto"/>
                <w:lang w:eastAsia="zh-CN"/>
              </w:rPr>
              <w:t>（</w:t>
            </w:r>
            <w:r>
              <w:rPr>
                <w:rFonts w:hint="eastAsia" w:ascii="宋体"/>
                <w:color w:val="auto"/>
                <w:lang w:val="en-US" w:eastAsia="zh-CN"/>
              </w:rPr>
              <w:t>2</w:t>
            </w:r>
            <w:r>
              <w:rPr>
                <w:rFonts w:hint="eastAsia" w:ascii="宋体"/>
                <w:color w:val="auto"/>
                <w:lang w:eastAsia="zh-CN"/>
              </w:rPr>
              <w:t>）运营期</w:t>
            </w:r>
          </w:p>
          <w:p w14:paraId="30945367">
            <w:pPr>
              <w:pStyle w:val="76"/>
              <w:numPr>
                <w:ilvl w:val="0"/>
                <w:numId w:val="0"/>
              </w:numPr>
              <w:spacing w:line="360" w:lineRule="auto"/>
              <w:ind w:firstLine="480" w:firstLineChars="200"/>
              <w:jc w:val="both"/>
              <w:rPr>
                <w:rFonts w:hint="eastAsia" w:ascii="宋体" w:eastAsia="宋体"/>
                <w:color w:val="auto"/>
                <w:lang w:val="en-US" w:eastAsia="zh-CN"/>
              </w:rPr>
            </w:pPr>
            <w:r>
              <w:rPr>
                <w:rFonts w:hint="eastAsia" w:ascii="宋体" w:hAnsi="宋体" w:cs="宋体"/>
                <w:color w:val="auto"/>
              </w:rPr>
              <w:t>本项目破碎粉尘、焙烧烟气中颗粒物、</w:t>
            </w:r>
            <w:r>
              <w:rPr>
                <w:rFonts w:hint="eastAsia" w:ascii="宋体" w:hAnsi="宋体" w:cs="宋体"/>
                <w:color w:val="auto"/>
                <w:lang w:eastAsia="zh-CN"/>
              </w:rPr>
              <w:t>二氧化硫</w:t>
            </w:r>
            <w:r>
              <w:rPr>
                <w:rFonts w:hint="eastAsia" w:ascii="宋体" w:hAnsi="宋体" w:cs="宋体"/>
                <w:color w:val="auto"/>
              </w:rPr>
              <w:t>、</w:t>
            </w:r>
            <w:r>
              <w:rPr>
                <w:rFonts w:hint="eastAsia" w:ascii="宋体" w:hAnsi="宋体" w:cs="宋体"/>
                <w:color w:val="auto"/>
                <w:lang w:eastAsia="zh-CN"/>
              </w:rPr>
              <w:t>氮氧化物、</w:t>
            </w:r>
            <w:r>
              <w:rPr>
                <w:rFonts w:hint="eastAsia" w:ascii="宋体" w:hAnsi="宋体" w:cs="宋体"/>
                <w:color w:val="auto"/>
              </w:rPr>
              <w:t>氟化物等排放执行安徽省地方标准《砖瓦工业大气污染物排放标准》（DB34/ 4362-2023）中表2相关标准限值</w:t>
            </w:r>
            <w:r>
              <w:rPr>
                <w:rFonts w:hint="eastAsia" w:ascii="宋体" w:hAnsi="宋体" w:cs="宋体"/>
                <w:color w:val="auto"/>
                <w:lang w:eastAsia="zh-CN"/>
              </w:rPr>
              <w:t>；焙烧废气产生的重金属等排放执行《生活垃圾焚烧污染物控制标准》（GB18485-20</w:t>
            </w:r>
            <w:r>
              <w:rPr>
                <w:rFonts w:hint="eastAsia" w:ascii="宋体" w:hAnsi="宋体" w:cs="宋体"/>
                <w:color w:val="auto"/>
                <w:lang w:val="en-US" w:eastAsia="zh-CN"/>
              </w:rPr>
              <w:t>14</w:t>
            </w:r>
            <w:r>
              <w:rPr>
                <w:rFonts w:hint="eastAsia" w:ascii="宋体" w:hAnsi="宋体" w:cs="宋体"/>
                <w:color w:val="auto"/>
                <w:lang w:eastAsia="zh-CN"/>
              </w:rPr>
              <w:t>）污泥暂存产生的氨气、硫化氢等执行《恶臭污染物排放标准》（GB14554-93）。</w:t>
            </w:r>
          </w:p>
          <w:p w14:paraId="33971BF4">
            <w:pPr>
              <w:widowControl/>
              <w:numPr>
                <w:ilvl w:val="0"/>
                <w:numId w:val="0"/>
              </w:numPr>
              <w:spacing w:line="360" w:lineRule="auto"/>
              <w:jc w:val="center"/>
              <w:rPr>
                <w:rFonts w:hint="eastAsia"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表3-6 废气排放标准一览表    单位： mg/m</w:t>
            </w:r>
            <w:r>
              <w:rPr>
                <w:rFonts w:hint="eastAsia" w:ascii="Times New Roman" w:hAnsi="Times New Roman" w:eastAsia="宋体" w:cs="Times New Roman"/>
                <w:b/>
                <w:bCs/>
                <w:color w:val="auto"/>
                <w:kern w:val="0"/>
                <w:sz w:val="21"/>
                <w:szCs w:val="21"/>
                <w:vertAlign w:val="superscript"/>
                <w:lang w:val="en-US" w:eastAsia="zh-CN"/>
              </w:rPr>
              <w:t>3</w:t>
            </w:r>
          </w:p>
          <w:tbl>
            <w:tblPr>
              <w:tblStyle w:val="135"/>
              <w:tblW w:w="805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11"/>
              <w:gridCol w:w="751"/>
              <w:gridCol w:w="1018"/>
              <w:gridCol w:w="1477"/>
              <w:gridCol w:w="1364"/>
              <w:gridCol w:w="1737"/>
            </w:tblGrid>
            <w:tr w14:paraId="4C181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jc w:val="center"/>
              </w:trPr>
              <w:tc>
                <w:tcPr>
                  <w:tcW w:w="1061" w:type="pct"/>
                  <w:vMerge w:val="restart"/>
                  <w:tcBorders>
                    <w:tl2br w:val="nil"/>
                    <w:tr2bl w:val="nil"/>
                  </w:tcBorders>
                  <w:vAlign w:val="center"/>
                </w:tcPr>
                <w:p w14:paraId="38B877BE">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ascii="Times New Roman" w:hAnsi="Times New Roman"/>
                      <w:b w:val="0"/>
                      <w:bCs w:val="0"/>
                      <w:color w:val="auto"/>
                      <w:sz w:val="21"/>
                      <w:szCs w:val="21"/>
                    </w:rPr>
                  </w:pPr>
                  <w:r>
                    <w:rPr>
                      <w:rFonts w:ascii="Times New Roman" w:hAnsi="Times New Roman"/>
                      <w:b w:val="0"/>
                      <w:bCs w:val="0"/>
                      <w:color w:val="auto"/>
                      <w:sz w:val="21"/>
                      <w:szCs w:val="21"/>
                    </w:rPr>
                    <w:t>生产过程</w:t>
                  </w:r>
                </w:p>
              </w:tc>
              <w:tc>
                <w:tcPr>
                  <w:tcW w:w="2860" w:type="pct"/>
                  <w:gridSpan w:val="4"/>
                  <w:tcBorders>
                    <w:tl2br w:val="nil"/>
                    <w:tr2bl w:val="nil"/>
                  </w:tcBorders>
                  <w:vAlign w:val="center"/>
                </w:tcPr>
                <w:p w14:paraId="0654E567">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ascii="Times New Roman" w:hAnsi="Times New Roman"/>
                      <w:b w:val="0"/>
                      <w:bCs w:val="0"/>
                      <w:color w:val="auto"/>
                      <w:sz w:val="21"/>
                      <w:szCs w:val="21"/>
                    </w:rPr>
                  </w:pPr>
                  <w:r>
                    <w:rPr>
                      <w:rFonts w:ascii="Times New Roman" w:hAnsi="Times New Roman"/>
                      <w:b w:val="0"/>
                      <w:bCs w:val="0"/>
                      <w:color w:val="auto"/>
                      <w:sz w:val="21"/>
                      <w:szCs w:val="21"/>
                    </w:rPr>
                    <w:t>最高允许排放浓度</w:t>
                  </w:r>
                </w:p>
              </w:tc>
              <w:tc>
                <w:tcPr>
                  <w:tcW w:w="1077" w:type="pct"/>
                  <w:vMerge w:val="restart"/>
                  <w:tcBorders>
                    <w:tl2br w:val="nil"/>
                    <w:tr2bl w:val="nil"/>
                  </w:tcBorders>
                  <w:vAlign w:val="center"/>
                </w:tcPr>
                <w:p w14:paraId="2A5D5173">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ascii="Times New Roman" w:hAnsi="Times New Roman"/>
                      <w:b w:val="0"/>
                      <w:bCs w:val="0"/>
                      <w:color w:val="auto"/>
                      <w:sz w:val="21"/>
                      <w:szCs w:val="21"/>
                    </w:rPr>
                  </w:pPr>
                  <w:r>
                    <w:rPr>
                      <w:rFonts w:ascii="Times New Roman" w:hAnsi="Times New Roman"/>
                      <w:b w:val="0"/>
                      <w:bCs w:val="0"/>
                      <w:color w:val="auto"/>
                      <w:sz w:val="21"/>
                      <w:szCs w:val="21"/>
                    </w:rPr>
                    <w:t>污染物排放监控位置</w:t>
                  </w:r>
                </w:p>
              </w:tc>
            </w:tr>
            <w:tr w14:paraId="7CB7FD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6" w:hRule="atLeast"/>
                <w:jc w:val="center"/>
              </w:trPr>
              <w:tc>
                <w:tcPr>
                  <w:tcW w:w="1061" w:type="pct"/>
                  <w:vMerge w:val="continue"/>
                  <w:tcBorders>
                    <w:tl2br w:val="nil"/>
                    <w:tr2bl w:val="nil"/>
                  </w:tcBorders>
                  <w:vAlign w:val="center"/>
                </w:tcPr>
                <w:p w14:paraId="6754D4A4">
                  <w:pPr>
                    <w:keepNext w:val="0"/>
                    <w:keepLines w:val="0"/>
                    <w:pageBreakBefore w:val="0"/>
                    <w:widowControl/>
                    <w:kinsoku/>
                    <w:wordWrap/>
                    <w:overflowPunct/>
                    <w:topLinePunct w:val="0"/>
                    <w:autoSpaceDE/>
                    <w:autoSpaceDN/>
                    <w:bidi w:val="0"/>
                    <w:adjustRightInd/>
                    <w:spacing w:line="240" w:lineRule="auto"/>
                    <w:ind w:right="0"/>
                    <w:jc w:val="center"/>
                    <w:textAlignment w:val="auto"/>
                    <w:rPr>
                      <w:rFonts w:ascii="Times New Roman" w:hAnsi="Times New Roman"/>
                      <w:b w:val="0"/>
                      <w:bCs w:val="0"/>
                      <w:color w:val="auto"/>
                      <w:sz w:val="21"/>
                      <w:szCs w:val="21"/>
                    </w:rPr>
                  </w:pPr>
                </w:p>
              </w:tc>
              <w:tc>
                <w:tcPr>
                  <w:tcW w:w="465" w:type="pct"/>
                  <w:tcBorders>
                    <w:tl2br w:val="nil"/>
                    <w:tr2bl w:val="nil"/>
                  </w:tcBorders>
                  <w:vAlign w:val="center"/>
                </w:tcPr>
                <w:p w14:paraId="2A7FA434">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ascii="Times New Roman" w:hAnsi="Times New Roman"/>
                      <w:b w:val="0"/>
                      <w:bCs w:val="0"/>
                      <w:color w:val="auto"/>
                      <w:sz w:val="21"/>
                      <w:szCs w:val="21"/>
                    </w:rPr>
                  </w:pPr>
                  <w:r>
                    <w:rPr>
                      <w:rFonts w:ascii="Times New Roman" w:hAnsi="Times New Roman"/>
                      <w:b w:val="0"/>
                      <w:bCs w:val="0"/>
                      <w:color w:val="auto"/>
                      <w:sz w:val="21"/>
                      <w:szCs w:val="21"/>
                    </w:rPr>
                    <w:t>颗粒物</w:t>
                  </w:r>
                </w:p>
              </w:tc>
              <w:tc>
                <w:tcPr>
                  <w:tcW w:w="631" w:type="pct"/>
                  <w:tcBorders>
                    <w:tl2br w:val="nil"/>
                    <w:tr2bl w:val="nil"/>
                  </w:tcBorders>
                  <w:vAlign w:val="center"/>
                </w:tcPr>
                <w:p w14:paraId="639D5681">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ascii="Times New Roman" w:hAnsi="Times New Roman"/>
                      <w:b w:val="0"/>
                      <w:bCs w:val="0"/>
                      <w:color w:val="auto"/>
                      <w:sz w:val="21"/>
                      <w:szCs w:val="21"/>
                    </w:rPr>
                  </w:pPr>
                  <w:r>
                    <w:rPr>
                      <w:rFonts w:ascii="Times New Roman" w:hAnsi="Times New Roman"/>
                      <w:b w:val="0"/>
                      <w:bCs w:val="0"/>
                      <w:color w:val="auto"/>
                      <w:sz w:val="21"/>
                      <w:szCs w:val="21"/>
                    </w:rPr>
                    <w:t>SO</w:t>
                  </w:r>
                  <w:r>
                    <w:rPr>
                      <w:rFonts w:ascii="Times New Roman" w:hAnsi="Times New Roman"/>
                      <w:b w:val="0"/>
                      <w:bCs w:val="0"/>
                      <w:color w:val="auto"/>
                      <w:sz w:val="21"/>
                      <w:szCs w:val="21"/>
                      <w:vertAlign w:val="subscript"/>
                    </w:rPr>
                    <w:t>2</w:t>
                  </w:r>
                  <w:r>
                    <w:rPr>
                      <w:rFonts w:ascii="Times New Roman" w:hAnsi="Times New Roman"/>
                      <w:b w:val="0"/>
                      <w:bCs w:val="0"/>
                      <w:color w:val="auto"/>
                      <w:sz w:val="21"/>
                      <w:szCs w:val="21"/>
                    </w:rPr>
                    <w:t>浓度</w:t>
                  </w:r>
                </w:p>
              </w:tc>
              <w:tc>
                <w:tcPr>
                  <w:tcW w:w="916" w:type="pct"/>
                  <w:tcBorders>
                    <w:tl2br w:val="nil"/>
                    <w:tr2bl w:val="nil"/>
                  </w:tcBorders>
                  <w:vAlign w:val="center"/>
                </w:tcPr>
                <w:p w14:paraId="38F893E7">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ascii="Times New Roman" w:hAnsi="Times New Roman"/>
                      <w:b w:val="0"/>
                      <w:bCs w:val="0"/>
                      <w:color w:val="auto"/>
                      <w:sz w:val="21"/>
                      <w:szCs w:val="21"/>
                    </w:rPr>
                  </w:pPr>
                  <w:r>
                    <w:rPr>
                      <w:rFonts w:ascii="Times New Roman" w:hAnsi="Times New Roman"/>
                      <w:b w:val="0"/>
                      <w:bCs w:val="0"/>
                      <w:color w:val="auto"/>
                      <w:sz w:val="21"/>
                      <w:szCs w:val="21"/>
                    </w:rPr>
                    <w:t>氮氧化物（以NO</w:t>
                  </w:r>
                  <w:r>
                    <w:rPr>
                      <w:rFonts w:ascii="Times New Roman" w:hAnsi="Times New Roman"/>
                      <w:b w:val="0"/>
                      <w:bCs w:val="0"/>
                      <w:color w:val="auto"/>
                      <w:sz w:val="21"/>
                      <w:szCs w:val="21"/>
                      <w:vertAlign w:val="subscript"/>
                    </w:rPr>
                    <w:t>2</w:t>
                  </w:r>
                  <w:r>
                    <w:rPr>
                      <w:rFonts w:ascii="Times New Roman" w:hAnsi="Times New Roman"/>
                      <w:b w:val="0"/>
                      <w:bCs w:val="0"/>
                      <w:color w:val="auto"/>
                      <w:sz w:val="21"/>
                      <w:szCs w:val="21"/>
                    </w:rPr>
                    <w:t>计）</w:t>
                  </w:r>
                </w:p>
              </w:tc>
              <w:tc>
                <w:tcPr>
                  <w:tcW w:w="846" w:type="pct"/>
                  <w:tcBorders>
                    <w:tl2br w:val="nil"/>
                    <w:tr2bl w:val="nil"/>
                  </w:tcBorders>
                  <w:vAlign w:val="center"/>
                </w:tcPr>
                <w:p w14:paraId="21966AA6">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ascii="Times New Roman" w:hAnsi="Times New Roman"/>
                      <w:b w:val="0"/>
                      <w:bCs w:val="0"/>
                      <w:color w:val="auto"/>
                      <w:sz w:val="21"/>
                      <w:szCs w:val="21"/>
                    </w:rPr>
                  </w:pPr>
                  <w:r>
                    <w:rPr>
                      <w:rFonts w:ascii="Times New Roman" w:hAnsi="Times New Roman"/>
                      <w:b w:val="0"/>
                      <w:bCs w:val="0"/>
                      <w:color w:val="auto"/>
                      <w:sz w:val="21"/>
                      <w:szCs w:val="21"/>
                    </w:rPr>
                    <w:t>氟化物（以总F计）</w:t>
                  </w:r>
                </w:p>
              </w:tc>
              <w:tc>
                <w:tcPr>
                  <w:tcW w:w="1077" w:type="pct"/>
                  <w:vMerge w:val="continue"/>
                  <w:tcBorders>
                    <w:tl2br w:val="nil"/>
                    <w:tr2bl w:val="nil"/>
                  </w:tcBorders>
                  <w:vAlign w:val="center"/>
                </w:tcPr>
                <w:p w14:paraId="101901AB">
                  <w:pPr>
                    <w:keepNext w:val="0"/>
                    <w:keepLines w:val="0"/>
                    <w:pageBreakBefore w:val="0"/>
                    <w:widowControl/>
                    <w:kinsoku/>
                    <w:wordWrap/>
                    <w:overflowPunct/>
                    <w:topLinePunct w:val="0"/>
                    <w:autoSpaceDE/>
                    <w:autoSpaceDN/>
                    <w:bidi w:val="0"/>
                    <w:adjustRightInd/>
                    <w:spacing w:line="240" w:lineRule="auto"/>
                    <w:ind w:right="0"/>
                    <w:jc w:val="center"/>
                    <w:textAlignment w:val="auto"/>
                    <w:rPr>
                      <w:rFonts w:ascii="Times New Roman" w:hAnsi="Times New Roman"/>
                      <w:b w:val="0"/>
                      <w:bCs w:val="0"/>
                      <w:color w:val="auto"/>
                      <w:sz w:val="21"/>
                      <w:szCs w:val="21"/>
                    </w:rPr>
                  </w:pPr>
                </w:p>
              </w:tc>
            </w:tr>
            <w:tr w14:paraId="0581E2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6" w:hRule="atLeast"/>
                <w:jc w:val="center"/>
              </w:trPr>
              <w:tc>
                <w:tcPr>
                  <w:tcW w:w="1061" w:type="pct"/>
                  <w:tcBorders>
                    <w:tl2br w:val="nil"/>
                    <w:tr2bl w:val="nil"/>
                  </w:tcBorders>
                  <w:vAlign w:val="center"/>
                </w:tcPr>
                <w:p w14:paraId="0B886101">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ascii="Times New Roman" w:hAnsi="Times New Roman"/>
                      <w:b w:val="0"/>
                      <w:bCs w:val="0"/>
                      <w:color w:val="auto"/>
                      <w:sz w:val="21"/>
                      <w:szCs w:val="21"/>
                    </w:rPr>
                  </w:pPr>
                  <w:r>
                    <w:rPr>
                      <w:rFonts w:ascii="Times New Roman" w:hAnsi="Times New Roman"/>
                      <w:b w:val="0"/>
                      <w:bCs w:val="0"/>
                      <w:color w:val="auto"/>
                      <w:sz w:val="21"/>
                      <w:szCs w:val="21"/>
                    </w:rPr>
                    <w:t>原料燃料及制备成型</w:t>
                  </w:r>
                </w:p>
              </w:tc>
              <w:tc>
                <w:tcPr>
                  <w:tcW w:w="465" w:type="pct"/>
                  <w:tcBorders>
                    <w:tl2br w:val="nil"/>
                    <w:tr2bl w:val="nil"/>
                  </w:tcBorders>
                  <w:vAlign w:val="center"/>
                </w:tcPr>
                <w:p w14:paraId="453C3411">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ascii="Times New Roman" w:hAnsi="Times New Roman"/>
                      <w:b w:val="0"/>
                      <w:bCs w:val="0"/>
                      <w:color w:val="auto"/>
                      <w:sz w:val="21"/>
                      <w:szCs w:val="21"/>
                    </w:rPr>
                  </w:pPr>
                  <w:r>
                    <w:rPr>
                      <w:rFonts w:hint="eastAsia"/>
                      <w:b w:val="0"/>
                      <w:bCs w:val="0"/>
                      <w:color w:val="auto"/>
                      <w:sz w:val="21"/>
                      <w:szCs w:val="21"/>
                      <w:lang w:val="en-US" w:eastAsia="zh-CN"/>
                    </w:rPr>
                    <w:t>1</w:t>
                  </w:r>
                  <w:r>
                    <w:rPr>
                      <w:rFonts w:ascii="Times New Roman" w:hAnsi="Times New Roman"/>
                      <w:b w:val="0"/>
                      <w:bCs w:val="0"/>
                      <w:color w:val="auto"/>
                      <w:sz w:val="21"/>
                      <w:szCs w:val="21"/>
                    </w:rPr>
                    <w:t>0</w:t>
                  </w:r>
                </w:p>
              </w:tc>
              <w:tc>
                <w:tcPr>
                  <w:tcW w:w="631" w:type="pct"/>
                  <w:tcBorders>
                    <w:tl2br w:val="nil"/>
                    <w:tr2bl w:val="nil"/>
                  </w:tcBorders>
                  <w:vAlign w:val="center"/>
                </w:tcPr>
                <w:p w14:paraId="4363BDED">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ascii="Times New Roman" w:hAnsi="Times New Roman"/>
                      <w:b w:val="0"/>
                      <w:bCs w:val="0"/>
                      <w:color w:val="auto"/>
                      <w:sz w:val="21"/>
                      <w:szCs w:val="21"/>
                    </w:rPr>
                  </w:pPr>
                  <w:r>
                    <w:rPr>
                      <w:rFonts w:ascii="Times New Roman" w:hAnsi="Times New Roman"/>
                      <w:b w:val="0"/>
                      <w:bCs w:val="0"/>
                      <w:color w:val="auto"/>
                      <w:sz w:val="21"/>
                      <w:szCs w:val="21"/>
                    </w:rPr>
                    <w:t>--</w:t>
                  </w:r>
                </w:p>
              </w:tc>
              <w:tc>
                <w:tcPr>
                  <w:tcW w:w="916" w:type="pct"/>
                  <w:tcBorders>
                    <w:tl2br w:val="nil"/>
                    <w:tr2bl w:val="nil"/>
                  </w:tcBorders>
                  <w:vAlign w:val="center"/>
                </w:tcPr>
                <w:p w14:paraId="582C53A9">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ascii="Times New Roman" w:hAnsi="Times New Roman"/>
                      <w:b w:val="0"/>
                      <w:bCs w:val="0"/>
                      <w:color w:val="auto"/>
                      <w:sz w:val="21"/>
                      <w:szCs w:val="21"/>
                    </w:rPr>
                  </w:pPr>
                  <w:r>
                    <w:rPr>
                      <w:rFonts w:ascii="Times New Roman" w:hAnsi="Times New Roman"/>
                      <w:b w:val="0"/>
                      <w:bCs w:val="0"/>
                      <w:color w:val="auto"/>
                      <w:sz w:val="21"/>
                      <w:szCs w:val="21"/>
                    </w:rPr>
                    <w:t>--</w:t>
                  </w:r>
                </w:p>
              </w:tc>
              <w:tc>
                <w:tcPr>
                  <w:tcW w:w="846" w:type="pct"/>
                  <w:tcBorders>
                    <w:tl2br w:val="nil"/>
                    <w:tr2bl w:val="nil"/>
                  </w:tcBorders>
                  <w:vAlign w:val="center"/>
                </w:tcPr>
                <w:p w14:paraId="06D15EDD">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ascii="Times New Roman" w:hAnsi="Times New Roman"/>
                      <w:b w:val="0"/>
                      <w:bCs w:val="0"/>
                      <w:color w:val="auto"/>
                      <w:sz w:val="21"/>
                      <w:szCs w:val="21"/>
                    </w:rPr>
                  </w:pPr>
                  <w:r>
                    <w:rPr>
                      <w:rFonts w:ascii="Times New Roman" w:hAnsi="Times New Roman"/>
                      <w:b w:val="0"/>
                      <w:bCs w:val="0"/>
                      <w:color w:val="auto"/>
                      <w:sz w:val="21"/>
                      <w:szCs w:val="21"/>
                    </w:rPr>
                    <w:t>--</w:t>
                  </w:r>
                </w:p>
              </w:tc>
              <w:tc>
                <w:tcPr>
                  <w:tcW w:w="1077" w:type="pct"/>
                  <w:vMerge w:val="restart"/>
                  <w:tcBorders>
                    <w:tl2br w:val="nil"/>
                    <w:tr2bl w:val="nil"/>
                  </w:tcBorders>
                  <w:vAlign w:val="center"/>
                </w:tcPr>
                <w:p w14:paraId="2B2ADB8D">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ascii="Times New Roman" w:hAnsi="Times New Roman"/>
                      <w:b w:val="0"/>
                      <w:bCs w:val="0"/>
                      <w:color w:val="auto"/>
                      <w:sz w:val="21"/>
                      <w:szCs w:val="21"/>
                    </w:rPr>
                  </w:pPr>
                  <w:r>
                    <w:rPr>
                      <w:rFonts w:ascii="Times New Roman" w:hAnsi="Times New Roman"/>
                      <w:b w:val="0"/>
                      <w:bCs w:val="0"/>
                      <w:color w:val="auto"/>
                      <w:sz w:val="21"/>
                      <w:szCs w:val="21"/>
                    </w:rPr>
                    <w:t>车间或生产设施排气筒</w:t>
                  </w:r>
                </w:p>
              </w:tc>
            </w:tr>
            <w:tr w14:paraId="03001A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jc w:val="center"/>
              </w:trPr>
              <w:tc>
                <w:tcPr>
                  <w:tcW w:w="1061" w:type="pct"/>
                  <w:tcBorders>
                    <w:tl2br w:val="nil"/>
                    <w:tr2bl w:val="nil"/>
                  </w:tcBorders>
                  <w:vAlign w:val="center"/>
                </w:tcPr>
                <w:p w14:paraId="2A150BE7">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ascii="Times New Roman" w:hAnsi="Times New Roman"/>
                      <w:b w:val="0"/>
                      <w:bCs w:val="0"/>
                      <w:color w:val="auto"/>
                      <w:sz w:val="21"/>
                      <w:szCs w:val="21"/>
                    </w:rPr>
                  </w:pPr>
                  <w:r>
                    <w:rPr>
                      <w:rFonts w:ascii="Times New Roman" w:hAnsi="Times New Roman"/>
                      <w:b w:val="0"/>
                      <w:bCs w:val="0"/>
                      <w:color w:val="auto"/>
                      <w:sz w:val="21"/>
                      <w:szCs w:val="21"/>
                    </w:rPr>
                    <w:t>人工干燥及焙烧</w:t>
                  </w:r>
                </w:p>
              </w:tc>
              <w:tc>
                <w:tcPr>
                  <w:tcW w:w="465" w:type="pct"/>
                  <w:tcBorders>
                    <w:tl2br w:val="nil"/>
                    <w:tr2bl w:val="nil"/>
                  </w:tcBorders>
                  <w:vAlign w:val="center"/>
                </w:tcPr>
                <w:p w14:paraId="0904CD15">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ascii="Times New Roman" w:hAnsi="Times New Roman"/>
                      <w:b w:val="0"/>
                      <w:bCs w:val="0"/>
                      <w:color w:val="auto"/>
                      <w:sz w:val="21"/>
                      <w:szCs w:val="21"/>
                    </w:rPr>
                  </w:pPr>
                  <w:r>
                    <w:rPr>
                      <w:rFonts w:hint="eastAsia"/>
                      <w:b w:val="0"/>
                      <w:bCs w:val="0"/>
                      <w:color w:val="auto"/>
                      <w:sz w:val="21"/>
                      <w:szCs w:val="21"/>
                      <w:lang w:val="en-US" w:eastAsia="zh-CN"/>
                    </w:rPr>
                    <w:t>1</w:t>
                  </w:r>
                  <w:r>
                    <w:rPr>
                      <w:rFonts w:ascii="Times New Roman" w:hAnsi="Times New Roman"/>
                      <w:b w:val="0"/>
                      <w:bCs w:val="0"/>
                      <w:color w:val="auto"/>
                      <w:sz w:val="21"/>
                      <w:szCs w:val="21"/>
                    </w:rPr>
                    <w:t>0</w:t>
                  </w:r>
                </w:p>
              </w:tc>
              <w:tc>
                <w:tcPr>
                  <w:tcW w:w="631" w:type="pct"/>
                  <w:tcBorders>
                    <w:tl2br w:val="nil"/>
                    <w:tr2bl w:val="nil"/>
                  </w:tcBorders>
                  <w:vAlign w:val="center"/>
                </w:tcPr>
                <w:p w14:paraId="665D1FB2">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hint="default" w:ascii="Times New Roman" w:hAnsi="Times New Roman" w:eastAsia="宋体"/>
                      <w:b w:val="0"/>
                      <w:bCs w:val="0"/>
                      <w:color w:val="auto"/>
                      <w:sz w:val="21"/>
                      <w:szCs w:val="21"/>
                      <w:lang w:val="en-US" w:eastAsia="zh-CN"/>
                    </w:rPr>
                  </w:pPr>
                  <w:r>
                    <w:rPr>
                      <w:rFonts w:hint="eastAsia"/>
                      <w:b w:val="0"/>
                      <w:bCs w:val="0"/>
                      <w:color w:val="auto"/>
                      <w:sz w:val="21"/>
                      <w:szCs w:val="21"/>
                      <w:lang w:val="en-US" w:eastAsia="zh-CN"/>
                    </w:rPr>
                    <w:t>50</w:t>
                  </w:r>
                </w:p>
              </w:tc>
              <w:tc>
                <w:tcPr>
                  <w:tcW w:w="916" w:type="pct"/>
                  <w:tcBorders>
                    <w:tl2br w:val="nil"/>
                    <w:tr2bl w:val="nil"/>
                  </w:tcBorders>
                  <w:vAlign w:val="center"/>
                </w:tcPr>
                <w:p w14:paraId="05839487">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hint="default" w:ascii="Times New Roman" w:hAnsi="Times New Roman" w:eastAsia="宋体"/>
                      <w:b w:val="0"/>
                      <w:bCs w:val="0"/>
                      <w:color w:val="auto"/>
                      <w:sz w:val="21"/>
                      <w:szCs w:val="21"/>
                      <w:lang w:val="en-US" w:eastAsia="zh-CN"/>
                    </w:rPr>
                  </w:pPr>
                  <w:r>
                    <w:rPr>
                      <w:rFonts w:hint="eastAsia"/>
                      <w:b w:val="0"/>
                      <w:bCs w:val="0"/>
                      <w:color w:val="auto"/>
                      <w:sz w:val="21"/>
                      <w:szCs w:val="21"/>
                      <w:lang w:val="en-US" w:eastAsia="zh-CN"/>
                    </w:rPr>
                    <w:t>100</w:t>
                  </w:r>
                </w:p>
              </w:tc>
              <w:tc>
                <w:tcPr>
                  <w:tcW w:w="846" w:type="pct"/>
                  <w:tcBorders>
                    <w:tl2br w:val="nil"/>
                    <w:tr2bl w:val="nil"/>
                  </w:tcBorders>
                  <w:vAlign w:val="center"/>
                </w:tcPr>
                <w:p w14:paraId="186250D9">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ascii="Times New Roman" w:hAnsi="Times New Roman"/>
                      <w:b w:val="0"/>
                      <w:bCs w:val="0"/>
                      <w:color w:val="auto"/>
                      <w:sz w:val="21"/>
                      <w:szCs w:val="21"/>
                    </w:rPr>
                  </w:pPr>
                  <w:r>
                    <w:rPr>
                      <w:rFonts w:ascii="Times New Roman" w:hAnsi="Times New Roman"/>
                      <w:b w:val="0"/>
                      <w:bCs w:val="0"/>
                      <w:color w:val="auto"/>
                      <w:sz w:val="21"/>
                      <w:szCs w:val="21"/>
                    </w:rPr>
                    <w:t>3</w:t>
                  </w:r>
                </w:p>
              </w:tc>
              <w:tc>
                <w:tcPr>
                  <w:tcW w:w="1077" w:type="pct"/>
                  <w:vMerge w:val="continue"/>
                  <w:tcBorders>
                    <w:tl2br w:val="nil"/>
                    <w:tr2bl w:val="nil"/>
                  </w:tcBorders>
                  <w:vAlign w:val="center"/>
                </w:tcPr>
                <w:p w14:paraId="213557FF">
                  <w:pPr>
                    <w:keepNext w:val="0"/>
                    <w:keepLines w:val="0"/>
                    <w:pageBreakBefore w:val="0"/>
                    <w:widowControl/>
                    <w:kinsoku/>
                    <w:wordWrap/>
                    <w:overflowPunct/>
                    <w:topLinePunct w:val="0"/>
                    <w:autoSpaceDE/>
                    <w:autoSpaceDN/>
                    <w:bidi w:val="0"/>
                    <w:adjustRightInd/>
                    <w:spacing w:line="240" w:lineRule="auto"/>
                    <w:ind w:right="0"/>
                    <w:jc w:val="center"/>
                    <w:textAlignment w:val="auto"/>
                    <w:rPr>
                      <w:rFonts w:ascii="Times New Roman" w:hAnsi="Times New Roman"/>
                      <w:b w:val="0"/>
                      <w:bCs w:val="0"/>
                      <w:color w:val="auto"/>
                      <w:sz w:val="21"/>
                      <w:szCs w:val="21"/>
                    </w:rPr>
                  </w:pPr>
                </w:p>
              </w:tc>
            </w:tr>
            <w:tr w14:paraId="494D6C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jc w:val="center"/>
              </w:trPr>
              <w:tc>
                <w:tcPr>
                  <w:tcW w:w="5000" w:type="pct"/>
                  <w:gridSpan w:val="6"/>
                  <w:tcBorders>
                    <w:tl2br w:val="nil"/>
                    <w:tr2bl w:val="nil"/>
                  </w:tcBorders>
                  <w:vAlign w:val="center"/>
                </w:tcPr>
                <w:p w14:paraId="3371036E">
                  <w:pPr>
                    <w:keepNext w:val="0"/>
                    <w:keepLines w:val="0"/>
                    <w:pageBreakBefore w:val="0"/>
                    <w:widowControl/>
                    <w:kinsoku/>
                    <w:wordWrap/>
                    <w:overflowPunct/>
                    <w:topLinePunct w:val="0"/>
                    <w:autoSpaceDE/>
                    <w:autoSpaceDN/>
                    <w:bidi w:val="0"/>
                    <w:adjustRightInd/>
                    <w:spacing w:line="240" w:lineRule="auto"/>
                    <w:ind w:right="0"/>
                    <w:jc w:val="center"/>
                    <w:textAlignment w:val="auto"/>
                    <w:rPr>
                      <w:rFonts w:hint="default"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边界大气污染物浓度限值</w:t>
                  </w:r>
                </w:p>
              </w:tc>
            </w:tr>
            <w:tr w14:paraId="40AB47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jc w:val="center"/>
              </w:trPr>
              <w:tc>
                <w:tcPr>
                  <w:tcW w:w="1527" w:type="pct"/>
                  <w:gridSpan w:val="2"/>
                  <w:tcBorders>
                    <w:tl2br w:val="nil"/>
                    <w:tr2bl w:val="nil"/>
                  </w:tcBorders>
                  <w:vAlign w:val="center"/>
                </w:tcPr>
                <w:p w14:paraId="58AF5F03">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hint="eastAsia"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序号</w:t>
                  </w:r>
                </w:p>
              </w:tc>
              <w:tc>
                <w:tcPr>
                  <w:tcW w:w="1548" w:type="pct"/>
                  <w:gridSpan w:val="2"/>
                  <w:tcBorders>
                    <w:tl2br w:val="nil"/>
                    <w:tr2bl w:val="nil"/>
                  </w:tcBorders>
                  <w:vAlign w:val="center"/>
                </w:tcPr>
                <w:p w14:paraId="64D7379D">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hint="eastAsia"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污染物项目</w:t>
                  </w:r>
                </w:p>
              </w:tc>
              <w:tc>
                <w:tcPr>
                  <w:tcW w:w="1924" w:type="pct"/>
                  <w:gridSpan w:val="2"/>
                  <w:tcBorders>
                    <w:tl2br w:val="nil"/>
                    <w:tr2bl w:val="nil"/>
                  </w:tcBorders>
                  <w:vAlign w:val="center"/>
                </w:tcPr>
                <w:p w14:paraId="02AF79FC">
                  <w:pPr>
                    <w:keepNext w:val="0"/>
                    <w:keepLines w:val="0"/>
                    <w:pageBreakBefore w:val="0"/>
                    <w:widowControl/>
                    <w:kinsoku/>
                    <w:wordWrap/>
                    <w:overflowPunct/>
                    <w:topLinePunct w:val="0"/>
                    <w:autoSpaceDE/>
                    <w:autoSpaceDN/>
                    <w:bidi w:val="0"/>
                    <w:adjustRightInd/>
                    <w:spacing w:line="240" w:lineRule="auto"/>
                    <w:ind w:right="0"/>
                    <w:jc w:val="center"/>
                    <w:textAlignment w:val="auto"/>
                    <w:rPr>
                      <w:rFonts w:hint="default"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浓度限值</w:t>
                  </w:r>
                </w:p>
              </w:tc>
            </w:tr>
            <w:tr w14:paraId="13D6C4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jc w:val="center"/>
              </w:trPr>
              <w:tc>
                <w:tcPr>
                  <w:tcW w:w="1527" w:type="pct"/>
                  <w:gridSpan w:val="2"/>
                  <w:tcBorders>
                    <w:tl2br w:val="nil"/>
                    <w:tr2bl w:val="nil"/>
                  </w:tcBorders>
                  <w:vAlign w:val="center"/>
                </w:tcPr>
                <w:p w14:paraId="7BACC040">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hint="default"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1</w:t>
                  </w:r>
                </w:p>
              </w:tc>
              <w:tc>
                <w:tcPr>
                  <w:tcW w:w="1548" w:type="pct"/>
                  <w:gridSpan w:val="2"/>
                  <w:tcBorders>
                    <w:tl2br w:val="nil"/>
                    <w:tr2bl w:val="nil"/>
                  </w:tcBorders>
                  <w:vAlign w:val="center"/>
                </w:tcPr>
                <w:p w14:paraId="0149887E">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hint="eastAsia"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颗粒物</w:t>
                  </w:r>
                </w:p>
              </w:tc>
              <w:tc>
                <w:tcPr>
                  <w:tcW w:w="1924" w:type="pct"/>
                  <w:gridSpan w:val="2"/>
                  <w:tcBorders>
                    <w:tl2br w:val="nil"/>
                    <w:tr2bl w:val="nil"/>
                  </w:tcBorders>
                  <w:vAlign w:val="center"/>
                </w:tcPr>
                <w:p w14:paraId="5FDD02CD">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hint="default"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1.0</w:t>
                  </w:r>
                </w:p>
              </w:tc>
            </w:tr>
            <w:tr w14:paraId="61F181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jc w:val="center"/>
              </w:trPr>
              <w:tc>
                <w:tcPr>
                  <w:tcW w:w="1527" w:type="pct"/>
                  <w:gridSpan w:val="2"/>
                  <w:tcBorders>
                    <w:tl2br w:val="nil"/>
                    <w:tr2bl w:val="nil"/>
                  </w:tcBorders>
                  <w:vAlign w:val="center"/>
                </w:tcPr>
                <w:p w14:paraId="3F6EC83B">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hint="eastAsia"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2</w:t>
                  </w:r>
                </w:p>
              </w:tc>
              <w:tc>
                <w:tcPr>
                  <w:tcW w:w="1548" w:type="pct"/>
                  <w:gridSpan w:val="2"/>
                  <w:tcBorders>
                    <w:tl2br w:val="nil"/>
                    <w:tr2bl w:val="nil"/>
                  </w:tcBorders>
                  <w:vAlign w:val="center"/>
                </w:tcPr>
                <w:p w14:paraId="7C711385">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hint="default"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二氧化硫</w:t>
                  </w:r>
                </w:p>
              </w:tc>
              <w:tc>
                <w:tcPr>
                  <w:tcW w:w="1924" w:type="pct"/>
                  <w:gridSpan w:val="2"/>
                  <w:tcBorders>
                    <w:tl2br w:val="nil"/>
                    <w:tr2bl w:val="nil"/>
                  </w:tcBorders>
                  <w:vAlign w:val="center"/>
                </w:tcPr>
                <w:p w14:paraId="0CF07FDF">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hint="default"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0.5</w:t>
                  </w:r>
                </w:p>
              </w:tc>
            </w:tr>
            <w:tr w14:paraId="127FE9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9" w:hRule="atLeast"/>
                <w:jc w:val="center"/>
              </w:trPr>
              <w:tc>
                <w:tcPr>
                  <w:tcW w:w="1527" w:type="pct"/>
                  <w:gridSpan w:val="2"/>
                  <w:tcBorders>
                    <w:tl2br w:val="nil"/>
                    <w:tr2bl w:val="nil"/>
                  </w:tcBorders>
                  <w:vAlign w:val="center"/>
                </w:tcPr>
                <w:p w14:paraId="31E2241D">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hint="eastAsia"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3</w:t>
                  </w:r>
                </w:p>
              </w:tc>
              <w:tc>
                <w:tcPr>
                  <w:tcW w:w="1548" w:type="pct"/>
                  <w:gridSpan w:val="2"/>
                  <w:tcBorders>
                    <w:tl2br w:val="nil"/>
                    <w:tr2bl w:val="nil"/>
                  </w:tcBorders>
                  <w:vAlign w:val="center"/>
                </w:tcPr>
                <w:p w14:paraId="7426E578">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hint="eastAsia"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氟化物</w:t>
                  </w:r>
                </w:p>
              </w:tc>
              <w:tc>
                <w:tcPr>
                  <w:tcW w:w="1924" w:type="pct"/>
                  <w:gridSpan w:val="2"/>
                  <w:tcBorders>
                    <w:tl2br w:val="nil"/>
                    <w:tr2bl w:val="nil"/>
                  </w:tcBorders>
                  <w:vAlign w:val="center"/>
                </w:tcPr>
                <w:p w14:paraId="6974AA15">
                  <w:pPr>
                    <w:pStyle w:val="102"/>
                    <w:keepNext w:val="0"/>
                    <w:keepLines w:val="0"/>
                    <w:pageBreakBefore w:val="0"/>
                    <w:widowControl/>
                    <w:kinsoku/>
                    <w:wordWrap/>
                    <w:overflowPunct/>
                    <w:topLinePunct w:val="0"/>
                    <w:autoSpaceDE/>
                    <w:autoSpaceDN/>
                    <w:bidi w:val="0"/>
                    <w:adjustRightInd/>
                    <w:spacing w:before="0" w:after="0" w:line="240" w:lineRule="auto"/>
                    <w:ind w:left="0" w:leftChars="0" w:right="0" w:firstLine="0" w:firstLineChars="0"/>
                    <w:jc w:val="center"/>
                    <w:textAlignment w:val="auto"/>
                    <w:rPr>
                      <w:rFonts w:hint="default" w:ascii="Times New Roman" w:hAnsi="Times New Roman" w:eastAsia="宋体"/>
                      <w:b w:val="0"/>
                      <w:bCs w:val="0"/>
                      <w:color w:val="auto"/>
                      <w:sz w:val="21"/>
                      <w:szCs w:val="21"/>
                      <w:lang w:val="en-US" w:eastAsia="zh-CN"/>
                    </w:rPr>
                  </w:pPr>
                  <w:r>
                    <w:rPr>
                      <w:rFonts w:hint="eastAsia" w:ascii="Times New Roman" w:hAnsi="Times New Roman"/>
                      <w:b w:val="0"/>
                      <w:bCs w:val="0"/>
                      <w:color w:val="auto"/>
                      <w:sz w:val="21"/>
                      <w:szCs w:val="21"/>
                      <w:lang w:val="en-US" w:eastAsia="zh-CN"/>
                    </w:rPr>
                    <w:t>0.02</w:t>
                  </w:r>
                </w:p>
              </w:tc>
            </w:tr>
          </w:tbl>
          <w:p w14:paraId="427E0FC1">
            <w:pPr>
              <w:widowControl/>
              <w:numPr>
                <w:ilvl w:val="0"/>
                <w:numId w:val="0"/>
              </w:numPr>
              <w:spacing w:line="360" w:lineRule="auto"/>
              <w:jc w:val="center"/>
              <w:rPr>
                <w:rFonts w:hint="eastAsia" w:ascii="Times New Roman" w:hAnsi="Times New Roman" w:eastAsia="宋体" w:cs="Times New Roman"/>
                <w:b/>
                <w:bCs/>
                <w:color w:val="auto"/>
                <w:kern w:val="0"/>
                <w:sz w:val="21"/>
                <w:szCs w:val="21"/>
                <w:vertAlign w:val="baseline"/>
                <w:lang w:val="en-US" w:eastAsia="zh-CN"/>
              </w:rPr>
            </w:pPr>
            <w:r>
              <w:rPr>
                <w:rFonts w:hint="eastAsia" w:ascii="Times New Roman" w:hAnsi="Times New Roman" w:eastAsia="宋体" w:cs="Times New Roman"/>
                <w:b/>
                <w:bCs/>
                <w:color w:val="auto"/>
                <w:kern w:val="0"/>
                <w:sz w:val="21"/>
                <w:szCs w:val="21"/>
                <w:vertAlign w:val="baseline"/>
                <w:lang w:val="en-US" w:eastAsia="zh-CN"/>
              </w:rPr>
              <w:br w:type="textWrapping"/>
            </w:r>
            <w:r>
              <w:rPr>
                <w:rFonts w:hint="eastAsia" w:ascii="Times New Roman" w:hAnsi="Times New Roman" w:eastAsia="宋体" w:cs="Times New Roman"/>
                <w:b/>
                <w:bCs/>
                <w:color w:val="auto"/>
                <w:kern w:val="0"/>
                <w:sz w:val="21"/>
                <w:szCs w:val="21"/>
                <w:vertAlign w:val="baseline"/>
                <w:lang w:val="en-US" w:eastAsia="zh-CN"/>
              </w:rPr>
              <w:t>表 3-</w:t>
            </w:r>
            <w:r>
              <w:rPr>
                <w:rFonts w:hint="eastAsia" w:cs="Times New Roman"/>
                <w:b/>
                <w:bCs/>
                <w:color w:val="auto"/>
                <w:kern w:val="0"/>
                <w:sz w:val="21"/>
                <w:szCs w:val="21"/>
                <w:vertAlign w:val="baseline"/>
                <w:lang w:val="en-US" w:eastAsia="zh-CN"/>
              </w:rPr>
              <w:t>7</w:t>
            </w:r>
            <w:r>
              <w:rPr>
                <w:rFonts w:hint="eastAsia" w:ascii="Times New Roman" w:hAnsi="Times New Roman" w:eastAsia="宋体" w:cs="Times New Roman"/>
                <w:b/>
                <w:bCs/>
                <w:color w:val="auto"/>
                <w:kern w:val="0"/>
                <w:sz w:val="21"/>
                <w:szCs w:val="21"/>
                <w:vertAlign w:val="baseline"/>
                <w:lang w:val="en-US" w:eastAsia="zh-CN"/>
              </w:rPr>
              <w:t xml:space="preserve"> 生活垃圾焚烧污染物控制标准</w:t>
            </w:r>
          </w:p>
          <w:tbl>
            <w:tblPr>
              <w:tblStyle w:val="38"/>
              <w:tblW w:w="8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663"/>
              <w:gridCol w:w="1042"/>
              <w:gridCol w:w="1619"/>
            </w:tblGrid>
            <w:tr w14:paraId="0230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34" w:type="dxa"/>
                  <w:vAlign w:val="center"/>
                </w:tcPr>
                <w:p w14:paraId="06E2A960">
                  <w:pPr>
                    <w:pStyle w:val="2"/>
                    <w:keepNext w:val="0"/>
                    <w:keepLines w:val="0"/>
                    <w:pageBreakBefore w:val="0"/>
                    <w:widowControl/>
                    <w:kinsoku/>
                    <w:wordWrap/>
                    <w:overflowPunct/>
                    <w:topLinePunct w:val="0"/>
                    <w:autoSpaceDE/>
                    <w:autoSpaceDN/>
                    <w:bidi w:val="0"/>
                    <w:adjustRightInd/>
                    <w:snapToGrid w:val="0"/>
                    <w:spacing w:before="0" w:after="0" w:line="260" w:lineRule="auto"/>
                    <w:ind w:right="0"/>
                    <w:jc w:val="center"/>
                    <w:textAlignment w:val="auto"/>
                    <w:rPr>
                      <w:rFonts w:hint="eastAsia"/>
                      <w:color w:val="auto"/>
                      <w:vertAlign w:val="baseline"/>
                      <w:lang w:val="en-US" w:eastAsia="zh-CN"/>
                    </w:rPr>
                  </w:pPr>
                  <w:r>
                    <w:rPr>
                      <w:rFonts w:hint="eastAsia"/>
                      <w:color w:val="auto"/>
                      <w:vertAlign w:val="baseline"/>
                      <w:lang w:val="en-US" w:eastAsia="zh-CN"/>
                    </w:rPr>
                    <w:t>序号</w:t>
                  </w:r>
                </w:p>
              </w:tc>
              <w:tc>
                <w:tcPr>
                  <w:tcW w:w="4663" w:type="dxa"/>
                  <w:vAlign w:val="center"/>
                </w:tcPr>
                <w:p w14:paraId="399D6E8A">
                  <w:pPr>
                    <w:pStyle w:val="2"/>
                    <w:keepNext w:val="0"/>
                    <w:keepLines w:val="0"/>
                    <w:pageBreakBefore w:val="0"/>
                    <w:widowControl/>
                    <w:kinsoku/>
                    <w:wordWrap/>
                    <w:overflowPunct/>
                    <w:topLinePunct w:val="0"/>
                    <w:autoSpaceDE/>
                    <w:autoSpaceDN/>
                    <w:bidi w:val="0"/>
                    <w:adjustRightInd/>
                    <w:snapToGrid w:val="0"/>
                    <w:spacing w:before="0" w:after="0" w:line="260" w:lineRule="auto"/>
                    <w:ind w:right="0"/>
                    <w:jc w:val="center"/>
                    <w:textAlignment w:val="auto"/>
                    <w:rPr>
                      <w:rFonts w:hint="eastAsia"/>
                      <w:color w:val="auto"/>
                      <w:vertAlign w:val="baseline"/>
                      <w:lang w:val="en-US" w:eastAsia="zh-CN"/>
                    </w:rPr>
                  </w:pPr>
                  <w:r>
                    <w:rPr>
                      <w:rFonts w:hint="eastAsia"/>
                      <w:color w:val="auto"/>
                      <w:vertAlign w:val="baseline"/>
                      <w:lang w:val="en-US" w:eastAsia="zh-CN"/>
                    </w:rPr>
                    <w:t>污染物项目</w:t>
                  </w:r>
                </w:p>
              </w:tc>
              <w:tc>
                <w:tcPr>
                  <w:tcW w:w="1042" w:type="dxa"/>
                  <w:vAlign w:val="center"/>
                </w:tcPr>
                <w:p w14:paraId="15B9FA8E">
                  <w:pPr>
                    <w:pStyle w:val="2"/>
                    <w:keepNext w:val="0"/>
                    <w:keepLines w:val="0"/>
                    <w:pageBreakBefore w:val="0"/>
                    <w:widowControl/>
                    <w:kinsoku/>
                    <w:wordWrap/>
                    <w:overflowPunct/>
                    <w:topLinePunct w:val="0"/>
                    <w:autoSpaceDE/>
                    <w:autoSpaceDN/>
                    <w:bidi w:val="0"/>
                    <w:adjustRightInd/>
                    <w:snapToGrid w:val="0"/>
                    <w:spacing w:before="0" w:after="0" w:line="260" w:lineRule="auto"/>
                    <w:ind w:right="0"/>
                    <w:jc w:val="center"/>
                    <w:textAlignment w:val="auto"/>
                    <w:rPr>
                      <w:rFonts w:hint="eastAsia"/>
                      <w:color w:val="auto"/>
                      <w:vertAlign w:val="baseline"/>
                      <w:lang w:val="en-US" w:eastAsia="zh-CN"/>
                    </w:rPr>
                  </w:pPr>
                  <w:r>
                    <w:rPr>
                      <w:rFonts w:hint="eastAsia"/>
                      <w:color w:val="auto"/>
                      <w:vertAlign w:val="baseline"/>
                      <w:lang w:val="en-US" w:eastAsia="zh-CN"/>
                    </w:rPr>
                    <w:t>限值</w:t>
                  </w:r>
                </w:p>
              </w:tc>
              <w:tc>
                <w:tcPr>
                  <w:tcW w:w="1619" w:type="dxa"/>
                  <w:vAlign w:val="center"/>
                </w:tcPr>
                <w:p w14:paraId="4EDC2F6F">
                  <w:pPr>
                    <w:pStyle w:val="2"/>
                    <w:keepNext w:val="0"/>
                    <w:keepLines w:val="0"/>
                    <w:pageBreakBefore w:val="0"/>
                    <w:widowControl/>
                    <w:kinsoku/>
                    <w:wordWrap/>
                    <w:overflowPunct/>
                    <w:topLinePunct w:val="0"/>
                    <w:autoSpaceDE/>
                    <w:autoSpaceDN/>
                    <w:bidi w:val="0"/>
                    <w:adjustRightInd/>
                    <w:snapToGrid w:val="0"/>
                    <w:spacing w:before="0" w:after="0" w:line="260" w:lineRule="auto"/>
                    <w:ind w:right="0"/>
                    <w:jc w:val="center"/>
                    <w:textAlignment w:val="auto"/>
                    <w:rPr>
                      <w:rFonts w:hint="eastAsia"/>
                      <w:color w:val="auto"/>
                      <w:vertAlign w:val="baseline"/>
                      <w:lang w:val="en-US" w:eastAsia="zh-CN"/>
                    </w:rPr>
                  </w:pPr>
                  <w:r>
                    <w:rPr>
                      <w:rFonts w:hint="eastAsia"/>
                      <w:color w:val="auto"/>
                      <w:vertAlign w:val="baseline"/>
                      <w:lang w:val="en-US" w:eastAsia="zh-CN"/>
                    </w:rPr>
                    <w:t>取值时间</w:t>
                  </w:r>
                </w:p>
              </w:tc>
            </w:tr>
            <w:tr w14:paraId="1CD8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34" w:type="dxa"/>
                  <w:vAlign w:val="center"/>
                </w:tcPr>
                <w:p w14:paraId="1100A9A6">
                  <w:pPr>
                    <w:pStyle w:val="2"/>
                    <w:keepNext w:val="0"/>
                    <w:keepLines w:val="0"/>
                    <w:pageBreakBefore w:val="0"/>
                    <w:widowControl/>
                    <w:kinsoku/>
                    <w:wordWrap/>
                    <w:overflowPunct/>
                    <w:topLinePunct w:val="0"/>
                    <w:autoSpaceDE/>
                    <w:autoSpaceDN/>
                    <w:bidi w:val="0"/>
                    <w:adjustRightInd/>
                    <w:snapToGrid w:val="0"/>
                    <w:spacing w:before="0" w:after="0" w:line="260" w:lineRule="auto"/>
                    <w:ind w:right="0"/>
                    <w:jc w:val="center"/>
                    <w:textAlignment w:val="auto"/>
                    <w:rPr>
                      <w:rFonts w:hint="default"/>
                      <w:color w:val="auto"/>
                      <w:vertAlign w:val="baseline"/>
                      <w:lang w:val="en-US" w:eastAsia="zh-CN"/>
                    </w:rPr>
                  </w:pPr>
                  <w:r>
                    <w:rPr>
                      <w:rFonts w:hint="eastAsia"/>
                      <w:color w:val="auto"/>
                      <w:vertAlign w:val="baseline"/>
                      <w:lang w:val="en-US" w:eastAsia="zh-CN"/>
                    </w:rPr>
                    <w:t>1</w:t>
                  </w:r>
                </w:p>
              </w:tc>
              <w:tc>
                <w:tcPr>
                  <w:tcW w:w="4663" w:type="dxa"/>
                  <w:vAlign w:val="center"/>
                </w:tcPr>
                <w:p w14:paraId="5CF5CDA3">
                  <w:pPr>
                    <w:pStyle w:val="2"/>
                    <w:keepNext w:val="0"/>
                    <w:keepLines w:val="0"/>
                    <w:pageBreakBefore w:val="0"/>
                    <w:widowControl/>
                    <w:kinsoku/>
                    <w:wordWrap/>
                    <w:overflowPunct/>
                    <w:topLinePunct w:val="0"/>
                    <w:autoSpaceDE/>
                    <w:autoSpaceDN/>
                    <w:bidi w:val="0"/>
                    <w:adjustRightInd/>
                    <w:snapToGrid w:val="0"/>
                    <w:spacing w:before="0" w:after="0" w:line="260" w:lineRule="auto"/>
                    <w:ind w:right="0"/>
                    <w:jc w:val="center"/>
                    <w:textAlignment w:val="auto"/>
                    <w:rPr>
                      <w:rFonts w:hint="eastAsia"/>
                      <w:color w:val="auto"/>
                      <w:vertAlign w:val="baseline"/>
                      <w:lang w:val="en-US" w:eastAsia="zh-CN"/>
                    </w:rPr>
                  </w:pPr>
                  <w:r>
                    <w:rPr>
                      <w:rFonts w:hint="eastAsia"/>
                      <w:color w:val="auto"/>
                      <w:vertAlign w:val="baseline"/>
                      <w:lang w:val="en-US" w:eastAsia="zh-CN"/>
                    </w:rPr>
                    <w:t>锑、砷、铅、铬、钴、铜、锰、镍及其化合物</w:t>
                  </w:r>
                  <w:r>
                    <w:rPr>
                      <w:rFonts w:hint="eastAsia"/>
                      <w:color w:val="auto"/>
                      <w:vertAlign w:val="baseline"/>
                      <w:lang w:val="en-US" w:eastAsia="zh-CN"/>
                    </w:rPr>
                    <w:br w:type="textWrapping"/>
                  </w:r>
                  <w:r>
                    <w:rPr>
                      <w:rFonts w:hint="eastAsia"/>
                      <w:color w:val="auto"/>
                      <w:vertAlign w:val="baseline"/>
                      <w:lang w:val="en-US" w:eastAsia="zh-CN"/>
                    </w:rPr>
                    <w:t>（以 Sb+As+Pb+Cr+Co+Cu+Mn+Ni 计）（mg/m</w:t>
                  </w:r>
                  <w:r>
                    <w:rPr>
                      <w:rFonts w:hint="eastAsia"/>
                      <w:color w:val="auto"/>
                      <w:vertAlign w:val="superscript"/>
                      <w:lang w:val="en-US" w:eastAsia="zh-CN"/>
                    </w:rPr>
                    <w:t>3</w:t>
                  </w:r>
                  <w:r>
                    <w:rPr>
                      <w:rFonts w:hint="eastAsia"/>
                      <w:color w:val="auto"/>
                      <w:vertAlign w:val="baseline"/>
                      <w:lang w:val="en-US" w:eastAsia="zh-CN"/>
                    </w:rPr>
                    <w:t>）</w:t>
                  </w:r>
                </w:p>
              </w:tc>
              <w:tc>
                <w:tcPr>
                  <w:tcW w:w="1042" w:type="dxa"/>
                  <w:vAlign w:val="center"/>
                </w:tcPr>
                <w:p w14:paraId="65B8BADF">
                  <w:pPr>
                    <w:pStyle w:val="2"/>
                    <w:keepNext w:val="0"/>
                    <w:keepLines w:val="0"/>
                    <w:pageBreakBefore w:val="0"/>
                    <w:widowControl/>
                    <w:kinsoku/>
                    <w:wordWrap/>
                    <w:overflowPunct/>
                    <w:topLinePunct w:val="0"/>
                    <w:autoSpaceDE/>
                    <w:autoSpaceDN/>
                    <w:bidi w:val="0"/>
                    <w:adjustRightInd/>
                    <w:snapToGrid w:val="0"/>
                    <w:spacing w:before="0" w:after="0" w:line="260" w:lineRule="auto"/>
                    <w:ind w:right="0"/>
                    <w:jc w:val="center"/>
                    <w:textAlignment w:val="auto"/>
                    <w:rPr>
                      <w:rFonts w:hint="default"/>
                      <w:color w:val="auto"/>
                      <w:vertAlign w:val="baseline"/>
                      <w:lang w:val="en-US" w:eastAsia="zh-CN"/>
                    </w:rPr>
                  </w:pPr>
                  <w:r>
                    <w:rPr>
                      <w:rFonts w:hint="eastAsia"/>
                      <w:color w:val="auto"/>
                      <w:vertAlign w:val="baseline"/>
                      <w:lang w:val="en-US" w:eastAsia="zh-CN"/>
                    </w:rPr>
                    <w:t>1.0</w:t>
                  </w:r>
                </w:p>
              </w:tc>
              <w:tc>
                <w:tcPr>
                  <w:tcW w:w="1619" w:type="dxa"/>
                  <w:vAlign w:val="center"/>
                </w:tcPr>
                <w:p w14:paraId="702473EA">
                  <w:pPr>
                    <w:pStyle w:val="2"/>
                    <w:keepNext w:val="0"/>
                    <w:keepLines w:val="0"/>
                    <w:pageBreakBefore w:val="0"/>
                    <w:widowControl/>
                    <w:kinsoku/>
                    <w:wordWrap/>
                    <w:overflowPunct/>
                    <w:topLinePunct w:val="0"/>
                    <w:autoSpaceDE/>
                    <w:autoSpaceDN/>
                    <w:bidi w:val="0"/>
                    <w:adjustRightInd/>
                    <w:snapToGrid w:val="0"/>
                    <w:spacing w:before="0" w:after="0" w:line="260" w:lineRule="auto"/>
                    <w:ind w:right="0"/>
                    <w:jc w:val="center"/>
                    <w:textAlignment w:val="auto"/>
                    <w:rPr>
                      <w:rFonts w:hint="eastAsia"/>
                      <w:color w:val="auto"/>
                      <w:vertAlign w:val="baseline"/>
                      <w:lang w:val="en-US" w:eastAsia="zh-CN"/>
                    </w:rPr>
                  </w:pPr>
                  <w:r>
                    <w:rPr>
                      <w:rFonts w:hint="eastAsia"/>
                      <w:color w:val="auto"/>
                      <w:vertAlign w:val="baseline"/>
                      <w:lang w:val="en-US" w:eastAsia="zh-CN"/>
                    </w:rPr>
                    <w:t>测定均值</w:t>
                  </w:r>
                </w:p>
              </w:tc>
            </w:tr>
          </w:tbl>
          <w:p w14:paraId="14598644">
            <w:pPr>
              <w:pStyle w:val="2"/>
              <w:rPr>
                <w:rFonts w:hint="eastAsia"/>
                <w:color w:val="auto"/>
                <w:lang w:val="en-US" w:eastAsia="zh-CN"/>
              </w:rPr>
            </w:pPr>
          </w:p>
          <w:p w14:paraId="48ABD6FE">
            <w:pPr>
              <w:widowControl/>
              <w:numPr>
                <w:ilvl w:val="0"/>
                <w:numId w:val="0"/>
              </w:numPr>
              <w:spacing w:line="360" w:lineRule="auto"/>
              <w:jc w:val="center"/>
              <w:rPr>
                <w:rFonts w:hint="eastAsia" w:ascii="Times New Roman" w:hAnsi="Times New Roman" w:eastAsia="宋体" w:cs="Times New Roman"/>
                <w:b/>
                <w:bCs/>
                <w:color w:val="auto"/>
                <w:kern w:val="0"/>
                <w:sz w:val="21"/>
                <w:szCs w:val="21"/>
                <w:vertAlign w:val="baseline"/>
                <w:lang w:val="en-US" w:eastAsia="zh-CN"/>
              </w:rPr>
            </w:pPr>
            <w:r>
              <w:rPr>
                <w:rFonts w:hint="eastAsia" w:ascii="Times New Roman" w:hAnsi="Times New Roman" w:eastAsia="宋体" w:cs="Times New Roman"/>
                <w:b/>
                <w:bCs/>
                <w:color w:val="auto"/>
                <w:kern w:val="0"/>
                <w:sz w:val="21"/>
                <w:szCs w:val="21"/>
                <w:vertAlign w:val="baseline"/>
                <w:lang w:val="en-US" w:eastAsia="zh-CN"/>
              </w:rPr>
              <w:t>表 3-</w:t>
            </w:r>
            <w:r>
              <w:rPr>
                <w:rFonts w:hint="eastAsia" w:cs="Times New Roman"/>
                <w:b/>
                <w:bCs/>
                <w:color w:val="auto"/>
                <w:kern w:val="0"/>
                <w:sz w:val="21"/>
                <w:szCs w:val="21"/>
                <w:vertAlign w:val="baseline"/>
                <w:lang w:val="en-US" w:eastAsia="zh-CN"/>
              </w:rPr>
              <w:t>8</w:t>
            </w:r>
            <w:r>
              <w:rPr>
                <w:rFonts w:hint="eastAsia" w:ascii="Times New Roman" w:hAnsi="Times New Roman" w:eastAsia="宋体" w:cs="Times New Roman"/>
                <w:b/>
                <w:bCs/>
                <w:color w:val="auto"/>
                <w:kern w:val="0"/>
                <w:sz w:val="21"/>
                <w:szCs w:val="21"/>
                <w:vertAlign w:val="baseline"/>
                <w:lang w:val="en-US" w:eastAsia="zh-CN"/>
              </w:rPr>
              <w:t xml:space="preserve"> 恶臭污染物厂界标准值</w:t>
            </w:r>
          </w:p>
          <w:tbl>
            <w:tblPr>
              <w:tblStyle w:val="38"/>
              <w:tblW w:w="7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2616"/>
              <w:gridCol w:w="3381"/>
            </w:tblGrid>
            <w:tr w14:paraId="0138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22" w:type="dxa"/>
                  <w:vMerge w:val="restart"/>
                  <w:vAlign w:val="center"/>
                </w:tcPr>
                <w:p w14:paraId="271AA0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1"/>
                      <w:szCs w:val="21"/>
                      <w:vertAlign w:val="baseline"/>
                    </w:rPr>
                  </w:pPr>
                  <w:r>
                    <w:rPr>
                      <w:rFonts w:hint="eastAsia" w:ascii="宋体" w:hAnsi="宋体" w:cs="宋体"/>
                      <w:color w:val="auto"/>
                      <w:sz w:val="21"/>
                      <w:szCs w:val="21"/>
                      <w:lang w:eastAsia="zh-CN"/>
                    </w:rPr>
                    <w:t>序号</w:t>
                  </w:r>
                </w:p>
              </w:tc>
              <w:tc>
                <w:tcPr>
                  <w:tcW w:w="2616" w:type="dxa"/>
                  <w:vMerge w:val="restart"/>
                  <w:vAlign w:val="center"/>
                </w:tcPr>
                <w:p w14:paraId="7046A8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1"/>
                      <w:szCs w:val="21"/>
                      <w:vertAlign w:val="baseline"/>
                    </w:rPr>
                  </w:pPr>
                  <w:r>
                    <w:rPr>
                      <w:rFonts w:hint="eastAsia" w:ascii="宋体" w:hAnsi="宋体" w:cs="宋体"/>
                      <w:color w:val="auto"/>
                      <w:sz w:val="21"/>
                      <w:szCs w:val="21"/>
                    </w:rPr>
                    <w:t>控制项目</w:t>
                  </w:r>
                </w:p>
              </w:tc>
              <w:tc>
                <w:tcPr>
                  <w:tcW w:w="3381" w:type="dxa"/>
                  <w:vAlign w:val="center"/>
                </w:tcPr>
                <w:p w14:paraId="67EA39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rFonts w:hint="eastAsia" w:ascii="宋体" w:hAnsi="宋体" w:cs="宋体"/>
                      <w:color w:val="auto"/>
                      <w:sz w:val="21"/>
                      <w:szCs w:val="21"/>
                    </w:rPr>
                    <w:t>二级标准</w:t>
                  </w:r>
                </w:p>
              </w:tc>
            </w:tr>
            <w:tr w14:paraId="1A60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22" w:type="dxa"/>
                  <w:vMerge w:val="continue"/>
                  <w:vAlign w:val="center"/>
                </w:tcPr>
                <w:p w14:paraId="1EA241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p>
              </w:tc>
              <w:tc>
                <w:tcPr>
                  <w:tcW w:w="2616" w:type="dxa"/>
                  <w:vMerge w:val="continue"/>
                  <w:vAlign w:val="center"/>
                </w:tcPr>
                <w:p w14:paraId="364933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p>
              </w:tc>
              <w:tc>
                <w:tcPr>
                  <w:tcW w:w="3381" w:type="dxa"/>
                  <w:vAlign w:val="center"/>
                </w:tcPr>
                <w:p w14:paraId="7EA02E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1"/>
                      <w:szCs w:val="21"/>
                    </w:rPr>
                  </w:pPr>
                  <w:r>
                    <w:rPr>
                      <w:rFonts w:hint="eastAsia" w:ascii="宋体" w:hAnsi="宋体" w:cs="宋体"/>
                      <w:color w:val="auto"/>
                      <w:sz w:val="21"/>
                      <w:szCs w:val="21"/>
                    </w:rPr>
                    <w:t>新改扩建</w:t>
                  </w:r>
                </w:p>
              </w:tc>
            </w:tr>
            <w:tr w14:paraId="1921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22" w:type="dxa"/>
                  <w:vAlign w:val="center"/>
                </w:tcPr>
                <w:p w14:paraId="4CAE93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w:t>
                  </w:r>
                </w:p>
              </w:tc>
              <w:tc>
                <w:tcPr>
                  <w:tcW w:w="2616" w:type="dxa"/>
                  <w:vAlign w:val="center"/>
                </w:tcPr>
                <w:p w14:paraId="28FA52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1"/>
                      <w:szCs w:val="21"/>
                      <w:vertAlign w:val="baseline"/>
                    </w:rPr>
                  </w:pPr>
                  <w:r>
                    <w:rPr>
                      <w:rFonts w:hint="eastAsia" w:ascii="宋体" w:hAnsi="宋体" w:cs="宋体"/>
                      <w:color w:val="auto"/>
                      <w:sz w:val="21"/>
                      <w:szCs w:val="21"/>
                    </w:rPr>
                    <w:t>氨</w:t>
                  </w:r>
                </w:p>
              </w:tc>
              <w:tc>
                <w:tcPr>
                  <w:tcW w:w="3381" w:type="dxa"/>
                  <w:vAlign w:val="center"/>
                </w:tcPr>
                <w:p w14:paraId="19288E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1"/>
                      <w:szCs w:val="21"/>
                      <w:vertAlign w:val="baseline"/>
                    </w:rPr>
                  </w:pPr>
                  <w:r>
                    <w:rPr>
                      <w:rFonts w:hint="eastAsia" w:ascii="宋体" w:hAnsi="宋体" w:cs="宋体"/>
                      <w:color w:val="auto"/>
                      <w:sz w:val="21"/>
                      <w:szCs w:val="21"/>
                    </w:rPr>
                    <w:t>1.5</w:t>
                  </w:r>
                </w:p>
              </w:tc>
            </w:tr>
            <w:tr w14:paraId="6A60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22" w:type="dxa"/>
                  <w:vAlign w:val="center"/>
                </w:tcPr>
                <w:p w14:paraId="488D90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2</w:t>
                  </w:r>
                </w:p>
              </w:tc>
              <w:tc>
                <w:tcPr>
                  <w:tcW w:w="2616" w:type="dxa"/>
                  <w:vAlign w:val="center"/>
                </w:tcPr>
                <w:p w14:paraId="64E463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1"/>
                      <w:szCs w:val="21"/>
                      <w:vertAlign w:val="baseline"/>
                    </w:rPr>
                  </w:pPr>
                  <w:r>
                    <w:rPr>
                      <w:rFonts w:hint="eastAsia" w:ascii="宋体" w:hAnsi="宋体" w:cs="宋体"/>
                      <w:color w:val="auto"/>
                      <w:sz w:val="21"/>
                      <w:szCs w:val="21"/>
                    </w:rPr>
                    <w:t>硫化氢</w:t>
                  </w:r>
                </w:p>
              </w:tc>
              <w:tc>
                <w:tcPr>
                  <w:tcW w:w="3381" w:type="dxa"/>
                  <w:vAlign w:val="center"/>
                </w:tcPr>
                <w:p w14:paraId="188ECB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1"/>
                      <w:szCs w:val="21"/>
                      <w:vertAlign w:val="baseline"/>
                    </w:rPr>
                  </w:pPr>
                  <w:r>
                    <w:rPr>
                      <w:rFonts w:hint="eastAsia" w:ascii="宋体" w:hAnsi="宋体" w:cs="宋体"/>
                      <w:color w:val="auto"/>
                      <w:sz w:val="21"/>
                      <w:szCs w:val="21"/>
                    </w:rPr>
                    <w:t>0.06</w:t>
                  </w:r>
                </w:p>
              </w:tc>
            </w:tr>
            <w:tr w14:paraId="6C8F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622" w:type="dxa"/>
                  <w:vAlign w:val="center"/>
                </w:tcPr>
                <w:p w14:paraId="2A57C3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3</w:t>
                  </w:r>
                </w:p>
              </w:tc>
              <w:tc>
                <w:tcPr>
                  <w:tcW w:w="2616" w:type="dxa"/>
                  <w:vAlign w:val="center"/>
                </w:tcPr>
                <w:p w14:paraId="759E81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1"/>
                      <w:szCs w:val="21"/>
                      <w:vertAlign w:val="baseline"/>
                    </w:rPr>
                  </w:pPr>
                  <w:r>
                    <w:rPr>
                      <w:rFonts w:hint="eastAsia" w:ascii="宋体" w:hAnsi="宋体" w:cs="宋体"/>
                      <w:color w:val="auto"/>
                      <w:sz w:val="21"/>
                      <w:szCs w:val="21"/>
                    </w:rPr>
                    <w:t>臭气浓度</w:t>
                  </w:r>
                </w:p>
              </w:tc>
              <w:tc>
                <w:tcPr>
                  <w:tcW w:w="3381" w:type="dxa"/>
                  <w:vAlign w:val="center"/>
                </w:tcPr>
                <w:p w14:paraId="4E207A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cs="宋体"/>
                      <w:color w:val="auto"/>
                      <w:sz w:val="21"/>
                      <w:szCs w:val="21"/>
                    </w:rPr>
                    <w:t>20（无量纲</w:t>
                  </w:r>
                  <w:r>
                    <w:rPr>
                      <w:rFonts w:hint="eastAsia" w:ascii="宋体" w:hAnsi="宋体" w:cs="宋体"/>
                      <w:color w:val="auto"/>
                      <w:sz w:val="21"/>
                      <w:szCs w:val="21"/>
                      <w:lang w:eastAsia="zh-CN"/>
                    </w:rPr>
                    <w:t>）</w:t>
                  </w:r>
                </w:p>
              </w:tc>
            </w:tr>
          </w:tbl>
          <w:p w14:paraId="1F46832B">
            <w:pPr>
              <w:numPr>
                <w:ilvl w:val="0"/>
                <w:numId w:val="0"/>
              </w:numPr>
              <w:adjustRightInd w:val="0"/>
              <w:snapToGrid w:val="0"/>
              <w:spacing w:before="240" w:beforeLines="100" w:line="360" w:lineRule="auto"/>
              <w:ind w:leftChars="128" w:firstLine="240" w:firstLineChars="100"/>
              <w:jc w:val="left"/>
              <w:rPr>
                <w:rFonts w:hint="eastAsia" w:ascii="Times New Roman" w:hAnsi="Times New Roman" w:eastAsia="宋体" w:cs="Times New Roman"/>
                <w:color w:val="auto"/>
                <w:sz w:val="24"/>
                <w:szCs w:val="21"/>
              </w:rPr>
            </w:pPr>
            <w:r>
              <w:rPr>
                <w:rFonts w:hint="eastAsia" w:ascii="Times New Roman" w:hAnsi="Times New Roman" w:eastAsia="宋体" w:cs="Times New Roman"/>
                <w:color w:val="auto"/>
                <w:sz w:val="24"/>
                <w:szCs w:val="21"/>
                <w:lang w:val="en-US" w:eastAsia="zh-CN"/>
              </w:rPr>
              <w:t>2、</w:t>
            </w:r>
            <w:r>
              <w:rPr>
                <w:rFonts w:hint="eastAsia" w:ascii="Times New Roman" w:hAnsi="Times New Roman" w:eastAsia="宋体" w:cs="Times New Roman"/>
                <w:color w:val="auto"/>
                <w:sz w:val="24"/>
                <w:szCs w:val="21"/>
                <w:lang w:eastAsia="zh-CN"/>
              </w:rPr>
              <w:t>废水</w:t>
            </w:r>
            <w:r>
              <w:rPr>
                <w:rFonts w:hint="eastAsia" w:ascii="Times New Roman" w:hAnsi="Times New Roman" w:eastAsia="宋体" w:cs="Times New Roman"/>
                <w:color w:val="auto"/>
                <w:sz w:val="24"/>
                <w:szCs w:val="21"/>
              </w:rPr>
              <w:t>排放标准</w:t>
            </w:r>
          </w:p>
          <w:p w14:paraId="687FB0F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cs="宋体"/>
                <w:color w:val="auto"/>
                <w:lang w:val="en-US" w:eastAsia="zh-CN"/>
              </w:rPr>
            </w:pPr>
            <w:r>
              <w:rPr>
                <w:rFonts w:hint="eastAsia" w:ascii="Times New Roman" w:hAnsi="Times New Roman" w:eastAsia="宋体" w:cs="Times New Roman"/>
                <w:color w:val="auto"/>
                <w:sz w:val="24"/>
                <w:szCs w:val="21"/>
                <w:lang w:eastAsia="zh-CN"/>
              </w:rPr>
              <w:t>本项目运营期</w:t>
            </w:r>
            <w:r>
              <w:rPr>
                <w:rFonts w:hint="eastAsia" w:ascii="Times New Roman" w:hAnsi="Times New Roman" w:eastAsia="宋体" w:cs="Times New Roman"/>
                <w:color w:val="auto"/>
                <w:sz w:val="24"/>
                <w:szCs w:val="21"/>
              </w:rPr>
              <w:t>无生产废水排放</w:t>
            </w:r>
            <w:r>
              <w:rPr>
                <w:rFonts w:hint="eastAsia" w:cs="Times New Roman"/>
                <w:color w:val="auto"/>
                <w:sz w:val="24"/>
                <w:szCs w:val="21"/>
                <w:lang w:eastAsia="zh-CN"/>
              </w:rPr>
              <w:t>，</w:t>
            </w:r>
            <w:r>
              <w:rPr>
                <w:rFonts w:hint="eastAsia" w:ascii="Times New Roman" w:hAnsi="Times New Roman" w:eastAsia="宋体" w:cs="Times New Roman"/>
                <w:color w:val="auto"/>
                <w:sz w:val="24"/>
                <w:szCs w:val="21"/>
              </w:rPr>
              <w:t>车辆冲洗废水经沉淀池沉淀后回用于车辆冲洗，不外排</w:t>
            </w:r>
            <w:r>
              <w:rPr>
                <w:rFonts w:hint="eastAsia" w:cs="Times New Roman"/>
                <w:color w:val="auto"/>
                <w:sz w:val="24"/>
                <w:szCs w:val="21"/>
                <w:lang w:eastAsia="zh-CN"/>
              </w:rPr>
              <w:t>；</w:t>
            </w:r>
            <w:r>
              <w:rPr>
                <w:rFonts w:hint="eastAsia" w:ascii="Times New Roman" w:hAnsi="Times New Roman" w:eastAsia="宋体" w:cs="Times New Roman"/>
                <w:color w:val="auto"/>
                <w:sz w:val="24"/>
                <w:szCs w:val="21"/>
              </w:rPr>
              <w:t>生活污水经过化粪池处理后定期清掏</w:t>
            </w:r>
            <w:r>
              <w:rPr>
                <w:rFonts w:hint="eastAsia" w:cs="Times New Roman"/>
                <w:color w:val="auto"/>
                <w:sz w:val="24"/>
                <w:szCs w:val="21"/>
                <w:lang w:eastAsia="zh-CN"/>
              </w:rPr>
              <w:t>，</w:t>
            </w:r>
            <w:r>
              <w:rPr>
                <w:rFonts w:hint="eastAsia" w:ascii="Times New Roman" w:hAnsi="Times New Roman" w:eastAsia="宋体" w:cs="Times New Roman"/>
                <w:color w:val="auto"/>
                <w:sz w:val="24"/>
                <w:szCs w:val="21"/>
              </w:rPr>
              <w:t>不外排</w:t>
            </w:r>
          </w:p>
          <w:p w14:paraId="06295A51">
            <w:pPr>
              <w:adjustRightInd w:val="0"/>
              <w:snapToGrid w:val="0"/>
              <w:spacing w:before="240" w:beforeLines="100" w:line="360" w:lineRule="auto"/>
              <w:ind w:firstLine="480" w:firstLineChars="200"/>
              <w:jc w:val="left"/>
              <w:rPr>
                <w:rFonts w:ascii="宋体"/>
                <w:color w:val="auto"/>
                <w:sz w:val="24"/>
                <w:szCs w:val="24"/>
              </w:rPr>
            </w:pPr>
            <w:r>
              <w:rPr>
                <w:rFonts w:hint="eastAsia" w:ascii="Times New Roman" w:hAnsi="Times New Roman" w:eastAsia="宋体" w:cs="Times New Roman"/>
                <w:color w:val="auto"/>
                <w:sz w:val="24"/>
                <w:szCs w:val="21"/>
                <w:lang w:val="en-US" w:eastAsia="zh-CN"/>
              </w:rPr>
              <w:t>3、</w:t>
            </w:r>
            <w:r>
              <w:rPr>
                <w:rFonts w:hint="eastAsia" w:ascii="宋体" w:hAnsi="宋体" w:cs="宋体"/>
                <w:color w:val="auto"/>
                <w:sz w:val="24"/>
                <w:szCs w:val="24"/>
              </w:rPr>
              <w:t>噪声排放标准</w:t>
            </w:r>
          </w:p>
          <w:p w14:paraId="47751696">
            <w:pPr>
              <w:snapToGrid w:val="0"/>
              <w:spacing w:line="360" w:lineRule="auto"/>
              <w:ind w:firstLine="480" w:firstLineChars="200"/>
              <w:rPr>
                <w:color w:val="auto"/>
                <w:sz w:val="24"/>
              </w:rPr>
            </w:pPr>
            <w:r>
              <w:rPr>
                <w:color w:val="auto"/>
                <w:sz w:val="24"/>
              </w:rPr>
              <w:t>项目施工期厂界噪声排放执行《建筑施工场界环境噪声排放标准》（GB12523-2011）；项目营运期厂界噪声排放执行《工业企业厂界环境噪声排放标准》（GB12348-2008）中2类标准</w:t>
            </w:r>
            <w:r>
              <w:rPr>
                <w:rFonts w:hint="eastAsia"/>
                <w:color w:val="auto"/>
                <w:sz w:val="24"/>
                <w:lang w:eastAsia="zh-CN"/>
              </w:rPr>
              <w:t>，</w:t>
            </w:r>
            <w:r>
              <w:rPr>
                <w:color w:val="auto"/>
                <w:sz w:val="24"/>
              </w:rPr>
              <w:t>其标准限值见下表。</w:t>
            </w:r>
          </w:p>
          <w:p w14:paraId="200D4EF1">
            <w:pPr>
              <w:widowControl/>
              <w:numPr>
                <w:ilvl w:val="0"/>
                <w:numId w:val="0"/>
              </w:numPr>
              <w:spacing w:line="360" w:lineRule="auto"/>
              <w:jc w:val="center"/>
              <w:rPr>
                <w:rFonts w:hint="eastAsia" w:cs="Times New Roman"/>
                <w:b/>
                <w:bCs/>
                <w:color w:val="auto"/>
                <w:kern w:val="0"/>
                <w:sz w:val="21"/>
                <w:szCs w:val="21"/>
                <w:vertAlign w:val="baseline"/>
                <w:lang w:val="en-US" w:eastAsia="zh-CN"/>
              </w:rPr>
            </w:pPr>
            <w:r>
              <w:rPr>
                <w:rFonts w:hint="eastAsia" w:cs="Times New Roman"/>
                <w:b/>
                <w:bCs/>
                <w:color w:val="auto"/>
                <w:kern w:val="0"/>
                <w:sz w:val="21"/>
                <w:szCs w:val="21"/>
                <w:vertAlign w:val="baseline"/>
                <w:lang w:val="en-US" w:eastAsia="zh-CN"/>
              </w:rPr>
              <w:t xml:space="preserve">表3-9 建筑施工场界环境噪声排放标准  单位：dB（A）  </w:t>
            </w:r>
          </w:p>
          <w:tbl>
            <w:tblPr>
              <w:tblStyle w:val="135"/>
              <w:tblW w:w="0" w:type="auto"/>
              <w:tblInd w:w="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869"/>
              <w:gridCol w:w="3870"/>
            </w:tblGrid>
            <w:tr w14:paraId="0D3154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4" w:hRule="atLeast"/>
              </w:trPr>
              <w:tc>
                <w:tcPr>
                  <w:tcW w:w="3869" w:type="dxa"/>
                  <w:tcBorders>
                    <w:tl2br w:val="nil"/>
                    <w:tr2bl w:val="nil"/>
                  </w:tcBorders>
                  <w:vAlign w:val="center"/>
                </w:tcPr>
                <w:p w14:paraId="795C9D53">
                  <w:pPr>
                    <w:adjustRightInd w:val="0"/>
                    <w:snapToGrid w:val="0"/>
                    <w:jc w:val="center"/>
                    <w:rPr>
                      <w:rFonts w:ascii="Times New Roman" w:hAnsi="Times New Roman"/>
                      <w:b w:val="0"/>
                      <w:bCs/>
                      <w:color w:val="auto"/>
                      <w:sz w:val="21"/>
                      <w:szCs w:val="21"/>
                    </w:rPr>
                  </w:pPr>
                  <w:r>
                    <w:rPr>
                      <w:rFonts w:ascii="Times New Roman" w:hAnsi="Times New Roman"/>
                      <w:b w:val="0"/>
                      <w:bCs/>
                      <w:color w:val="auto"/>
                      <w:sz w:val="21"/>
                      <w:szCs w:val="21"/>
                    </w:rPr>
                    <w:t>昼间</w:t>
                  </w:r>
                </w:p>
              </w:tc>
              <w:tc>
                <w:tcPr>
                  <w:tcW w:w="3870" w:type="dxa"/>
                  <w:tcBorders>
                    <w:tl2br w:val="nil"/>
                    <w:tr2bl w:val="nil"/>
                  </w:tcBorders>
                  <w:vAlign w:val="center"/>
                </w:tcPr>
                <w:p w14:paraId="0C5D9192">
                  <w:pPr>
                    <w:adjustRightInd w:val="0"/>
                    <w:snapToGrid w:val="0"/>
                    <w:jc w:val="center"/>
                    <w:rPr>
                      <w:rFonts w:ascii="Times New Roman" w:hAnsi="Times New Roman"/>
                      <w:b w:val="0"/>
                      <w:bCs/>
                      <w:color w:val="auto"/>
                      <w:sz w:val="21"/>
                      <w:szCs w:val="21"/>
                    </w:rPr>
                  </w:pPr>
                  <w:r>
                    <w:rPr>
                      <w:rFonts w:ascii="Times New Roman" w:hAnsi="Times New Roman"/>
                      <w:b w:val="0"/>
                      <w:bCs/>
                      <w:color w:val="auto"/>
                      <w:sz w:val="21"/>
                      <w:szCs w:val="21"/>
                    </w:rPr>
                    <w:t>夜间</w:t>
                  </w:r>
                </w:p>
              </w:tc>
            </w:tr>
            <w:tr w14:paraId="7649C8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0" w:hRule="atLeast"/>
              </w:trPr>
              <w:tc>
                <w:tcPr>
                  <w:tcW w:w="3869" w:type="dxa"/>
                  <w:tcBorders>
                    <w:tl2br w:val="nil"/>
                    <w:tr2bl w:val="nil"/>
                  </w:tcBorders>
                  <w:vAlign w:val="center"/>
                </w:tcPr>
                <w:p w14:paraId="711BF837">
                  <w:pPr>
                    <w:pStyle w:val="137"/>
                    <w:rPr>
                      <w:rFonts w:ascii="Times New Roman" w:hAnsi="Times New Roman"/>
                      <w:b w:val="0"/>
                      <w:bCs/>
                      <w:color w:val="auto"/>
                      <w:kern w:val="2"/>
                      <w:sz w:val="21"/>
                      <w:szCs w:val="21"/>
                    </w:rPr>
                  </w:pPr>
                  <w:r>
                    <w:rPr>
                      <w:rFonts w:ascii="Times New Roman" w:hAnsi="Times New Roman"/>
                      <w:b w:val="0"/>
                      <w:bCs/>
                      <w:color w:val="auto"/>
                      <w:kern w:val="2"/>
                      <w:sz w:val="21"/>
                      <w:szCs w:val="21"/>
                    </w:rPr>
                    <w:t>70dB（A）</w:t>
                  </w:r>
                </w:p>
              </w:tc>
              <w:tc>
                <w:tcPr>
                  <w:tcW w:w="3870" w:type="dxa"/>
                  <w:tcBorders>
                    <w:tl2br w:val="nil"/>
                    <w:tr2bl w:val="nil"/>
                  </w:tcBorders>
                  <w:vAlign w:val="center"/>
                </w:tcPr>
                <w:p w14:paraId="706753C3">
                  <w:pPr>
                    <w:pStyle w:val="137"/>
                    <w:rPr>
                      <w:rFonts w:ascii="Times New Roman" w:hAnsi="Times New Roman"/>
                      <w:b w:val="0"/>
                      <w:bCs/>
                      <w:color w:val="auto"/>
                      <w:kern w:val="2"/>
                      <w:sz w:val="21"/>
                      <w:szCs w:val="21"/>
                    </w:rPr>
                  </w:pPr>
                  <w:r>
                    <w:rPr>
                      <w:rFonts w:ascii="Times New Roman" w:hAnsi="Times New Roman"/>
                      <w:b w:val="0"/>
                      <w:bCs/>
                      <w:color w:val="auto"/>
                      <w:kern w:val="2"/>
                      <w:sz w:val="21"/>
                      <w:szCs w:val="21"/>
                    </w:rPr>
                    <w:t>55dB（A）</w:t>
                  </w:r>
                </w:p>
              </w:tc>
            </w:tr>
          </w:tbl>
          <w:p w14:paraId="04816E87">
            <w:pPr>
              <w:keepNext w:val="0"/>
              <w:keepLines w:val="0"/>
              <w:pageBreakBefore w:val="0"/>
              <w:widowControl/>
              <w:numPr>
                <w:ilvl w:val="0"/>
                <w:numId w:val="0"/>
              </w:numPr>
              <w:kinsoku/>
              <w:wordWrap/>
              <w:overflowPunct/>
              <w:topLinePunct w:val="0"/>
              <w:autoSpaceDE/>
              <w:autoSpaceDN/>
              <w:bidi w:val="0"/>
              <w:adjustRightInd/>
              <w:snapToGrid/>
              <w:spacing w:before="313" w:beforeLines="100" w:line="360" w:lineRule="auto"/>
              <w:jc w:val="center"/>
              <w:textAlignment w:val="auto"/>
              <w:rPr>
                <w:rFonts w:hint="eastAsia" w:cs="Times New Roman"/>
                <w:b/>
                <w:bCs/>
                <w:color w:val="auto"/>
                <w:kern w:val="0"/>
                <w:sz w:val="21"/>
                <w:szCs w:val="21"/>
                <w:vertAlign w:val="baseline"/>
                <w:lang w:val="en-US" w:eastAsia="zh-CN"/>
              </w:rPr>
            </w:pPr>
            <w:r>
              <w:rPr>
                <w:rFonts w:hint="eastAsia" w:cs="Times New Roman"/>
                <w:b/>
                <w:bCs/>
                <w:color w:val="auto"/>
                <w:kern w:val="0"/>
                <w:sz w:val="21"/>
                <w:szCs w:val="21"/>
                <w:vertAlign w:val="baseline"/>
                <w:lang w:val="en-US" w:eastAsia="zh-CN"/>
              </w:rPr>
              <w:t>表3-10 工业企业厂界环境噪声排放限值 单位：dB（A）</w:t>
            </w:r>
          </w:p>
          <w:tbl>
            <w:tblPr>
              <w:tblStyle w:val="38"/>
              <w:tblW w:w="498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609"/>
              <w:gridCol w:w="2371"/>
              <w:gridCol w:w="1958"/>
            </w:tblGrid>
            <w:tr w14:paraId="4798E6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jc w:val="center"/>
              </w:trPr>
              <w:tc>
                <w:tcPr>
                  <w:tcW w:w="3609" w:type="dxa"/>
                  <w:tcBorders>
                    <w:tl2br w:val="nil"/>
                    <w:tr2bl w:val="nil"/>
                  </w:tcBorders>
                  <w:vAlign w:val="center"/>
                </w:tcPr>
                <w:p w14:paraId="060F51B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b w:val="0"/>
                      <w:bCs/>
                      <w:color w:val="auto"/>
                      <w:sz w:val="21"/>
                      <w:szCs w:val="21"/>
                      <w:lang w:val="zh-CN"/>
                    </w:rPr>
                  </w:pPr>
                  <w:r>
                    <w:rPr>
                      <w:b w:val="0"/>
                      <w:bCs/>
                      <w:color w:val="auto"/>
                      <w:sz w:val="21"/>
                      <w:szCs w:val="21"/>
                      <w:lang w:val="zh-CN"/>
                    </w:rPr>
                    <w:t>声环境功能区类别</w:t>
                  </w:r>
                </w:p>
              </w:tc>
              <w:tc>
                <w:tcPr>
                  <w:tcW w:w="2371" w:type="dxa"/>
                  <w:tcBorders>
                    <w:tl2br w:val="nil"/>
                    <w:tr2bl w:val="nil"/>
                  </w:tcBorders>
                  <w:vAlign w:val="center"/>
                </w:tcPr>
                <w:p w14:paraId="678DED3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b w:val="0"/>
                      <w:bCs/>
                      <w:color w:val="auto"/>
                      <w:sz w:val="21"/>
                      <w:szCs w:val="21"/>
                      <w:lang w:val="zh-CN"/>
                    </w:rPr>
                  </w:pPr>
                  <w:r>
                    <w:rPr>
                      <w:b w:val="0"/>
                      <w:bCs/>
                      <w:color w:val="auto"/>
                      <w:sz w:val="21"/>
                      <w:szCs w:val="21"/>
                      <w:lang w:val="zh-CN"/>
                    </w:rPr>
                    <w:t>昼间</w:t>
                  </w:r>
                </w:p>
              </w:tc>
              <w:tc>
                <w:tcPr>
                  <w:tcW w:w="1958" w:type="dxa"/>
                  <w:tcBorders>
                    <w:tl2br w:val="nil"/>
                    <w:tr2bl w:val="nil"/>
                  </w:tcBorders>
                  <w:vAlign w:val="center"/>
                </w:tcPr>
                <w:p w14:paraId="7FFBE59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b w:val="0"/>
                      <w:bCs/>
                      <w:color w:val="auto"/>
                      <w:sz w:val="21"/>
                      <w:szCs w:val="21"/>
                      <w:lang w:val="zh-CN"/>
                    </w:rPr>
                  </w:pPr>
                  <w:r>
                    <w:rPr>
                      <w:b w:val="0"/>
                      <w:bCs/>
                      <w:color w:val="auto"/>
                      <w:sz w:val="21"/>
                      <w:szCs w:val="21"/>
                      <w:lang w:val="zh-CN"/>
                    </w:rPr>
                    <w:t>夜间</w:t>
                  </w:r>
                </w:p>
              </w:tc>
            </w:tr>
            <w:tr w14:paraId="55F1A5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7" w:hRule="atLeast"/>
                <w:jc w:val="center"/>
              </w:trPr>
              <w:tc>
                <w:tcPr>
                  <w:tcW w:w="3609" w:type="dxa"/>
                  <w:tcBorders>
                    <w:tl2br w:val="nil"/>
                    <w:tr2bl w:val="nil"/>
                  </w:tcBorders>
                  <w:vAlign w:val="center"/>
                </w:tcPr>
                <w:p w14:paraId="3901483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b w:val="0"/>
                      <w:bCs/>
                      <w:color w:val="auto"/>
                      <w:sz w:val="21"/>
                      <w:szCs w:val="21"/>
                      <w:lang w:val="zh-CN"/>
                    </w:rPr>
                  </w:pPr>
                  <w:r>
                    <w:rPr>
                      <w:b w:val="0"/>
                      <w:bCs/>
                      <w:color w:val="auto"/>
                      <w:sz w:val="21"/>
                      <w:szCs w:val="21"/>
                    </w:rPr>
                    <w:t>2</w:t>
                  </w:r>
                  <w:r>
                    <w:rPr>
                      <w:b w:val="0"/>
                      <w:bCs/>
                      <w:color w:val="auto"/>
                      <w:sz w:val="21"/>
                      <w:szCs w:val="21"/>
                      <w:lang w:val="zh-CN"/>
                    </w:rPr>
                    <w:t>类</w:t>
                  </w:r>
                </w:p>
              </w:tc>
              <w:tc>
                <w:tcPr>
                  <w:tcW w:w="2371" w:type="dxa"/>
                  <w:tcBorders>
                    <w:tl2br w:val="nil"/>
                    <w:tr2bl w:val="nil"/>
                  </w:tcBorders>
                  <w:vAlign w:val="center"/>
                </w:tcPr>
                <w:p w14:paraId="26A5D0C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b w:val="0"/>
                      <w:bCs/>
                      <w:color w:val="auto"/>
                      <w:sz w:val="21"/>
                      <w:szCs w:val="21"/>
                      <w:lang w:val="zh-CN"/>
                    </w:rPr>
                  </w:pPr>
                  <w:r>
                    <w:rPr>
                      <w:b w:val="0"/>
                      <w:bCs/>
                      <w:color w:val="auto"/>
                      <w:sz w:val="21"/>
                      <w:szCs w:val="21"/>
                      <w:lang w:val="zh-CN"/>
                    </w:rPr>
                    <w:t>60</w:t>
                  </w:r>
                </w:p>
              </w:tc>
              <w:tc>
                <w:tcPr>
                  <w:tcW w:w="1958" w:type="dxa"/>
                  <w:tcBorders>
                    <w:tl2br w:val="nil"/>
                    <w:tr2bl w:val="nil"/>
                  </w:tcBorders>
                  <w:vAlign w:val="center"/>
                </w:tcPr>
                <w:p w14:paraId="5F594A8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b w:val="0"/>
                      <w:bCs/>
                      <w:color w:val="auto"/>
                      <w:sz w:val="21"/>
                      <w:szCs w:val="21"/>
                      <w:lang w:val="zh-CN"/>
                    </w:rPr>
                  </w:pPr>
                  <w:r>
                    <w:rPr>
                      <w:b w:val="0"/>
                      <w:bCs/>
                      <w:color w:val="auto"/>
                      <w:sz w:val="21"/>
                      <w:szCs w:val="21"/>
                      <w:lang w:val="zh-CN"/>
                    </w:rPr>
                    <w:t>50</w:t>
                  </w:r>
                </w:p>
              </w:tc>
            </w:tr>
          </w:tbl>
          <w:p w14:paraId="7706A818">
            <w:pPr>
              <w:spacing w:line="360" w:lineRule="auto"/>
              <w:ind w:firstLine="420" w:firstLineChars="200"/>
              <w:rPr>
                <w:rFonts w:hint="eastAsia" w:eastAsia="宋体"/>
                <w:color w:val="auto"/>
                <w:highlight w:val="red"/>
                <w:lang w:val="en-US" w:eastAsia="zh-CN"/>
              </w:rPr>
            </w:pPr>
          </w:p>
          <w:p w14:paraId="6A52D715">
            <w:pPr>
              <w:adjustRightInd w:val="0"/>
              <w:snapToGrid w:val="0"/>
              <w:spacing w:line="360" w:lineRule="auto"/>
              <w:ind w:firstLine="480" w:firstLineChars="200"/>
              <w:jc w:val="left"/>
              <w:rPr>
                <w:rFonts w:hint="default" w:eastAsia="宋体"/>
                <w:color w:val="auto"/>
                <w:sz w:val="24"/>
                <w:szCs w:val="24"/>
                <w:lang w:val="en-US" w:eastAsia="zh-CN"/>
              </w:rPr>
            </w:pPr>
          </w:p>
        </w:tc>
      </w:tr>
      <w:tr w14:paraId="04E9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8" w:hRule="atLeast"/>
          <w:jc w:val="center"/>
        </w:trPr>
        <w:tc>
          <w:tcPr>
            <w:tcW w:w="800" w:type="dxa"/>
            <w:vAlign w:val="center"/>
          </w:tcPr>
          <w:p w14:paraId="5D9976C9">
            <w:pPr>
              <w:adjustRightInd w:val="0"/>
              <w:snapToGrid w:val="0"/>
              <w:jc w:val="center"/>
              <w:rPr>
                <w:rFonts w:ascii="宋体"/>
                <w:color w:val="auto"/>
                <w:sz w:val="24"/>
                <w:szCs w:val="24"/>
              </w:rPr>
            </w:pPr>
            <w:r>
              <w:rPr>
                <w:rFonts w:hint="eastAsia" w:ascii="宋体" w:hAnsi="宋体" w:cs="宋体"/>
                <w:color w:val="auto"/>
                <w:sz w:val="24"/>
                <w:szCs w:val="24"/>
              </w:rPr>
              <w:t>总量</w:t>
            </w:r>
          </w:p>
          <w:p w14:paraId="57C5B075">
            <w:pPr>
              <w:adjustRightInd w:val="0"/>
              <w:snapToGrid w:val="0"/>
              <w:jc w:val="center"/>
              <w:rPr>
                <w:rFonts w:ascii="宋体"/>
                <w:color w:val="auto"/>
                <w:sz w:val="24"/>
                <w:szCs w:val="24"/>
              </w:rPr>
            </w:pPr>
            <w:r>
              <w:rPr>
                <w:rFonts w:hint="eastAsia" w:ascii="宋体" w:hAnsi="宋体" w:cs="宋体"/>
                <w:color w:val="auto"/>
                <w:sz w:val="24"/>
                <w:szCs w:val="24"/>
              </w:rPr>
              <w:t>控制</w:t>
            </w:r>
          </w:p>
          <w:p w14:paraId="68F67F76">
            <w:pPr>
              <w:adjustRightInd w:val="0"/>
              <w:snapToGrid w:val="0"/>
              <w:jc w:val="center"/>
              <w:rPr>
                <w:rFonts w:ascii="宋体"/>
                <w:color w:val="auto"/>
                <w:kern w:val="0"/>
              </w:rPr>
            </w:pPr>
            <w:r>
              <w:rPr>
                <w:rFonts w:hint="eastAsia" w:ascii="宋体" w:hAnsi="宋体" w:cs="宋体"/>
                <w:color w:val="auto"/>
                <w:sz w:val="24"/>
                <w:szCs w:val="24"/>
              </w:rPr>
              <w:t>指标</w:t>
            </w:r>
          </w:p>
        </w:tc>
        <w:tc>
          <w:tcPr>
            <w:tcW w:w="8190" w:type="dxa"/>
          </w:tcPr>
          <w:p w14:paraId="7CA2B67D">
            <w:pPr>
              <w:adjustRightInd w:val="0"/>
              <w:snapToGrid w:val="0"/>
              <w:spacing w:before="120" w:beforeLines="50" w:line="360" w:lineRule="auto"/>
              <w:ind w:firstLine="480" w:firstLineChars="20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）废气</w:t>
            </w:r>
          </w:p>
          <w:p w14:paraId="27514D8B">
            <w:pPr>
              <w:spacing w:line="360" w:lineRule="auto"/>
              <w:ind w:firstLine="480" w:firstLineChars="200"/>
              <w:rPr>
                <w:color w:val="auto"/>
                <w:sz w:val="24"/>
                <w:szCs w:val="24"/>
              </w:rPr>
            </w:pPr>
            <w:r>
              <w:rPr>
                <w:color w:val="auto"/>
                <w:sz w:val="24"/>
                <w:szCs w:val="24"/>
              </w:rPr>
              <w:t>根据《安徽省环保厅关于进一步加强建设项目新增大气主要污染物总量指标管理工作的通知》皖环发〔2017〕19号文件：三、大气主要污染物总量指标实行区域内等量或倍量削减替代。上年度空气质量不达标的城市</w:t>
            </w:r>
            <w:r>
              <w:rPr>
                <w:rFonts w:hint="eastAsia"/>
                <w:color w:val="auto"/>
                <w:sz w:val="24"/>
                <w:szCs w:val="24"/>
                <w:lang w:eastAsia="zh-CN"/>
              </w:rPr>
              <w:t>，</w:t>
            </w:r>
            <w:r>
              <w:rPr>
                <w:color w:val="auto"/>
                <w:sz w:val="24"/>
                <w:szCs w:val="24"/>
              </w:rPr>
              <w:t>相应污染物指标应执行</w:t>
            </w:r>
            <w:r>
              <w:rPr>
                <w:rFonts w:hint="eastAsia"/>
                <w:color w:val="auto"/>
                <w:sz w:val="24"/>
                <w:szCs w:val="24"/>
                <w:lang w:eastAsia="zh-CN"/>
              </w:rPr>
              <w:t>“</w:t>
            </w:r>
            <w:r>
              <w:rPr>
                <w:color w:val="auto"/>
                <w:sz w:val="24"/>
                <w:szCs w:val="24"/>
              </w:rPr>
              <w:t>倍量替代</w:t>
            </w:r>
            <w:r>
              <w:rPr>
                <w:rFonts w:hint="eastAsia"/>
                <w:color w:val="auto"/>
                <w:sz w:val="24"/>
                <w:szCs w:val="24"/>
                <w:lang w:eastAsia="zh-CN"/>
              </w:rPr>
              <w:t>”</w:t>
            </w:r>
            <w:r>
              <w:rPr>
                <w:color w:val="auto"/>
                <w:sz w:val="24"/>
                <w:szCs w:val="24"/>
              </w:rPr>
              <w:t>。其中</w:t>
            </w:r>
            <w:r>
              <w:rPr>
                <w:rFonts w:hint="eastAsia"/>
                <w:color w:val="auto"/>
                <w:sz w:val="24"/>
                <w:szCs w:val="24"/>
                <w:lang w:eastAsia="zh-CN"/>
              </w:rPr>
              <w:t>，</w:t>
            </w:r>
            <w:r>
              <w:rPr>
                <w:color w:val="auto"/>
                <w:sz w:val="24"/>
                <w:szCs w:val="24"/>
              </w:rPr>
              <w:t>上年度PM</w:t>
            </w:r>
            <w:r>
              <w:rPr>
                <w:color w:val="auto"/>
                <w:sz w:val="24"/>
                <w:szCs w:val="24"/>
                <w:vertAlign w:val="subscript"/>
              </w:rPr>
              <w:t>2.5</w:t>
            </w:r>
            <w:r>
              <w:rPr>
                <w:color w:val="auto"/>
                <w:sz w:val="24"/>
                <w:szCs w:val="24"/>
              </w:rPr>
              <w:t>不达标的城市</w:t>
            </w:r>
            <w:r>
              <w:rPr>
                <w:rFonts w:hint="eastAsia"/>
                <w:color w:val="auto"/>
                <w:sz w:val="24"/>
                <w:szCs w:val="24"/>
                <w:lang w:eastAsia="zh-CN"/>
              </w:rPr>
              <w:t>，</w:t>
            </w:r>
            <w:r>
              <w:rPr>
                <w:color w:val="auto"/>
                <w:sz w:val="24"/>
                <w:szCs w:val="24"/>
              </w:rPr>
              <w:t>新增SO</w:t>
            </w:r>
            <w:r>
              <w:rPr>
                <w:color w:val="auto"/>
                <w:sz w:val="24"/>
                <w:szCs w:val="24"/>
                <w:vertAlign w:val="subscript"/>
              </w:rPr>
              <w:t>2</w:t>
            </w:r>
            <w:r>
              <w:rPr>
                <w:color w:val="auto"/>
                <w:sz w:val="24"/>
                <w:szCs w:val="24"/>
              </w:rPr>
              <w:t>、NOx和VOCs指标均要执行</w:t>
            </w:r>
            <w:r>
              <w:rPr>
                <w:rFonts w:hint="eastAsia"/>
                <w:color w:val="auto"/>
                <w:sz w:val="24"/>
                <w:szCs w:val="24"/>
                <w:lang w:eastAsia="zh-CN"/>
              </w:rPr>
              <w:t>“</w:t>
            </w:r>
            <w:r>
              <w:rPr>
                <w:color w:val="auto"/>
                <w:sz w:val="24"/>
                <w:szCs w:val="24"/>
              </w:rPr>
              <w:t>倍量替代</w:t>
            </w:r>
            <w:r>
              <w:rPr>
                <w:rFonts w:hint="eastAsia"/>
                <w:color w:val="auto"/>
                <w:sz w:val="24"/>
                <w:szCs w:val="24"/>
                <w:lang w:eastAsia="zh-CN"/>
              </w:rPr>
              <w:t>”</w:t>
            </w:r>
            <w:r>
              <w:rPr>
                <w:color w:val="auto"/>
                <w:sz w:val="24"/>
                <w:szCs w:val="24"/>
              </w:rPr>
              <w:t>。上年度PM</w:t>
            </w:r>
            <w:r>
              <w:rPr>
                <w:color w:val="auto"/>
                <w:sz w:val="24"/>
                <w:szCs w:val="24"/>
                <w:vertAlign w:val="subscript"/>
              </w:rPr>
              <w:t>10</w:t>
            </w:r>
            <w:r>
              <w:rPr>
                <w:color w:val="auto"/>
                <w:sz w:val="24"/>
                <w:szCs w:val="24"/>
              </w:rPr>
              <w:t>不达标的城市</w:t>
            </w:r>
            <w:r>
              <w:rPr>
                <w:rFonts w:hint="eastAsia"/>
                <w:color w:val="auto"/>
                <w:sz w:val="24"/>
                <w:szCs w:val="24"/>
                <w:lang w:eastAsia="zh-CN"/>
              </w:rPr>
              <w:t>，</w:t>
            </w:r>
            <w:r>
              <w:rPr>
                <w:color w:val="auto"/>
                <w:sz w:val="24"/>
                <w:szCs w:val="24"/>
              </w:rPr>
              <w:t>新增烟（粉）尘指标要执行</w:t>
            </w:r>
            <w:r>
              <w:rPr>
                <w:rFonts w:hint="eastAsia"/>
                <w:color w:val="auto"/>
                <w:sz w:val="24"/>
                <w:szCs w:val="24"/>
                <w:lang w:eastAsia="zh-CN"/>
              </w:rPr>
              <w:t>“</w:t>
            </w:r>
            <w:r>
              <w:rPr>
                <w:color w:val="auto"/>
                <w:sz w:val="24"/>
                <w:szCs w:val="24"/>
              </w:rPr>
              <w:t>倍量替代</w:t>
            </w:r>
            <w:r>
              <w:rPr>
                <w:rFonts w:hint="eastAsia"/>
                <w:color w:val="auto"/>
                <w:sz w:val="24"/>
                <w:szCs w:val="24"/>
                <w:lang w:eastAsia="zh-CN"/>
              </w:rPr>
              <w:t>”</w:t>
            </w:r>
            <w:r>
              <w:rPr>
                <w:color w:val="auto"/>
                <w:sz w:val="24"/>
                <w:szCs w:val="24"/>
              </w:rPr>
              <w:t>。达到超低排放标准的新建火电项目无需执行</w:t>
            </w:r>
            <w:r>
              <w:rPr>
                <w:rFonts w:hint="eastAsia"/>
                <w:color w:val="auto"/>
                <w:sz w:val="24"/>
                <w:szCs w:val="24"/>
                <w:lang w:eastAsia="zh-CN"/>
              </w:rPr>
              <w:t>“</w:t>
            </w:r>
            <w:r>
              <w:rPr>
                <w:color w:val="auto"/>
                <w:sz w:val="24"/>
                <w:szCs w:val="24"/>
              </w:rPr>
              <w:t>倍量替代</w:t>
            </w:r>
            <w:r>
              <w:rPr>
                <w:rFonts w:hint="eastAsia"/>
                <w:color w:val="auto"/>
                <w:sz w:val="24"/>
                <w:szCs w:val="24"/>
                <w:lang w:eastAsia="zh-CN"/>
              </w:rPr>
              <w:t>”</w:t>
            </w:r>
            <w:r>
              <w:rPr>
                <w:color w:val="auto"/>
                <w:sz w:val="24"/>
                <w:szCs w:val="24"/>
              </w:rPr>
              <w:t>。</w:t>
            </w:r>
          </w:p>
          <w:p w14:paraId="0DC0550D">
            <w:pPr>
              <w:pStyle w:val="2"/>
              <w:keepNext w:val="0"/>
              <w:keepLines w:val="0"/>
              <w:pageBreakBefore w:val="0"/>
              <w:widowControl/>
              <w:kinsoku/>
              <w:wordWrap/>
              <w:overflowPunct/>
              <w:topLinePunct w:val="0"/>
              <w:autoSpaceDE/>
              <w:autoSpaceDN/>
              <w:bidi w:val="0"/>
              <w:adjustRightInd/>
              <w:snapToGrid w:val="0"/>
              <w:spacing w:before="0" w:after="0" w:line="360" w:lineRule="auto"/>
              <w:ind w:right="113" w:firstLine="480" w:firstLineChars="200"/>
              <w:textAlignment w:val="auto"/>
              <w:rPr>
                <w:rFonts w:hint="eastAsia"/>
                <w:color w:val="auto"/>
                <w:sz w:val="24"/>
                <w:szCs w:val="24"/>
                <w:highlight w:val="none"/>
              </w:rPr>
            </w:pPr>
            <w:r>
              <w:rPr>
                <w:rFonts w:hint="eastAsia" w:ascii="Times New Roman" w:hAnsi="Times New Roman" w:eastAsia="宋体" w:cs="Times New Roman"/>
                <w:color w:val="auto"/>
                <w:kern w:val="2"/>
                <w:sz w:val="24"/>
                <w:szCs w:val="24"/>
                <w:lang w:val="en-US" w:eastAsia="zh-CN" w:bidi="ar-SA"/>
              </w:rPr>
              <w:t>根据原有项目工程分析和原主要污染物排放总量指标核定表（详见附件），</w:t>
            </w:r>
            <w:r>
              <w:rPr>
                <w:rFonts w:hint="eastAsia" w:cs="Times New Roman"/>
                <w:color w:val="auto"/>
                <w:kern w:val="2"/>
                <w:sz w:val="24"/>
                <w:szCs w:val="24"/>
                <w:lang w:val="en-US" w:eastAsia="zh-CN" w:bidi="ar-SA"/>
              </w:rPr>
              <w:t>批准总量</w:t>
            </w:r>
            <w:r>
              <w:rPr>
                <w:rFonts w:hint="eastAsia" w:ascii="Times New Roman" w:hAnsi="Times New Roman" w:eastAsia="宋体" w:cs="Times New Roman"/>
                <w:color w:val="auto"/>
                <w:kern w:val="2"/>
                <w:sz w:val="24"/>
                <w:szCs w:val="24"/>
                <w:lang w:val="en-US" w:eastAsia="zh-CN" w:bidi="ar-SA"/>
              </w:rPr>
              <w:t>如下：烟粉尘：12吨/年，二氧化硫：91.8吨/年，氮氧化物：13.34吨/年。</w:t>
            </w:r>
            <w:r>
              <w:rPr>
                <w:rFonts w:hint="eastAsia"/>
                <w:color w:val="auto"/>
                <w:sz w:val="24"/>
                <w:szCs w:val="24"/>
                <w:highlight w:val="none"/>
              </w:rPr>
              <w:br w:type="textWrapping"/>
            </w:r>
            <w:r>
              <w:rPr>
                <w:rFonts w:hint="eastAsia"/>
                <w:color w:val="auto"/>
                <w:sz w:val="24"/>
                <w:szCs w:val="24"/>
                <w:highlight w:val="none"/>
                <w:lang w:val="en-US" w:eastAsia="zh-CN"/>
              </w:rPr>
              <w:t xml:space="preserve">    </w:t>
            </w:r>
            <w:r>
              <w:rPr>
                <w:rFonts w:hint="eastAsia"/>
                <w:color w:val="auto"/>
                <w:sz w:val="24"/>
                <w:szCs w:val="24"/>
                <w:highlight w:val="none"/>
              </w:rPr>
              <w:t>本次</w:t>
            </w:r>
            <w:r>
              <w:rPr>
                <w:rFonts w:hint="eastAsia"/>
                <w:color w:val="auto"/>
                <w:sz w:val="24"/>
                <w:szCs w:val="24"/>
                <w:highlight w:val="none"/>
                <w:lang w:eastAsia="zh-CN"/>
              </w:rPr>
              <w:t>技改</w:t>
            </w:r>
            <w:r>
              <w:rPr>
                <w:rFonts w:hint="eastAsia"/>
                <w:color w:val="auto"/>
                <w:sz w:val="24"/>
                <w:szCs w:val="24"/>
                <w:highlight w:val="none"/>
              </w:rPr>
              <w:t>项目完成后</w:t>
            </w:r>
            <w:r>
              <w:rPr>
                <w:rFonts w:hint="eastAsia"/>
                <w:color w:val="auto"/>
                <w:sz w:val="24"/>
                <w:szCs w:val="24"/>
                <w:highlight w:val="none"/>
                <w:lang w:eastAsia="zh-CN"/>
              </w:rPr>
              <w:t>全厂</w:t>
            </w:r>
            <w:r>
              <w:rPr>
                <w:rFonts w:hint="eastAsia"/>
                <w:color w:val="auto"/>
                <w:sz w:val="24"/>
                <w:szCs w:val="24"/>
                <w:highlight w:val="none"/>
              </w:rPr>
              <w:t>颗粒物排放量为</w:t>
            </w:r>
            <w:r>
              <w:rPr>
                <w:rFonts w:hint="eastAsia"/>
                <w:color w:val="auto"/>
                <w:sz w:val="24"/>
                <w:szCs w:val="24"/>
                <w:highlight w:val="none"/>
                <w:lang w:val="en-US" w:eastAsia="zh-CN"/>
              </w:rPr>
              <w:t>8.211</w:t>
            </w:r>
            <w:r>
              <w:rPr>
                <w:rFonts w:hint="eastAsia"/>
                <w:color w:val="auto"/>
                <w:sz w:val="24"/>
                <w:szCs w:val="24"/>
                <w:highlight w:val="none"/>
              </w:rPr>
              <w:t>t/a</w:t>
            </w:r>
            <w:r>
              <w:rPr>
                <w:rFonts w:hint="eastAsia"/>
                <w:color w:val="auto"/>
                <w:sz w:val="24"/>
                <w:szCs w:val="24"/>
                <w:highlight w:val="none"/>
                <w:lang w:eastAsia="zh-CN"/>
              </w:rPr>
              <w:t>，</w:t>
            </w:r>
            <w:r>
              <w:rPr>
                <w:rFonts w:hint="eastAsia"/>
                <w:color w:val="auto"/>
                <w:sz w:val="24"/>
                <w:szCs w:val="24"/>
                <w:highlight w:val="none"/>
              </w:rPr>
              <w:t>二氧化硫排放量为</w:t>
            </w:r>
            <w:r>
              <w:rPr>
                <w:rFonts w:hint="eastAsia" w:eastAsia="宋体"/>
                <w:color w:val="auto"/>
                <w:sz w:val="24"/>
                <w:szCs w:val="24"/>
                <w:highlight w:val="none"/>
                <w:lang w:val="en-US" w:eastAsia="zh-CN"/>
              </w:rPr>
              <w:t>5</w:t>
            </w:r>
            <w:r>
              <w:rPr>
                <w:rFonts w:hint="eastAsia"/>
                <w:color w:val="auto"/>
                <w:sz w:val="24"/>
                <w:szCs w:val="24"/>
                <w:highlight w:val="none"/>
                <w:lang w:val="en-US" w:eastAsia="zh-CN"/>
              </w:rPr>
              <w:t>5.084</w:t>
            </w:r>
            <w:r>
              <w:rPr>
                <w:rFonts w:hint="eastAsia"/>
                <w:color w:val="auto"/>
                <w:sz w:val="24"/>
                <w:szCs w:val="24"/>
                <w:highlight w:val="none"/>
              </w:rPr>
              <w:t>t/a</w:t>
            </w:r>
            <w:r>
              <w:rPr>
                <w:rFonts w:hint="eastAsia"/>
                <w:color w:val="auto"/>
                <w:sz w:val="24"/>
                <w:szCs w:val="24"/>
                <w:highlight w:val="none"/>
                <w:lang w:eastAsia="zh-CN"/>
              </w:rPr>
              <w:t>，</w:t>
            </w:r>
            <w:r>
              <w:rPr>
                <w:rFonts w:hint="eastAsia"/>
                <w:color w:val="auto"/>
                <w:sz w:val="24"/>
                <w:szCs w:val="24"/>
                <w:highlight w:val="none"/>
              </w:rPr>
              <w:t>氮氧化物为</w:t>
            </w:r>
            <w:r>
              <w:rPr>
                <w:rFonts w:hint="eastAsia"/>
                <w:color w:val="auto"/>
                <w:sz w:val="24"/>
                <w:szCs w:val="24"/>
                <w:highlight w:val="none"/>
                <w:lang w:val="en-US" w:eastAsia="zh-CN"/>
              </w:rPr>
              <w:t>36.746</w:t>
            </w:r>
            <w:r>
              <w:rPr>
                <w:rFonts w:hint="eastAsia"/>
                <w:color w:val="auto"/>
                <w:sz w:val="24"/>
                <w:szCs w:val="24"/>
                <w:highlight w:val="none"/>
              </w:rPr>
              <w:t>t/a。</w:t>
            </w:r>
          </w:p>
          <w:p w14:paraId="6ACDCA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auto"/>
                <w:sz w:val="24"/>
                <w:szCs w:val="24"/>
                <w:highlight w:val="none"/>
                <w:lang w:eastAsia="zh-CN"/>
              </w:rPr>
            </w:pPr>
            <w:r>
              <w:rPr>
                <w:rFonts w:hint="eastAsia"/>
                <w:color w:val="auto"/>
                <w:sz w:val="24"/>
                <w:szCs w:val="24"/>
                <w:highlight w:val="none"/>
                <w:lang w:eastAsia="zh-CN"/>
              </w:rPr>
              <w:t>现有工程</w:t>
            </w:r>
            <w:r>
              <w:rPr>
                <w:rFonts w:hint="eastAsia"/>
                <w:color w:val="auto"/>
                <w:sz w:val="24"/>
                <w:szCs w:val="24"/>
                <w:highlight w:val="none"/>
              </w:rPr>
              <w:t>颗粒物</w:t>
            </w:r>
            <w:r>
              <w:rPr>
                <w:rFonts w:hint="eastAsia"/>
                <w:color w:val="auto"/>
                <w:sz w:val="24"/>
                <w:szCs w:val="24"/>
                <w:highlight w:val="none"/>
                <w:lang w:eastAsia="zh-CN"/>
              </w:rPr>
              <w:t>已批准</w:t>
            </w:r>
            <w:r>
              <w:rPr>
                <w:rFonts w:hint="eastAsia"/>
                <w:color w:val="auto"/>
                <w:sz w:val="24"/>
                <w:szCs w:val="24"/>
                <w:highlight w:val="none"/>
              </w:rPr>
              <w:t>总量为</w:t>
            </w:r>
            <w:r>
              <w:rPr>
                <w:rFonts w:hint="eastAsia"/>
                <w:color w:val="auto"/>
                <w:sz w:val="24"/>
                <w:szCs w:val="24"/>
                <w:highlight w:val="none"/>
                <w:lang w:val="en-US" w:eastAsia="zh-CN"/>
              </w:rPr>
              <w:t>12</w:t>
            </w:r>
            <w:r>
              <w:rPr>
                <w:rFonts w:hint="eastAsia"/>
                <w:color w:val="auto"/>
                <w:sz w:val="24"/>
                <w:szCs w:val="24"/>
                <w:highlight w:val="none"/>
              </w:rPr>
              <w:t>t/a；二氧化硫</w:t>
            </w:r>
            <w:r>
              <w:rPr>
                <w:rFonts w:hint="eastAsia"/>
                <w:color w:val="auto"/>
                <w:sz w:val="24"/>
                <w:szCs w:val="24"/>
                <w:highlight w:val="none"/>
                <w:lang w:eastAsia="zh-CN"/>
              </w:rPr>
              <w:t>已批准</w:t>
            </w:r>
            <w:r>
              <w:rPr>
                <w:rFonts w:hint="eastAsia"/>
                <w:color w:val="auto"/>
                <w:sz w:val="24"/>
                <w:szCs w:val="24"/>
                <w:highlight w:val="none"/>
              </w:rPr>
              <w:t>总量为</w:t>
            </w:r>
            <w:r>
              <w:rPr>
                <w:rFonts w:hint="eastAsia"/>
                <w:color w:val="auto"/>
                <w:sz w:val="24"/>
                <w:szCs w:val="24"/>
                <w:highlight w:val="none"/>
                <w:lang w:val="en-US" w:eastAsia="zh-CN"/>
              </w:rPr>
              <w:t>91.8</w:t>
            </w:r>
            <w:r>
              <w:rPr>
                <w:rFonts w:hint="eastAsia"/>
                <w:color w:val="auto"/>
                <w:sz w:val="24"/>
                <w:szCs w:val="24"/>
                <w:highlight w:val="none"/>
              </w:rPr>
              <w:t>t/a；氮氧化物</w:t>
            </w:r>
            <w:r>
              <w:rPr>
                <w:rFonts w:hint="eastAsia"/>
                <w:color w:val="auto"/>
                <w:sz w:val="24"/>
                <w:szCs w:val="24"/>
                <w:highlight w:val="none"/>
                <w:lang w:eastAsia="zh-CN"/>
              </w:rPr>
              <w:t>已批准</w:t>
            </w:r>
            <w:r>
              <w:rPr>
                <w:rFonts w:hint="eastAsia"/>
                <w:color w:val="auto"/>
                <w:sz w:val="24"/>
                <w:szCs w:val="24"/>
                <w:highlight w:val="none"/>
              </w:rPr>
              <w:t>总量为</w:t>
            </w:r>
            <w:r>
              <w:rPr>
                <w:rFonts w:hint="eastAsia"/>
                <w:color w:val="auto"/>
                <w:sz w:val="24"/>
                <w:szCs w:val="24"/>
                <w:highlight w:val="none"/>
                <w:lang w:val="en-US" w:eastAsia="zh-CN"/>
              </w:rPr>
              <w:t>13.34</w:t>
            </w:r>
            <w:r>
              <w:rPr>
                <w:rFonts w:hint="eastAsia"/>
                <w:color w:val="auto"/>
                <w:sz w:val="24"/>
                <w:szCs w:val="24"/>
                <w:highlight w:val="none"/>
              </w:rPr>
              <w:t>t/a。氮氧化物排放总量</w:t>
            </w:r>
            <w:r>
              <w:rPr>
                <w:rFonts w:hint="eastAsia"/>
                <w:color w:val="auto"/>
                <w:sz w:val="24"/>
                <w:szCs w:val="24"/>
                <w:highlight w:val="none"/>
                <w:lang w:eastAsia="zh-CN"/>
              </w:rPr>
              <w:t>不能</w:t>
            </w:r>
            <w:r>
              <w:rPr>
                <w:rFonts w:hint="eastAsia"/>
                <w:color w:val="auto"/>
                <w:sz w:val="24"/>
                <w:szCs w:val="24"/>
                <w:highlight w:val="none"/>
              </w:rPr>
              <w:t>满足控制指标</w:t>
            </w:r>
            <w:r>
              <w:rPr>
                <w:rFonts w:hint="eastAsia"/>
                <w:color w:val="auto"/>
                <w:sz w:val="24"/>
                <w:szCs w:val="24"/>
                <w:highlight w:val="none"/>
                <w:lang w:eastAsia="zh-CN"/>
              </w:rPr>
              <w:t>，需</w:t>
            </w:r>
            <w:r>
              <w:rPr>
                <w:rFonts w:hint="eastAsia"/>
                <w:color w:val="auto"/>
                <w:sz w:val="24"/>
                <w:szCs w:val="24"/>
                <w:highlight w:val="none"/>
              </w:rPr>
              <w:t>申请</w:t>
            </w:r>
            <w:r>
              <w:rPr>
                <w:rFonts w:hint="eastAsia"/>
                <w:color w:val="auto"/>
                <w:sz w:val="24"/>
                <w:szCs w:val="24"/>
                <w:highlight w:val="none"/>
                <w:lang w:eastAsia="zh-CN"/>
              </w:rPr>
              <w:t>总量，申请的量为</w:t>
            </w:r>
            <w:r>
              <w:rPr>
                <w:rFonts w:hint="eastAsia"/>
                <w:color w:val="auto"/>
                <w:sz w:val="24"/>
                <w:szCs w:val="24"/>
                <w:highlight w:val="none"/>
              </w:rPr>
              <w:t>氮氧化物</w:t>
            </w:r>
            <w:r>
              <w:rPr>
                <w:rFonts w:hint="eastAsia"/>
                <w:color w:val="auto"/>
                <w:lang w:eastAsia="zh-CN"/>
              </w:rPr>
              <w:t>：</w:t>
            </w:r>
            <w:r>
              <w:rPr>
                <w:rFonts w:hint="eastAsia"/>
                <w:color w:val="auto"/>
                <w:sz w:val="24"/>
                <w:szCs w:val="24"/>
                <w:highlight w:val="none"/>
                <w:lang w:val="en-US" w:eastAsia="zh-CN"/>
              </w:rPr>
              <w:t>21.98</w:t>
            </w:r>
            <w:r>
              <w:rPr>
                <w:rFonts w:hint="eastAsia"/>
                <w:color w:val="auto"/>
                <w:sz w:val="24"/>
                <w:szCs w:val="24"/>
                <w:highlight w:val="none"/>
              </w:rPr>
              <w:t>t/a</w:t>
            </w:r>
            <w:r>
              <w:rPr>
                <w:rFonts w:hint="eastAsia"/>
                <w:color w:val="auto"/>
                <w:sz w:val="24"/>
                <w:szCs w:val="24"/>
                <w:highlight w:val="none"/>
                <w:lang w:eastAsia="zh-CN"/>
              </w:rPr>
              <w:t>。</w:t>
            </w:r>
          </w:p>
          <w:p w14:paraId="056C628F">
            <w:pPr>
              <w:adjustRightInd w:val="0"/>
              <w:snapToGrid w:val="0"/>
              <w:spacing w:before="120" w:beforeLines="50" w:line="360" w:lineRule="auto"/>
              <w:ind w:firstLine="480" w:firstLineChars="200"/>
              <w:jc w:val="left"/>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）废水</w:t>
            </w:r>
          </w:p>
          <w:p w14:paraId="03B0F3AA">
            <w:pPr>
              <w:adjustRightInd w:val="0"/>
              <w:snapToGrid w:val="0"/>
              <w:spacing w:line="360" w:lineRule="auto"/>
              <w:ind w:firstLine="480" w:firstLineChars="200"/>
              <w:jc w:val="left"/>
              <w:rPr>
                <w:color w:val="auto"/>
                <w:sz w:val="24"/>
                <w:szCs w:val="24"/>
              </w:rPr>
            </w:pPr>
            <w:r>
              <w:rPr>
                <w:rFonts w:hint="eastAsia" w:ascii="宋体" w:hAnsi="宋体" w:eastAsia="宋体" w:cs="宋体"/>
                <w:color w:val="auto"/>
                <w:sz w:val="24"/>
                <w:szCs w:val="24"/>
              </w:rPr>
              <w:t>由于本项目</w:t>
            </w:r>
            <w:r>
              <w:rPr>
                <w:rFonts w:hint="eastAsia" w:ascii="宋体" w:hAnsi="宋体" w:eastAsia="宋体" w:cs="宋体"/>
                <w:color w:val="auto"/>
                <w:sz w:val="24"/>
                <w:szCs w:val="24"/>
                <w:lang w:eastAsia="zh-CN"/>
              </w:rPr>
              <w:t>车辆冲洗废水经沉淀池沉淀后回用于车辆冲洗，不外排；</w:t>
            </w:r>
            <w:r>
              <w:rPr>
                <w:rFonts w:hint="eastAsia" w:ascii="宋体" w:hAnsi="宋体" w:eastAsia="宋体" w:cs="宋体"/>
                <w:color w:val="auto"/>
                <w:sz w:val="24"/>
                <w:szCs w:val="24"/>
              </w:rPr>
              <w:t>废水</w:t>
            </w:r>
            <w:r>
              <w:rPr>
                <w:rFonts w:hint="eastAsia" w:ascii="宋体" w:hAnsi="宋体" w:cs="宋体"/>
                <w:color w:val="auto"/>
                <w:sz w:val="24"/>
                <w:szCs w:val="24"/>
              </w:rPr>
              <w:t>经化粪池预处理后定期清掏</w:t>
            </w:r>
            <w:r>
              <w:rPr>
                <w:rFonts w:hint="eastAsia" w:ascii="宋体" w:hAnsi="宋体" w:cs="宋体"/>
                <w:color w:val="auto"/>
                <w:sz w:val="24"/>
                <w:szCs w:val="24"/>
                <w:lang w:eastAsia="zh-CN"/>
              </w:rPr>
              <w:t>，</w:t>
            </w:r>
            <w:r>
              <w:rPr>
                <w:rFonts w:hint="eastAsia" w:ascii="宋体" w:hAnsi="宋体" w:cs="宋体"/>
                <w:color w:val="auto"/>
                <w:sz w:val="24"/>
                <w:szCs w:val="24"/>
              </w:rPr>
              <w:t>不外排。因此</w:t>
            </w:r>
            <w:r>
              <w:rPr>
                <w:rFonts w:hint="eastAsia" w:ascii="宋体" w:hAnsi="宋体" w:cs="宋体"/>
                <w:color w:val="auto"/>
                <w:sz w:val="24"/>
                <w:szCs w:val="24"/>
                <w:lang w:eastAsia="zh-CN"/>
              </w:rPr>
              <w:t>，</w:t>
            </w:r>
            <w:r>
              <w:rPr>
                <w:rFonts w:hint="eastAsia" w:ascii="宋体" w:hAnsi="宋体" w:cs="宋体"/>
                <w:color w:val="auto"/>
                <w:sz w:val="24"/>
                <w:szCs w:val="24"/>
              </w:rPr>
              <w:t>本项目</w:t>
            </w:r>
            <w:r>
              <w:rPr>
                <w:rFonts w:ascii="宋体" w:hAnsi="宋体" w:cs="宋体"/>
                <w:color w:val="auto"/>
                <w:sz w:val="24"/>
                <w:szCs w:val="24"/>
              </w:rPr>
              <w:t>COD</w:t>
            </w:r>
            <w:r>
              <w:rPr>
                <w:rFonts w:hint="eastAsia" w:ascii="宋体" w:hAnsi="宋体" w:cs="宋体"/>
                <w:color w:val="auto"/>
                <w:sz w:val="24"/>
                <w:szCs w:val="24"/>
              </w:rPr>
              <w:t>、</w:t>
            </w:r>
            <w:r>
              <w:rPr>
                <w:rFonts w:ascii="宋体" w:hAnsi="宋体" w:cs="宋体"/>
                <w:color w:val="auto"/>
                <w:sz w:val="24"/>
                <w:szCs w:val="24"/>
              </w:rPr>
              <w:t>NH3-N</w:t>
            </w:r>
            <w:r>
              <w:rPr>
                <w:rFonts w:hint="eastAsia" w:ascii="宋体" w:hAnsi="宋体" w:cs="宋体"/>
                <w:color w:val="auto"/>
                <w:sz w:val="24"/>
                <w:szCs w:val="24"/>
              </w:rPr>
              <w:t xml:space="preserve">总量控制指标无需申请。  </w:t>
            </w:r>
          </w:p>
        </w:tc>
      </w:tr>
    </w:tbl>
    <w:p w14:paraId="0DD10395">
      <w:pPr>
        <w:pStyle w:val="34"/>
        <w:jc w:val="center"/>
        <w:outlineLvl w:val="0"/>
        <w:rPr>
          <w:rFonts w:ascii="黑体" w:hAnsi="黑体" w:eastAsia="黑体" w:cs="Times New Roman"/>
          <w:snapToGrid w:val="0"/>
          <w:color w:val="auto"/>
          <w:sz w:val="30"/>
          <w:szCs w:val="30"/>
        </w:rPr>
      </w:pPr>
      <w:r>
        <w:rPr>
          <w:rFonts w:ascii="黑体" w:hAnsi="黑体" w:eastAsia="黑体" w:cs="Times New Roman"/>
          <w:snapToGrid w:val="0"/>
          <w:color w:val="auto"/>
          <w:sz w:val="36"/>
          <w:szCs w:val="36"/>
        </w:rPr>
        <w:br w:type="page"/>
      </w:r>
      <w:r>
        <w:rPr>
          <w:rFonts w:hint="eastAsia" w:ascii="黑体" w:hAnsi="黑体" w:eastAsia="黑体" w:cs="黑体"/>
          <w:snapToGrid w:val="0"/>
          <w:color w:val="auto"/>
          <w:sz w:val="30"/>
          <w:szCs w:val="30"/>
        </w:rPr>
        <w:t>四、主要环境影响和保护措施</w:t>
      </w:r>
    </w:p>
    <w:tbl>
      <w:tblPr>
        <w:tblStyle w:val="37"/>
        <w:tblW w:w="92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1"/>
        <w:gridCol w:w="8448"/>
      </w:tblGrid>
      <w:tr w14:paraId="1BF271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59" w:hRule="atLeast"/>
          <w:jc w:val="center"/>
        </w:trPr>
        <w:tc>
          <w:tcPr>
            <w:tcW w:w="771" w:type="dxa"/>
            <w:tcBorders>
              <w:top w:val="single" w:color="auto" w:sz="8" w:space="0"/>
              <w:bottom w:val="single" w:color="auto" w:sz="8" w:space="0"/>
            </w:tcBorders>
            <w:tcMar>
              <w:left w:w="28" w:type="dxa"/>
              <w:right w:w="28" w:type="dxa"/>
            </w:tcMar>
            <w:vAlign w:val="center"/>
          </w:tcPr>
          <w:p w14:paraId="7FCAB1AD">
            <w:pPr>
              <w:pStyle w:val="34"/>
              <w:adjustRightInd w:val="0"/>
              <w:snapToGrid w:val="0"/>
              <w:spacing w:before="0" w:beforeAutospacing="0" w:after="0" w:afterAutospacing="0"/>
              <w:jc w:val="center"/>
              <w:rPr>
                <w:rFonts w:cs="Times New Roman"/>
                <w:color w:val="auto"/>
                <w:kern w:val="2"/>
              </w:rPr>
            </w:pPr>
            <w:r>
              <w:rPr>
                <w:rFonts w:hint="eastAsia"/>
                <w:color w:val="auto"/>
                <w:kern w:val="2"/>
              </w:rPr>
              <w:t>施工</w:t>
            </w:r>
          </w:p>
          <w:p w14:paraId="1CED6599">
            <w:pPr>
              <w:pStyle w:val="34"/>
              <w:adjustRightInd w:val="0"/>
              <w:snapToGrid w:val="0"/>
              <w:spacing w:before="0" w:beforeAutospacing="0" w:after="0" w:afterAutospacing="0"/>
              <w:jc w:val="center"/>
              <w:rPr>
                <w:rFonts w:cs="Times New Roman"/>
                <w:color w:val="auto"/>
                <w:kern w:val="2"/>
              </w:rPr>
            </w:pPr>
            <w:r>
              <w:rPr>
                <w:rFonts w:hint="eastAsia"/>
                <w:color w:val="auto"/>
                <w:kern w:val="2"/>
              </w:rPr>
              <w:t>期环</w:t>
            </w:r>
          </w:p>
          <w:p w14:paraId="130BC221">
            <w:pPr>
              <w:pStyle w:val="34"/>
              <w:adjustRightInd w:val="0"/>
              <w:snapToGrid w:val="0"/>
              <w:spacing w:before="0" w:beforeAutospacing="0" w:after="0" w:afterAutospacing="0"/>
              <w:jc w:val="center"/>
              <w:rPr>
                <w:rFonts w:cs="Times New Roman"/>
                <w:color w:val="auto"/>
                <w:kern w:val="2"/>
              </w:rPr>
            </w:pPr>
            <w:r>
              <w:rPr>
                <w:rFonts w:hint="eastAsia"/>
                <w:color w:val="auto"/>
                <w:kern w:val="2"/>
              </w:rPr>
              <w:t>境保</w:t>
            </w:r>
          </w:p>
          <w:p w14:paraId="2FA3BC4F">
            <w:pPr>
              <w:pStyle w:val="34"/>
              <w:adjustRightInd w:val="0"/>
              <w:snapToGrid w:val="0"/>
              <w:spacing w:before="0" w:beforeAutospacing="0" w:after="0" w:afterAutospacing="0"/>
              <w:jc w:val="center"/>
              <w:rPr>
                <w:rFonts w:cs="Times New Roman"/>
                <w:color w:val="auto"/>
                <w:kern w:val="2"/>
              </w:rPr>
            </w:pPr>
            <w:r>
              <w:rPr>
                <w:rFonts w:hint="eastAsia"/>
                <w:color w:val="auto"/>
                <w:kern w:val="2"/>
              </w:rPr>
              <w:t>护措</w:t>
            </w:r>
          </w:p>
          <w:p w14:paraId="0704F4AE">
            <w:pPr>
              <w:pStyle w:val="34"/>
              <w:adjustRightInd w:val="0"/>
              <w:snapToGrid w:val="0"/>
              <w:spacing w:before="0" w:beforeAutospacing="0" w:after="0" w:afterAutospacing="0"/>
              <w:jc w:val="center"/>
              <w:rPr>
                <w:rFonts w:cs="Times New Roman"/>
                <w:color w:val="auto"/>
                <w:kern w:val="2"/>
              </w:rPr>
            </w:pPr>
            <w:r>
              <w:rPr>
                <w:rFonts w:hint="eastAsia"/>
                <w:color w:val="auto"/>
                <w:kern w:val="2"/>
              </w:rPr>
              <w:t>施</w:t>
            </w:r>
          </w:p>
        </w:tc>
        <w:tc>
          <w:tcPr>
            <w:tcW w:w="8448" w:type="dxa"/>
            <w:tcBorders>
              <w:top w:val="single" w:color="auto" w:sz="8" w:space="0"/>
              <w:bottom w:val="single" w:color="auto" w:sz="8" w:space="0"/>
            </w:tcBorders>
            <w:vAlign w:val="center"/>
          </w:tcPr>
          <w:p w14:paraId="79C3743C">
            <w:pPr>
              <w:spacing w:before="240" w:beforeLines="100" w:line="360" w:lineRule="auto"/>
              <w:ind w:firstLine="240" w:firstLineChars="100"/>
              <w:jc w:val="left"/>
              <w:rPr>
                <w:b w:val="0"/>
                <w:bCs w:val="0"/>
                <w:snapToGrid w:val="0"/>
                <w:color w:val="auto"/>
                <w:sz w:val="24"/>
                <w:szCs w:val="24"/>
              </w:rPr>
            </w:pPr>
            <w:r>
              <w:rPr>
                <w:rFonts w:hint="eastAsia"/>
                <w:b w:val="0"/>
                <w:bCs w:val="0"/>
                <w:snapToGrid w:val="0"/>
                <w:color w:val="auto"/>
                <w:sz w:val="24"/>
                <w:szCs w:val="24"/>
                <w:lang w:eastAsia="zh-CN"/>
              </w:rPr>
              <w:t>一、</w:t>
            </w:r>
            <w:r>
              <w:rPr>
                <w:rFonts w:hint="eastAsia"/>
                <w:b w:val="0"/>
                <w:bCs w:val="0"/>
                <w:snapToGrid w:val="0"/>
                <w:color w:val="auto"/>
                <w:sz w:val="24"/>
                <w:szCs w:val="24"/>
              </w:rPr>
              <w:t>施工期环境影响简要分析：</w:t>
            </w:r>
          </w:p>
          <w:p w14:paraId="1FF7D317">
            <w:pPr>
              <w:spacing w:line="360" w:lineRule="auto"/>
              <w:ind w:firstLine="480" w:firstLineChars="200"/>
              <w:jc w:val="left"/>
              <w:rPr>
                <w:b w:val="0"/>
                <w:bCs w:val="0"/>
                <w:snapToGrid w:val="0"/>
                <w:color w:val="auto"/>
                <w:sz w:val="24"/>
                <w:szCs w:val="24"/>
              </w:rPr>
            </w:pPr>
            <w:r>
              <w:rPr>
                <w:rFonts w:hint="eastAsia"/>
                <w:b w:val="0"/>
                <w:bCs w:val="0"/>
                <w:snapToGrid w:val="0"/>
                <w:color w:val="auto"/>
                <w:sz w:val="24"/>
                <w:szCs w:val="24"/>
              </w:rPr>
              <w:t>本项目施工过程中会周围环境产生一定的影响</w:t>
            </w:r>
            <w:r>
              <w:rPr>
                <w:rFonts w:hint="eastAsia"/>
                <w:b w:val="0"/>
                <w:bCs w:val="0"/>
                <w:snapToGrid w:val="0"/>
                <w:color w:val="auto"/>
                <w:sz w:val="24"/>
                <w:szCs w:val="24"/>
                <w:lang w:eastAsia="zh-CN"/>
              </w:rPr>
              <w:t>，</w:t>
            </w:r>
            <w:r>
              <w:rPr>
                <w:rFonts w:hint="eastAsia"/>
                <w:b w:val="0"/>
                <w:bCs w:val="0"/>
                <w:snapToGrid w:val="0"/>
                <w:color w:val="auto"/>
                <w:sz w:val="24"/>
                <w:szCs w:val="24"/>
              </w:rPr>
              <w:t>对环境影响不可忽视：</w:t>
            </w:r>
          </w:p>
          <w:p w14:paraId="037C3DBD">
            <w:pPr>
              <w:spacing w:line="360" w:lineRule="auto"/>
              <w:ind w:firstLine="480" w:firstLineChars="200"/>
              <w:jc w:val="left"/>
              <w:rPr>
                <w:b w:val="0"/>
                <w:bCs w:val="0"/>
                <w:snapToGrid w:val="0"/>
                <w:color w:val="auto"/>
                <w:sz w:val="24"/>
                <w:szCs w:val="24"/>
              </w:rPr>
            </w:pPr>
            <w:r>
              <w:rPr>
                <w:rFonts w:hint="eastAsia"/>
                <w:b w:val="0"/>
                <w:bCs w:val="0"/>
                <w:snapToGrid w:val="0"/>
                <w:color w:val="auto"/>
                <w:sz w:val="24"/>
                <w:szCs w:val="24"/>
              </w:rPr>
              <w:t>1、施工扬尘</w:t>
            </w:r>
          </w:p>
          <w:p w14:paraId="7035DD4F">
            <w:pPr>
              <w:spacing w:line="360" w:lineRule="auto"/>
              <w:ind w:firstLine="480" w:firstLineChars="200"/>
              <w:jc w:val="left"/>
              <w:rPr>
                <w:b w:val="0"/>
                <w:bCs w:val="0"/>
                <w:snapToGrid w:val="0"/>
                <w:color w:val="auto"/>
                <w:sz w:val="24"/>
                <w:szCs w:val="24"/>
              </w:rPr>
            </w:pPr>
            <w:r>
              <w:rPr>
                <w:rFonts w:hint="eastAsia"/>
                <w:b w:val="0"/>
                <w:bCs w:val="0"/>
                <w:snapToGrid w:val="0"/>
                <w:color w:val="auto"/>
                <w:sz w:val="24"/>
                <w:szCs w:val="24"/>
              </w:rPr>
              <w:t>施工期的大气污染源主要为施工区裸露的地表在大风气象条件下易形成风蚀扬尘</w:t>
            </w:r>
            <w:r>
              <w:rPr>
                <w:rFonts w:hint="eastAsia"/>
                <w:b w:val="0"/>
                <w:bCs w:val="0"/>
                <w:snapToGrid w:val="0"/>
                <w:color w:val="auto"/>
                <w:sz w:val="24"/>
                <w:szCs w:val="24"/>
                <w:lang w:eastAsia="zh-CN"/>
              </w:rPr>
              <w:t>，</w:t>
            </w:r>
            <w:r>
              <w:rPr>
                <w:rFonts w:hint="eastAsia"/>
                <w:b w:val="0"/>
                <w:bCs w:val="0"/>
                <w:snapToGrid w:val="0"/>
                <w:color w:val="auto"/>
                <w:sz w:val="24"/>
                <w:szCs w:val="24"/>
              </w:rPr>
              <w:t>其产生量与风力、表土含水率等因素有关</w:t>
            </w:r>
            <w:r>
              <w:rPr>
                <w:rFonts w:hint="eastAsia"/>
                <w:b w:val="0"/>
                <w:bCs w:val="0"/>
                <w:snapToGrid w:val="0"/>
                <w:color w:val="auto"/>
                <w:sz w:val="24"/>
                <w:szCs w:val="24"/>
                <w:lang w:eastAsia="zh-CN"/>
              </w:rPr>
              <w:t>，</w:t>
            </w:r>
            <w:r>
              <w:rPr>
                <w:rFonts w:hint="eastAsia"/>
                <w:b w:val="0"/>
                <w:bCs w:val="0"/>
                <w:snapToGrid w:val="0"/>
                <w:color w:val="auto"/>
                <w:sz w:val="24"/>
                <w:szCs w:val="24"/>
              </w:rPr>
              <w:t>其影响程度及范围有限</w:t>
            </w:r>
            <w:r>
              <w:rPr>
                <w:rFonts w:hint="eastAsia"/>
                <w:b w:val="0"/>
                <w:bCs w:val="0"/>
                <w:snapToGrid w:val="0"/>
                <w:color w:val="auto"/>
                <w:sz w:val="24"/>
                <w:szCs w:val="24"/>
                <w:lang w:eastAsia="zh-CN"/>
              </w:rPr>
              <w:t>，</w:t>
            </w:r>
            <w:r>
              <w:rPr>
                <w:rFonts w:hint="eastAsia"/>
                <w:b w:val="0"/>
                <w:bCs w:val="0"/>
                <w:snapToGrid w:val="0"/>
                <w:color w:val="auto"/>
                <w:sz w:val="24"/>
                <w:szCs w:val="24"/>
              </w:rPr>
              <w:t>而且是短期的局部影响。</w:t>
            </w:r>
          </w:p>
          <w:p w14:paraId="53F574B6">
            <w:pPr>
              <w:spacing w:line="360" w:lineRule="auto"/>
              <w:ind w:firstLine="480" w:firstLineChars="200"/>
              <w:jc w:val="left"/>
              <w:rPr>
                <w:b w:val="0"/>
                <w:bCs w:val="0"/>
                <w:snapToGrid w:val="0"/>
                <w:color w:val="auto"/>
                <w:sz w:val="24"/>
                <w:szCs w:val="24"/>
              </w:rPr>
            </w:pPr>
            <w:r>
              <w:rPr>
                <w:rFonts w:hint="eastAsia"/>
                <w:b w:val="0"/>
                <w:bCs w:val="0"/>
                <w:snapToGrid w:val="0"/>
                <w:color w:val="auto"/>
                <w:sz w:val="24"/>
                <w:szCs w:val="24"/>
              </w:rPr>
              <w:t>据调查</w:t>
            </w:r>
            <w:r>
              <w:rPr>
                <w:rFonts w:hint="eastAsia"/>
                <w:b w:val="0"/>
                <w:bCs w:val="0"/>
                <w:snapToGrid w:val="0"/>
                <w:color w:val="auto"/>
                <w:sz w:val="24"/>
                <w:szCs w:val="24"/>
                <w:lang w:eastAsia="zh-CN"/>
              </w:rPr>
              <w:t>，</w:t>
            </w:r>
            <w:r>
              <w:rPr>
                <w:rFonts w:hint="eastAsia"/>
                <w:b w:val="0"/>
                <w:bCs w:val="0"/>
                <w:snapToGrid w:val="0"/>
                <w:color w:val="auto"/>
                <w:sz w:val="24"/>
                <w:szCs w:val="24"/>
              </w:rPr>
              <w:t>施工场地的扬尘主要是由运输车辆的行驶产生</w:t>
            </w:r>
            <w:r>
              <w:rPr>
                <w:rFonts w:hint="eastAsia"/>
                <w:b w:val="0"/>
                <w:bCs w:val="0"/>
                <w:snapToGrid w:val="0"/>
                <w:color w:val="auto"/>
                <w:sz w:val="24"/>
                <w:szCs w:val="24"/>
                <w:lang w:eastAsia="zh-CN"/>
              </w:rPr>
              <w:t>，</w:t>
            </w:r>
            <w:r>
              <w:rPr>
                <w:rFonts w:hint="eastAsia"/>
                <w:b w:val="0"/>
                <w:bCs w:val="0"/>
                <w:snapToGrid w:val="0"/>
                <w:color w:val="auto"/>
                <w:sz w:val="24"/>
                <w:szCs w:val="24"/>
              </w:rPr>
              <w:t>扬尘量相对较大。其与道路路面及车辆行驶速度有关</w:t>
            </w:r>
            <w:r>
              <w:rPr>
                <w:rFonts w:hint="eastAsia"/>
                <w:b w:val="0"/>
                <w:bCs w:val="0"/>
                <w:snapToGrid w:val="0"/>
                <w:color w:val="auto"/>
                <w:sz w:val="24"/>
                <w:szCs w:val="24"/>
                <w:lang w:eastAsia="zh-CN"/>
              </w:rPr>
              <w:t>，</w:t>
            </w:r>
            <w:r>
              <w:rPr>
                <w:rFonts w:hint="eastAsia"/>
                <w:b w:val="0"/>
                <w:bCs w:val="0"/>
                <w:snapToGrid w:val="0"/>
                <w:color w:val="auto"/>
                <w:sz w:val="24"/>
                <w:szCs w:val="24"/>
              </w:rPr>
              <w:t>一般情况下</w:t>
            </w:r>
            <w:r>
              <w:rPr>
                <w:rFonts w:hint="eastAsia"/>
                <w:b w:val="0"/>
                <w:bCs w:val="0"/>
                <w:snapToGrid w:val="0"/>
                <w:color w:val="auto"/>
                <w:sz w:val="24"/>
                <w:szCs w:val="24"/>
                <w:lang w:eastAsia="zh-CN"/>
              </w:rPr>
              <w:t>，</w:t>
            </w:r>
            <w:r>
              <w:rPr>
                <w:rFonts w:hint="eastAsia"/>
                <w:b w:val="0"/>
                <w:bCs w:val="0"/>
                <w:snapToGrid w:val="0"/>
                <w:color w:val="auto"/>
                <w:sz w:val="24"/>
                <w:szCs w:val="24"/>
              </w:rPr>
              <w:t>施工场地和施工道路在自然风的作用下产生的扬尘所影响的范围在</w:t>
            </w:r>
            <w:r>
              <w:rPr>
                <w:b w:val="0"/>
                <w:bCs w:val="0"/>
                <w:snapToGrid w:val="0"/>
                <w:color w:val="auto"/>
                <w:sz w:val="24"/>
                <w:szCs w:val="24"/>
              </w:rPr>
              <w:t>100m</w:t>
            </w:r>
            <w:r>
              <w:rPr>
                <w:rFonts w:hint="eastAsia"/>
                <w:b w:val="0"/>
                <w:bCs w:val="0"/>
                <w:snapToGrid w:val="0"/>
                <w:color w:val="auto"/>
                <w:sz w:val="24"/>
                <w:szCs w:val="24"/>
              </w:rPr>
              <w:t>以内</w:t>
            </w:r>
            <w:r>
              <w:rPr>
                <w:rFonts w:hint="eastAsia"/>
                <w:b w:val="0"/>
                <w:bCs w:val="0"/>
                <w:snapToGrid w:val="0"/>
                <w:color w:val="auto"/>
                <w:sz w:val="24"/>
                <w:szCs w:val="24"/>
                <w:lang w:eastAsia="zh-CN"/>
              </w:rPr>
              <w:t>，</w:t>
            </w:r>
            <w:r>
              <w:rPr>
                <w:rFonts w:hint="eastAsia"/>
                <w:b w:val="0"/>
                <w:bCs w:val="0"/>
                <w:snapToGrid w:val="0"/>
                <w:color w:val="auto"/>
                <w:sz w:val="24"/>
                <w:szCs w:val="24"/>
              </w:rPr>
              <w:t>如果在施工期间对车辆行驶的路面进行洒水抑尘</w:t>
            </w:r>
            <w:r>
              <w:rPr>
                <w:rFonts w:hint="eastAsia"/>
                <w:b w:val="0"/>
                <w:bCs w:val="0"/>
                <w:snapToGrid w:val="0"/>
                <w:color w:val="auto"/>
                <w:sz w:val="24"/>
                <w:szCs w:val="24"/>
                <w:lang w:eastAsia="zh-CN"/>
              </w:rPr>
              <w:t>，</w:t>
            </w:r>
            <w:r>
              <w:rPr>
                <w:rFonts w:hint="eastAsia"/>
                <w:b w:val="0"/>
                <w:bCs w:val="0"/>
                <w:snapToGrid w:val="0"/>
                <w:color w:val="auto"/>
                <w:sz w:val="24"/>
                <w:szCs w:val="24"/>
              </w:rPr>
              <w:t>遇到干旱季节特别是有风的天气</w:t>
            </w:r>
            <w:r>
              <w:rPr>
                <w:rFonts w:hint="eastAsia"/>
                <w:b w:val="0"/>
                <w:bCs w:val="0"/>
                <w:snapToGrid w:val="0"/>
                <w:color w:val="auto"/>
                <w:sz w:val="24"/>
                <w:szCs w:val="24"/>
                <w:lang w:eastAsia="zh-CN"/>
              </w:rPr>
              <w:t>，</w:t>
            </w:r>
            <w:r>
              <w:rPr>
                <w:rFonts w:hint="eastAsia"/>
                <w:b w:val="0"/>
                <w:bCs w:val="0"/>
                <w:snapToGrid w:val="0"/>
                <w:color w:val="auto"/>
                <w:sz w:val="24"/>
                <w:szCs w:val="24"/>
              </w:rPr>
              <w:t>要保证施工场地每天不少于洒</w:t>
            </w:r>
            <w:r>
              <w:rPr>
                <w:b w:val="0"/>
                <w:bCs w:val="0"/>
                <w:snapToGrid w:val="0"/>
                <w:color w:val="auto"/>
                <w:sz w:val="24"/>
                <w:szCs w:val="24"/>
              </w:rPr>
              <w:t>7</w:t>
            </w:r>
            <w:r>
              <w:rPr>
                <w:rFonts w:hint="eastAsia"/>
                <w:b w:val="0"/>
                <w:bCs w:val="0"/>
                <w:snapToGrid w:val="0"/>
                <w:color w:val="auto"/>
                <w:sz w:val="24"/>
                <w:szCs w:val="24"/>
              </w:rPr>
              <w:t>次水</w:t>
            </w:r>
            <w:r>
              <w:rPr>
                <w:rFonts w:hint="eastAsia"/>
                <w:b w:val="0"/>
                <w:bCs w:val="0"/>
                <w:snapToGrid w:val="0"/>
                <w:color w:val="auto"/>
                <w:sz w:val="24"/>
                <w:szCs w:val="24"/>
                <w:lang w:eastAsia="zh-CN"/>
              </w:rPr>
              <w:t>，</w:t>
            </w:r>
            <w:r>
              <w:rPr>
                <w:rFonts w:hint="eastAsia"/>
                <w:b w:val="0"/>
                <w:bCs w:val="0"/>
                <w:snapToGrid w:val="0"/>
                <w:color w:val="auto"/>
                <w:sz w:val="24"/>
                <w:szCs w:val="24"/>
              </w:rPr>
              <w:t>可使扬尘减少</w:t>
            </w:r>
            <w:r>
              <w:rPr>
                <w:b w:val="0"/>
                <w:bCs w:val="0"/>
                <w:snapToGrid w:val="0"/>
                <w:color w:val="auto"/>
                <w:sz w:val="24"/>
                <w:szCs w:val="24"/>
              </w:rPr>
              <w:t>70</w:t>
            </w:r>
            <w:r>
              <w:rPr>
                <w:rFonts w:hint="eastAsia"/>
                <w:b w:val="0"/>
                <w:bCs w:val="0"/>
                <w:snapToGrid w:val="0"/>
                <w:color w:val="auto"/>
                <w:sz w:val="24"/>
                <w:szCs w:val="24"/>
              </w:rPr>
              <w:t>％左右</w:t>
            </w:r>
            <w:r>
              <w:rPr>
                <w:rFonts w:hint="eastAsia"/>
                <w:b w:val="0"/>
                <w:bCs w:val="0"/>
                <w:snapToGrid w:val="0"/>
                <w:color w:val="auto"/>
                <w:sz w:val="24"/>
                <w:szCs w:val="24"/>
                <w:lang w:eastAsia="zh-CN"/>
              </w:rPr>
              <w:t>，</w:t>
            </w:r>
            <w:r>
              <w:rPr>
                <w:rFonts w:hint="eastAsia"/>
                <w:b w:val="0"/>
                <w:bCs w:val="0"/>
                <w:snapToGrid w:val="0"/>
                <w:color w:val="auto"/>
                <w:sz w:val="24"/>
                <w:szCs w:val="24"/>
              </w:rPr>
              <w:t>大大缩短扬尘影响范围。此外</w:t>
            </w:r>
            <w:r>
              <w:rPr>
                <w:rFonts w:hint="eastAsia"/>
                <w:b w:val="0"/>
                <w:bCs w:val="0"/>
                <w:snapToGrid w:val="0"/>
                <w:color w:val="auto"/>
                <w:sz w:val="24"/>
                <w:szCs w:val="24"/>
                <w:lang w:eastAsia="zh-CN"/>
              </w:rPr>
              <w:t>，</w:t>
            </w:r>
            <w:r>
              <w:rPr>
                <w:rFonts w:hint="eastAsia"/>
                <w:b w:val="0"/>
                <w:bCs w:val="0"/>
                <w:snapToGrid w:val="0"/>
                <w:color w:val="auto"/>
                <w:sz w:val="24"/>
                <w:szCs w:val="24"/>
              </w:rPr>
              <w:t>在施工期要修建好临时道路</w:t>
            </w:r>
            <w:r>
              <w:rPr>
                <w:rFonts w:hint="eastAsia"/>
                <w:b w:val="0"/>
                <w:bCs w:val="0"/>
                <w:snapToGrid w:val="0"/>
                <w:color w:val="auto"/>
                <w:sz w:val="24"/>
                <w:szCs w:val="24"/>
                <w:lang w:eastAsia="zh-CN"/>
              </w:rPr>
              <w:t>，</w:t>
            </w:r>
            <w:r>
              <w:rPr>
                <w:rFonts w:hint="eastAsia"/>
                <w:b w:val="0"/>
                <w:bCs w:val="0"/>
                <w:snapToGrid w:val="0"/>
                <w:color w:val="auto"/>
                <w:sz w:val="24"/>
                <w:szCs w:val="24"/>
              </w:rPr>
              <w:t>临时道路施工尽可能与永久道路衔接。保持车辆过往的道路平坦</w:t>
            </w:r>
            <w:r>
              <w:rPr>
                <w:rFonts w:hint="eastAsia"/>
                <w:b w:val="0"/>
                <w:bCs w:val="0"/>
                <w:snapToGrid w:val="0"/>
                <w:color w:val="auto"/>
                <w:sz w:val="24"/>
                <w:szCs w:val="24"/>
                <w:lang w:eastAsia="zh-CN"/>
              </w:rPr>
              <w:t>，</w:t>
            </w:r>
            <w:r>
              <w:rPr>
                <w:rFonts w:hint="eastAsia"/>
                <w:b w:val="0"/>
                <w:bCs w:val="0"/>
                <w:snapToGrid w:val="0"/>
                <w:color w:val="auto"/>
                <w:sz w:val="24"/>
                <w:szCs w:val="24"/>
              </w:rPr>
              <w:t>减少施工场地扬尘污染</w:t>
            </w:r>
            <w:r>
              <w:rPr>
                <w:rFonts w:hint="eastAsia"/>
                <w:b w:val="0"/>
                <w:bCs w:val="0"/>
                <w:snapToGrid w:val="0"/>
                <w:color w:val="auto"/>
                <w:sz w:val="24"/>
                <w:szCs w:val="24"/>
                <w:lang w:eastAsia="zh-CN"/>
              </w:rPr>
              <w:t>，</w:t>
            </w:r>
            <w:r>
              <w:rPr>
                <w:rFonts w:hint="eastAsia"/>
                <w:b w:val="0"/>
                <w:bCs w:val="0"/>
                <w:snapToGrid w:val="0"/>
                <w:color w:val="auto"/>
                <w:sz w:val="24"/>
                <w:szCs w:val="24"/>
              </w:rPr>
              <w:t>接受社会监督</w:t>
            </w:r>
            <w:r>
              <w:rPr>
                <w:rFonts w:hint="eastAsia"/>
                <w:b w:val="0"/>
                <w:bCs w:val="0"/>
                <w:snapToGrid w:val="0"/>
                <w:color w:val="auto"/>
                <w:sz w:val="24"/>
                <w:szCs w:val="24"/>
                <w:lang w:eastAsia="zh-CN"/>
              </w:rPr>
              <w:t>，</w:t>
            </w:r>
            <w:r>
              <w:rPr>
                <w:rFonts w:hint="eastAsia"/>
                <w:b w:val="0"/>
                <w:bCs w:val="0"/>
                <w:snapToGrid w:val="0"/>
                <w:color w:val="auto"/>
                <w:sz w:val="24"/>
                <w:szCs w:val="24"/>
              </w:rPr>
              <w:t>并采取下列扬尘污染防治措施：</w:t>
            </w:r>
          </w:p>
          <w:p w14:paraId="21879FE6">
            <w:pPr>
              <w:spacing w:line="360" w:lineRule="auto"/>
              <w:ind w:firstLine="480" w:firstLineChars="200"/>
              <w:jc w:val="left"/>
              <w:rPr>
                <w:rFonts w:hint="eastAsia" w:ascii="Times New Roman" w:hAnsi="Times New Roman" w:eastAsia="宋体" w:cs="Times New Roman"/>
                <w:b w:val="0"/>
                <w:bCs w:val="0"/>
                <w:snapToGrid w:val="0"/>
                <w:color w:val="auto"/>
                <w:sz w:val="24"/>
                <w:szCs w:val="24"/>
              </w:rPr>
            </w:pPr>
            <w:r>
              <w:rPr>
                <w:rFonts w:hint="eastAsia" w:ascii="Times New Roman" w:hAnsi="Times New Roman" w:eastAsia="宋体" w:cs="Times New Roman"/>
                <w:b w:val="0"/>
                <w:bCs w:val="0"/>
                <w:snapToGrid w:val="0"/>
                <w:color w:val="auto"/>
                <w:sz w:val="24"/>
                <w:szCs w:val="24"/>
              </w:rPr>
              <w:t>1）本项目施工期向大气排放的主要污染物有施工扬尘和施工机械尾气等。施工期结合《建设工程施工和预拌混凝土生产扬尘污染防治标准（试行）》、《安徽省大气污染防治条例》、《淮北市大气污染防治实施细则》等相关要求，按照施工工地“六个百分百”标准，做到工地周边 100%围挡；物料堆放100%覆盖；出入车辆100%冲洗；施工现场地面100%硬化；土方开挖100%湿法作业；渣土车辆100%密闭运输；</w:t>
            </w:r>
          </w:p>
          <w:p w14:paraId="43AC5567">
            <w:pPr>
              <w:spacing w:line="360" w:lineRule="auto"/>
              <w:ind w:firstLine="480" w:firstLineChars="200"/>
              <w:jc w:val="left"/>
              <w:rPr>
                <w:b w:val="0"/>
                <w:bCs w:val="0"/>
                <w:snapToGrid w:val="0"/>
                <w:color w:val="auto"/>
                <w:sz w:val="24"/>
                <w:szCs w:val="24"/>
              </w:rPr>
            </w:pPr>
            <w:r>
              <w:rPr>
                <w:rFonts w:hint="eastAsia"/>
                <w:b w:val="0"/>
                <w:bCs w:val="0"/>
                <w:snapToGrid w:val="0"/>
                <w:color w:val="auto"/>
                <w:sz w:val="24"/>
                <w:szCs w:val="24"/>
              </w:rPr>
              <w:t>2）施工现场建筑材料实行集中、分类堆放。建筑垃圾采取封闭方式清运</w:t>
            </w:r>
            <w:r>
              <w:rPr>
                <w:rFonts w:hint="eastAsia"/>
                <w:b w:val="0"/>
                <w:bCs w:val="0"/>
                <w:snapToGrid w:val="0"/>
                <w:color w:val="auto"/>
                <w:sz w:val="24"/>
                <w:szCs w:val="24"/>
                <w:lang w:eastAsia="zh-CN"/>
              </w:rPr>
              <w:t>，</w:t>
            </w:r>
            <w:r>
              <w:rPr>
                <w:rFonts w:hint="eastAsia"/>
                <w:b w:val="0"/>
                <w:bCs w:val="0"/>
                <w:snapToGrid w:val="0"/>
                <w:color w:val="auto"/>
                <w:sz w:val="24"/>
                <w:szCs w:val="24"/>
              </w:rPr>
              <w:t>严禁高处抛洒；</w:t>
            </w:r>
          </w:p>
          <w:p w14:paraId="6CEDF218">
            <w:pPr>
              <w:spacing w:line="360" w:lineRule="auto"/>
              <w:ind w:firstLine="480" w:firstLineChars="200"/>
              <w:jc w:val="left"/>
              <w:rPr>
                <w:b w:val="0"/>
                <w:bCs w:val="0"/>
                <w:snapToGrid w:val="0"/>
                <w:color w:val="auto"/>
                <w:sz w:val="24"/>
                <w:szCs w:val="24"/>
              </w:rPr>
            </w:pPr>
            <w:r>
              <w:rPr>
                <w:rFonts w:hint="eastAsia"/>
                <w:b w:val="0"/>
                <w:bCs w:val="0"/>
                <w:snapToGrid w:val="0"/>
                <w:color w:val="auto"/>
                <w:sz w:val="24"/>
                <w:szCs w:val="24"/>
              </w:rPr>
              <w:t>3）施工现场禁止焚烧沥青、油毡、橡胶、垃圾等易产生有毒有害烟尘和恶臭气体的物质；</w:t>
            </w:r>
          </w:p>
          <w:p w14:paraId="693798EF">
            <w:pPr>
              <w:spacing w:line="360" w:lineRule="auto"/>
              <w:ind w:firstLine="480" w:firstLineChars="200"/>
              <w:jc w:val="left"/>
              <w:rPr>
                <w:b w:val="0"/>
                <w:bCs w:val="0"/>
                <w:snapToGrid w:val="0"/>
                <w:color w:val="auto"/>
                <w:sz w:val="24"/>
                <w:szCs w:val="24"/>
              </w:rPr>
            </w:pPr>
            <w:r>
              <w:rPr>
                <w:rFonts w:hint="eastAsia"/>
                <w:b w:val="0"/>
                <w:bCs w:val="0"/>
                <w:snapToGrid w:val="0"/>
                <w:color w:val="auto"/>
                <w:sz w:val="24"/>
                <w:szCs w:val="24"/>
              </w:rPr>
              <w:t>4）易产生扬尘的建筑材料采取封闭运输；</w:t>
            </w:r>
          </w:p>
          <w:p w14:paraId="0FB41BB2">
            <w:pPr>
              <w:spacing w:line="360" w:lineRule="auto"/>
              <w:ind w:firstLine="480" w:firstLineChars="200"/>
              <w:jc w:val="left"/>
              <w:rPr>
                <w:b w:val="0"/>
                <w:bCs w:val="0"/>
                <w:snapToGrid w:val="0"/>
                <w:color w:val="auto"/>
                <w:sz w:val="24"/>
                <w:szCs w:val="24"/>
              </w:rPr>
            </w:pPr>
            <w:r>
              <w:rPr>
                <w:rFonts w:hint="eastAsia"/>
                <w:b w:val="0"/>
                <w:bCs w:val="0"/>
                <w:snapToGrid w:val="0"/>
                <w:color w:val="auto"/>
                <w:sz w:val="24"/>
                <w:szCs w:val="24"/>
              </w:rPr>
              <w:t>5）建筑垃圾运输、处理时</w:t>
            </w:r>
            <w:r>
              <w:rPr>
                <w:rFonts w:hint="eastAsia"/>
                <w:b w:val="0"/>
                <w:bCs w:val="0"/>
                <w:snapToGrid w:val="0"/>
                <w:color w:val="auto"/>
                <w:sz w:val="24"/>
                <w:szCs w:val="24"/>
                <w:lang w:eastAsia="zh-CN"/>
              </w:rPr>
              <w:t>，</w:t>
            </w:r>
            <w:r>
              <w:rPr>
                <w:rFonts w:hint="eastAsia"/>
                <w:b w:val="0"/>
                <w:bCs w:val="0"/>
                <w:snapToGrid w:val="0"/>
                <w:color w:val="auto"/>
                <w:sz w:val="24"/>
                <w:szCs w:val="24"/>
              </w:rPr>
              <w:t>按照城市人民政府市容环境卫生行政主管部门规定的时间、路线和要求</w:t>
            </w:r>
            <w:r>
              <w:rPr>
                <w:rFonts w:hint="eastAsia"/>
                <w:b w:val="0"/>
                <w:bCs w:val="0"/>
                <w:snapToGrid w:val="0"/>
                <w:color w:val="auto"/>
                <w:sz w:val="24"/>
                <w:szCs w:val="24"/>
                <w:lang w:eastAsia="zh-CN"/>
              </w:rPr>
              <w:t>，</w:t>
            </w:r>
            <w:r>
              <w:rPr>
                <w:rFonts w:hint="eastAsia"/>
                <w:b w:val="0"/>
                <w:bCs w:val="0"/>
                <w:snapToGrid w:val="0"/>
                <w:color w:val="auto"/>
                <w:sz w:val="24"/>
                <w:szCs w:val="24"/>
              </w:rPr>
              <w:t>清运到指定的场所处理；</w:t>
            </w:r>
          </w:p>
          <w:p w14:paraId="5AD751DD">
            <w:pPr>
              <w:spacing w:line="360" w:lineRule="auto"/>
              <w:ind w:firstLine="480" w:firstLineChars="200"/>
              <w:jc w:val="left"/>
              <w:rPr>
                <w:b w:val="0"/>
                <w:bCs w:val="0"/>
                <w:snapToGrid w:val="0"/>
                <w:color w:val="auto"/>
                <w:sz w:val="24"/>
                <w:szCs w:val="24"/>
              </w:rPr>
            </w:pPr>
            <w:r>
              <w:rPr>
                <w:rFonts w:hint="eastAsia"/>
                <w:b w:val="0"/>
                <w:bCs w:val="0"/>
                <w:snapToGrid w:val="0"/>
                <w:color w:val="auto"/>
                <w:sz w:val="24"/>
                <w:szCs w:val="24"/>
              </w:rPr>
              <w:t>在采取以上防治措施后</w:t>
            </w:r>
            <w:r>
              <w:rPr>
                <w:rFonts w:hint="eastAsia"/>
                <w:b w:val="0"/>
                <w:bCs w:val="0"/>
                <w:snapToGrid w:val="0"/>
                <w:color w:val="auto"/>
                <w:sz w:val="24"/>
                <w:szCs w:val="24"/>
                <w:lang w:eastAsia="zh-CN"/>
              </w:rPr>
              <w:t>，</w:t>
            </w:r>
            <w:r>
              <w:rPr>
                <w:rFonts w:hint="eastAsia"/>
                <w:b w:val="0"/>
                <w:bCs w:val="0"/>
                <w:snapToGrid w:val="0"/>
                <w:color w:val="auto"/>
                <w:sz w:val="24"/>
                <w:szCs w:val="24"/>
              </w:rPr>
              <w:t>项目施工扬尘对区域大气环境不产生明显的影响。</w:t>
            </w:r>
          </w:p>
          <w:p w14:paraId="2C854EE2">
            <w:pPr>
              <w:spacing w:line="360" w:lineRule="auto"/>
              <w:ind w:firstLine="480" w:firstLineChars="200"/>
              <w:jc w:val="left"/>
              <w:rPr>
                <w:b w:val="0"/>
                <w:bCs w:val="0"/>
                <w:snapToGrid w:val="0"/>
                <w:color w:val="auto"/>
                <w:sz w:val="24"/>
                <w:szCs w:val="24"/>
              </w:rPr>
            </w:pPr>
            <w:r>
              <w:rPr>
                <w:rFonts w:hint="eastAsia"/>
                <w:b w:val="0"/>
                <w:bCs w:val="0"/>
                <w:snapToGrid w:val="0"/>
                <w:color w:val="auto"/>
                <w:sz w:val="24"/>
                <w:szCs w:val="24"/>
              </w:rPr>
              <w:t>2、施工废水</w:t>
            </w:r>
          </w:p>
          <w:p w14:paraId="50B05ED5">
            <w:pPr>
              <w:spacing w:line="360" w:lineRule="auto"/>
              <w:ind w:firstLine="480" w:firstLineChars="200"/>
              <w:jc w:val="left"/>
              <w:rPr>
                <w:rFonts w:hint="eastAsia" w:ascii="Times New Roman" w:hAnsi="Times New Roman" w:eastAsia="宋体" w:cs="Times New Roman"/>
                <w:b w:val="0"/>
                <w:bCs w:val="0"/>
                <w:snapToGrid w:val="0"/>
                <w:color w:val="auto"/>
                <w:sz w:val="24"/>
                <w:szCs w:val="24"/>
              </w:rPr>
            </w:pPr>
            <w:r>
              <w:rPr>
                <w:rFonts w:hint="eastAsia" w:ascii="Times New Roman" w:hAnsi="Times New Roman" w:eastAsia="宋体" w:cs="Times New Roman"/>
                <w:b w:val="0"/>
                <w:bCs w:val="0"/>
                <w:snapToGrid w:val="0"/>
                <w:color w:val="auto"/>
                <w:sz w:val="24"/>
                <w:szCs w:val="24"/>
              </w:rPr>
              <w:t>施工阶段对周围水环境产生影响的因素主要来自于施工人员的生活污水、混凝土保养水、地面冲洗水及设备清洗水，其中以生活污水中的污染物数量最高，施工过程中桩基作业施工时还将产生部分泥浆废水，产生量与地下水位及施工方式不同而不同，建议将这些泥浆废水经临时沉淀池沉淀后回用于场地内洒水降尘，不外排。</w:t>
            </w:r>
          </w:p>
          <w:p w14:paraId="21F2CD72">
            <w:pPr>
              <w:spacing w:line="360" w:lineRule="auto"/>
              <w:ind w:firstLine="480" w:firstLineChars="200"/>
              <w:jc w:val="left"/>
              <w:rPr>
                <w:rFonts w:hint="eastAsia" w:ascii="Times New Roman" w:hAnsi="Times New Roman" w:eastAsia="宋体" w:cs="Times New Roman"/>
                <w:b w:val="0"/>
                <w:bCs w:val="0"/>
                <w:snapToGrid w:val="0"/>
                <w:color w:val="auto"/>
                <w:sz w:val="24"/>
                <w:szCs w:val="24"/>
              </w:rPr>
            </w:pPr>
            <w:r>
              <w:rPr>
                <w:rFonts w:hint="eastAsia" w:ascii="Times New Roman" w:hAnsi="Times New Roman" w:eastAsia="宋体" w:cs="Times New Roman"/>
                <w:b w:val="0"/>
                <w:bCs w:val="0"/>
                <w:snapToGrid w:val="0"/>
                <w:color w:val="auto"/>
                <w:sz w:val="24"/>
                <w:szCs w:val="24"/>
              </w:rPr>
              <w:t>由于施工现场人员数量受到施工内容、施工季节、施工机械等多种因素影响，变化较大。本项目施工人员产生的生活污水中主要污染物为COD、SS、NH3-N，通过类比进行估算，废水中主要污染物浓度为：COD200～300mg/L、BOD5100～150mg/L、SS100～200mg/L。施工期生活污水如果不经处理而直接排放，将会对项目拟建区域的环境产生一定的不利影响。经化粪池处理后用于农田施肥。</w:t>
            </w:r>
          </w:p>
          <w:p w14:paraId="6558463C">
            <w:pPr>
              <w:spacing w:line="360" w:lineRule="auto"/>
              <w:ind w:firstLine="480" w:firstLineChars="200"/>
              <w:jc w:val="left"/>
              <w:rPr>
                <w:rFonts w:hint="eastAsia" w:ascii="Times New Roman" w:hAnsi="Times New Roman" w:eastAsia="宋体" w:cs="Times New Roman"/>
                <w:b w:val="0"/>
                <w:bCs w:val="0"/>
                <w:snapToGrid w:val="0"/>
                <w:color w:val="auto"/>
                <w:sz w:val="24"/>
                <w:szCs w:val="24"/>
              </w:rPr>
            </w:pPr>
            <w:r>
              <w:rPr>
                <w:rFonts w:hint="eastAsia" w:ascii="Times New Roman" w:hAnsi="Times New Roman" w:eastAsia="宋体" w:cs="Times New Roman"/>
                <w:b w:val="0"/>
                <w:bCs w:val="0"/>
                <w:snapToGrid w:val="0"/>
                <w:color w:val="auto"/>
                <w:sz w:val="24"/>
                <w:szCs w:val="24"/>
              </w:rPr>
              <w:t>施工期间的混凝土保养水、地面冲洗水和设备冲洗水，其排水量视其工程的规模大小和工程的进度以及天气状况有所差别，施工期间产生的此类废水禁止外排，必须经过自然沉淀或者加药沉淀处理后回用。</w:t>
            </w:r>
          </w:p>
          <w:p w14:paraId="37365C1B">
            <w:pPr>
              <w:spacing w:line="360" w:lineRule="auto"/>
              <w:ind w:firstLine="480" w:firstLineChars="200"/>
              <w:jc w:val="left"/>
              <w:rPr>
                <w:rFonts w:hint="eastAsia" w:ascii="Times New Roman" w:hAnsi="Times New Roman" w:eastAsia="宋体" w:cs="Times New Roman"/>
                <w:b w:val="0"/>
                <w:bCs w:val="0"/>
                <w:snapToGrid w:val="0"/>
                <w:color w:val="auto"/>
                <w:sz w:val="24"/>
                <w:szCs w:val="24"/>
              </w:rPr>
            </w:pPr>
            <w:r>
              <w:rPr>
                <w:rFonts w:hint="eastAsia" w:ascii="Times New Roman" w:hAnsi="Times New Roman" w:eastAsia="宋体" w:cs="Times New Roman"/>
                <w:b w:val="0"/>
                <w:bCs w:val="0"/>
                <w:snapToGrid w:val="0"/>
                <w:color w:val="auto"/>
                <w:sz w:val="24"/>
                <w:szCs w:val="24"/>
              </w:rPr>
              <w:t>施工期间所产生的废水经过以上措施后对周围水环境基本无影响。</w:t>
            </w:r>
          </w:p>
          <w:p w14:paraId="5F3B9D10">
            <w:pPr>
              <w:spacing w:line="360" w:lineRule="auto"/>
              <w:ind w:firstLine="480" w:firstLineChars="200"/>
              <w:jc w:val="left"/>
              <w:rPr>
                <w:b w:val="0"/>
                <w:bCs w:val="0"/>
                <w:snapToGrid w:val="0"/>
                <w:color w:val="auto"/>
                <w:sz w:val="24"/>
                <w:szCs w:val="24"/>
              </w:rPr>
            </w:pPr>
            <w:r>
              <w:rPr>
                <w:rFonts w:hint="eastAsia"/>
                <w:b w:val="0"/>
                <w:bCs w:val="0"/>
                <w:snapToGrid w:val="0"/>
                <w:color w:val="auto"/>
                <w:sz w:val="24"/>
                <w:szCs w:val="24"/>
              </w:rPr>
              <w:t>3、施工噪声</w:t>
            </w:r>
          </w:p>
          <w:p w14:paraId="488669FF">
            <w:pPr>
              <w:pStyle w:val="33"/>
              <w:spacing w:after="0" w:line="360" w:lineRule="auto"/>
              <w:ind w:firstLine="480" w:firstLineChars="200"/>
              <w:rPr>
                <w:rFonts w:ascii="宋体" w:hAnsi="宋体"/>
                <w:b w:val="0"/>
                <w:bCs w:val="0"/>
                <w:color w:val="auto"/>
              </w:rPr>
            </w:pPr>
            <w:r>
              <w:rPr>
                <w:rFonts w:hint="eastAsia" w:ascii="宋体" w:hAnsi="宋体"/>
                <w:b w:val="0"/>
                <w:bCs w:val="0"/>
                <w:color w:val="auto"/>
              </w:rPr>
              <w:t>项目施工期间</w:t>
            </w:r>
            <w:r>
              <w:rPr>
                <w:rFonts w:hint="eastAsia" w:ascii="宋体" w:hAnsi="宋体"/>
                <w:b w:val="0"/>
                <w:bCs w:val="0"/>
                <w:color w:val="auto"/>
                <w:lang w:eastAsia="zh-CN"/>
              </w:rPr>
              <w:t>，</w:t>
            </w:r>
            <w:r>
              <w:rPr>
                <w:rFonts w:hint="eastAsia" w:ascii="宋体" w:hAnsi="宋体"/>
                <w:b w:val="0"/>
                <w:bCs w:val="0"/>
                <w:color w:val="auto"/>
              </w:rPr>
              <w:t>建设单位必须按照《中华人民共和国环境噪声污染防治法》规定</w:t>
            </w:r>
            <w:r>
              <w:rPr>
                <w:rFonts w:hint="eastAsia" w:ascii="宋体" w:hAnsi="宋体"/>
                <w:b w:val="0"/>
                <w:bCs w:val="0"/>
                <w:color w:val="auto"/>
                <w:lang w:eastAsia="zh-CN"/>
              </w:rPr>
              <w:t>，</w:t>
            </w:r>
            <w:r>
              <w:rPr>
                <w:rFonts w:hint="eastAsia" w:ascii="宋体" w:hAnsi="宋体"/>
                <w:b w:val="0"/>
                <w:bCs w:val="0"/>
                <w:color w:val="auto"/>
              </w:rPr>
              <w:t>严格按《建筑施工场界环境噪声排放标准》（GB12523-2011）等要求</w:t>
            </w:r>
            <w:r>
              <w:rPr>
                <w:rFonts w:hint="eastAsia" w:ascii="宋体" w:hAnsi="宋体"/>
                <w:b w:val="0"/>
                <w:bCs w:val="0"/>
                <w:color w:val="auto"/>
                <w:lang w:eastAsia="zh-CN"/>
              </w:rPr>
              <w:t>，</w:t>
            </w:r>
            <w:r>
              <w:rPr>
                <w:rFonts w:hint="eastAsia" w:ascii="宋体" w:hAnsi="宋体"/>
                <w:b w:val="0"/>
                <w:bCs w:val="0"/>
                <w:color w:val="auto"/>
              </w:rPr>
              <w:t>采取相关的噪声控制</w:t>
            </w:r>
            <w:r>
              <w:rPr>
                <w:rFonts w:ascii="宋体" w:hAnsi="宋体"/>
                <w:b w:val="0"/>
                <w:bCs w:val="0"/>
                <w:color w:val="auto"/>
              </w:rPr>
              <w:t>措施</w:t>
            </w:r>
            <w:r>
              <w:rPr>
                <w:rFonts w:hint="eastAsia" w:ascii="宋体" w:hAnsi="宋体"/>
                <w:b w:val="0"/>
                <w:bCs w:val="0"/>
                <w:color w:val="auto"/>
              </w:rPr>
              <w:t>对施工期噪声污染进行控制</w:t>
            </w:r>
            <w:r>
              <w:rPr>
                <w:rFonts w:hint="eastAsia" w:ascii="宋体" w:hAnsi="宋体"/>
                <w:b w:val="0"/>
                <w:bCs w:val="0"/>
                <w:color w:val="auto"/>
                <w:lang w:eastAsia="zh-CN"/>
              </w:rPr>
              <w:t>，</w:t>
            </w:r>
            <w:r>
              <w:rPr>
                <w:rFonts w:ascii="宋体" w:hAnsi="宋体"/>
                <w:b w:val="0"/>
                <w:bCs w:val="0"/>
                <w:color w:val="auto"/>
              </w:rPr>
              <w:t>加强</w:t>
            </w:r>
            <w:r>
              <w:rPr>
                <w:rFonts w:hint="eastAsia" w:ascii="宋体" w:hAnsi="宋体"/>
                <w:b w:val="0"/>
                <w:bCs w:val="0"/>
                <w:color w:val="auto"/>
              </w:rPr>
              <w:t>施工期</w:t>
            </w:r>
            <w:r>
              <w:rPr>
                <w:rFonts w:ascii="宋体" w:hAnsi="宋体"/>
                <w:b w:val="0"/>
                <w:bCs w:val="0"/>
                <w:color w:val="auto"/>
              </w:rPr>
              <w:t>管理</w:t>
            </w:r>
            <w:r>
              <w:rPr>
                <w:rFonts w:hint="eastAsia" w:ascii="宋体" w:hAnsi="宋体"/>
                <w:b w:val="0"/>
                <w:bCs w:val="0"/>
                <w:color w:val="auto"/>
                <w:lang w:eastAsia="zh-CN"/>
              </w:rPr>
              <w:t>，</w:t>
            </w:r>
            <w:r>
              <w:rPr>
                <w:rFonts w:ascii="宋体" w:hAnsi="宋体"/>
                <w:b w:val="0"/>
                <w:bCs w:val="0"/>
                <w:color w:val="auto"/>
              </w:rPr>
              <w:t>严格执行有关的管理规定</w:t>
            </w:r>
            <w:r>
              <w:rPr>
                <w:rFonts w:hint="eastAsia" w:ascii="宋体" w:hAnsi="宋体"/>
                <w:b w:val="0"/>
                <w:bCs w:val="0"/>
                <w:color w:val="auto"/>
                <w:lang w:eastAsia="zh-CN"/>
              </w:rPr>
              <w:t>，</w:t>
            </w:r>
            <w:r>
              <w:rPr>
                <w:rFonts w:ascii="宋体" w:hAnsi="宋体"/>
                <w:b w:val="0"/>
                <w:bCs w:val="0"/>
                <w:color w:val="auto"/>
              </w:rPr>
              <w:t>可有效地降低施工噪声</w:t>
            </w:r>
            <w:r>
              <w:rPr>
                <w:rFonts w:hint="eastAsia" w:ascii="宋体" w:hAnsi="宋体"/>
                <w:b w:val="0"/>
                <w:bCs w:val="0"/>
                <w:color w:val="auto"/>
                <w:lang w:eastAsia="zh-CN"/>
              </w:rPr>
              <w:t>，</w:t>
            </w:r>
            <w:r>
              <w:rPr>
                <w:rFonts w:ascii="宋体" w:hAnsi="宋体"/>
                <w:b w:val="0"/>
                <w:bCs w:val="0"/>
                <w:color w:val="auto"/>
              </w:rPr>
              <w:t>保证施工场界噪声达标</w:t>
            </w:r>
            <w:r>
              <w:rPr>
                <w:rFonts w:hint="eastAsia" w:ascii="宋体" w:hAnsi="宋体"/>
                <w:b w:val="0"/>
                <w:bCs w:val="0"/>
                <w:color w:val="auto"/>
                <w:lang w:eastAsia="zh-CN"/>
              </w:rPr>
              <w:t>，</w:t>
            </w:r>
            <w:r>
              <w:rPr>
                <w:rFonts w:hint="eastAsia" w:ascii="宋体" w:hAnsi="宋体"/>
                <w:b w:val="0"/>
                <w:bCs w:val="0"/>
                <w:color w:val="auto"/>
              </w:rPr>
              <w:t>确保拟建项目周围居民正常的起居生活。</w:t>
            </w:r>
          </w:p>
          <w:p w14:paraId="5FAE5307">
            <w:pPr>
              <w:topLinePunct/>
              <w:spacing w:line="360" w:lineRule="auto"/>
              <w:ind w:firstLine="480" w:firstLineChars="200"/>
              <w:rPr>
                <w:rFonts w:ascii="宋体" w:hAnsi="宋体"/>
                <w:b w:val="0"/>
                <w:bCs w:val="0"/>
                <w:color w:val="auto"/>
                <w:sz w:val="24"/>
              </w:rPr>
            </w:pPr>
            <w:r>
              <w:rPr>
                <w:rFonts w:ascii="宋体" w:hAnsi="宋体"/>
                <w:b w:val="0"/>
                <w:bCs w:val="0"/>
                <w:color w:val="auto"/>
                <w:sz w:val="24"/>
              </w:rPr>
              <w:t>为了尽量减少因本项目施工而给周围人们生活等活动带来的不利影响</w:t>
            </w:r>
            <w:r>
              <w:rPr>
                <w:rFonts w:hint="eastAsia" w:ascii="宋体" w:hAnsi="宋体"/>
                <w:b w:val="0"/>
                <w:bCs w:val="0"/>
                <w:color w:val="auto"/>
                <w:sz w:val="24"/>
                <w:lang w:eastAsia="zh-CN"/>
              </w:rPr>
              <w:t>，</w:t>
            </w:r>
            <w:r>
              <w:rPr>
                <w:rFonts w:ascii="宋体" w:hAnsi="宋体"/>
                <w:b w:val="0"/>
                <w:bCs w:val="0"/>
                <w:color w:val="auto"/>
                <w:sz w:val="24"/>
              </w:rPr>
              <w:t>建议采取以下控制措施：</w:t>
            </w:r>
          </w:p>
          <w:p w14:paraId="568A875A">
            <w:pPr>
              <w:spacing w:line="360" w:lineRule="auto"/>
              <w:ind w:firstLine="480" w:firstLineChars="200"/>
              <w:rPr>
                <w:b w:val="0"/>
                <w:bCs w:val="0"/>
                <w:color w:val="auto"/>
                <w:sz w:val="24"/>
              </w:rPr>
            </w:pPr>
            <w:r>
              <w:rPr>
                <w:rFonts w:hint="eastAsia" w:ascii="宋体" w:hAnsi="宋体"/>
                <w:b w:val="0"/>
                <w:bCs w:val="0"/>
                <w:color w:val="auto"/>
                <w:kern w:val="28"/>
                <w:sz w:val="24"/>
              </w:rPr>
              <w:t>（</w:t>
            </w:r>
            <w:r>
              <w:rPr>
                <w:rFonts w:ascii="宋体" w:hAnsi="宋体"/>
                <w:b w:val="0"/>
                <w:bCs w:val="0"/>
                <w:color w:val="auto"/>
                <w:kern w:val="28"/>
                <w:sz w:val="24"/>
              </w:rPr>
              <w:t>1）</w:t>
            </w:r>
            <w:r>
              <w:rPr>
                <w:b w:val="0"/>
                <w:bCs w:val="0"/>
                <w:color w:val="auto"/>
                <w:sz w:val="24"/>
              </w:rPr>
              <w:t>在施工过程中</w:t>
            </w:r>
            <w:r>
              <w:rPr>
                <w:rFonts w:hint="eastAsia"/>
                <w:b w:val="0"/>
                <w:bCs w:val="0"/>
                <w:color w:val="auto"/>
                <w:sz w:val="24"/>
                <w:lang w:eastAsia="zh-CN"/>
              </w:rPr>
              <w:t>，</w:t>
            </w:r>
            <w:r>
              <w:rPr>
                <w:b w:val="0"/>
                <w:bCs w:val="0"/>
                <w:color w:val="auto"/>
                <w:sz w:val="24"/>
              </w:rPr>
              <w:t>施工单位应尽量采用低噪声的施工机械</w:t>
            </w:r>
            <w:r>
              <w:rPr>
                <w:rFonts w:hint="eastAsia"/>
                <w:b w:val="0"/>
                <w:bCs w:val="0"/>
                <w:color w:val="auto"/>
                <w:sz w:val="24"/>
                <w:lang w:eastAsia="zh-CN"/>
              </w:rPr>
              <w:t>，</w:t>
            </w:r>
            <w:r>
              <w:rPr>
                <w:b w:val="0"/>
                <w:bCs w:val="0"/>
                <w:color w:val="auto"/>
                <w:sz w:val="24"/>
              </w:rPr>
              <w:t>减少同时作业的高噪施工机械数量</w:t>
            </w:r>
            <w:r>
              <w:rPr>
                <w:rFonts w:hint="eastAsia"/>
                <w:b w:val="0"/>
                <w:bCs w:val="0"/>
                <w:color w:val="auto"/>
                <w:sz w:val="24"/>
                <w:lang w:eastAsia="zh-CN"/>
              </w:rPr>
              <w:t>，</w:t>
            </w:r>
            <w:r>
              <w:rPr>
                <w:b w:val="0"/>
                <w:bCs w:val="0"/>
                <w:color w:val="auto"/>
                <w:sz w:val="24"/>
              </w:rPr>
              <w:t>尽可能减轻声源叠加影响</w:t>
            </w:r>
            <w:r>
              <w:rPr>
                <w:rFonts w:hint="eastAsia"/>
                <w:b w:val="0"/>
                <w:bCs w:val="0"/>
                <w:color w:val="auto"/>
                <w:sz w:val="24"/>
              </w:rPr>
              <w:t>。</w:t>
            </w:r>
          </w:p>
          <w:p w14:paraId="4CE056F2">
            <w:pPr>
              <w:spacing w:line="360" w:lineRule="auto"/>
              <w:ind w:firstLine="480" w:firstLineChars="200"/>
              <w:rPr>
                <w:rFonts w:ascii="宋体" w:hAnsi="宋体"/>
                <w:b w:val="0"/>
                <w:bCs w:val="0"/>
                <w:color w:val="auto"/>
                <w:sz w:val="24"/>
              </w:rPr>
            </w:pPr>
            <w:r>
              <w:rPr>
                <w:rFonts w:hint="eastAsia" w:ascii="宋体" w:hAnsi="宋体"/>
                <w:b w:val="0"/>
                <w:bCs w:val="0"/>
                <w:color w:val="auto"/>
                <w:sz w:val="24"/>
              </w:rPr>
              <w:t>（2）</w:t>
            </w:r>
            <w:r>
              <w:rPr>
                <w:rFonts w:hint="eastAsia"/>
                <w:b w:val="0"/>
                <w:bCs w:val="0"/>
                <w:color w:val="auto"/>
                <w:sz w:val="24"/>
              </w:rPr>
              <w:t>施工</w:t>
            </w:r>
            <w:r>
              <w:rPr>
                <w:b w:val="0"/>
                <w:bCs w:val="0"/>
                <w:color w:val="auto"/>
                <w:sz w:val="24"/>
              </w:rPr>
              <w:t>单位应合理安排施工作业时间</w:t>
            </w:r>
            <w:r>
              <w:rPr>
                <w:rFonts w:hint="eastAsia"/>
                <w:b w:val="0"/>
                <w:bCs w:val="0"/>
                <w:color w:val="auto"/>
                <w:sz w:val="24"/>
                <w:lang w:eastAsia="zh-CN"/>
              </w:rPr>
              <w:t>，</w:t>
            </w:r>
            <w:r>
              <w:rPr>
                <w:b w:val="0"/>
                <w:bCs w:val="0"/>
                <w:color w:val="auto"/>
                <w:sz w:val="24"/>
              </w:rPr>
              <w:t>施工尽量安排在白天进行</w:t>
            </w:r>
            <w:r>
              <w:rPr>
                <w:rFonts w:hint="eastAsia"/>
                <w:b w:val="0"/>
                <w:bCs w:val="0"/>
                <w:color w:val="auto"/>
                <w:sz w:val="24"/>
                <w:lang w:eastAsia="zh-CN"/>
              </w:rPr>
              <w:t>，</w:t>
            </w:r>
            <w:r>
              <w:rPr>
                <w:rFonts w:hint="eastAsia"/>
                <w:b w:val="0"/>
                <w:bCs w:val="0"/>
                <w:color w:val="auto"/>
                <w:sz w:val="24"/>
              </w:rPr>
              <w:t>避免</w:t>
            </w:r>
            <w:r>
              <w:rPr>
                <w:b w:val="0"/>
                <w:bCs w:val="0"/>
                <w:color w:val="auto"/>
                <w:sz w:val="24"/>
              </w:rPr>
              <w:t>在午间12：00</w:t>
            </w:r>
            <w:r>
              <w:rPr>
                <w:rFonts w:hint="eastAsia"/>
                <w:b w:val="0"/>
                <w:bCs w:val="0"/>
                <w:color w:val="auto"/>
                <w:sz w:val="24"/>
              </w:rPr>
              <w:t>-</w:t>
            </w:r>
            <w:r>
              <w:rPr>
                <w:b w:val="0"/>
                <w:bCs w:val="0"/>
                <w:color w:val="auto"/>
                <w:sz w:val="24"/>
              </w:rPr>
              <w:t>14：00和夜间特别是晚上22：00</w:t>
            </w:r>
            <w:r>
              <w:rPr>
                <w:rFonts w:hint="eastAsia"/>
                <w:b w:val="0"/>
                <w:bCs w:val="0"/>
                <w:color w:val="auto"/>
                <w:sz w:val="24"/>
              </w:rPr>
              <w:t>-</w:t>
            </w:r>
            <w:r>
              <w:rPr>
                <w:b w:val="0"/>
                <w:bCs w:val="0"/>
                <w:color w:val="auto"/>
                <w:sz w:val="24"/>
              </w:rPr>
              <w:t>6：00进行产生环境噪声污染的建筑施工作业。</w:t>
            </w:r>
          </w:p>
          <w:p w14:paraId="03FCDF96">
            <w:pPr>
              <w:spacing w:line="360" w:lineRule="auto"/>
              <w:ind w:firstLine="480" w:firstLineChars="200"/>
              <w:rPr>
                <w:b w:val="0"/>
                <w:bCs w:val="0"/>
                <w:color w:val="auto"/>
                <w:sz w:val="24"/>
              </w:rPr>
            </w:pPr>
            <w:r>
              <w:rPr>
                <w:rFonts w:hint="eastAsia" w:ascii="宋体" w:hAnsi="宋体"/>
                <w:b w:val="0"/>
                <w:bCs w:val="0"/>
                <w:color w:val="auto"/>
                <w:sz w:val="24"/>
              </w:rPr>
              <w:t>（3）</w:t>
            </w:r>
            <w:r>
              <w:rPr>
                <w:b w:val="0"/>
                <w:bCs w:val="0"/>
                <w:color w:val="auto"/>
                <w:sz w:val="24"/>
              </w:rPr>
              <w:t>施工中应加强对施工机械的维护保养</w:t>
            </w:r>
            <w:r>
              <w:rPr>
                <w:rFonts w:hint="eastAsia"/>
                <w:b w:val="0"/>
                <w:bCs w:val="0"/>
                <w:color w:val="auto"/>
                <w:sz w:val="24"/>
                <w:lang w:eastAsia="zh-CN"/>
              </w:rPr>
              <w:t>，</w:t>
            </w:r>
            <w:r>
              <w:rPr>
                <w:b w:val="0"/>
                <w:bCs w:val="0"/>
                <w:color w:val="auto"/>
                <w:sz w:val="24"/>
              </w:rPr>
              <w:t>避免</w:t>
            </w:r>
            <w:r>
              <w:rPr>
                <w:rFonts w:hint="eastAsia"/>
                <w:b w:val="0"/>
                <w:bCs w:val="0"/>
                <w:color w:val="auto"/>
                <w:sz w:val="24"/>
              </w:rPr>
              <w:t>因</w:t>
            </w:r>
            <w:r>
              <w:rPr>
                <w:b w:val="0"/>
                <w:bCs w:val="0"/>
                <w:color w:val="auto"/>
                <w:sz w:val="24"/>
              </w:rPr>
              <w:t>设备性能差而增大机械噪声的现象产生</w:t>
            </w:r>
            <w:r>
              <w:rPr>
                <w:rFonts w:hint="eastAsia"/>
                <w:b w:val="0"/>
                <w:bCs w:val="0"/>
                <w:color w:val="auto"/>
                <w:sz w:val="24"/>
              </w:rPr>
              <w:t>；加强对运输车辆的管理</w:t>
            </w:r>
            <w:r>
              <w:rPr>
                <w:rFonts w:hint="eastAsia"/>
                <w:b w:val="0"/>
                <w:bCs w:val="0"/>
                <w:color w:val="auto"/>
                <w:sz w:val="24"/>
                <w:lang w:eastAsia="zh-CN"/>
              </w:rPr>
              <w:t>，</w:t>
            </w:r>
            <w:r>
              <w:rPr>
                <w:b w:val="0"/>
                <w:bCs w:val="0"/>
                <w:color w:val="auto"/>
                <w:sz w:val="24"/>
              </w:rPr>
              <w:t>车辆进入施工现场</w:t>
            </w:r>
            <w:r>
              <w:rPr>
                <w:rFonts w:hint="eastAsia"/>
                <w:b w:val="0"/>
                <w:bCs w:val="0"/>
                <w:color w:val="auto"/>
                <w:sz w:val="24"/>
              </w:rPr>
              <w:t>尽量避免</w:t>
            </w:r>
            <w:r>
              <w:rPr>
                <w:b w:val="0"/>
                <w:bCs w:val="0"/>
                <w:color w:val="auto"/>
                <w:sz w:val="24"/>
              </w:rPr>
              <w:t>鸣笛</w:t>
            </w:r>
            <w:r>
              <w:rPr>
                <w:rFonts w:hint="eastAsia"/>
                <w:b w:val="0"/>
                <w:bCs w:val="0"/>
                <w:color w:val="auto"/>
                <w:sz w:val="24"/>
              </w:rPr>
              <w:t>。</w:t>
            </w:r>
          </w:p>
          <w:p w14:paraId="3E52AC16">
            <w:pPr>
              <w:spacing w:line="360" w:lineRule="auto"/>
              <w:ind w:firstLine="480" w:firstLineChars="200"/>
              <w:rPr>
                <w:rFonts w:ascii="宋体" w:hAnsi="宋体" w:cs="宋体"/>
                <w:b w:val="0"/>
                <w:bCs w:val="0"/>
                <w:color w:val="auto"/>
                <w:spacing w:val="-10"/>
                <w:sz w:val="24"/>
              </w:rPr>
            </w:pPr>
            <w:r>
              <w:rPr>
                <w:rFonts w:hint="eastAsia" w:ascii="宋体" w:hAnsi="宋体"/>
                <w:b w:val="0"/>
                <w:bCs w:val="0"/>
                <w:color w:val="auto"/>
                <w:sz w:val="24"/>
              </w:rPr>
              <w:t>（4）禁止夜间施工</w:t>
            </w:r>
            <w:r>
              <w:rPr>
                <w:rFonts w:hint="eastAsia" w:ascii="宋体" w:hAnsi="宋体"/>
                <w:b w:val="0"/>
                <w:bCs w:val="0"/>
                <w:color w:val="auto"/>
                <w:sz w:val="24"/>
                <w:lang w:eastAsia="zh-CN"/>
              </w:rPr>
              <w:t>，</w:t>
            </w:r>
            <w:r>
              <w:rPr>
                <w:b w:val="0"/>
                <w:bCs w:val="0"/>
                <w:color w:val="auto"/>
                <w:sz w:val="24"/>
              </w:rPr>
              <w:t>如因建筑工程工艺要求或特殊需要必须连续作业而进行夜间施工的</w:t>
            </w:r>
            <w:r>
              <w:rPr>
                <w:rFonts w:hint="eastAsia"/>
                <w:b w:val="0"/>
                <w:bCs w:val="0"/>
                <w:color w:val="auto"/>
                <w:sz w:val="24"/>
                <w:lang w:eastAsia="zh-CN"/>
              </w:rPr>
              <w:t>，</w:t>
            </w:r>
            <w:r>
              <w:rPr>
                <w:b w:val="0"/>
                <w:bCs w:val="0"/>
                <w:color w:val="auto"/>
                <w:sz w:val="24"/>
              </w:rPr>
              <w:t>施工单位必须提前7日持建管部门的证明向当地环境保护主管部门申报施工日期和时间</w:t>
            </w:r>
            <w:r>
              <w:rPr>
                <w:rFonts w:hint="eastAsia"/>
                <w:b w:val="0"/>
                <w:bCs w:val="0"/>
                <w:color w:val="auto"/>
                <w:sz w:val="24"/>
                <w:lang w:eastAsia="zh-CN"/>
              </w:rPr>
              <w:t>，</w:t>
            </w:r>
            <w:r>
              <w:rPr>
                <w:b w:val="0"/>
                <w:bCs w:val="0"/>
                <w:color w:val="auto"/>
                <w:sz w:val="24"/>
              </w:rPr>
              <w:t>并在周围居民点张贴告示</w:t>
            </w:r>
            <w:r>
              <w:rPr>
                <w:rFonts w:hint="eastAsia"/>
                <w:b w:val="0"/>
                <w:bCs w:val="0"/>
                <w:color w:val="auto"/>
                <w:sz w:val="24"/>
                <w:lang w:eastAsia="zh-CN"/>
              </w:rPr>
              <w:t>，</w:t>
            </w:r>
            <w:r>
              <w:rPr>
                <w:b w:val="0"/>
                <w:bCs w:val="0"/>
                <w:color w:val="auto"/>
                <w:sz w:val="24"/>
              </w:rPr>
              <w:t>经环境保护主管部门批准备案后方可进行夜间施工</w:t>
            </w:r>
            <w:r>
              <w:rPr>
                <w:rFonts w:hint="eastAsia"/>
                <w:b w:val="0"/>
                <w:bCs w:val="0"/>
                <w:color w:val="auto"/>
                <w:sz w:val="24"/>
              </w:rPr>
              <w:t>。</w:t>
            </w:r>
          </w:p>
          <w:p w14:paraId="408ABB31">
            <w:pPr>
              <w:spacing w:line="360" w:lineRule="auto"/>
              <w:ind w:firstLine="480" w:firstLineChars="200"/>
              <w:jc w:val="left"/>
              <w:rPr>
                <w:b w:val="0"/>
                <w:bCs w:val="0"/>
                <w:snapToGrid w:val="0"/>
                <w:color w:val="auto"/>
                <w:sz w:val="24"/>
                <w:szCs w:val="24"/>
              </w:rPr>
            </w:pPr>
            <w:r>
              <w:rPr>
                <w:rFonts w:hint="eastAsia"/>
                <w:b w:val="0"/>
                <w:bCs w:val="0"/>
                <w:snapToGrid w:val="0"/>
                <w:color w:val="auto"/>
                <w:sz w:val="24"/>
                <w:szCs w:val="24"/>
              </w:rPr>
              <w:t>4、施工固体废物</w:t>
            </w:r>
          </w:p>
          <w:p w14:paraId="7176918D">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施工期间的固体废物有三种：一是建筑垃圾，二是生活垃圾，三是施工渣土建筑垃圾，主要有遗弃钢筋、废木材、废混凝土、废（碎）砖等。施工结束清场后可以回收或用于填埋。</w:t>
            </w:r>
          </w:p>
          <w:p w14:paraId="20F66B70">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生活垃圾成分主要有菜帮、果皮、遗弃食品、废塑料袋、泡沫塑料等。其中果皮、菜帮、食物残渣等易腐败发臭，将产生氨和硫化氢等恶臭气体，如不及时清运，将污染堆放场的环境和水体，又影响环境卫生。</w:t>
            </w:r>
          </w:p>
          <w:p w14:paraId="6E2667D6">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施工渣土主要为土方开挖过程中多余的土方，因本工程土方开挖量相对较小，施工渣土在本项目自身内平衡。</w:t>
            </w:r>
          </w:p>
          <w:p w14:paraId="2D60F376">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为防止固体废物污染，应采取以下措施：</w:t>
            </w:r>
          </w:p>
          <w:p w14:paraId="105BD988">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（1）现场搅拌砂浆时应按用量进行配料，尽量做到不洒、不漏、不剩、不倒。废弃的钢筋、木材等尽量做到回收循环利用。</w:t>
            </w:r>
          </w:p>
          <w:p w14:paraId="4DEE8DE7">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（2）生活垃圾应集中收集，委托环卫部门处理，以免滋生蚊蝇。</w:t>
            </w:r>
          </w:p>
          <w:p w14:paraId="531FAEA7">
            <w:pPr>
              <w:spacing w:line="360" w:lineRule="auto"/>
              <w:ind w:firstLine="480" w:firstLineChars="200"/>
              <w:rPr>
                <w:rFonts w:ascii="宋体"/>
                <w:color w:val="auto"/>
                <w:sz w:val="24"/>
                <w:szCs w:val="24"/>
              </w:rPr>
            </w:pPr>
            <w:r>
              <w:rPr>
                <w:rFonts w:hint="eastAsia" w:ascii="Times New Roman" w:hAnsi="Times New Roman" w:eastAsia="宋体" w:cs="Times New Roman"/>
                <w:color w:val="auto"/>
                <w:sz w:val="24"/>
              </w:rPr>
              <w:t>（3）项目场地挖掘产生的土方如无法在区域内平衡，应切实按照相关规划外运处理，不造成对自然和环境的影响。</w:t>
            </w:r>
          </w:p>
        </w:tc>
      </w:tr>
    </w:tbl>
    <w:p w14:paraId="168EDD63">
      <w:pPr>
        <w:pStyle w:val="5"/>
        <w:ind w:left="0" w:leftChars="0" w:firstLine="0" w:firstLineChars="0"/>
        <w:rPr>
          <w:color w:val="auto"/>
        </w:rPr>
        <w:sectPr>
          <w:pgSz w:w="11907" w:h="16840"/>
          <w:pgMar w:top="1701" w:right="1531" w:bottom="1134" w:left="1531" w:header="851" w:footer="851" w:gutter="0"/>
          <w:cols w:space="720" w:num="1"/>
          <w:docGrid w:linePitch="312" w:charSpace="0"/>
        </w:sect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8327"/>
      </w:tblGrid>
      <w:tr w14:paraId="7B55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0" w:hRule="atLeast"/>
        </w:trPr>
        <w:tc>
          <w:tcPr>
            <w:tcW w:w="734" w:type="dxa"/>
          </w:tcPr>
          <w:p w14:paraId="1056E205">
            <w:pPr>
              <w:rPr>
                <w:color w:val="auto"/>
                <w:vertAlign w:val="baseline"/>
              </w:rPr>
            </w:pPr>
          </w:p>
        </w:tc>
        <w:tc>
          <w:tcPr>
            <w:tcW w:w="8327" w:type="dxa"/>
          </w:tcPr>
          <w:p w14:paraId="2C8E04DD">
            <w:pPr>
              <w:adjustRightInd w:val="0"/>
              <w:snapToGrid w:val="0"/>
              <w:spacing w:before="240" w:beforeLines="100" w:line="360" w:lineRule="auto"/>
              <w:ind w:firstLine="480" w:firstLineChars="200"/>
              <w:rPr>
                <w:color w:val="auto"/>
                <w:sz w:val="24"/>
                <w:szCs w:val="24"/>
              </w:rPr>
            </w:pPr>
            <w:r>
              <w:rPr>
                <w:rFonts w:hint="eastAsia" w:cs="宋体"/>
                <w:color w:val="auto"/>
                <w:sz w:val="24"/>
                <w:szCs w:val="24"/>
              </w:rPr>
              <w:t>2.2 废气治理措施可行性分析</w:t>
            </w:r>
          </w:p>
          <w:p w14:paraId="4F696C34">
            <w:pPr>
              <w:widowControl/>
              <w:spacing w:line="360" w:lineRule="auto"/>
              <w:ind w:firstLine="480" w:firstLineChars="200"/>
              <w:jc w:val="left"/>
              <w:rPr>
                <w:rStyle w:val="84"/>
                <w:rFonts w:hint="eastAsia" w:cs="宋体"/>
                <w:b w:val="0"/>
                <w:bCs w:val="0"/>
                <w:color w:val="auto"/>
              </w:rPr>
            </w:pPr>
            <w:r>
              <w:rPr>
                <w:rStyle w:val="84"/>
                <w:rFonts w:hint="eastAsia" w:cs="宋体"/>
                <w:b w:val="0"/>
                <w:bCs w:val="0"/>
                <w:color w:val="auto"/>
              </w:rPr>
              <w:t>参照《排污许可证申请与核发技术 陶瓷砖瓦工业》（HJ954-2018）中“废气污染防治可行性技术”，可知本项目的原料堆放、隧道窑焙烧、输送、上料、破碎、筛分等工序的治理技术与其显示的治理技术基本一致，表明处理技术可行。</w:t>
            </w:r>
          </w:p>
          <w:p w14:paraId="22DB6F36">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cs="Times New Roman"/>
                <w:color w:val="auto"/>
                <w:kern w:val="24"/>
                <w:sz w:val="24"/>
                <w:highlight w:val="none"/>
                <w:lang w:val="en-US" w:eastAsia="zh-CN"/>
              </w:rPr>
            </w:pPr>
            <w:r>
              <w:rPr>
                <w:rFonts w:hint="eastAsia" w:ascii="Times New Roman" w:hAnsi="Times New Roman" w:eastAsia="宋体" w:cs="Times New Roman"/>
                <w:b/>
                <w:color w:val="auto"/>
                <w:kern w:val="0"/>
                <w:lang w:val="en-US" w:eastAsia="zh-CN"/>
              </w:rPr>
              <w:t>表4-7 污染防治可行技术对比分析</w:t>
            </w:r>
          </w:p>
          <w:tbl>
            <w:tblPr>
              <w:tblStyle w:val="37"/>
              <w:tblW w:w="81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9"/>
              <w:gridCol w:w="797"/>
              <w:gridCol w:w="797"/>
              <w:gridCol w:w="994"/>
              <w:gridCol w:w="854"/>
              <w:gridCol w:w="1738"/>
              <w:gridCol w:w="1656"/>
              <w:gridCol w:w="601"/>
            </w:tblGrid>
            <w:tr w14:paraId="5A534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759" w:type="dxa"/>
                  <w:vAlign w:val="center"/>
                </w:tcPr>
                <w:p w14:paraId="216E998D">
                  <w:pPr>
                    <w:keepNext w:val="0"/>
                    <w:keepLines w:val="0"/>
                    <w:pageBreakBefore w:val="0"/>
                    <w:widowControl w:val="0"/>
                    <w:kinsoku/>
                    <w:wordWrap/>
                    <w:overflowPunct/>
                    <w:topLinePunct w:val="0"/>
                    <w:autoSpaceDE/>
                    <w:autoSpaceDN/>
                    <w:bidi w:val="0"/>
                    <w:adjustRightInd/>
                    <w:snapToGrid w:val="0"/>
                    <w:jc w:val="center"/>
                    <w:textAlignment w:val="auto"/>
                    <w:rPr>
                      <w:rFonts w:hint="default"/>
                      <w:color w:val="auto"/>
                      <w:highlight w:val="none"/>
                      <w:lang w:val="en-US" w:eastAsia="zh-CN"/>
                    </w:rPr>
                  </w:pPr>
                  <w:r>
                    <w:rPr>
                      <w:rFonts w:hint="default"/>
                      <w:color w:val="auto"/>
                      <w:highlight w:val="none"/>
                      <w:lang w:val="en-US" w:eastAsia="zh-CN"/>
                    </w:rPr>
                    <w:t>排污单位类别</w:t>
                  </w:r>
                </w:p>
              </w:tc>
              <w:tc>
                <w:tcPr>
                  <w:tcW w:w="797" w:type="dxa"/>
                  <w:vAlign w:val="center"/>
                </w:tcPr>
                <w:p w14:paraId="0C2B9F3C">
                  <w:pPr>
                    <w:keepNext w:val="0"/>
                    <w:keepLines w:val="0"/>
                    <w:pageBreakBefore w:val="0"/>
                    <w:widowControl w:val="0"/>
                    <w:kinsoku/>
                    <w:wordWrap/>
                    <w:overflowPunct/>
                    <w:topLinePunct w:val="0"/>
                    <w:autoSpaceDE/>
                    <w:autoSpaceDN/>
                    <w:bidi w:val="0"/>
                    <w:adjustRightInd/>
                    <w:snapToGrid w:val="0"/>
                    <w:jc w:val="center"/>
                    <w:textAlignment w:val="auto"/>
                    <w:rPr>
                      <w:rFonts w:hint="default"/>
                      <w:color w:val="auto"/>
                      <w:highlight w:val="none"/>
                      <w:lang w:val="en-US" w:eastAsia="zh-CN"/>
                    </w:rPr>
                  </w:pPr>
                  <w:r>
                    <w:rPr>
                      <w:rFonts w:hint="eastAsia"/>
                      <w:color w:val="auto"/>
                      <w:highlight w:val="none"/>
                      <w:lang w:val="en-US" w:eastAsia="zh-CN"/>
                    </w:rPr>
                    <w:t>废气</w:t>
                  </w:r>
                  <w:r>
                    <w:rPr>
                      <w:rFonts w:hint="eastAsia"/>
                      <w:color w:val="auto"/>
                      <w:highlight w:val="none"/>
                      <w:lang w:val="en-US" w:eastAsia="zh-CN"/>
                    </w:rPr>
                    <w:br w:type="textWrapping"/>
                  </w:r>
                  <w:r>
                    <w:rPr>
                      <w:rFonts w:hint="eastAsia"/>
                      <w:color w:val="auto"/>
                      <w:highlight w:val="none"/>
                      <w:lang w:val="en-US" w:eastAsia="zh-CN"/>
                    </w:rPr>
                    <w:t>类别</w:t>
                  </w:r>
                </w:p>
              </w:tc>
              <w:tc>
                <w:tcPr>
                  <w:tcW w:w="797" w:type="dxa"/>
                  <w:vAlign w:val="center"/>
                </w:tcPr>
                <w:p w14:paraId="38D19162">
                  <w:pPr>
                    <w:keepNext w:val="0"/>
                    <w:keepLines w:val="0"/>
                    <w:pageBreakBefore w:val="0"/>
                    <w:widowControl w:val="0"/>
                    <w:kinsoku/>
                    <w:wordWrap/>
                    <w:overflowPunct/>
                    <w:topLinePunct w:val="0"/>
                    <w:autoSpaceDE/>
                    <w:autoSpaceDN/>
                    <w:bidi w:val="0"/>
                    <w:adjustRightInd/>
                    <w:snapToGrid w:val="0"/>
                    <w:jc w:val="center"/>
                    <w:textAlignment w:val="auto"/>
                    <w:rPr>
                      <w:rFonts w:hint="default"/>
                      <w:color w:val="auto"/>
                      <w:highlight w:val="none"/>
                      <w:lang w:val="en-US" w:eastAsia="zh-CN"/>
                    </w:rPr>
                  </w:pPr>
                  <w:r>
                    <w:rPr>
                      <w:rFonts w:hint="eastAsia"/>
                      <w:color w:val="auto"/>
                      <w:highlight w:val="none"/>
                      <w:lang w:val="en-US" w:eastAsia="zh-CN"/>
                    </w:rPr>
                    <w:t>生产</w:t>
                  </w:r>
                  <w:r>
                    <w:rPr>
                      <w:rFonts w:hint="eastAsia"/>
                      <w:color w:val="auto"/>
                      <w:highlight w:val="none"/>
                      <w:lang w:val="en-US" w:eastAsia="zh-CN"/>
                    </w:rPr>
                    <w:br w:type="textWrapping"/>
                  </w:r>
                  <w:r>
                    <w:rPr>
                      <w:rFonts w:hint="eastAsia"/>
                      <w:color w:val="auto"/>
                      <w:highlight w:val="none"/>
                      <w:lang w:val="en-US" w:eastAsia="zh-CN"/>
                    </w:rPr>
                    <w:t>单元</w:t>
                  </w:r>
                </w:p>
              </w:tc>
              <w:tc>
                <w:tcPr>
                  <w:tcW w:w="994" w:type="dxa"/>
                  <w:vAlign w:val="center"/>
                </w:tcPr>
                <w:p w14:paraId="103CFCE6">
                  <w:pPr>
                    <w:keepNext w:val="0"/>
                    <w:keepLines w:val="0"/>
                    <w:pageBreakBefore w:val="0"/>
                    <w:widowControl w:val="0"/>
                    <w:kinsoku/>
                    <w:wordWrap/>
                    <w:overflowPunct/>
                    <w:topLinePunct w:val="0"/>
                    <w:autoSpaceDE/>
                    <w:autoSpaceDN/>
                    <w:bidi w:val="0"/>
                    <w:adjustRightInd/>
                    <w:snapToGrid w:val="0"/>
                    <w:jc w:val="center"/>
                    <w:textAlignment w:val="auto"/>
                    <w:rPr>
                      <w:rFonts w:hint="eastAsia"/>
                      <w:color w:val="auto"/>
                      <w:highlight w:val="none"/>
                      <w:lang w:val="en-US" w:eastAsia="zh-CN"/>
                    </w:rPr>
                  </w:pPr>
                  <w:r>
                    <w:rPr>
                      <w:rFonts w:hint="eastAsia"/>
                      <w:color w:val="auto"/>
                      <w:highlight w:val="none"/>
                      <w:lang w:val="en-US" w:eastAsia="zh-CN"/>
                    </w:rPr>
                    <w:t>废气产污</w:t>
                  </w:r>
                </w:p>
                <w:p w14:paraId="6FAD77CD">
                  <w:pPr>
                    <w:keepNext w:val="0"/>
                    <w:keepLines w:val="0"/>
                    <w:pageBreakBefore w:val="0"/>
                    <w:widowControl w:val="0"/>
                    <w:kinsoku/>
                    <w:wordWrap/>
                    <w:overflowPunct/>
                    <w:topLinePunct w:val="0"/>
                    <w:autoSpaceDE/>
                    <w:autoSpaceDN/>
                    <w:bidi w:val="0"/>
                    <w:adjustRightInd/>
                    <w:snapToGrid w:val="0"/>
                    <w:jc w:val="center"/>
                    <w:textAlignment w:val="auto"/>
                    <w:rPr>
                      <w:rFonts w:hint="eastAsia"/>
                      <w:color w:val="auto"/>
                      <w:highlight w:val="none"/>
                      <w:lang w:val="en-US" w:eastAsia="zh-CN"/>
                    </w:rPr>
                  </w:pPr>
                  <w:r>
                    <w:rPr>
                      <w:rFonts w:hint="eastAsia"/>
                      <w:color w:val="auto"/>
                      <w:highlight w:val="none"/>
                      <w:lang w:val="en-US" w:eastAsia="zh-CN"/>
                    </w:rPr>
                    <w:t>环节</w:t>
                  </w:r>
                </w:p>
              </w:tc>
              <w:tc>
                <w:tcPr>
                  <w:tcW w:w="2592" w:type="dxa"/>
                  <w:gridSpan w:val="2"/>
                  <w:vAlign w:val="center"/>
                </w:tcPr>
                <w:p w14:paraId="6EA76D83">
                  <w:pPr>
                    <w:keepNext w:val="0"/>
                    <w:keepLines w:val="0"/>
                    <w:pageBreakBefore w:val="0"/>
                    <w:widowControl w:val="0"/>
                    <w:kinsoku/>
                    <w:wordWrap/>
                    <w:overflowPunct/>
                    <w:topLinePunct w:val="0"/>
                    <w:autoSpaceDE/>
                    <w:autoSpaceDN/>
                    <w:bidi w:val="0"/>
                    <w:adjustRightInd/>
                    <w:snapToGrid w:val="0"/>
                    <w:jc w:val="center"/>
                    <w:textAlignment w:val="auto"/>
                    <w:rPr>
                      <w:rFonts w:hint="default"/>
                      <w:color w:val="auto"/>
                      <w:highlight w:val="none"/>
                      <w:lang w:val="en-US" w:eastAsia="zh-CN"/>
                    </w:rPr>
                  </w:pPr>
                  <w:r>
                    <w:rPr>
                      <w:rFonts w:hint="eastAsia"/>
                      <w:color w:val="auto"/>
                      <w:highlight w:val="none"/>
                      <w:lang w:val="en-US" w:eastAsia="zh-CN"/>
                    </w:rPr>
                    <w:t>可行技术</w:t>
                  </w:r>
                </w:p>
              </w:tc>
              <w:tc>
                <w:tcPr>
                  <w:tcW w:w="1656" w:type="dxa"/>
                  <w:vAlign w:val="center"/>
                </w:tcPr>
                <w:p w14:paraId="36FD22FD">
                  <w:pPr>
                    <w:keepNext w:val="0"/>
                    <w:keepLines w:val="0"/>
                    <w:pageBreakBefore w:val="0"/>
                    <w:widowControl w:val="0"/>
                    <w:kinsoku/>
                    <w:wordWrap/>
                    <w:overflowPunct/>
                    <w:topLinePunct w:val="0"/>
                    <w:autoSpaceDE/>
                    <w:autoSpaceDN/>
                    <w:bidi w:val="0"/>
                    <w:adjustRightInd/>
                    <w:snapToGrid w:val="0"/>
                    <w:jc w:val="center"/>
                    <w:textAlignment w:val="auto"/>
                    <w:rPr>
                      <w:rFonts w:hint="default"/>
                      <w:color w:val="auto"/>
                      <w:highlight w:val="none"/>
                      <w:lang w:val="en-US" w:eastAsia="zh-CN"/>
                    </w:rPr>
                  </w:pPr>
                  <w:r>
                    <w:rPr>
                      <w:rFonts w:hint="default"/>
                      <w:color w:val="auto"/>
                      <w:highlight w:val="none"/>
                      <w:lang w:val="en-US" w:eastAsia="zh-CN"/>
                    </w:rPr>
                    <w:t>本项目</w:t>
                  </w:r>
                  <w:r>
                    <w:rPr>
                      <w:rFonts w:hint="eastAsia"/>
                      <w:color w:val="auto"/>
                      <w:highlight w:val="none"/>
                      <w:lang w:val="en-US" w:eastAsia="zh-CN"/>
                    </w:rPr>
                    <w:t>内容</w:t>
                  </w:r>
                </w:p>
              </w:tc>
              <w:tc>
                <w:tcPr>
                  <w:tcW w:w="601" w:type="dxa"/>
                  <w:vAlign w:val="center"/>
                </w:tcPr>
                <w:p w14:paraId="261746A1">
                  <w:pPr>
                    <w:keepNext w:val="0"/>
                    <w:keepLines w:val="0"/>
                    <w:pageBreakBefore w:val="0"/>
                    <w:widowControl w:val="0"/>
                    <w:kinsoku/>
                    <w:wordWrap/>
                    <w:overflowPunct/>
                    <w:topLinePunct w:val="0"/>
                    <w:autoSpaceDE/>
                    <w:autoSpaceDN/>
                    <w:bidi w:val="0"/>
                    <w:adjustRightInd/>
                    <w:snapToGrid w:val="0"/>
                    <w:jc w:val="center"/>
                    <w:textAlignment w:val="auto"/>
                    <w:rPr>
                      <w:rFonts w:hint="default"/>
                      <w:color w:val="auto"/>
                      <w:highlight w:val="none"/>
                      <w:lang w:val="en-US" w:eastAsia="zh-CN"/>
                    </w:rPr>
                  </w:pPr>
                  <w:r>
                    <w:rPr>
                      <w:rFonts w:hint="eastAsia"/>
                      <w:color w:val="auto"/>
                      <w:highlight w:val="none"/>
                      <w:lang w:val="en-US" w:eastAsia="zh-CN"/>
                    </w:rPr>
                    <w:t>是否</w:t>
                  </w:r>
                  <w:r>
                    <w:rPr>
                      <w:rFonts w:hint="eastAsia"/>
                      <w:color w:val="auto"/>
                      <w:highlight w:val="none"/>
                      <w:lang w:val="en-US" w:eastAsia="zh-CN"/>
                    </w:rPr>
                    <w:br w:type="textWrapping"/>
                  </w:r>
                  <w:r>
                    <w:rPr>
                      <w:rFonts w:hint="eastAsia"/>
                      <w:color w:val="auto"/>
                      <w:highlight w:val="none"/>
                      <w:lang w:val="en-US" w:eastAsia="zh-CN"/>
                    </w:rPr>
                    <w:t>可行</w:t>
                  </w:r>
                </w:p>
              </w:tc>
            </w:tr>
            <w:tr w14:paraId="42161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759" w:type="dxa"/>
                  <w:vMerge w:val="restart"/>
                  <w:vAlign w:val="center"/>
                </w:tcPr>
                <w:p w14:paraId="331B03AD">
                  <w:pPr>
                    <w:keepNext w:val="0"/>
                    <w:keepLines w:val="0"/>
                    <w:pageBreakBefore w:val="0"/>
                    <w:widowControl w:val="0"/>
                    <w:kinsoku/>
                    <w:wordWrap/>
                    <w:overflowPunct/>
                    <w:topLinePunct w:val="0"/>
                    <w:autoSpaceDE/>
                    <w:autoSpaceDN/>
                    <w:bidi w:val="0"/>
                    <w:adjustRightInd/>
                    <w:snapToGrid w:val="0"/>
                    <w:jc w:val="center"/>
                    <w:textAlignment w:val="auto"/>
                    <w:rPr>
                      <w:rFonts w:hint="default"/>
                      <w:color w:val="auto"/>
                      <w:highlight w:val="none"/>
                      <w:lang w:val="en-US" w:eastAsia="zh-CN"/>
                    </w:rPr>
                  </w:pPr>
                  <w:r>
                    <w:rPr>
                      <w:rFonts w:hint="eastAsia" w:ascii="Times New Roman" w:hAnsi="Times New Roman" w:eastAsia="宋体" w:cs="Times New Roman"/>
                      <w:color w:val="auto"/>
                      <w:highlight w:val="none"/>
                      <w:lang w:val="en-US" w:eastAsia="zh-CN"/>
                    </w:rPr>
                    <w:t>陶瓷砖瓦工业</w:t>
                  </w:r>
                </w:p>
              </w:tc>
              <w:tc>
                <w:tcPr>
                  <w:tcW w:w="797" w:type="dxa"/>
                  <w:vMerge w:val="restart"/>
                  <w:vAlign w:val="center"/>
                </w:tcPr>
                <w:p w14:paraId="4BE0D744">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无组织</w:t>
                  </w:r>
                </w:p>
              </w:tc>
              <w:tc>
                <w:tcPr>
                  <w:tcW w:w="797" w:type="dxa"/>
                  <w:vAlign w:val="center"/>
                </w:tcPr>
                <w:p w14:paraId="43DF46EE">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r>
                    <w:rPr>
                      <w:rFonts w:hint="eastAsia"/>
                      <w:color w:val="auto"/>
                      <w:highlight w:val="none"/>
                      <w:lang w:val="en-US" w:eastAsia="zh-CN"/>
                    </w:rPr>
                    <w:t>原辅料制备</w:t>
                  </w:r>
                </w:p>
              </w:tc>
              <w:tc>
                <w:tcPr>
                  <w:tcW w:w="994" w:type="dxa"/>
                  <w:vAlign w:val="center"/>
                </w:tcPr>
                <w:p w14:paraId="1DFDC2F2">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r>
                    <w:rPr>
                      <w:rFonts w:hint="eastAsia"/>
                      <w:color w:val="auto"/>
                      <w:highlight w:val="none"/>
                      <w:lang w:val="en-US" w:eastAsia="zh-CN"/>
                    </w:rPr>
                    <w:t>原料堆放</w:t>
                  </w:r>
                </w:p>
              </w:tc>
              <w:tc>
                <w:tcPr>
                  <w:tcW w:w="2592" w:type="dxa"/>
                  <w:gridSpan w:val="2"/>
                  <w:vAlign w:val="center"/>
                </w:tcPr>
                <w:p w14:paraId="47392367">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r>
                    <w:rPr>
                      <w:rFonts w:hint="default"/>
                      <w:color w:val="auto"/>
                      <w:highlight w:val="none"/>
                      <w:lang w:val="en-US" w:eastAsia="zh-CN"/>
                    </w:rPr>
                    <w:t>原料均化应在封闭、半封闭料场（仓、库、棚）中进行。</w:t>
                  </w:r>
                </w:p>
              </w:tc>
              <w:tc>
                <w:tcPr>
                  <w:tcW w:w="1656" w:type="dxa"/>
                  <w:vAlign w:val="center"/>
                </w:tcPr>
                <w:p w14:paraId="4F81A715">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r>
                    <w:rPr>
                      <w:rFonts w:hint="eastAsia"/>
                      <w:color w:val="auto"/>
                      <w:highlight w:val="none"/>
                      <w:lang w:val="en-US" w:eastAsia="zh-CN"/>
                    </w:rPr>
                    <w:t>原料储存在物料库内，物料库为全封闭状态</w:t>
                  </w:r>
                </w:p>
              </w:tc>
              <w:tc>
                <w:tcPr>
                  <w:tcW w:w="601" w:type="dxa"/>
                  <w:vAlign w:val="center"/>
                </w:tcPr>
                <w:p w14:paraId="7E3809A6">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color w:val="auto"/>
                      <w:highlight w:val="none"/>
                      <w:lang w:val="en-US" w:eastAsia="zh-CN"/>
                    </w:rPr>
                    <w:t>可行</w:t>
                  </w:r>
                </w:p>
              </w:tc>
            </w:tr>
            <w:tr w14:paraId="3F817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jc w:val="center"/>
              </w:trPr>
              <w:tc>
                <w:tcPr>
                  <w:tcW w:w="759" w:type="dxa"/>
                  <w:vMerge w:val="continue"/>
                  <w:vAlign w:val="center"/>
                </w:tcPr>
                <w:p w14:paraId="11BCC86D">
                  <w:pPr>
                    <w:keepNext w:val="0"/>
                    <w:keepLines w:val="0"/>
                    <w:pageBreakBefore w:val="0"/>
                    <w:widowControl w:val="0"/>
                    <w:kinsoku/>
                    <w:wordWrap/>
                    <w:overflowPunct/>
                    <w:topLinePunct w:val="0"/>
                    <w:autoSpaceDE/>
                    <w:autoSpaceDN/>
                    <w:bidi w:val="0"/>
                    <w:adjustRightInd/>
                    <w:snapToGrid w:val="0"/>
                    <w:jc w:val="center"/>
                    <w:textAlignment w:val="auto"/>
                    <w:rPr>
                      <w:rFonts w:hint="default"/>
                      <w:color w:val="auto"/>
                      <w:highlight w:val="none"/>
                      <w:lang w:val="en-US" w:eastAsia="zh-CN"/>
                    </w:rPr>
                  </w:pPr>
                </w:p>
              </w:tc>
              <w:tc>
                <w:tcPr>
                  <w:tcW w:w="797" w:type="dxa"/>
                  <w:vMerge w:val="continue"/>
                  <w:vAlign w:val="center"/>
                </w:tcPr>
                <w:p w14:paraId="11D4B6B2">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p>
              </w:tc>
              <w:tc>
                <w:tcPr>
                  <w:tcW w:w="797" w:type="dxa"/>
                  <w:vMerge w:val="restart"/>
                  <w:vAlign w:val="center"/>
                </w:tcPr>
                <w:p w14:paraId="20C73FC9">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color w:val="auto"/>
                      <w:highlight w:val="none"/>
                      <w:lang w:val="en-US" w:eastAsia="zh-CN"/>
                    </w:rPr>
                    <w:t>其他要求</w:t>
                  </w:r>
                </w:p>
              </w:tc>
              <w:tc>
                <w:tcPr>
                  <w:tcW w:w="994" w:type="dxa"/>
                  <w:vMerge w:val="restart"/>
                  <w:vAlign w:val="center"/>
                </w:tcPr>
                <w:p w14:paraId="66FF26CB">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r>
                    <w:rPr>
                      <w:rFonts w:hint="eastAsia"/>
                      <w:color w:val="auto"/>
                      <w:highlight w:val="none"/>
                      <w:lang w:val="en-US" w:eastAsia="zh-CN"/>
                    </w:rPr>
                    <w:t>/</w:t>
                  </w:r>
                </w:p>
              </w:tc>
              <w:tc>
                <w:tcPr>
                  <w:tcW w:w="2592" w:type="dxa"/>
                  <w:gridSpan w:val="2"/>
                  <w:vAlign w:val="center"/>
                </w:tcPr>
                <w:p w14:paraId="058CEE52">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lang w:val="en-US" w:eastAsia="zh-CN"/>
                    </w:rPr>
                  </w:pPr>
                  <w:r>
                    <w:rPr>
                      <w:rFonts w:hint="eastAsia"/>
                      <w:color w:val="auto"/>
                      <w:lang w:val="en-US" w:eastAsia="zh-CN"/>
                    </w:rPr>
                    <w:t>（1）厂区道路应硬化，道路采取清扫、洒水等措施，保持清洁</w:t>
                  </w:r>
                </w:p>
              </w:tc>
              <w:tc>
                <w:tcPr>
                  <w:tcW w:w="1656" w:type="dxa"/>
                  <w:vAlign w:val="center"/>
                </w:tcPr>
                <w:p w14:paraId="50A4005E">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color w:val="auto"/>
                      <w:highlight w:val="none"/>
                      <w:lang w:val="en-US" w:eastAsia="zh-CN"/>
                    </w:rPr>
                    <w:t>道</w:t>
                  </w:r>
                  <w:r>
                    <w:rPr>
                      <w:rFonts w:hint="eastAsia"/>
                      <w:color w:val="auto"/>
                      <w:lang w:val="en-US" w:eastAsia="zh-CN"/>
                    </w:rPr>
                    <w:t>路进行硬化，清扫、</w:t>
                  </w:r>
                  <w:r>
                    <w:rPr>
                      <w:rFonts w:hint="eastAsia"/>
                      <w:color w:val="auto"/>
                      <w:highlight w:val="none"/>
                      <w:lang w:val="en-US" w:eastAsia="zh-CN"/>
                    </w:rPr>
                    <w:t>定期进行洒水抑尘</w:t>
                  </w:r>
                </w:p>
              </w:tc>
              <w:tc>
                <w:tcPr>
                  <w:tcW w:w="601" w:type="dxa"/>
                  <w:vMerge w:val="restart"/>
                  <w:vAlign w:val="center"/>
                </w:tcPr>
                <w:p w14:paraId="68A635F7">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color w:val="auto"/>
                      <w:highlight w:val="none"/>
                      <w:lang w:val="en-US" w:eastAsia="zh-CN"/>
                    </w:rPr>
                    <w:t>可行</w:t>
                  </w:r>
                </w:p>
              </w:tc>
            </w:tr>
            <w:tr w14:paraId="69CAC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jc w:val="center"/>
              </w:trPr>
              <w:tc>
                <w:tcPr>
                  <w:tcW w:w="759" w:type="dxa"/>
                  <w:vMerge w:val="continue"/>
                  <w:vAlign w:val="center"/>
                </w:tcPr>
                <w:p w14:paraId="1CD2E260">
                  <w:pPr>
                    <w:keepNext w:val="0"/>
                    <w:keepLines w:val="0"/>
                    <w:pageBreakBefore w:val="0"/>
                    <w:widowControl w:val="0"/>
                    <w:kinsoku/>
                    <w:wordWrap/>
                    <w:overflowPunct/>
                    <w:topLinePunct w:val="0"/>
                    <w:autoSpaceDE/>
                    <w:autoSpaceDN/>
                    <w:bidi w:val="0"/>
                    <w:adjustRightInd/>
                    <w:snapToGrid w:val="0"/>
                    <w:jc w:val="center"/>
                    <w:textAlignment w:val="auto"/>
                    <w:rPr>
                      <w:color w:val="auto"/>
                    </w:rPr>
                  </w:pPr>
                </w:p>
              </w:tc>
              <w:tc>
                <w:tcPr>
                  <w:tcW w:w="797" w:type="dxa"/>
                  <w:vMerge w:val="continue"/>
                  <w:vAlign w:val="center"/>
                </w:tcPr>
                <w:p w14:paraId="7B97060A">
                  <w:pPr>
                    <w:keepNext w:val="0"/>
                    <w:keepLines w:val="0"/>
                    <w:pageBreakBefore w:val="0"/>
                    <w:widowControl w:val="0"/>
                    <w:kinsoku/>
                    <w:wordWrap/>
                    <w:overflowPunct/>
                    <w:topLinePunct w:val="0"/>
                    <w:autoSpaceDE/>
                    <w:autoSpaceDN/>
                    <w:bidi w:val="0"/>
                    <w:adjustRightInd/>
                    <w:snapToGrid/>
                    <w:jc w:val="center"/>
                    <w:textAlignment w:val="auto"/>
                    <w:rPr>
                      <w:color w:val="auto"/>
                    </w:rPr>
                  </w:pPr>
                </w:p>
              </w:tc>
              <w:tc>
                <w:tcPr>
                  <w:tcW w:w="797" w:type="dxa"/>
                  <w:vMerge w:val="continue"/>
                  <w:vAlign w:val="center"/>
                </w:tcPr>
                <w:p w14:paraId="41156ABF">
                  <w:pPr>
                    <w:keepNext w:val="0"/>
                    <w:keepLines w:val="0"/>
                    <w:pageBreakBefore w:val="0"/>
                    <w:widowControl w:val="0"/>
                    <w:kinsoku/>
                    <w:wordWrap/>
                    <w:overflowPunct/>
                    <w:topLinePunct w:val="0"/>
                    <w:autoSpaceDE/>
                    <w:autoSpaceDN/>
                    <w:bidi w:val="0"/>
                    <w:adjustRightInd/>
                    <w:snapToGrid/>
                    <w:jc w:val="center"/>
                    <w:textAlignment w:val="auto"/>
                    <w:rPr>
                      <w:color w:val="auto"/>
                    </w:rPr>
                  </w:pPr>
                </w:p>
              </w:tc>
              <w:tc>
                <w:tcPr>
                  <w:tcW w:w="994" w:type="dxa"/>
                  <w:vMerge w:val="continue"/>
                  <w:vAlign w:val="center"/>
                </w:tcPr>
                <w:p w14:paraId="378FAF0D">
                  <w:pPr>
                    <w:keepNext w:val="0"/>
                    <w:keepLines w:val="0"/>
                    <w:pageBreakBefore w:val="0"/>
                    <w:widowControl w:val="0"/>
                    <w:kinsoku/>
                    <w:wordWrap/>
                    <w:overflowPunct/>
                    <w:topLinePunct w:val="0"/>
                    <w:autoSpaceDE/>
                    <w:autoSpaceDN/>
                    <w:bidi w:val="0"/>
                    <w:adjustRightInd/>
                    <w:snapToGrid/>
                    <w:jc w:val="center"/>
                    <w:textAlignment w:val="auto"/>
                    <w:rPr>
                      <w:color w:val="auto"/>
                    </w:rPr>
                  </w:pPr>
                </w:p>
              </w:tc>
              <w:tc>
                <w:tcPr>
                  <w:tcW w:w="2592" w:type="dxa"/>
                  <w:gridSpan w:val="2"/>
                  <w:vAlign w:val="center"/>
                </w:tcPr>
                <w:p w14:paraId="54438AC3">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lang w:val="en-US" w:eastAsia="zh-CN"/>
                    </w:rPr>
                  </w:pPr>
                  <w:r>
                    <w:rPr>
                      <w:rFonts w:hint="eastAsia"/>
                      <w:color w:val="auto"/>
                      <w:lang w:val="en-US" w:eastAsia="zh-CN"/>
                    </w:rPr>
                    <w:t>（2）厂区应设置车轮冲洗设施，或采取其他有效控制措施</w:t>
                  </w:r>
                </w:p>
              </w:tc>
              <w:tc>
                <w:tcPr>
                  <w:tcW w:w="1656" w:type="dxa"/>
                  <w:vAlign w:val="center"/>
                </w:tcPr>
                <w:p w14:paraId="3FC89547">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r>
                    <w:rPr>
                      <w:rFonts w:hint="eastAsia"/>
                      <w:color w:val="auto"/>
                      <w:lang w:val="en-US" w:eastAsia="zh-CN"/>
                    </w:rPr>
                    <w:t>设置1套车辆冲洗平台</w:t>
                  </w:r>
                </w:p>
              </w:tc>
              <w:tc>
                <w:tcPr>
                  <w:tcW w:w="601" w:type="dxa"/>
                  <w:vMerge w:val="continue"/>
                  <w:vAlign w:val="center"/>
                </w:tcPr>
                <w:p w14:paraId="3F3A06ED">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lang w:val="en-US" w:eastAsia="zh-CN"/>
                    </w:rPr>
                  </w:pPr>
                </w:p>
              </w:tc>
            </w:tr>
            <w:tr w14:paraId="554CA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jc w:val="center"/>
              </w:trPr>
              <w:tc>
                <w:tcPr>
                  <w:tcW w:w="759" w:type="dxa"/>
                  <w:vMerge w:val="continue"/>
                  <w:vAlign w:val="center"/>
                </w:tcPr>
                <w:p w14:paraId="486A88B8">
                  <w:pPr>
                    <w:keepNext w:val="0"/>
                    <w:keepLines w:val="0"/>
                    <w:pageBreakBefore w:val="0"/>
                    <w:widowControl w:val="0"/>
                    <w:kinsoku/>
                    <w:wordWrap/>
                    <w:overflowPunct/>
                    <w:topLinePunct w:val="0"/>
                    <w:autoSpaceDE/>
                    <w:autoSpaceDN/>
                    <w:bidi w:val="0"/>
                    <w:adjustRightInd/>
                    <w:snapToGrid w:val="0"/>
                    <w:jc w:val="center"/>
                    <w:textAlignment w:val="auto"/>
                    <w:rPr>
                      <w:rFonts w:hint="default"/>
                      <w:color w:val="auto"/>
                      <w:highlight w:val="none"/>
                      <w:lang w:val="en-US" w:eastAsia="zh-CN"/>
                    </w:rPr>
                  </w:pPr>
                </w:p>
              </w:tc>
              <w:tc>
                <w:tcPr>
                  <w:tcW w:w="797" w:type="dxa"/>
                  <w:vMerge w:val="restart"/>
                  <w:vAlign w:val="center"/>
                </w:tcPr>
                <w:p w14:paraId="7824834C">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r>
                    <w:rPr>
                      <w:rFonts w:hint="eastAsia"/>
                      <w:color w:val="auto"/>
                      <w:highlight w:val="none"/>
                      <w:lang w:val="en-US" w:eastAsia="zh-CN"/>
                    </w:rPr>
                    <w:t>有组织</w:t>
                  </w:r>
                </w:p>
              </w:tc>
              <w:tc>
                <w:tcPr>
                  <w:tcW w:w="797" w:type="dxa"/>
                  <w:vMerge w:val="restart"/>
                  <w:vAlign w:val="center"/>
                </w:tcPr>
                <w:p w14:paraId="4DC8BAB3">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color w:val="auto"/>
                      <w:highlight w:val="none"/>
                      <w:lang w:val="en-US" w:eastAsia="zh-CN"/>
                    </w:rPr>
                    <w:t>窑烟囱</w:t>
                  </w:r>
                </w:p>
              </w:tc>
              <w:tc>
                <w:tcPr>
                  <w:tcW w:w="994" w:type="dxa"/>
                  <w:vMerge w:val="restart"/>
                  <w:vAlign w:val="center"/>
                </w:tcPr>
                <w:p w14:paraId="4FCA27DE">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ascii="Times New Roman" w:hAnsi="Times New Roman" w:eastAsia="宋体" w:cs="Times New Roman"/>
                      <w:color w:val="auto"/>
                      <w:lang w:val="en-US" w:eastAsia="zh-CN"/>
                    </w:rPr>
                    <w:t>隧道窑焙烧</w:t>
                  </w:r>
                </w:p>
              </w:tc>
              <w:tc>
                <w:tcPr>
                  <w:tcW w:w="854" w:type="dxa"/>
                  <w:vAlign w:val="center"/>
                </w:tcPr>
                <w:p w14:paraId="16CD38AF">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r>
                    <w:rPr>
                      <w:rFonts w:hint="eastAsia"/>
                      <w:color w:val="auto"/>
                      <w:highlight w:val="none"/>
                      <w:lang w:val="en-US" w:eastAsia="zh-CN"/>
                    </w:rPr>
                    <w:t>污染物</w:t>
                  </w:r>
                </w:p>
              </w:tc>
              <w:tc>
                <w:tcPr>
                  <w:tcW w:w="1738" w:type="dxa"/>
                  <w:vAlign w:val="center"/>
                </w:tcPr>
                <w:p w14:paraId="30E5BC15">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r>
                    <w:rPr>
                      <w:rFonts w:hint="eastAsia"/>
                      <w:color w:val="auto"/>
                      <w:highlight w:val="none"/>
                      <w:lang w:val="en-US" w:eastAsia="zh-CN"/>
                    </w:rPr>
                    <w:t>可行技术</w:t>
                  </w:r>
                </w:p>
              </w:tc>
              <w:tc>
                <w:tcPr>
                  <w:tcW w:w="1656" w:type="dxa"/>
                  <w:vAlign w:val="center"/>
                </w:tcPr>
                <w:p w14:paraId="368204B8">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color w:val="auto"/>
                      <w:highlight w:val="none"/>
                      <w:lang w:val="en-US" w:eastAsia="zh-CN"/>
                    </w:rPr>
                    <w:t>可行技术</w:t>
                  </w:r>
                </w:p>
              </w:tc>
              <w:tc>
                <w:tcPr>
                  <w:tcW w:w="601" w:type="dxa"/>
                  <w:vMerge w:val="restart"/>
                  <w:vAlign w:val="center"/>
                </w:tcPr>
                <w:p w14:paraId="776EFB0D">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color w:val="auto"/>
                      <w:highlight w:val="none"/>
                      <w:lang w:val="en-US" w:eastAsia="zh-CN"/>
                    </w:rPr>
                    <w:t>可行</w:t>
                  </w:r>
                </w:p>
              </w:tc>
            </w:tr>
            <w:tr w14:paraId="10DB2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jc w:val="center"/>
              </w:trPr>
              <w:tc>
                <w:tcPr>
                  <w:tcW w:w="759" w:type="dxa"/>
                  <w:vMerge w:val="continue"/>
                  <w:vAlign w:val="center"/>
                </w:tcPr>
                <w:p w14:paraId="7CF6D54A">
                  <w:pPr>
                    <w:keepNext w:val="0"/>
                    <w:keepLines w:val="0"/>
                    <w:pageBreakBefore w:val="0"/>
                    <w:widowControl w:val="0"/>
                    <w:kinsoku/>
                    <w:wordWrap/>
                    <w:overflowPunct/>
                    <w:topLinePunct w:val="0"/>
                    <w:autoSpaceDE/>
                    <w:autoSpaceDN/>
                    <w:bidi w:val="0"/>
                    <w:adjustRightInd/>
                    <w:snapToGrid w:val="0"/>
                    <w:spacing w:before="157" w:beforeLines="50"/>
                    <w:jc w:val="center"/>
                    <w:textAlignment w:val="auto"/>
                    <w:rPr>
                      <w:color w:val="auto"/>
                    </w:rPr>
                  </w:pPr>
                </w:p>
              </w:tc>
              <w:tc>
                <w:tcPr>
                  <w:tcW w:w="797" w:type="dxa"/>
                  <w:vMerge w:val="continue"/>
                  <w:vAlign w:val="center"/>
                </w:tcPr>
                <w:p w14:paraId="3DC13CE9">
                  <w:pPr>
                    <w:keepNext w:val="0"/>
                    <w:keepLines w:val="0"/>
                    <w:pageBreakBefore w:val="0"/>
                    <w:widowControl w:val="0"/>
                    <w:kinsoku/>
                    <w:wordWrap/>
                    <w:overflowPunct/>
                    <w:topLinePunct w:val="0"/>
                    <w:autoSpaceDE/>
                    <w:autoSpaceDN/>
                    <w:bidi w:val="0"/>
                    <w:adjustRightInd/>
                    <w:snapToGrid/>
                    <w:jc w:val="center"/>
                    <w:textAlignment w:val="auto"/>
                    <w:rPr>
                      <w:color w:val="auto"/>
                    </w:rPr>
                  </w:pPr>
                </w:p>
              </w:tc>
              <w:tc>
                <w:tcPr>
                  <w:tcW w:w="797" w:type="dxa"/>
                  <w:vMerge w:val="continue"/>
                  <w:vAlign w:val="center"/>
                </w:tcPr>
                <w:p w14:paraId="2442357D">
                  <w:pPr>
                    <w:keepNext w:val="0"/>
                    <w:keepLines w:val="0"/>
                    <w:pageBreakBefore w:val="0"/>
                    <w:widowControl w:val="0"/>
                    <w:kinsoku/>
                    <w:wordWrap/>
                    <w:overflowPunct/>
                    <w:topLinePunct w:val="0"/>
                    <w:autoSpaceDE/>
                    <w:autoSpaceDN/>
                    <w:bidi w:val="0"/>
                    <w:adjustRightInd/>
                    <w:snapToGrid/>
                    <w:jc w:val="center"/>
                    <w:textAlignment w:val="auto"/>
                    <w:rPr>
                      <w:color w:val="auto"/>
                    </w:rPr>
                  </w:pPr>
                </w:p>
              </w:tc>
              <w:tc>
                <w:tcPr>
                  <w:tcW w:w="994" w:type="dxa"/>
                  <w:vMerge w:val="continue"/>
                  <w:vAlign w:val="center"/>
                </w:tcPr>
                <w:p w14:paraId="00452E19">
                  <w:pPr>
                    <w:keepNext w:val="0"/>
                    <w:keepLines w:val="0"/>
                    <w:pageBreakBefore w:val="0"/>
                    <w:widowControl w:val="0"/>
                    <w:kinsoku/>
                    <w:wordWrap/>
                    <w:overflowPunct/>
                    <w:topLinePunct w:val="0"/>
                    <w:autoSpaceDE/>
                    <w:autoSpaceDN/>
                    <w:bidi w:val="0"/>
                    <w:adjustRightInd/>
                    <w:snapToGrid/>
                    <w:jc w:val="center"/>
                    <w:textAlignment w:val="auto"/>
                    <w:rPr>
                      <w:color w:val="auto"/>
                    </w:rPr>
                  </w:pPr>
                </w:p>
              </w:tc>
              <w:tc>
                <w:tcPr>
                  <w:tcW w:w="854" w:type="dxa"/>
                  <w:vAlign w:val="center"/>
                </w:tcPr>
                <w:p w14:paraId="07F70F1C">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color w:val="auto"/>
                      <w:highlight w:val="none"/>
                      <w:lang w:val="en-US" w:eastAsia="zh-CN"/>
                    </w:rPr>
                    <w:t>颗粒物</w:t>
                  </w:r>
                </w:p>
              </w:tc>
              <w:tc>
                <w:tcPr>
                  <w:tcW w:w="1738" w:type="dxa"/>
                  <w:vAlign w:val="center"/>
                </w:tcPr>
                <w:p w14:paraId="5B98049E">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color w:val="auto"/>
                      <w:highlight w:val="none"/>
                      <w:lang w:val="en-US" w:eastAsia="zh-CN"/>
                    </w:rPr>
                    <w:t>袋式除尘、电除尘、电袋复合除尘、湿式电除尘等技术，可根据需要采用多级除尘</w:t>
                  </w:r>
                </w:p>
              </w:tc>
              <w:tc>
                <w:tcPr>
                  <w:tcW w:w="1656" w:type="dxa"/>
                  <w:vAlign w:val="center"/>
                </w:tcPr>
                <w:p w14:paraId="1E6D976F">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ascii="Times New Roman" w:hAnsi="Times New Roman" w:eastAsia="宋体" w:cs="Times New Roman"/>
                      <w:color w:val="auto"/>
                      <w:highlight w:val="none"/>
                      <w:lang w:val="en-US" w:eastAsia="zh-CN"/>
                    </w:rPr>
                    <w:t>湿电除尘</w:t>
                  </w:r>
                </w:p>
              </w:tc>
              <w:tc>
                <w:tcPr>
                  <w:tcW w:w="601" w:type="dxa"/>
                  <w:vMerge w:val="continue"/>
                  <w:vAlign w:val="center"/>
                </w:tcPr>
                <w:p w14:paraId="5E21B690">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p>
              </w:tc>
            </w:tr>
            <w:tr w14:paraId="741B1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759" w:type="dxa"/>
                  <w:vMerge w:val="continue"/>
                  <w:vAlign w:val="center"/>
                </w:tcPr>
                <w:p w14:paraId="1A8AB946">
                  <w:pPr>
                    <w:keepNext w:val="0"/>
                    <w:keepLines w:val="0"/>
                    <w:pageBreakBefore w:val="0"/>
                    <w:widowControl w:val="0"/>
                    <w:kinsoku/>
                    <w:wordWrap/>
                    <w:overflowPunct/>
                    <w:topLinePunct w:val="0"/>
                    <w:autoSpaceDE/>
                    <w:autoSpaceDN/>
                    <w:bidi w:val="0"/>
                    <w:adjustRightInd/>
                    <w:snapToGrid w:val="0"/>
                    <w:spacing w:before="157" w:beforeLines="50"/>
                    <w:jc w:val="center"/>
                    <w:textAlignment w:val="auto"/>
                    <w:rPr>
                      <w:color w:val="auto"/>
                    </w:rPr>
                  </w:pPr>
                </w:p>
              </w:tc>
              <w:tc>
                <w:tcPr>
                  <w:tcW w:w="797" w:type="dxa"/>
                  <w:vMerge w:val="continue"/>
                  <w:vAlign w:val="center"/>
                </w:tcPr>
                <w:p w14:paraId="5FF0F042">
                  <w:pPr>
                    <w:keepNext w:val="0"/>
                    <w:keepLines w:val="0"/>
                    <w:pageBreakBefore w:val="0"/>
                    <w:widowControl w:val="0"/>
                    <w:kinsoku/>
                    <w:wordWrap/>
                    <w:overflowPunct/>
                    <w:topLinePunct w:val="0"/>
                    <w:autoSpaceDE/>
                    <w:autoSpaceDN/>
                    <w:bidi w:val="0"/>
                    <w:adjustRightInd/>
                    <w:snapToGrid/>
                    <w:jc w:val="center"/>
                    <w:textAlignment w:val="auto"/>
                    <w:rPr>
                      <w:color w:val="auto"/>
                    </w:rPr>
                  </w:pPr>
                </w:p>
              </w:tc>
              <w:tc>
                <w:tcPr>
                  <w:tcW w:w="797" w:type="dxa"/>
                  <w:vMerge w:val="continue"/>
                  <w:vAlign w:val="center"/>
                </w:tcPr>
                <w:p w14:paraId="437496C4">
                  <w:pPr>
                    <w:keepNext w:val="0"/>
                    <w:keepLines w:val="0"/>
                    <w:pageBreakBefore w:val="0"/>
                    <w:widowControl w:val="0"/>
                    <w:kinsoku/>
                    <w:wordWrap/>
                    <w:overflowPunct/>
                    <w:topLinePunct w:val="0"/>
                    <w:autoSpaceDE/>
                    <w:autoSpaceDN/>
                    <w:bidi w:val="0"/>
                    <w:adjustRightInd/>
                    <w:snapToGrid/>
                    <w:jc w:val="center"/>
                    <w:textAlignment w:val="auto"/>
                    <w:rPr>
                      <w:color w:val="auto"/>
                    </w:rPr>
                  </w:pPr>
                </w:p>
              </w:tc>
              <w:tc>
                <w:tcPr>
                  <w:tcW w:w="994" w:type="dxa"/>
                  <w:vMerge w:val="continue"/>
                  <w:vAlign w:val="center"/>
                </w:tcPr>
                <w:p w14:paraId="4F9E2CF3">
                  <w:pPr>
                    <w:keepNext w:val="0"/>
                    <w:keepLines w:val="0"/>
                    <w:pageBreakBefore w:val="0"/>
                    <w:widowControl w:val="0"/>
                    <w:kinsoku/>
                    <w:wordWrap/>
                    <w:overflowPunct/>
                    <w:topLinePunct w:val="0"/>
                    <w:autoSpaceDE/>
                    <w:autoSpaceDN/>
                    <w:bidi w:val="0"/>
                    <w:adjustRightInd/>
                    <w:snapToGrid/>
                    <w:jc w:val="center"/>
                    <w:textAlignment w:val="auto"/>
                    <w:rPr>
                      <w:color w:val="auto"/>
                    </w:rPr>
                  </w:pPr>
                </w:p>
              </w:tc>
              <w:tc>
                <w:tcPr>
                  <w:tcW w:w="854" w:type="dxa"/>
                  <w:vAlign w:val="center"/>
                </w:tcPr>
                <w:p w14:paraId="6EDDBD9D">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r>
                    <w:rPr>
                      <w:rFonts w:hint="eastAsia"/>
                      <w:color w:val="auto"/>
                      <w:highlight w:val="none"/>
                      <w:lang w:val="en-US" w:eastAsia="zh-CN"/>
                    </w:rPr>
                    <w:t>二氧化硫</w:t>
                  </w:r>
                </w:p>
              </w:tc>
              <w:tc>
                <w:tcPr>
                  <w:tcW w:w="1738" w:type="dxa"/>
                  <w:vAlign w:val="center"/>
                </w:tcPr>
                <w:p w14:paraId="7BEFC247">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color w:val="auto"/>
                      <w:highlight w:val="none"/>
                      <w:lang w:val="en-US" w:eastAsia="zh-CN"/>
                    </w:rPr>
                    <w:t>湿法脱硫技术、干法/半干法脱硫技术等</w:t>
                  </w:r>
                </w:p>
              </w:tc>
              <w:tc>
                <w:tcPr>
                  <w:tcW w:w="1656" w:type="dxa"/>
                  <w:vAlign w:val="center"/>
                </w:tcPr>
                <w:p w14:paraId="5A86EDE9">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r>
                    <w:rPr>
                      <w:rFonts w:hint="eastAsia"/>
                      <w:color w:val="auto"/>
                      <w:highlight w:val="none"/>
                      <w:lang w:val="en-US" w:eastAsia="zh-CN"/>
                    </w:rPr>
                    <w:t>石灰-石膏法脱硫</w:t>
                  </w:r>
                </w:p>
              </w:tc>
              <w:tc>
                <w:tcPr>
                  <w:tcW w:w="601" w:type="dxa"/>
                  <w:vMerge w:val="continue"/>
                  <w:vAlign w:val="center"/>
                </w:tcPr>
                <w:p w14:paraId="5FDD1812">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p>
              </w:tc>
            </w:tr>
            <w:tr w14:paraId="240A9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759" w:type="dxa"/>
                  <w:vMerge w:val="continue"/>
                  <w:vAlign w:val="center"/>
                </w:tcPr>
                <w:p w14:paraId="2A8180DD">
                  <w:pPr>
                    <w:keepNext w:val="0"/>
                    <w:keepLines w:val="0"/>
                    <w:pageBreakBefore w:val="0"/>
                    <w:widowControl w:val="0"/>
                    <w:kinsoku/>
                    <w:wordWrap/>
                    <w:overflowPunct/>
                    <w:topLinePunct w:val="0"/>
                    <w:autoSpaceDE/>
                    <w:autoSpaceDN/>
                    <w:bidi w:val="0"/>
                    <w:adjustRightInd/>
                    <w:snapToGrid w:val="0"/>
                    <w:spacing w:before="157" w:beforeLines="50"/>
                    <w:jc w:val="center"/>
                    <w:textAlignment w:val="auto"/>
                    <w:rPr>
                      <w:rFonts w:hint="default"/>
                      <w:color w:val="auto"/>
                      <w:highlight w:val="none"/>
                      <w:lang w:val="en-US" w:eastAsia="zh-CN"/>
                    </w:rPr>
                  </w:pPr>
                </w:p>
              </w:tc>
              <w:tc>
                <w:tcPr>
                  <w:tcW w:w="797" w:type="dxa"/>
                  <w:vMerge w:val="continue"/>
                  <w:vAlign w:val="center"/>
                </w:tcPr>
                <w:p w14:paraId="3341580C">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p>
              </w:tc>
              <w:tc>
                <w:tcPr>
                  <w:tcW w:w="797" w:type="dxa"/>
                  <w:vMerge w:val="continue"/>
                  <w:vAlign w:val="center"/>
                </w:tcPr>
                <w:p w14:paraId="3103537D">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p>
              </w:tc>
              <w:tc>
                <w:tcPr>
                  <w:tcW w:w="994" w:type="dxa"/>
                  <w:vMerge w:val="continue"/>
                  <w:vAlign w:val="center"/>
                </w:tcPr>
                <w:p w14:paraId="1335CE60">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p>
              </w:tc>
              <w:tc>
                <w:tcPr>
                  <w:tcW w:w="854" w:type="dxa"/>
                  <w:vAlign w:val="center"/>
                </w:tcPr>
                <w:p w14:paraId="129298DF">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r>
                    <w:rPr>
                      <w:rFonts w:hint="eastAsia"/>
                      <w:color w:val="auto"/>
                      <w:highlight w:val="none"/>
                      <w:lang w:val="en-US" w:eastAsia="zh-CN"/>
                    </w:rPr>
                    <w:t>氮氧化物</w:t>
                  </w:r>
                </w:p>
              </w:tc>
              <w:tc>
                <w:tcPr>
                  <w:tcW w:w="1738" w:type="dxa"/>
                  <w:vAlign w:val="center"/>
                </w:tcPr>
                <w:p w14:paraId="3CDAFECB">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color w:val="auto"/>
                      <w:highlight w:val="none"/>
                      <w:lang w:val="en-US" w:eastAsia="zh-CN"/>
                    </w:rPr>
                    <w:t>低氮燃烧技术、其他组合降氮技术</w:t>
                  </w:r>
                </w:p>
              </w:tc>
              <w:tc>
                <w:tcPr>
                  <w:tcW w:w="1656" w:type="dxa"/>
                  <w:vAlign w:val="center"/>
                </w:tcPr>
                <w:p w14:paraId="72765B56">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r>
                    <w:rPr>
                      <w:rFonts w:hint="eastAsia"/>
                      <w:color w:val="auto"/>
                      <w:highlight w:val="none"/>
                      <w:lang w:val="en-US" w:eastAsia="zh-CN"/>
                    </w:rPr>
                    <w:t>SNCR 脱硝</w:t>
                  </w:r>
                </w:p>
              </w:tc>
              <w:tc>
                <w:tcPr>
                  <w:tcW w:w="601" w:type="dxa"/>
                  <w:vMerge w:val="continue"/>
                  <w:vAlign w:val="center"/>
                </w:tcPr>
                <w:p w14:paraId="54965555">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p>
              </w:tc>
            </w:tr>
            <w:tr w14:paraId="2CF01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jc w:val="center"/>
              </w:trPr>
              <w:tc>
                <w:tcPr>
                  <w:tcW w:w="759" w:type="dxa"/>
                  <w:vMerge w:val="continue"/>
                  <w:vAlign w:val="center"/>
                </w:tcPr>
                <w:p w14:paraId="45361A0F">
                  <w:pPr>
                    <w:keepNext w:val="0"/>
                    <w:keepLines w:val="0"/>
                    <w:pageBreakBefore w:val="0"/>
                    <w:widowControl w:val="0"/>
                    <w:kinsoku/>
                    <w:wordWrap/>
                    <w:overflowPunct/>
                    <w:topLinePunct w:val="0"/>
                    <w:autoSpaceDE/>
                    <w:autoSpaceDN/>
                    <w:bidi w:val="0"/>
                    <w:adjustRightInd/>
                    <w:snapToGrid w:val="0"/>
                    <w:jc w:val="center"/>
                    <w:textAlignment w:val="auto"/>
                    <w:rPr>
                      <w:rFonts w:hint="default"/>
                      <w:color w:val="auto"/>
                      <w:highlight w:val="none"/>
                      <w:lang w:val="en-US" w:eastAsia="zh-CN"/>
                    </w:rPr>
                  </w:pPr>
                </w:p>
              </w:tc>
              <w:tc>
                <w:tcPr>
                  <w:tcW w:w="797" w:type="dxa"/>
                  <w:vMerge w:val="continue"/>
                  <w:vAlign w:val="center"/>
                </w:tcPr>
                <w:p w14:paraId="6C910D7D">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p>
              </w:tc>
              <w:tc>
                <w:tcPr>
                  <w:tcW w:w="797" w:type="dxa"/>
                  <w:vAlign w:val="center"/>
                </w:tcPr>
                <w:p w14:paraId="6591BF82">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color w:val="auto"/>
                      <w:highlight w:val="none"/>
                      <w:lang w:val="en-US" w:eastAsia="zh-CN"/>
                    </w:rPr>
                    <w:t>原料制备、成型</w:t>
                  </w:r>
                </w:p>
              </w:tc>
              <w:tc>
                <w:tcPr>
                  <w:tcW w:w="994" w:type="dxa"/>
                  <w:vAlign w:val="center"/>
                </w:tcPr>
                <w:p w14:paraId="2C085C43">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ascii="Times New Roman" w:hAnsi="Times New Roman" w:eastAsia="宋体" w:cs="Times New Roman"/>
                      <w:color w:val="auto"/>
                      <w:lang w:val="en-US" w:eastAsia="zh-CN"/>
                    </w:rPr>
                    <w:t>输送、上料、破碎、筛分</w:t>
                  </w:r>
                </w:p>
              </w:tc>
              <w:tc>
                <w:tcPr>
                  <w:tcW w:w="854" w:type="dxa"/>
                  <w:vAlign w:val="center"/>
                </w:tcPr>
                <w:p w14:paraId="280061C1">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r>
                    <w:rPr>
                      <w:rFonts w:hint="eastAsia"/>
                      <w:color w:val="auto"/>
                      <w:highlight w:val="none"/>
                      <w:lang w:val="en-US" w:eastAsia="zh-CN"/>
                    </w:rPr>
                    <w:t>颗粒物</w:t>
                  </w:r>
                </w:p>
              </w:tc>
              <w:tc>
                <w:tcPr>
                  <w:tcW w:w="1738" w:type="dxa"/>
                  <w:vAlign w:val="center"/>
                </w:tcPr>
                <w:p w14:paraId="246764A9">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color w:val="auto"/>
                      <w:highlight w:val="none"/>
                      <w:lang w:val="en-US" w:eastAsia="zh-CN"/>
                    </w:rPr>
                    <w:t>袋式除尘</w:t>
                  </w:r>
                </w:p>
              </w:tc>
              <w:tc>
                <w:tcPr>
                  <w:tcW w:w="1656" w:type="dxa"/>
                  <w:vAlign w:val="center"/>
                </w:tcPr>
                <w:p w14:paraId="4801BE9B">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color w:val="auto"/>
                      <w:highlight w:val="none"/>
                      <w:lang w:val="en-US" w:eastAsia="zh-CN"/>
                    </w:rPr>
                    <w:t>袋式除尘</w:t>
                  </w:r>
                </w:p>
              </w:tc>
              <w:tc>
                <w:tcPr>
                  <w:tcW w:w="601" w:type="dxa"/>
                  <w:vAlign w:val="center"/>
                </w:tcPr>
                <w:p w14:paraId="6F0D8B75">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highlight w:val="none"/>
                      <w:lang w:val="en-US" w:eastAsia="zh-CN"/>
                    </w:rPr>
                  </w:pPr>
                  <w:r>
                    <w:rPr>
                      <w:rFonts w:hint="eastAsia"/>
                      <w:color w:val="auto"/>
                      <w:highlight w:val="none"/>
                      <w:lang w:val="en-US" w:eastAsia="zh-CN"/>
                    </w:rPr>
                    <w:t>可行</w:t>
                  </w:r>
                </w:p>
              </w:tc>
            </w:tr>
          </w:tbl>
          <w:p w14:paraId="2CE7DC1A">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rStyle w:val="84"/>
                <w:rFonts w:hint="eastAsia" w:ascii="Times New Roman" w:hAnsi="Times New Roman" w:eastAsia="宋体" w:cs="宋体"/>
                <w:b w:val="0"/>
                <w:bCs w:val="0"/>
                <w:color w:val="auto"/>
                <w:kern w:val="2"/>
                <w:lang w:bidi="ar-SA"/>
              </w:rPr>
            </w:pPr>
            <w:r>
              <w:rPr>
                <w:rStyle w:val="84"/>
                <w:rFonts w:hint="eastAsia" w:ascii="Times New Roman" w:hAnsi="Times New Roman" w:eastAsia="宋体" w:cs="宋体"/>
                <w:b w:val="0"/>
                <w:bCs w:val="0"/>
                <w:color w:val="auto"/>
                <w:kern w:val="2"/>
                <w:lang w:bidi="ar-SA"/>
              </w:rPr>
              <w:t>本项目采用</w:t>
            </w:r>
            <w:r>
              <w:rPr>
                <w:rStyle w:val="84"/>
                <w:rFonts w:hint="eastAsia" w:ascii="Times New Roman" w:hAnsi="Times New Roman" w:eastAsia="宋体" w:cs="宋体"/>
                <w:b w:val="0"/>
                <w:bCs w:val="0"/>
                <w:color w:val="auto"/>
                <w:kern w:val="2"/>
                <w:lang w:eastAsia="zh-CN" w:bidi="ar-SA"/>
              </w:rPr>
              <w:t>上述措施后能够有效地</w:t>
            </w:r>
            <w:r>
              <w:rPr>
                <w:rStyle w:val="84"/>
                <w:rFonts w:hint="eastAsia" w:ascii="Times New Roman" w:hAnsi="Times New Roman" w:eastAsia="宋体" w:cs="宋体"/>
                <w:b w:val="0"/>
                <w:bCs w:val="0"/>
                <w:color w:val="auto"/>
                <w:kern w:val="2"/>
                <w:lang w:bidi="ar-SA"/>
              </w:rPr>
              <w:t>处理废气，</w:t>
            </w:r>
            <w:r>
              <w:rPr>
                <w:rStyle w:val="84"/>
                <w:rFonts w:hint="eastAsia" w:ascii="Times New Roman" w:hAnsi="Times New Roman" w:eastAsia="宋体" w:cs="宋体"/>
                <w:b w:val="0"/>
                <w:bCs w:val="0"/>
                <w:color w:val="auto"/>
                <w:kern w:val="2"/>
                <w:lang w:eastAsia="zh-CN" w:bidi="ar-SA"/>
              </w:rPr>
              <w:t>保证废气可达标排放，</w:t>
            </w:r>
            <w:r>
              <w:rPr>
                <w:rStyle w:val="84"/>
                <w:rFonts w:hint="eastAsia" w:ascii="Times New Roman" w:hAnsi="Times New Roman" w:eastAsia="宋体" w:cs="宋体"/>
                <w:b w:val="0"/>
                <w:bCs w:val="0"/>
                <w:color w:val="auto"/>
                <w:kern w:val="2"/>
                <w:lang w:bidi="ar-SA"/>
              </w:rPr>
              <w:t>能有效减轻对周边大气环境的影响。</w:t>
            </w:r>
          </w:p>
          <w:p w14:paraId="0AFA0A78">
            <w:pPr>
              <w:autoSpaceDE w:val="0"/>
              <w:autoSpaceDN w:val="0"/>
              <w:adjustRightInd w:val="0"/>
              <w:snapToGrid w:val="0"/>
              <w:spacing w:line="360" w:lineRule="auto"/>
              <w:ind w:firstLine="480" w:firstLineChars="200"/>
              <w:rPr>
                <w:color w:val="auto"/>
              </w:rPr>
            </w:pPr>
            <w:r>
              <w:rPr>
                <w:rFonts w:hint="eastAsia" w:cs="宋体"/>
                <w:color w:val="auto"/>
                <w:sz w:val="24"/>
                <w:szCs w:val="24"/>
              </w:rPr>
              <w:t>2.3 非正常工况污染物排放情况</w:t>
            </w:r>
          </w:p>
          <w:p w14:paraId="2B70EFA1">
            <w:pPr>
              <w:spacing w:line="360" w:lineRule="auto"/>
              <w:ind w:firstLine="480" w:firstLineChars="200"/>
              <w:rPr>
                <w:rStyle w:val="84"/>
                <w:b w:val="0"/>
                <w:bCs w:val="0"/>
                <w:color w:val="auto"/>
              </w:rPr>
            </w:pPr>
            <w:r>
              <w:rPr>
                <w:rStyle w:val="84"/>
                <w:rFonts w:hint="eastAsia" w:cs="宋体"/>
                <w:b w:val="0"/>
                <w:bCs w:val="0"/>
                <w:color w:val="auto"/>
              </w:rPr>
              <w:t>非正常工况是指车间废气处理设施运行出现事故，达不到设计要求时的处理效率。通过对该项目废气产生环节及主要污染物识别，综合考虑废气的环境影响和事故可能发生的概率，本次环评非正常工况考虑废气治理设施全部失效。废气处理系统出现故障，一般有</w:t>
            </w:r>
            <w:r>
              <w:rPr>
                <w:rStyle w:val="84"/>
                <w:b w:val="0"/>
                <w:bCs w:val="0"/>
                <w:color w:val="auto"/>
              </w:rPr>
              <w:t>3</w:t>
            </w:r>
            <w:r>
              <w:rPr>
                <w:rStyle w:val="84"/>
                <w:rFonts w:hint="eastAsia" w:cs="宋体"/>
                <w:b w:val="0"/>
                <w:bCs w:val="0"/>
                <w:color w:val="auto"/>
              </w:rPr>
              <w:t>种情况：停电、净化装置和风机出现故障，对生产异常情况，采取以下措施：</w:t>
            </w:r>
          </w:p>
          <w:p w14:paraId="71A1286D">
            <w:pPr>
              <w:spacing w:line="360" w:lineRule="auto"/>
              <w:ind w:firstLine="480" w:firstLineChars="200"/>
              <w:rPr>
                <w:rStyle w:val="84"/>
                <w:b w:val="0"/>
                <w:bCs w:val="0"/>
                <w:color w:val="auto"/>
              </w:rPr>
            </w:pPr>
            <w:r>
              <w:rPr>
                <w:rStyle w:val="84"/>
                <w:rFonts w:hint="eastAsia" w:cs="宋体"/>
                <w:b w:val="0"/>
                <w:bCs w:val="0"/>
                <w:color w:val="auto"/>
              </w:rPr>
              <w:t>①如果全厂停电，停止生产，无污染物产生。为确保安全，立即疏散工作人员。</w:t>
            </w:r>
          </w:p>
          <w:p w14:paraId="458DD5E0">
            <w:pPr>
              <w:spacing w:line="360" w:lineRule="auto"/>
              <w:ind w:firstLine="480" w:firstLineChars="200"/>
              <w:rPr>
                <w:rStyle w:val="84"/>
                <w:b w:val="0"/>
                <w:bCs w:val="0"/>
                <w:color w:val="auto"/>
              </w:rPr>
            </w:pPr>
            <w:r>
              <w:rPr>
                <w:rStyle w:val="84"/>
                <w:rFonts w:hint="eastAsia" w:cs="宋体"/>
                <w:b w:val="0"/>
                <w:bCs w:val="0"/>
                <w:color w:val="auto"/>
              </w:rPr>
              <w:t>②风机出现故障时，立即停止污染源工序的生产，并及时维修风机。</w:t>
            </w:r>
          </w:p>
          <w:p w14:paraId="58779DF3">
            <w:pPr>
              <w:spacing w:line="360" w:lineRule="auto"/>
              <w:ind w:firstLine="480" w:firstLineChars="200"/>
              <w:rPr>
                <w:rStyle w:val="84"/>
                <w:b w:val="0"/>
                <w:bCs w:val="0"/>
                <w:color w:val="auto"/>
              </w:rPr>
            </w:pPr>
            <w:r>
              <w:rPr>
                <w:rStyle w:val="84"/>
                <w:rFonts w:hint="eastAsia" w:cs="宋体"/>
                <w:b w:val="0"/>
                <w:bCs w:val="0"/>
                <w:color w:val="auto"/>
              </w:rPr>
              <w:t>③当废气处理设施出现故障时，应立即进行维修，并停止产污设备的生产。</w:t>
            </w:r>
          </w:p>
          <w:p w14:paraId="2FE84D4B">
            <w:pPr>
              <w:spacing w:line="360" w:lineRule="auto"/>
              <w:ind w:firstLine="480" w:firstLineChars="200"/>
              <w:rPr>
                <w:rStyle w:val="84"/>
                <w:b w:val="0"/>
                <w:bCs w:val="0"/>
                <w:color w:val="auto"/>
              </w:rPr>
            </w:pPr>
            <w:r>
              <w:rPr>
                <w:rStyle w:val="84"/>
                <w:rFonts w:hint="eastAsia" w:cs="宋体"/>
                <w:b w:val="0"/>
                <w:bCs w:val="0"/>
                <w:color w:val="auto"/>
              </w:rPr>
              <w:t>本报告废气非正常排放考虑装置处理效率为</w:t>
            </w:r>
            <w:r>
              <w:rPr>
                <w:rStyle w:val="84"/>
                <w:b w:val="0"/>
                <w:bCs w:val="0"/>
                <w:color w:val="auto"/>
              </w:rPr>
              <w:t>0</w:t>
            </w:r>
            <w:r>
              <w:rPr>
                <w:rStyle w:val="84"/>
                <w:rFonts w:hint="eastAsia" w:cs="宋体"/>
                <w:b w:val="0"/>
                <w:bCs w:val="0"/>
                <w:color w:val="auto"/>
              </w:rPr>
              <w:t>的情况，非正常排放情况及概率下表。</w:t>
            </w:r>
          </w:p>
          <w:p w14:paraId="2711A522">
            <w:pPr>
              <w:spacing w:line="360" w:lineRule="auto"/>
              <w:jc w:val="center"/>
              <w:rPr>
                <w:b/>
                <w:bCs/>
                <w:color w:val="auto"/>
                <w:sz w:val="21"/>
                <w:szCs w:val="21"/>
              </w:rPr>
            </w:pPr>
            <w:r>
              <w:rPr>
                <w:rFonts w:hint="eastAsia" w:hAnsi="宋体" w:cs="宋体"/>
                <w:b/>
                <w:bCs/>
                <w:color w:val="auto"/>
                <w:sz w:val="21"/>
                <w:szCs w:val="21"/>
              </w:rPr>
              <w:t>表</w:t>
            </w:r>
            <w:r>
              <w:rPr>
                <w:rFonts w:hAnsi="宋体"/>
                <w:b/>
                <w:bCs/>
                <w:color w:val="auto"/>
                <w:sz w:val="21"/>
                <w:szCs w:val="21"/>
              </w:rPr>
              <w:t>4-</w:t>
            </w:r>
            <w:r>
              <w:rPr>
                <w:rFonts w:hint="eastAsia" w:hAnsi="宋体"/>
                <w:b/>
                <w:bCs/>
                <w:color w:val="auto"/>
                <w:sz w:val="21"/>
                <w:szCs w:val="21"/>
                <w:lang w:val="en-US" w:eastAsia="zh-CN"/>
              </w:rPr>
              <w:t>8</w:t>
            </w:r>
            <w:r>
              <w:rPr>
                <w:rFonts w:hAnsi="宋体"/>
                <w:b/>
                <w:bCs/>
                <w:color w:val="auto"/>
                <w:sz w:val="21"/>
                <w:szCs w:val="21"/>
              </w:rPr>
              <w:t xml:space="preserve">  </w:t>
            </w:r>
            <w:r>
              <w:rPr>
                <w:rFonts w:hint="eastAsia" w:hAnsi="宋体" w:cs="宋体"/>
                <w:b/>
                <w:bCs/>
                <w:color w:val="auto"/>
                <w:sz w:val="21"/>
                <w:szCs w:val="21"/>
              </w:rPr>
              <w:t>废气非正常排放参数表</w:t>
            </w:r>
          </w:p>
          <w:tbl>
            <w:tblPr>
              <w:tblStyle w:val="37"/>
              <w:tblW w:w="8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805"/>
              <w:gridCol w:w="618"/>
              <w:gridCol w:w="754"/>
              <w:gridCol w:w="915"/>
              <w:gridCol w:w="750"/>
              <w:gridCol w:w="1154"/>
              <w:gridCol w:w="973"/>
              <w:gridCol w:w="794"/>
              <w:gridCol w:w="794"/>
            </w:tblGrid>
            <w:tr w14:paraId="2FB9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14:paraId="4142A697">
                  <w:pPr>
                    <w:jc w:val="center"/>
                    <w:rPr>
                      <w:rFonts w:hAnsi="宋体"/>
                      <w:color w:val="auto"/>
                      <w:sz w:val="22"/>
                      <w:szCs w:val="22"/>
                    </w:rPr>
                  </w:pPr>
                  <w:r>
                    <w:rPr>
                      <w:rFonts w:hint="eastAsia" w:hAnsi="宋体" w:cs="宋体"/>
                      <w:color w:val="auto"/>
                      <w:sz w:val="22"/>
                      <w:szCs w:val="22"/>
                    </w:rPr>
                    <w:t>所在车间</w:t>
                  </w:r>
                </w:p>
              </w:tc>
              <w:tc>
                <w:tcPr>
                  <w:tcW w:w="492" w:type="pct"/>
                  <w:tcBorders>
                    <w:top w:val="single" w:color="auto" w:sz="4" w:space="0"/>
                    <w:left w:val="single" w:color="auto" w:sz="4" w:space="0"/>
                    <w:bottom w:val="single" w:color="auto" w:sz="4" w:space="0"/>
                    <w:right w:val="single" w:color="auto" w:sz="4" w:space="0"/>
                  </w:tcBorders>
                  <w:vAlign w:val="center"/>
                </w:tcPr>
                <w:p w14:paraId="3E580FFD">
                  <w:pPr>
                    <w:jc w:val="center"/>
                    <w:rPr>
                      <w:rFonts w:hAnsi="宋体"/>
                      <w:color w:val="auto"/>
                      <w:sz w:val="22"/>
                      <w:szCs w:val="22"/>
                    </w:rPr>
                  </w:pPr>
                  <w:r>
                    <w:rPr>
                      <w:rFonts w:hint="eastAsia" w:hAnsi="宋体" w:cs="宋体"/>
                      <w:color w:val="auto"/>
                      <w:sz w:val="22"/>
                      <w:szCs w:val="22"/>
                    </w:rPr>
                    <w:t>产生工段</w:t>
                  </w:r>
                </w:p>
              </w:tc>
              <w:tc>
                <w:tcPr>
                  <w:tcW w:w="377" w:type="pct"/>
                  <w:tcBorders>
                    <w:top w:val="single" w:color="auto" w:sz="4" w:space="0"/>
                    <w:left w:val="single" w:color="auto" w:sz="4" w:space="0"/>
                    <w:bottom w:val="single" w:color="auto" w:sz="4" w:space="0"/>
                    <w:right w:val="single" w:color="auto" w:sz="4" w:space="0"/>
                  </w:tcBorders>
                  <w:vAlign w:val="center"/>
                </w:tcPr>
                <w:p w14:paraId="1D166282">
                  <w:pPr>
                    <w:jc w:val="center"/>
                    <w:rPr>
                      <w:rFonts w:hAnsi="宋体"/>
                      <w:color w:val="auto"/>
                      <w:sz w:val="22"/>
                      <w:szCs w:val="22"/>
                    </w:rPr>
                  </w:pPr>
                  <w:r>
                    <w:rPr>
                      <w:rFonts w:hint="eastAsia" w:hAnsi="宋体" w:cs="宋体"/>
                      <w:color w:val="auto"/>
                      <w:sz w:val="22"/>
                      <w:szCs w:val="22"/>
                    </w:rPr>
                    <w:t>频次</w:t>
                  </w:r>
                </w:p>
              </w:tc>
              <w:tc>
                <w:tcPr>
                  <w:tcW w:w="461" w:type="pct"/>
                  <w:tcBorders>
                    <w:top w:val="single" w:color="auto" w:sz="4" w:space="0"/>
                    <w:left w:val="single" w:color="auto" w:sz="4" w:space="0"/>
                    <w:bottom w:val="single" w:color="auto" w:sz="4" w:space="0"/>
                    <w:right w:val="single" w:color="auto" w:sz="4" w:space="0"/>
                  </w:tcBorders>
                  <w:vAlign w:val="center"/>
                </w:tcPr>
                <w:p w14:paraId="332FC2D4">
                  <w:pPr>
                    <w:jc w:val="center"/>
                    <w:rPr>
                      <w:rFonts w:hAnsi="宋体"/>
                      <w:color w:val="auto"/>
                      <w:sz w:val="22"/>
                      <w:szCs w:val="22"/>
                    </w:rPr>
                  </w:pPr>
                  <w:r>
                    <w:rPr>
                      <w:rFonts w:hint="eastAsia" w:hAnsi="宋体" w:cs="宋体"/>
                      <w:color w:val="auto"/>
                      <w:sz w:val="22"/>
                      <w:szCs w:val="22"/>
                    </w:rPr>
                    <w:t>持续时间</w:t>
                  </w:r>
                </w:p>
              </w:tc>
              <w:tc>
                <w:tcPr>
                  <w:tcW w:w="559" w:type="pct"/>
                  <w:tcBorders>
                    <w:top w:val="single" w:color="auto" w:sz="4" w:space="0"/>
                    <w:left w:val="single" w:color="auto" w:sz="4" w:space="0"/>
                    <w:bottom w:val="single" w:color="auto" w:sz="4" w:space="0"/>
                    <w:right w:val="single" w:color="auto" w:sz="4" w:space="0"/>
                  </w:tcBorders>
                  <w:vAlign w:val="center"/>
                </w:tcPr>
                <w:p w14:paraId="58FA5A12">
                  <w:pPr>
                    <w:jc w:val="center"/>
                    <w:rPr>
                      <w:rFonts w:hAnsi="宋体"/>
                      <w:color w:val="auto"/>
                      <w:sz w:val="22"/>
                      <w:szCs w:val="22"/>
                    </w:rPr>
                  </w:pPr>
                  <w:r>
                    <w:rPr>
                      <w:rFonts w:hint="eastAsia" w:hAnsi="宋体" w:cs="宋体"/>
                      <w:color w:val="auto"/>
                      <w:sz w:val="22"/>
                      <w:szCs w:val="22"/>
                    </w:rPr>
                    <w:t>污染物</w:t>
                  </w:r>
                </w:p>
              </w:tc>
              <w:tc>
                <w:tcPr>
                  <w:tcW w:w="458" w:type="pct"/>
                  <w:tcBorders>
                    <w:top w:val="single" w:color="auto" w:sz="4" w:space="0"/>
                    <w:left w:val="single" w:color="auto" w:sz="4" w:space="0"/>
                    <w:bottom w:val="single" w:color="auto" w:sz="4" w:space="0"/>
                    <w:right w:val="single" w:color="auto" w:sz="4" w:space="0"/>
                  </w:tcBorders>
                  <w:vAlign w:val="center"/>
                </w:tcPr>
                <w:p w14:paraId="28900907">
                  <w:pPr>
                    <w:jc w:val="center"/>
                    <w:rPr>
                      <w:rFonts w:hAnsi="宋体"/>
                      <w:color w:val="auto"/>
                      <w:sz w:val="22"/>
                      <w:szCs w:val="22"/>
                    </w:rPr>
                  </w:pPr>
                  <w:r>
                    <w:rPr>
                      <w:rFonts w:hint="eastAsia" w:hAnsi="宋体" w:cs="宋体"/>
                      <w:color w:val="auto"/>
                      <w:sz w:val="22"/>
                      <w:szCs w:val="22"/>
                    </w:rPr>
                    <w:t>产生量</w:t>
                  </w:r>
                </w:p>
                <w:p w14:paraId="3A193F37">
                  <w:pPr>
                    <w:jc w:val="center"/>
                    <w:rPr>
                      <w:rFonts w:hAnsi="宋体"/>
                      <w:color w:val="auto"/>
                      <w:sz w:val="22"/>
                      <w:szCs w:val="22"/>
                    </w:rPr>
                  </w:pPr>
                  <w:r>
                    <w:rPr>
                      <w:rFonts w:hint="eastAsia" w:hAnsi="宋体" w:cs="宋体"/>
                      <w:color w:val="auto"/>
                      <w:sz w:val="22"/>
                      <w:szCs w:val="22"/>
                    </w:rPr>
                    <w:t>（</w:t>
                  </w:r>
                  <w:r>
                    <w:rPr>
                      <w:rFonts w:hAnsi="宋体"/>
                      <w:color w:val="auto"/>
                      <w:sz w:val="22"/>
                      <w:szCs w:val="22"/>
                    </w:rPr>
                    <w:t>kg</w:t>
                  </w:r>
                  <w:r>
                    <w:rPr>
                      <w:rFonts w:hint="eastAsia" w:hAnsi="宋体" w:cs="宋体"/>
                      <w:color w:val="auto"/>
                      <w:sz w:val="22"/>
                      <w:szCs w:val="22"/>
                    </w:rPr>
                    <w:t>）</w:t>
                  </w:r>
                </w:p>
              </w:tc>
              <w:tc>
                <w:tcPr>
                  <w:tcW w:w="705" w:type="pct"/>
                  <w:tcBorders>
                    <w:top w:val="single" w:color="auto" w:sz="4" w:space="0"/>
                    <w:left w:val="single" w:color="auto" w:sz="4" w:space="0"/>
                    <w:bottom w:val="single" w:color="auto" w:sz="4" w:space="0"/>
                    <w:right w:val="single" w:color="auto" w:sz="4" w:space="0"/>
                  </w:tcBorders>
                  <w:vAlign w:val="center"/>
                </w:tcPr>
                <w:p w14:paraId="0F050D3D">
                  <w:pPr>
                    <w:jc w:val="center"/>
                    <w:rPr>
                      <w:rFonts w:hAnsi="宋体"/>
                      <w:color w:val="auto"/>
                      <w:sz w:val="22"/>
                      <w:szCs w:val="22"/>
                    </w:rPr>
                  </w:pPr>
                  <w:r>
                    <w:rPr>
                      <w:rFonts w:hint="eastAsia" w:hAnsi="宋体" w:cs="宋体"/>
                      <w:color w:val="auto"/>
                      <w:sz w:val="22"/>
                      <w:szCs w:val="22"/>
                    </w:rPr>
                    <w:t>非正常排放浓度（</w:t>
                  </w:r>
                  <w:r>
                    <w:rPr>
                      <w:rFonts w:hAnsi="宋体"/>
                      <w:color w:val="auto"/>
                      <w:sz w:val="22"/>
                      <w:szCs w:val="22"/>
                    </w:rPr>
                    <w:t>mg/m</w:t>
                  </w:r>
                  <w:r>
                    <w:rPr>
                      <w:rFonts w:hAnsi="宋体"/>
                      <w:color w:val="auto"/>
                      <w:sz w:val="22"/>
                      <w:szCs w:val="22"/>
                      <w:vertAlign w:val="superscript"/>
                    </w:rPr>
                    <w:t>3</w:t>
                  </w:r>
                  <w:r>
                    <w:rPr>
                      <w:rFonts w:hint="eastAsia" w:hAnsi="宋体" w:cs="宋体"/>
                      <w:color w:val="auto"/>
                      <w:sz w:val="22"/>
                      <w:szCs w:val="22"/>
                    </w:rPr>
                    <w:t>）</w:t>
                  </w:r>
                </w:p>
              </w:tc>
              <w:tc>
                <w:tcPr>
                  <w:tcW w:w="595" w:type="pct"/>
                  <w:tcBorders>
                    <w:top w:val="single" w:color="auto" w:sz="4" w:space="0"/>
                    <w:left w:val="single" w:color="auto" w:sz="4" w:space="0"/>
                    <w:bottom w:val="single" w:color="auto" w:sz="4" w:space="0"/>
                    <w:right w:val="single" w:color="auto" w:sz="4" w:space="0"/>
                  </w:tcBorders>
                  <w:vAlign w:val="center"/>
                </w:tcPr>
                <w:p w14:paraId="3DAF6565">
                  <w:pPr>
                    <w:jc w:val="center"/>
                    <w:rPr>
                      <w:rFonts w:hAnsi="宋体"/>
                      <w:color w:val="auto"/>
                      <w:sz w:val="22"/>
                      <w:szCs w:val="22"/>
                    </w:rPr>
                  </w:pPr>
                  <w:r>
                    <w:rPr>
                      <w:rFonts w:hint="eastAsia" w:hAnsi="宋体" w:cs="宋体"/>
                      <w:color w:val="auto"/>
                      <w:sz w:val="22"/>
                      <w:szCs w:val="22"/>
                    </w:rPr>
                    <w:t>非正常排放速率（</w:t>
                  </w:r>
                  <w:r>
                    <w:rPr>
                      <w:rFonts w:hAnsi="宋体"/>
                      <w:color w:val="auto"/>
                      <w:sz w:val="22"/>
                      <w:szCs w:val="22"/>
                    </w:rPr>
                    <w:t>kg/h</w:t>
                  </w:r>
                  <w:r>
                    <w:rPr>
                      <w:rFonts w:hint="eastAsia" w:hAnsi="宋体" w:cs="宋体"/>
                      <w:color w:val="auto"/>
                      <w:sz w:val="22"/>
                      <w:szCs w:val="22"/>
                    </w:rPr>
                    <w:t>）</w:t>
                  </w:r>
                </w:p>
              </w:tc>
              <w:tc>
                <w:tcPr>
                  <w:tcW w:w="485" w:type="pct"/>
                  <w:tcBorders>
                    <w:top w:val="single" w:color="auto" w:sz="4" w:space="0"/>
                    <w:left w:val="single" w:color="auto" w:sz="4" w:space="0"/>
                    <w:bottom w:val="single" w:color="auto" w:sz="4" w:space="0"/>
                    <w:right w:val="single" w:color="auto" w:sz="4" w:space="0"/>
                  </w:tcBorders>
                  <w:vAlign w:val="center"/>
                </w:tcPr>
                <w:p w14:paraId="448A746D">
                  <w:pPr>
                    <w:jc w:val="center"/>
                    <w:rPr>
                      <w:rFonts w:hAnsi="宋体"/>
                      <w:color w:val="auto"/>
                      <w:sz w:val="22"/>
                      <w:szCs w:val="22"/>
                    </w:rPr>
                  </w:pPr>
                  <w:r>
                    <w:rPr>
                      <w:rFonts w:hint="eastAsia" w:hAnsi="宋体" w:cs="宋体"/>
                      <w:color w:val="auto"/>
                      <w:sz w:val="22"/>
                      <w:szCs w:val="22"/>
                    </w:rPr>
                    <w:t>排放量</w:t>
                  </w:r>
                </w:p>
                <w:p w14:paraId="14C2643C">
                  <w:pPr>
                    <w:jc w:val="center"/>
                    <w:rPr>
                      <w:rFonts w:hAnsi="宋体"/>
                      <w:color w:val="auto"/>
                      <w:sz w:val="22"/>
                      <w:szCs w:val="22"/>
                    </w:rPr>
                  </w:pPr>
                  <w:r>
                    <w:rPr>
                      <w:rFonts w:hint="eastAsia" w:hAnsi="宋体" w:cs="宋体"/>
                      <w:color w:val="auto"/>
                      <w:sz w:val="22"/>
                      <w:szCs w:val="22"/>
                    </w:rPr>
                    <w:t>（</w:t>
                  </w:r>
                  <w:r>
                    <w:rPr>
                      <w:rFonts w:hAnsi="宋体"/>
                      <w:color w:val="auto"/>
                      <w:sz w:val="22"/>
                      <w:szCs w:val="22"/>
                    </w:rPr>
                    <w:t>kg/</w:t>
                  </w:r>
                  <w:r>
                    <w:rPr>
                      <w:rFonts w:hint="eastAsia" w:hAnsi="宋体" w:cs="宋体"/>
                      <w:color w:val="auto"/>
                      <w:sz w:val="22"/>
                      <w:szCs w:val="22"/>
                    </w:rPr>
                    <w:t>次）</w:t>
                  </w:r>
                </w:p>
              </w:tc>
              <w:tc>
                <w:tcPr>
                  <w:tcW w:w="485" w:type="pct"/>
                  <w:tcBorders>
                    <w:top w:val="single" w:color="auto" w:sz="4" w:space="0"/>
                    <w:left w:val="single" w:color="auto" w:sz="4" w:space="0"/>
                    <w:bottom w:val="single" w:color="auto" w:sz="4" w:space="0"/>
                    <w:right w:val="single" w:color="auto" w:sz="4" w:space="0"/>
                  </w:tcBorders>
                  <w:vAlign w:val="center"/>
                </w:tcPr>
                <w:p w14:paraId="65C05093">
                  <w:pPr>
                    <w:jc w:val="center"/>
                    <w:rPr>
                      <w:rFonts w:hint="eastAsia" w:hAnsi="宋体" w:cs="宋体"/>
                      <w:color w:val="auto"/>
                      <w:sz w:val="22"/>
                      <w:szCs w:val="22"/>
                    </w:rPr>
                  </w:pPr>
                  <w:r>
                    <w:rPr>
                      <w:rFonts w:hint="eastAsia" w:hAnsi="宋体" w:cs="宋体"/>
                      <w:color w:val="auto"/>
                      <w:sz w:val="22"/>
                      <w:szCs w:val="22"/>
                      <w:highlight w:val="none"/>
                      <w:lang w:val="en-US" w:eastAsia="zh-CN"/>
                    </w:rPr>
                    <w:t>达标情况</w:t>
                  </w:r>
                </w:p>
              </w:tc>
            </w:tr>
            <w:tr w14:paraId="3606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14:paraId="0DC563CA">
                  <w:pPr>
                    <w:jc w:val="center"/>
                    <w:rPr>
                      <w:color w:val="auto"/>
                    </w:rPr>
                  </w:pPr>
                  <w:r>
                    <w:rPr>
                      <w:rFonts w:hint="eastAsia"/>
                      <w:color w:val="auto"/>
                      <w:lang w:eastAsia="zh-CN"/>
                    </w:rPr>
                    <w:t>破碎</w:t>
                  </w:r>
                  <w:r>
                    <w:rPr>
                      <w:rFonts w:hint="eastAsia"/>
                      <w:color w:val="auto"/>
                    </w:rPr>
                    <w:t>车间</w:t>
                  </w:r>
                </w:p>
              </w:tc>
              <w:tc>
                <w:tcPr>
                  <w:tcW w:w="492" w:type="pct"/>
                  <w:tcBorders>
                    <w:top w:val="single" w:color="auto" w:sz="4" w:space="0"/>
                    <w:left w:val="single" w:color="auto" w:sz="4" w:space="0"/>
                    <w:bottom w:val="single" w:color="auto" w:sz="4" w:space="0"/>
                    <w:right w:val="single" w:color="auto" w:sz="4" w:space="0"/>
                  </w:tcBorders>
                  <w:vAlign w:val="center"/>
                </w:tcPr>
                <w:p w14:paraId="129F1409">
                  <w:pPr>
                    <w:jc w:val="center"/>
                    <w:rPr>
                      <w:color w:val="auto"/>
                    </w:rPr>
                  </w:pPr>
                  <w:r>
                    <w:rPr>
                      <w:rFonts w:hint="eastAsia" w:ascii="Times New Roman" w:hAnsi="Times New Roman" w:eastAsia="宋体" w:cs="Times New Roman"/>
                      <w:color w:val="auto"/>
                      <w:lang w:val="en-US" w:eastAsia="zh-CN"/>
                    </w:rPr>
                    <w:t>输送、上料、破碎、筛分工序</w:t>
                  </w:r>
                </w:p>
              </w:tc>
              <w:tc>
                <w:tcPr>
                  <w:tcW w:w="377" w:type="pct"/>
                  <w:tcBorders>
                    <w:top w:val="single" w:color="auto" w:sz="4" w:space="0"/>
                    <w:left w:val="single" w:color="auto" w:sz="4" w:space="0"/>
                    <w:bottom w:val="single" w:color="auto" w:sz="4" w:space="0"/>
                    <w:right w:val="single" w:color="auto" w:sz="4" w:space="0"/>
                  </w:tcBorders>
                  <w:vAlign w:val="center"/>
                </w:tcPr>
                <w:p w14:paraId="00BE02DD">
                  <w:pPr>
                    <w:jc w:val="center"/>
                    <w:rPr>
                      <w:color w:val="auto"/>
                    </w:rPr>
                  </w:pPr>
                  <w:r>
                    <w:rPr>
                      <w:rFonts w:hint="eastAsia"/>
                      <w:color w:val="auto"/>
                    </w:rPr>
                    <w:t>2次/年</w:t>
                  </w:r>
                </w:p>
              </w:tc>
              <w:tc>
                <w:tcPr>
                  <w:tcW w:w="461" w:type="pct"/>
                  <w:tcBorders>
                    <w:top w:val="single" w:color="auto" w:sz="4" w:space="0"/>
                    <w:left w:val="single" w:color="auto" w:sz="4" w:space="0"/>
                    <w:bottom w:val="single" w:color="auto" w:sz="4" w:space="0"/>
                    <w:right w:val="single" w:color="auto" w:sz="4" w:space="0"/>
                  </w:tcBorders>
                  <w:vAlign w:val="center"/>
                </w:tcPr>
                <w:p w14:paraId="1BD46ADA">
                  <w:pPr>
                    <w:jc w:val="center"/>
                    <w:rPr>
                      <w:color w:val="auto"/>
                    </w:rPr>
                  </w:pPr>
                  <w:r>
                    <w:rPr>
                      <w:rFonts w:hint="eastAsia"/>
                      <w:color w:val="auto"/>
                    </w:rPr>
                    <w:t>20min/次</w:t>
                  </w:r>
                </w:p>
              </w:tc>
              <w:tc>
                <w:tcPr>
                  <w:tcW w:w="559" w:type="pct"/>
                  <w:tcBorders>
                    <w:top w:val="single" w:color="auto" w:sz="4" w:space="0"/>
                    <w:left w:val="single" w:color="auto" w:sz="4" w:space="0"/>
                    <w:bottom w:val="single" w:color="auto" w:sz="4" w:space="0"/>
                    <w:right w:val="single" w:color="auto" w:sz="4" w:space="0"/>
                  </w:tcBorders>
                  <w:vAlign w:val="center"/>
                </w:tcPr>
                <w:p w14:paraId="28C46ABD">
                  <w:pPr>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颗粒物</w:t>
                  </w:r>
                </w:p>
              </w:tc>
              <w:tc>
                <w:tcPr>
                  <w:tcW w:w="458" w:type="pct"/>
                  <w:tcBorders>
                    <w:top w:val="single" w:color="auto" w:sz="4" w:space="0"/>
                    <w:left w:val="single" w:color="auto" w:sz="4" w:space="0"/>
                    <w:bottom w:val="single" w:color="auto" w:sz="4" w:space="0"/>
                    <w:right w:val="single" w:color="auto" w:sz="4" w:space="0"/>
                  </w:tcBorders>
                  <w:vAlign w:val="center"/>
                </w:tcPr>
                <w:p w14:paraId="138F236B">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3.911</w:t>
                  </w:r>
                </w:p>
              </w:tc>
              <w:tc>
                <w:tcPr>
                  <w:tcW w:w="705" w:type="pct"/>
                  <w:tcBorders>
                    <w:top w:val="single" w:color="auto" w:sz="4" w:space="0"/>
                    <w:left w:val="single" w:color="auto" w:sz="4" w:space="0"/>
                    <w:bottom w:val="single" w:color="auto" w:sz="4" w:space="0"/>
                    <w:right w:val="single" w:color="auto" w:sz="4" w:space="0"/>
                  </w:tcBorders>
                  <w:vAlign w:val="center"/>
                </w:tcPr>
                <w:p w14:paraId="684B676A">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172.546</w:t>
                  </w:r>
                </w:p>
              </w:tc>
              <w:tc>
                <w:tcPr>
                  <w:tcW w:w="595" w:type="pct"/>
                  <w:tcBorders>
                    <w:top w:val="single" w:color="auto" w:sz="4" w:space="0"/>
                    <w:left w:val="single" w:color="auto" w:sz="4" w:space="0"/>
                    <w:bottom w:val="single" w:color="auto" w:sz="4" w:space="0"/>
                    <w:right w:val="single" w:color="auto" w:sz="4" w:space="0"/>
                  </w:tcBorders>
                  <w:vAlign w:val="center"/>
                </w:tcPr>
                <w:p w14:paraId="4EA2EB8E">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11.733</w:t>
                  </w:r>
                </w:p>
              </w:tc>
              <w:tc>
                <w:tcPr>
                  <w:tcW w:w="485" w:type="pct"/>
                  <w:tcBorders>
                    <w:top w:val="single" w:color="auto" w:sz="4" w:space="0"/>
                    <w:left w:val="single" w:color="auto" w:sz="4" w:space="0"/>
                    <w:bottom w:val="single" w:color="auto" w:sz="4" w:space="0"/>
                    <w:right w:val="single" w:color="auto" w:sz="4" w:space="0"/>
                  </w:tcBorders>
                  <w:vAlign w:val="center"/>
                </w:tcPr>
                <w:p w14:paraId="6FE371AB">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3.911</w:t>
                  </w:r>
                </w:p>
              </w:tc>
              <w:tc>
                <w:tcPr>
                  <w:tcW w:w="485" w:type="pct"/>
                  <w:tcBorders>
                    <w:top w:val="single" w:color="auto" w:sz="4" w:space="0"/>
                    <w:left w:val="single" w:color="auto" w:sz="4" w:space="0"/>
                    <w:bottom w:val="single" w:color="auto" w:sz="4" w:space="0"/>
                    <w:right w:val="single" w:color="auto" w:sz="4" w:space="0"/>
                  </w:tcBorders>
                  <w:vAlign w:val="center"/>
                </w:tcPr>
                <w:p w14:paraId="79332FF5">
                  <w:pPr>
                    <w:jc w:val="center"/>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不达标</w:t>
                  </w:r>
                </w:p>
              </w:tc>
            </w:tr>
            <w:tr w14:paraId="0D87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77" w:type="pct"/>
                  <w:vMerge w:val="restart"/>
                  <w:tcBorders>
                    <w:top w:val="single" w:color="auto" w:sz="4" w:space="0"/>
                    <w:left w:val="single" w:color="auto" w:sz="4" w:space="0"/>
                    <w:right w:val="single" w:color="auto" w:sz="4" w:space="0"/>
                  </w:tcBorders>
                  <w:vAlign w:val="center"/>
                </w:tcPr>
                <w:p w14:paraId="3594E8B9">
                  <w:pPr>
                    <w:jc w:val="center"/>
                    <w:rPr>
                      <w:rFonts w:hint="eastAsia"/>
                      <w:color w:val="auto"/>
                      <w:highlight w:val="none"/>
                    </w:rPr>
                  </w:pPr>
                  <w:r>
                    <w:rPr>
                      <w:rFonts w:hint="eastAsia"/>
                      <w:color w:val="auto"/>
                      <w:highlight w:val="none"/>
                      <w:lang w:eastAsia="zh-CN"/>
                    </w:rPr>
                    <w:t>焙烧</w:t>
                  </w:r>
                  <w:r>
                    <w:rPr>
                      <w:rFonts w:hint="eastAsia"/>
                      <w:color w:val="auto"/>
                      <w:highlight w:val="none"/>
                    </w:rPr>
                    <w:t>车间</w:t>
                  </w:r>
                </w:p>
              </w:tc>
              <w:tc>
                <w:tcPr>
                  <w:tcW w:w="492" w:type="pct"/>
                  <w:vMerge w:val="restart"/>
                  <w:tcBorders>
                    <w:top w:val="single" w:color="auto" w:sz="4" w:space="0"/>
                    <w:left w:val="single" w:color="auto" w:sz="4" w:space="0"/>
                    <w:right w:val="single" w:color="auto" w:sz="4" w:space="0"/>
                  </w:tcBorders>
                  <w:vAlign w:val="center"/>
                </w:tcPr>
                <w:p w14:paraId="10E4777B">
                  <w:pPr>
                    <w:jc w:val="center"/>
                    <w:rPr>
                      <w:rFonts w:hint="eastAsia"/>
                      <w:color w:val="auto"/>
                      <w:highlight w:val="none"/>
                    </w:rPr>
                  </w:pPr>
                  <w:r>
                    <w:rPr>
                      <w:rFonts w:hint="eastAsia" w:ascii="Times New Roman" w:hAnsi="Times New Roman" w:eastAsia="宋体" w:cs="Times New Roman"/>
                      <w:color w:val="auto"/>
                      <w:lang w:val="en-US" w:eastAsia="zh-CN"/>
                    </w:rPr>
                    <w:t>隧道窑焙烧工序</w:t>
                  </w:r>
                </w:p>
              </w:tc>
              <w:tc>
                <w:tcPr>
                  <w:tcW w:w="377" w:type="pct"/>
                  <w:vMerge w:val="restart"/>
                  <w:tcBorders>
                    <w:top w:val="single" w:color="auto" w:sz="4" w:space="0"/>
                    <w:left w:val="single" w:color="auto" w:sz="4" w:space="0"/>
                    <w:right w:val="single" w:color="auto" w:sz="4" w:space="0"/>
                  </w:tcBorders>
                  <w:vAlign w:val="center"/>
                </w:tcPr>
                <w:p w14:paraId="16F50651">
                  <w:pPr>
                    <w:jc w:val="center"/>
                    <w:rPr>
                      <w:rFonts w:hint="eastAsia"/>
                      <w:color w:val="auto"/>
                      <w:highlight w:val="none"/>
                    </w:rPr>
                  </w:pPr>
                  <w:r>
                    <w:rPr>
                      <w:rFonts w:hint="eastAsia"/>
                      <w:color w:val="auto"/>
                      <w:highlight w:val="none"/>
                    </w:rPr>
                    <w:t>2次/年</w:t>
                  </w:r>
                </w:p>
              </w:tc>
              <w:tc>
                <w:tcPr>
                  <w:tcW w:w="461" w:type="pct"/>
                  <w:vMerge w:val="restart"/>
                  <w:tcBorders>
                    <w:top w:val="single" w:color="auto" w:sz="4" w:space="0"/>
                    <w:left w:val="single" w:color="auto" w:sz="4" w:space="0"/>
                    <w:right w:val="single" w:color="auto" w:sz="4" w:space="0"/>
                  </w:tcBorders>
                  <w:vAlign w:val="center"/>
                </w:tcPr>
                <w:p w14:paraId="61CCFCAD">
                  <w:pPr>
                    <w:jc w:val="center"/>
                    <w:rPr>
                      <w:rFonts w:hint="eastAsia"/>
                      <w:color w:val="auto"/>
                      <w:highlight w:val="none"/>
                    </w:rPr>
                  </w:pPr>
                  <w:r>
                    <w:rPr>
                      <w:rFonts w:hint="eastAsia"/>
                      <w:color w:val="auto"/>
                      <w:highlight w:val="none"/>
                    </w:rPr>
                    <w:t>20min/次</w:t>
                  </w:r>
                </w:p>
              </w:tc>
              <w:tc>
                <w:tcPr>
                  <w:tcW w:w="559" w:type="pct"/>
                  <w:tcBorders>
                    <w:top w:val="single" w:color="auto" w:sz="4" w:space="0"/>
                    <w:left w:val="single" w:color="auto" w:sz="4" w:space="0"/>
                    <w:bottom w:val="single" w:color="auto" w:sz="4" w:space="0"/>
                    <w:right w:val="single" w:color="auto" w:sz="4" w:space="0"/>
                  </w:tcBorders>
                  <w:vAlign w:val="center"/>
                </w:tcPr>
                <w:p w14:paraId="03562BD9">
                  <w:pPr>
                    <w:jc w:val="center"/>
                    <w:rPr>
                      <w:rFonts w:hint="eastAsia" w:ascii="Times New Roman" w:hAnsi="Times New Roman" w:eastAsia="宋体" w:cs="Times New Roman"/>
                      <w:color w:val="auto"/>
                      <w:lang w:val="en-US"/>
                    </w:rPr>
                  </w:pPr>
                  <w:r>
                    <w:rPr>
                      <w:rFonts w:hint="eastAsia" w:ascii="Times New Roman" w:hAnsi="Times New Roman" w:eastAsia="宋体" w:cs="Times New Roman"/>
                      <w:color w:val="auto"/>
                      <w:lang w:val="en-US"/>
                    </w:rPr>
                    <w:t>颗粒物</w:t>
                  </w:r>
                </w:p>
              </w:tc>
              <w:tc>
                <w:tcPr>
                  <w:tcW w:w="750" w:type="dxa"/>
                  <w:tcBorders>
                    <w:top w:val="single" w:color="auto" w:sz="4" w:space="0"/>
                    <w:left w:val="single" w:color="auto" w:sz="4" w:space="0"/>
                    <w:right w:val="single" w:color="auto" w:sz="4" w:space="0"/>
                  </w:tcBorders>
                  <w:vAlign w:val="center"/>
                </w:tcPr>
                <w:p w14:paraId="220B5322">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w:t>
                  </w:r>
                  <w:r>
                    <w:rPr>
                      <w:rFonts w:hint="eastAsia" w:cs="Times New Roman"/>
                      <w:color w:val="auto"/>
                      <w:lang w:val="en-US" w:eastAsia="zh-CN"/>
                    </w:rPr>
                    <w:t>494</w:t>
                  </w:r>
                </w:p>
              </w:tc>
              <w:tc>
                <w:tcPr>
                  <w:tcW w:w="705" w:type="pct"/>
                  <w:tcBorders>
                    <w:top w:val="single" w:color="auto" w:sz="4" w:space="0"/>
                    <w:left w:val="single" w:color="auto" w:sz="4" w:space="0"/>
                    <w:right w:val="single" w:color="auto" w:sz="4" w:space="0"/>
                  </w:tcBorders>
                  <w:vAlign w:val="center"/>
                </w:tcPr>
                <w:p w14:paraId="0839592E">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41.93</w:t>
                  </w:r>
                </w:p>
              </w:tc>
              <w:tc>
                <w:tcPr>
                  <w:tcW w:w="595" w:type="pct"/>
                  <w:tcBorders>
                    <w:top w:val="single" w:color="auto" w:sz="4" w:space="0"/>
                    <w:left w:val="single" w:color="auto" w:sz="4" w:space="0"/>
                    <w:right w:val="single" w:color="auto" w:sz="4" w:space="0"/>
                  </w:tcBorders>
                  <w:vAlign w:val="center"/>
                </w:tcPr>
                <w:p w14:paraId="531F1340">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10.483</w:t>
                  </w:r>
                </w:p>
              </w:tc>
              <w:tc>
                <w:tcPr>
                  <w:tcW w:w="485" w:type="pct"/>
                  <w:tcBorders>
                    <w:top w:val="single" w:color="auto" w:sz="4" w:space="0"/>
                    <w:left w:val="single" w:color="auto" w:sz="4" w:space="0"/>
                    <w:right w:val="single" w:color="auto" w:sz="4" w:space="0"/>
                  </w:tcBorders>
                  <w:vAlign w:val="center"/>
                </w:tcPr>
                <w:p w14:paraId="7BC408D5">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w:t>
                  </w:r>
                  <w:r>
                    <w:rPr>
                      <w:rFonts w:hint="eastAsia" w:cs="Times New Roman"/>
                      <w:color w:val="auto"/>
                      <w:lang w:val="en-US" w:eastAsia="zh-CN"/>
                    </w:rPr>
                    <w:t>494</w:t>
                  </w:r>
                </w:p>
              </w:tc>
              <w:tc>
                <w:tcPr>
                  <w:tcW w:w="485" w:type="pct"/>
                  <w:tcBorders>
                    <w:top w:val="single" w:color="auto" w:sz="4" w:space="0"/>
                    <w:left w:val="single" w:color="auto" w:sz="4" w:space="0"/>
                    <w:right w:val="single" w:color="auto" w:sz="4" w:space="0"/>
                  </w:tcBorders>
                  <w:vAlign w:val="center"/>
                </w:tcPr>
                <w:p w14:paraId="30865764">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不达标</w:t>
                  </w:r>
                </w:p>
              </w:tc>
            </w:tr>
            <w:tr w14:paraId="3A8D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77" w:type="pct"/>
                  <w:vMerge w:val="continue"/>
                  <w:tcBorders>
                    <w:left w:val="single" w:color="auto" w:sz="4" w:space="0"/>
                    <w:right w:val="single" w:color="auto" w:sz="4" w:space="0"/>
                  </w:tcBorders>
                  <w:vAlign w:val="center"/>
                </w:tcPr>
                <w:p w14:paraId="41FC744B">
                  <w:pPr>
                    <w:jc w:val="center"/>
                    <w:rPr>
                      <w:color w:val="auto"/>
                    </w:rPr>
                  </w:pPr>
                </w:p>
              </w:tc>
              <w:tc>
                <w:tcPr>
                  <w:tcW w:w="492" w:type="pct"/>
                  <w:vMerge w:val="continue"/>
                  <w:tcBorders>
                    <w:left w:val="single" w:color="auto" w:sz="4" w:space="0"/>
                    <w:right w:val="single" w:color="auto" w:sz="4" w:space="0"/>
                  </w:tcBorders>
                  <w:vAlign w:val="center"/>
                </w:tcPr>
                <w:p w14:paraId="456F52EE">
                  <w:pPr>
                    <w:jc w:val="center"/>
                    <w:rPr>
                      <w:color w:val="auto"/>
                    </w:rPr>
                  </w:pPr>
                </w:p>
              </w:tc>
              <w:tc>
                <w:tcPr>
                  <w:tcW w:w="377" w:type="pct"/>
                  <w:vMerge w:val="continue"/>
                  <w:tcBorders>
                    <w:left w:val="single" w:color="auto" w:sz="4" w:space="0"/>
                    <w:right w:val="single" w:color="auto" w:sz="4" w:space="0"/>
                  </w:tcBorders>
                  <w:vAlign w:val="center"/>
                </w:tcPr>
                <w:p w14:paraId="0E95278B">
                  <w:pPr>
                    <w:jc w:val="center"/>
                    <w:rPr>
                      <w:color w:val="auto"/>
                    </w:rPr>
                  </w:pPr>
                </w:p>
              </w:tc>
              <w:tc>
                <w:tcPr>
                  <w:tcW w:w="461" w:type="pct"/>
                  <w:vMerge w:val="continue"/>
                  <w:tcBorders>
                    <w:left w:val="single" w:color="auto" w:sz="4" w:space="0"/>
                    <w:right w:val="single" w:color="auto" w:sz="4" w:space="0"/>
                  </w:tcBorders>
                  <w:vAlign w:val="center"/>
                </w:tcPr>
                <w:p w14:paraId="59A3F2A3">
                  <w:pPr>
                    <w:jc w:val="center"/>
                    <w:rPr>
                      <w:color w:val="auto"/>
                    </w:rPr>
                  </w:pPr>
                </w:p>
              </w:tc>
              <w:tc>
                <w:tcPr>
                  <w:tcW w:w="559" w:type="pct"/>
                  <w:tcBorders>
                    <w:top w:val="single" w:color="auto" w:sz="4" w:space="0"/>
                    <w:left w:val="single" w:color="auto" w:sz="4" w:space="0"/>
                    <w:bottom w:val="single" w:color="auto" w:sz="4" w:space="0"/>
                    <w:right w:val="single" w:color="auto" w:sz="4" w:space="0"/>
                  </w:tcBorders>
                  <w:vAlign w:val="center"/>
                </w:tcPr>
                <w:p w14:paraId="2FDB25DF">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二氧</w:t>
                  </w:r>
                </w:p>
                <w:p w14:paraId="3271BF82">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化硫</w:t>
                  </w:r>
                </w:p>
              </w:tc>
              <w:tc>
                <w:tcPr>
                  <w:tcW w:w="750" w:type="dxa"/>
                  <w:tcBorders>
                    <w:left w:val="single" w:color="auto" w:sz="4" w:space="0"/>
                    <w:right w:val="single" w:color="auto" w:sz="4" w:space="0"/>
                  </w:tcBorders>
                  <w:vAlign w:val="center"/>
                </w:tcPr>
                <w:p w14:paraId="24B92906">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63.7</w:t>
                  </w:r>
                  <w:r>
                    <w:rPr>
                      <w:rFonts w:hint="eastAsia" w:cs="Times New Roman"/>
                      <w:color w:val="auto"/>
                      <w:lang w:val="en-US" w:eastAsia="zh-CN"/>
                    </w:rPr>
                    <w:t>55</w:t>
                  </w:r>
                </w:p>
              </w:tc>
              <w:tc>
                <w:tcPr>
                  <w:tcW w:w="705" w:type="pct"/>
                  <w:tcBorders>
                    <w:left w:val="single" w:color="auto" w:sz="4" w:space="0"/>
                    <w:right w:val="single" w:color="auto" w:sz="4" w:space="0"/>
                  </w:tcBorders>
                  <w:vAlign w:val="center"/>
                </w:tcPr>
                <w:p w14:paraId="3CFC4CAF">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765.059</w:t>
                  </w:r>
                </w:p>
              </w:tc>
              <w:tc>
                <w:tcPr>
                  <w:tcW w:w="595" w:type="pct"/>
                  <w:tcBorders>
                    <w:left w:val="single" w:color="auto" w:sz="4" w:space="0"/>
                    <w:right w:val="single" w:color="auto" w:sz="4" w:space="0"/>
                  </w:tcBorders>
                  <w:vAlign w:val="center"/>
                </w:tcPr>
                <w:p w14:paraId="5138DDB8">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191.264</w:t>
                  </w:r>
                </w:p>
              </w:tc>
              <w:tc>
                <w:tcPr>
                  <w:tcW w:w="485" w:type="pct"/>
                  <w:tcBorders>
                    <w:left w:val="single" w:color="auto" w:sz="4" w:space="0"/>
                    <w:right w:val="single" w:color="auto" w:sz="4" w:space="0"/>
                  </w:tcBorders>
                  <w:vAlign w:val="center"/>
                </w:tcPr>
                <w:p w14:paraId="6916C162">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63.7</w:t>
                  </w:r>
                  <w:r>
                    <w:rPr>
                      <w:rFonts w:hint="eastAsia" w:cs="Times New Roman"/>
                      <w:color w:val="auto"/>
                      <w:lang w:val="en-US" w:eastAsia="zh-CN"/>
                    </w:rPr>
                    <w:t>55</w:t>
                  </w:r>
                </w:p>
              </w:tc>
              <w:tc>
                <w:tcPr>
                  <w:tcW w:w="485" w:type="pct"/>
                  <w:tcBorders>
                    <w:left w:val="single" w:color="auto" w:sz="4" w:space="0"/>
                    <w:right w:val="single" w:color="auto" w:sz="4" w:space="0"/>
                  </w:tcBorders>
                  <w:vAlign w:val="center"/>
                </w:tcPr>
                <w:p w14:paraId="311653F6">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不达标</w:t>
                  </w:r>
                </w:p>
              </w:tc>
            </w:tr>
            <w:tr w14:paraId="2317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77" w:type="pct"/>
                  <w:vMerge w:val="continue"/>
                  <w:tcBorders>
                    <w:left w:val="single" w:color="auto" w:sz="4" w:space="0"/>
                    <w:right w:val="single" w:color="auto" w:sz="4" w:space="0"/>
                  </w:tcBorders>
                  <w:vAlign w:val="center"/>
                </w:tcPr>
                <w:p w14:paraId="12673FB5">
                  <w:pPr>
                    <w:jc w:val="center"/>
                    <w:rPr>
                      <w:rFonts w:hint="eastAsia"/>
                      <w:color w:val="auto"/>
                      <w:highlight w:val="none"/>
                    </w:rPr>
                  </w:pPr>
                </w:p>
              </w:tc>
              <w:tc>
                <w:tcPr>
                  <w:tcW w:w="492" w:type="pct"/>
                  <w:vMerge w:val="continue"/>
                  <w:tcBorders>
                    <w:left w:val="single" w:color="auto" w:sz="4" w:space="0"/>
                    <w:right w:val="single" w:color="auto" w:sz="4" w:space="0"/>
                  </w:tcBorders>
                  <w:vAlign w:val="center"/>
                </w:tcPr>
                <w:p w14:paraId="6CE4BB5B">
                  <w:pPr>
                    <w:jc w:val="center"/>
                    <w:rPr>
                      <w:rFonts w:hint="eastAsia"/>
                      <w:color w:val="auto"/>
                      <w:highlight w:val="none"/>
                    </w:rPr>
                  </w:pPr>
                </w:p>
              </w:tc>
              <w:tc>
                <w:tcPr>
                  <w:tcW w:w="377" w:type="pct"/>
                  <w:vMerge w:val="continue"/>
                  <w:tcBorders>
                    <w:left w:val="single" w:color="auto" w:sz="4" w:space="0"/>
                    <w:right w:val="single" w:color="auto" w:sz="4" w:space="0"/>
                  </w:tcBorders>
                  <w:vAlign w:val="center"/>
                </w:tcPr>
                <w:p w14:paraId="78972276">
                  <w:pPr>
                    <w:jc w:val="center"/>
                    <w:rPr>
                      <w:rFonts w:hint="eastAsia"/>
                      <w:color w:val="auto"/>
                      <w:highlight w:val="none"/>
                    </w:rPr>
                  </w:pPr>
                </w:p>
              </w:tc>
              <w:tc>
                <w:tcPr>
                  <w:tcW w:w="461" w:type="pct"/>
                  <w:vMerge w:val="continue"/>
                  <w:tcBorders>
                    <w:left w:val="single" w:color="auto" w:sz="4" w:space="0"/>
                    <w:right w:val="single" w:color="auto" w:sz="4" w:space="0"/>
                  </w:tcBorders>
                  <w:vAlign w:val="center"/>
                </w:tcPr>
                <w:p w14:paraId="3ED2FAAD">
                  <w:pPr>
                    <w:jc w:val="center"/>
                    <w:rPr>
                      <w:rFonts w:hint="eastAsia"/>
                      <w:color w:val="auto"/>
                      <w:highlight w:val="none"/>
                    </w:rPr>
                  </w:pPr>
                </w:p>
              </w:tc>
              <w:tc>
                <w:tcPr>
                  <w:tcW w:w="559" w:type="pct"/>
                  <w:tcBorders>
                    <w:top w:val="single" w:color="auto" w:sz="4" w:space="0"/>
                    <w:left w:val="single" w:color="auto" w:sz="4" w:space="0"/>
                    <w:bottom w:val="single" w:color="auto" w:sz="4" w:space="0"/>
                    <w:right w:val="single" w:color="auto" w:sz="4" w:space="0"/>
                  </w:tcBorders>
                  <w:vAlign w:val="center"/>
                </w:tcPr>
                <w:p w14:paraId="4DCC4079">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氮氧</w:t>
                  </w:r>
                </w:p>
                <w:p w14:paraId="45F8E779">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化物</w:t>
                  </w:r>
                </w:p>
              </w:tc>
              <w:tc>
                <w:tcPr>
                  <w:tcW w:w="750" w:type="dxa"/>
                  <w:tcBorders>
                    <w:left w:val="single" w:color="auto" w:sz="4" w:space="0"/>
                    <w:right w:val="single" w:color="auto" w:sz="4" w:space="0"/>
                  </w:tcBorders>
                  <w:vAlign w:val="center"/>
                </w:tcPr>
                <w:p w14:paraId="0C9C808D">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4.2</w:t>
                  </w:r>
                  <w:r>
                    <w:rPr>
                      <w:rFonts w:hint="eastAsia" w:cs="Times New Roman"/>
                      <w:color w:val="auto"/>
                      <w:lang w:val="en-US" w:eastAsia="zh-CN"/>
                    </w:rPr>
                    <w:t>53</w:t>
                  </w:r>
                </w:p>
              </w:tc>
              <w:tc>
                <w:tcPr>
                  <w:tcW w:w="705" w:type="pct"/>
                  <w:tcBorders>
                    <w:left w:val="single" w:color="auto" w:sz="4" w:space="0"/>
                    <w:right w:val="single" w:color="auto" w:sz="4" w:space="0"/>
                  </w:tcBorders>
                  <w:vAlign w:val="center"/>
                </w:tcPr>
                <w:p w14:paraId="2EAED995">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51.035</w:t>
                  </w:r>
                </w:p>
              </w:tc>
              <w:tc>
                <w:tcPr>
                  <w:tcW w:w="595" w:type="pct"/>
                  <w:tcBorders>
                    <w:left w:val="single" w:color="auto" w:sz="4" w:space="0"/>
                    <w:right w:val="single" w:color="auto" w:sz="4" w:space="0"/>
                  </w:tcBorders>
                  <w:vAlign w:val="center"/>
                </w:tcPr>
                <w:p w14:paraId="7A9BCF7B">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12.759</w:t>
                  </w:r>
                </w:p>
              </w:tc>
              <w:tc>
                <w:tcPr>
                  <w:tcW w:w="485" w:type="pct"/>
                  <w:tcBorders>
                    <w:left w:val="single" w:color="auto" w:sz="4" w:space="0"/>
                    <w:right w:val="single" w:color="auto" w:sz="4" w:space="0"/>
                  </w:tcBorders>
                  <w:vAlign w:val="center"/>
                </w:tcPr>
                <w:p w14:paraId="4C8987F8">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4.2</w:t>
                  </w:r>
                  <w:r>
                    <w:rPr>
                      <w:rFonts w:hint="eastAsia" w:cs="Times New Roman"/>
                      <w:color w:val="auto"/>
                      <w:lang w:val="en-US" w:eastAsia="zh-CN"/>
                    </w:rPr>
                    <w:t>53</w:t>
                  </w:r>
                </w:p>
              </w:tc>
              <w:tc>
                <w:tcPr>
                  <w:tcW w:w="485" w:type="pct"/>
                  <w:tcBorders>
                    <w:left w:val="single" w:color="auto" w:sz="4" w:space="0"/>
                    <w:right w:val="single" w:color="auto" w:sz="4" w:space="0"/>
                  </w:tcBorders>
                  <w:vAlign w:val="center"/>
                </w:tcPr>
                <w:p w14:paraId="6BA174E1">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达标</w:t>
                  </w:r>
                </w:p>
              </w:tc>
            </w:tr>
            <w:tr w14:paraId="251D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77" w:type="pct"/>
                  <w:vMerge w:val="continue"/>
                  <w:tcBorders>
                    <w:left w:val="single" w:color="auto" w:sz="4" w:space="0"/>
                    <w:bottom w:val="single" w:color="auto" w:sz="4" w:space="0"/>
                    <w:right w:val="single" w:color="auto" w:sz="4" w:space="0"/>
                  </w:tcBorders>
                  <w:vAlign w:val="center"/>
                </w:tcPr>
                <w:p w14:paraId="4622F4F9">
                  <w:pPr>
                    <w:jc w:val="center"/>
                    <w:rPr>
                      <w:rFonts w:hint="eastAsia"/>
                      <w:color w:val="auto"/>
                      <w:highlight w:val="none"/>
                    </w:rPr>
                  </w:pPr>
                </w:p>
              </w:tc>
              <w:tc>
                <w:tcPr>
                  <w:tcW w:w="492" w:type="pct"/>
                  <w:vMerge w:val="continue"/>
                  <w:tcBorders>
                    <w:left w:val="single" w:color="auto" w:sz="4" w:space="0"/>
                    <w:bottom w:val="single" w:color="auto" w:sz="4" w:space="0"/>
                    <w:right w:val="single" w:color="auto" w:sz="4" w:space="0"/>
                  </w:tcBorders>
                  <w:vAlign w:val="center"/>
                </w:tcPr>
                <w:p w14:paraId="7F922002">
                  <w:pPr>
                    <w:jc w:val="center"/>
                    <w:rPr>
                      <w:rFonts w:hint="eastAsia"/>
                      <w:color w:val="auto"/>
                      <w:highlight w:val="none"/>
                    </w:rPr>
                  </w:pPr>
                </w:p>
              </w:tc>
              <w:tc>
                <w:tcPr>
                  <w:tcW w:w="377" w:type="pct"/>
                  <w:vMerge w:val="continue"/>
                  <w:tcBorders>
                    <w:left w:val="single" w:color="auto" w:sz="4" w:space="0"/>
                    <w:bottom w:val="single" w:color="auto" w:sz="4" w:space="0"/>
                    <w:right w:val="single" w:color="auto" w:sz="4" w:space="0"/>
                  </w:tcBorders>
                  <w:vAlign w:val="center"/>
                </w:tcPr>
                <w:p w14:paraId="7CE4B3B4">
                  <w:pPr>
                    <w:jc w:val="center"/>
                    <w:rPr>
                      <w:rFonts w:hint="eastAsia"/>
                      <w:color w:val="auto"/>
                      <w:highlight w:val="none"/>
                    </w:rPr>
                  </w:pPr>
                </w:p>
              </w:tc>
              <w:tc>
                <w:tcPr>
                  <w:tcW w:w="461" w:type="pct"/>
                  <w:vMerge w:val="continue"/>
                  <w:tcBorders>
                    <w:left w:val="single" w:color="auto" w:sz="4" w:space="0"/>
                    <w:bottom w:val="single" w:color="auto" w:sz="4" w:space="0"/>
                    <w:right w:val="single" w:color="auto" w:sz="4" w:space="0"/>
                  </w:tcBorders>
                  <w:vAlign w:val="center"/>
                </w:tcPr>
                <w:p w14:paraId="76FE3DB1">
                  <w:pPr>
                    <w:jc w:val="center"/>
                    <w:rPr>
                      <w:rFonts w:hint="eastAsia"/>
                      <w:color w:val="auto"/>
                      <w:highlight w:val="none"/>
                    </w:rPr>
                  </w:pPr>
                </w:p>
              </w:tc>
              <w:tc>
                <w:tcPr>
                  <w:tcW w:w="559" w:type="pct"/>
                  <w:tcBorders>
                    <w:top w:val="single" w:color="auto" w:sz="4" w:space="0"/>
                    <w:left w:val="single" w:color="auto" w:sz="4" w:space="0"/>
                    <w:bottom w:val="single" w:color="auto" w:sz="4" w:space="0"/>
                    <w:right w:val="single" w:color="auto" w:sz="4" w:space="0"/>
                  </w:tcBorders>
                  <w:vAlign w:val="center"/>
                </w:tcPr>
                <w:p w14:paraId="04D171F2">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氟化物</w:t>
                  </w:r>
                </w:p>
              </w:tc>
              <w:tc>
                <w:tcPr>
                  <w:tcW w:w="458" w:type="pct"/>
                  <w:tcBorders>
                    <w:left w:val="single" w:color="auto" w:sz="4" w:space="0"/>
                    <w:bottom w:val="single" w:color="auto" w:sz="4" w:space="0"/>
                    <w:right w:val="single" w:color="auto" w:sz="4" w:space="0"/>
                  </w:tcBorders>
                  <w:vAlign w:val="center"/>
                </w:tcPr>
                <w:p w14:paraId="5060132B">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0.027</w:t>
                  </w:r>
                </w:p>
              </w:tc>
              <w:tc>
                <w:tcPr>
                  <w:tcW w:w="705" w:type="pct"/>
                  <w:tcBorders>
                    <w:left w:val="single" w:color="auto" w:sz="4" w:space="0"/>
                    <w:bottom w:val="single" w:color="auto" w:sz="4" w:space="0"/>
                    <w:right w:val="single" w:color="auto" w:sz="4" w:space="0"/>
                  </w:tcBorders>
                  <w:vAlign w:val="center"/>
                </w:tcPr>
                <w:p w14:paraId="2BCCA773">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0.32</w:t>
                  </w:r>
                </w:p>
              </w:tc>
              <w:tc>
                <w:tcPr>
                  <w:tcW w:w="595" w:type="pct"/>
                  <w:tcBorders>
                    <w:left w:val="single" w:color="auto" w:sz="4" w:space="0"/>
                    <w:bottom w:val="single" w:color="auto" w:sz="4" w:space="0"/>
                    <w:right w:val="single" w:color="auto" w:sz="4" w:space="0"/>
                  </w:tcBorders>
                  <w:vAlign w:val="center"/>
                </w:tcPr>
                <w:p w14:paraId="3325657E">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0.08</w:t>
                  </w:r>
                </w:p>
              </w:tc>
              <w:tc>
                <w:tcPr>
                  <w:tcW w:w="485" w:type="pct"/>
                  <w:tcBorders>
                    <w:left w:val="single" w:color="auto" w:sz="4" w:space="0"/>
                    <w:bottom w:val="single" w:color="auto" w:sz="4" w:space="0"/>
                    <w:right w:val="single" w:color="auto" w:sz="4" w:space="0"/>
                  </w:tcBorders>
                  <w:vAlign w:val="center"/>
                </w:tcPr>
                <w:p w14:paraId="6F468D2C">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0.027</w:t>
                  </w:r>
                </w:p>
              </w:tc>
              <w:tc>
                <w:tcPr>
                  <w:tcW w:w="485" w:type="pct"/>
                  <w:tcBorders>
                    <w:left w:val="single" w:color="auto" w:sz="4" w:space="0"/>
                    <w:bottom w:val="single" w:color="auto" w:sz="4" w:space="0"/>
                    <w:right w:val="single" w:color="auto" w:sz="4" w:space="0"/>
                  </w:tcBorders>
                  <w:vAlign w:val="center"/>
                </w:tcPr>
                <w:p w14:paraId="531FB0E7">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达标</w:t>
                  </w:r>
                </w:p>
              </w:tc>
            </w:tr>
          </w:tbl>
          <w:p w14:paraId="256742E3">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rStyle w:val="84"/>
                <w:b w:val="0"/>
                <w:bCs w:val="0"/>
                <w:color w:val="auto"/>
              </w:rPr>
            </w:pPr>
            <w:r>
              <w:rPr>
                <w:rStyle w:val="84"/>
                <w:rFonts w:hint="eastAsia" w:cs="宋体"/>
                <w:b w:val="0"/>
                <w:bCs w:val="0"/>
                <w:color w:val="auto"/>
              </w:rPr>
              <w:t>本项目在生产时应先运行废气治理设施，待设施正常运转后再启动生产设备，确保废气的达标排放。另生产设施与废气治理设施设置联动装置，即废气治理设施一旦故障，生产设备应立刻停机，以确保废气不会超标排放。</w:t>
            </w:r>
          </w:p>
          <w:p w14:paraId="1CA62754">
            <w:pPr>
              <w:spacing w:line="360" w:lineRule="auto"/>
              <w:ind w:firstLine="480" w:firstLineChars="200"/>
              <w:rPr>
                <w:rStyle w:val="84"/>
                <w:b w:val="0"/>
                <w:bCs w:val="0"/>
                <w:color w:val="auto"/>
              </w:rPr>
            </w:pPr>
            <w:r>
              <w:rPr>
                <w:rStyle w:val="84"/>
                <w:rFonts w:hint="eastAsia" w:cs="宋体"/>
                <w:b w:val="0"/>
                <w:bCs w:val="0"/>
                <w:color w:val="auto"/>
              </w:rPr>
              <w:t>综上所述，项目废气满足《砖瓦工业大气污染物排放标准》（DB34/ 4362-2023）中相关限值。在各项大气污染防治措施落实良好情况下，本项目产生大气污染物对周围环境空气质量影响较小。</w:t>
            </w:r>
          </w:p>
          <w:p w14:paraId="587D8FE8">
            <w:pPr>
              <w:spacing w:line="360" w:lineRule="auto"/>
              <w:ind w:firstLine="480" w:firstLineChars="200"/>
              <w:rPr>
                <w:rStyle w:val="84"/>
                <w:b w:val="0"/>
                <w:bCs w:val="0"/>
                <w:color w:val="auto"/>
              </w:rPr>
            </w:pPr>
            <w:r>
              <w:rPr>
                <w:rStyle w:val="84"/>
                <w:rFonts w:hint="eastAsia"/>
                <w:b w:val="0"/>
                <w:bCs w:val="0"/>
                <w:color w:val="auto"/>
              </w:rPr>
              <w:t xml:space="preserve">2.4 </w:t>
            </w:r>
            <w:r>
              <w:rPr>
                <w:rStyle w:val="84"/>
                <w:rFonts w:hint="eastAsia" w:cs="宋体"/>
                <w:b w:val="0"/>
                <w:bCs w:val="0"/>
                <w:color w:val="auto"/>
              </w:rPr>
              <w:t>废气检测计划</w:t>
            </w:r>
          </w:p>
          <w:p w14:paraId="770B0A5B">
            <w:pPr>
              <w:spacing w:line="360" w:lineRule="auto"/>
              <w:ind w:firstLine="480" w:firstLineChars="200"/>
              <w:rPr>
                <w:rStyle w:val="84"/>
                <w:b w:val="0"/>
                <w:bCs w:val="0"/>
                <w:color w:val="auto"/>
              </w:rPr>
            </w:pPr>
            <w:r>
              <w:rPr>
                <w:rStyle w:val="84"/>
                <w:rFonts w:hint="eastAsia" w:cs="宋体"/>
                <w:b w:val="0"/>
                <w:bCs w:val="0"/>
                <w:color w:val="auto"/>
              </w:rPr>
              <w:t>按照《排污许可证申请与核发技术规范</w:t>
            </w:r>
            <w:r>
              <w:rPr>
                <w:rStyle w:val="84"/>
                <w:b w:val="0"/>
                <w:bCs w:val="0"/>
                <w:color w:val="auto"/>
              </w:rPr>
              <w:t xml:space="preserve"> </w:t>
            </w:r>
            <w:r>
              <w:rPr>
                <w:rStyle w:val="84"/>
                <w:rFonts w:hint="eastAsia" w:cs="宋体"/>
                <w:b w:val="0"/>
                <w:bCs w:val="0"/>
                <w:color w:val="auto"/>
              </w:rPr>
              <w:t>总则》（</w:t>
            </w:r>
            <w:r>
              <w:rPr>
                <w:rStyle w:val="84"/>
                <w:b w:val="0"/>
                <w:bCs w:val="0"/>
                <w:color w:val="auto"/>
              </w:rPr>
              <w:t>HJ 942—2018</w:t>
            </w:r>
            <w:r>
              <w:rPr>
                <w:rStyle w:val="84"/>
                <w:rFonts w:hint="eastAsia" w:cs="宋体"/>
                <w:b w:val="0"/>
                <w:bCs w:val="0"/>
                <w:color w:val="auto"/>
              </w:rPr>
              <w:t>）、《排污单位自行监测技术指南</w:t>
            </w:r>
            <w:r>
              <w:rPr>
                <w:rStyle w:val="84"/>
                <w:b w:val="0"/>
                <w:bCs w:val="0"/>
                <w:color w:val="auto"/>
              </w:rPr>
              <w:t xml:space="preserve"> </w:t>
            </w:r>
            <w:r>
              <w:rPr>
                <w:rStyle w:val="84"/>
                <w:rFonts w:hint="eastAsia" w:cs="宋体"/>
                <w:b w:val="0"/>
                <w:bCs w:val="0"/>
                <w:color w:val="auto"/>
              </w:rPr>
              <w:t>总则》（</w:t>
            </w:r>
            <w:r>
              <w:rPr>
                <w:rStyle w:val="84"/>
                <w:b w:val="0"/>
                <w:bCs w:val="0"/>
                <w:color w:val="auto"/>
              </w:rPr>
              <w:t>HJ 819—2017</w:t>
            </w:r>
            <w:r>
              <w:rPr>
                <w:rStyle w:val="84"/>
                <w:rFonts w:hint="eastAsia" w:cs="宋体"/>
                <w:b w:val="0"/>
                <w:bCs w:val="0"/>
                <w:color w:val="auto"/>
              </w:rPr>
              <w:t>）、《排污单位自行监测技术指南 砖瓦工业》（HJ 1254—2022）和《排污许可证申请与核发技术规范 陶瓷砖瓦工业》（HJ 954-2018）的要求，有组织废气每年度至少开展一次监测；其他涉无组织废气排放的污染源每年至少开展一次监测，本项目废气监测计划建议如下：</w:t>
            </w:r>
          </w:p>
          <w:p w14:paraId="5E8AF05C">
            <w:pPr>
              <w:spacing w:line="360" w:lineRule="auto"/>
              <w:jc w:val="center"/>
              <w:rPr>
                <w:rFonts w:hint="eastAsia" w:hAnsi="宋体" w:cs="宋体"/>
                <w:b/>
                <w:bCs/>
                <w:color w:val="auto"/>
                <w:sz w:val="21"/>
                <w:szCs w:val="21"/>
              </w:rPr>
            </w:pPr>
            <w:r>
              <w:rPr>
                <w:rFonts w:hint="eastAsia" w:hAnsi="宋体" w:cs="宋体"/>
                <w:b/>
                <w:bCs/>
                <w:color w:val="auto"/>
                <w:sz w:val="21"/>
                <w:szCs w:val="21"/>
              </w:rPr>
              <w:t>表4-</w:t>
            </w:r>
            <w:r>
              <w:rPr>
                <w:rFonts w:hint="eastAsia" w:hAnsi="宋体" w:cs="宋体"/>
                <w:b/>
                <w:bCs/>
                <w:color w:val="auto"/>
                <w:sz w:val="21"/>
                <w:szCs w:val="21"/>
                <w:lang w:val="en-US" w:eastAsia="zh-CN"/>
              </w:rPr>
              <w:t>9</w:t>
            </w:r>
            <w:r>
              <w:rPr>
                <w:rFonts w:hint="eastAsia" w:hAnsi="宋体" w:cs="宋体"/>
                <w:b/>
                <w:bCs/>
                <w:color w:val="auto"/>
                <w:sz w:val="21"/>
                <w:szCs w:val="21"/>
              </w:rPr>
              <w:t xml:space="preserve">  废气监测计划</w:t>
            </w:r>
          </w:p>
          <w:tbl>
            <w:tblPr>
              <w:tblStyle w:val="37"/>
              <w:tblW w:w="49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65"/>
              <w:gridCol w:w="1128"/>
              <w:gridCol w:w="1010"/>
              <w:gridCol w:w="1223"/>
              <w:gridCol w:w="1160"/>
              <w:gridCol w:w="2152"/>
              <w:gridCol w:w="939"/>
            </w:tblGrid>
            <w:tr w14:paraId="5F7E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2" w:hRule="atLeast"/>
                <w:jc w:val="center"/>
              </w:trPr>
              <w:tc>
                <w:tcPr>
                  <w:tcW w:w="287" w:type="pct"/>
                  <w:tcBorders>
                    <w:top w:val="single" w:color="auto" w:sz="4" w:space="0"/>
                    <w:left w:val="single" w:color="auto" w:sz="4" w:space="0"/>
                    <w:bottom w:val="single" w:color="auto" w:sz="4" w:space="0"/>
                    <w:right w:val="single" w:color="auto" w:sz="4" w:space="0"/>
                  </w:tcBorders>
                  <w:vAlign w:val="center"/>
                </w:tcPr>
                <w:p w14:paraId="7462B352">
                  <w:pPr>
                    <w:jc w:val="center"/>
                    <w:rPr>
                      <w:color w:val="auto"/>
                      <w:sz w:val="22"/>
                      <w:szCs w:val="22"/>
                    </w:rPr>
                  </w:pPr>
                  <w:r>
                    <w:rPr>
                      <w:rFonts w:hint="eastAsia" w:cs="宋体"/>
                      <w:color w:val="auto"/>
                      <w:sz w:val="22"/>
                      <w:szCs w:val="22"/>
                    </w:rPr>
                    <w:t>类别</w:t>
                  </w:r>
                </w:p>
              </w:tc>
              <w:tc>
                <w:tcPr>
                  <w:tcW w:w="698" w:type="pct"/>
                  <w:tcBorders>
                    <w:top w:val="single" w:color="auto" w:sz="4" w:space="0"/>
                    <w:left w:val="single" w:color="auto" w:sz="4" w:space="0"/>
                    <w:bottom w:val="single" w:color="auto" w:sz="4" w:space="0"/>
                    <w:right w:val="single" w:color="auto" w:sz="4" w:space="0"/>
                  </w:tcBorders>
                  <w:vAlign w:val="center"/>
                </w:tcPr>
                <w:p w14:paraId="5F7280B3">
                  <w:pPr>
                    <w:jc w:val="center"/>
                    <w:rPr>
                      <w:color w:val="auto"/>
                      <w:sz w:val="22"/>
                      <w:szCs w:val="22"/>
                    </w:rPr>
                  </w:pPr>
                  <w:r>
                    <w:rPr>
                      <w:rFonts w:hint="eastAsia" w:cs="宋体"/>
                      <w:color w:val="auto"/>
                      <w:sz w:val="22"/>
                      <w:szCs w:val="22"/>
                    </w:rPr>
                    <w:t>产生部位</w:t>
                  </w:r>
                </w:p>
              </w:tc>
              <w:tc>
                <w:tcPr>
                  <w:tcW w:w="625" w:type="pct"/>
                  <w:tcBorders>
                    <w:top w:val="single" w:color="auto" w:sz="4" w:space="0"/>
                    <w:left w:val="single" w:color="auto" w:sz="4" w:space="0"/>
                    <w:bottom w:val="single" w:color="auto" w:sz="4" w:space="0"/>
                    <w:right w:val="single" w:color="auto" w:sz="4" w:space="0"/>
                  </w:tcBorders>
                  <w:vAlign w:val="center"/>
                </w:tcPr>
                <w:p w14:paraId="4702E36E">
                  <w:pPr>
                    <w:jc w:val="center"/>
                    <w:rPr>
                      <w:color w:val="auto"/>
                      <w:sz w:val="22"/>
                      <w:szCs w:val="22"/>
                    </w:rPr>
                  </w:pPr>
                  <w:r>
                    <w:rPr>
                      <w:rFonts w:hint="eastAsia" w:cs="宋体"/>
                      <w:color w:val="auto"/>
                      <w:sz w:val="22"/>
                      <w:szCs w:val="22"/>
                    </w:rPr>
                    <w:t>排气筒编号</w:t>
                  </w:r>
                </w:p>
              </w:tc>
              <w:tc>
                <w:tcPr>
                  <w:tcW w:w="757" w:type="pct"/>
                  <w:tcBorders>
                    <w:top w:val="single" w:color="auto" w:sz="4" w:space="0"/>
                    <w:left w:val="single" w:color="auto" w:sz="4" w:space="0"/>
                    <w:bottom w:val="single" w:color="auto" w:sz="4" w:space="0"/>
                    <w:right w:val="single" w:color="auto" w:sz="4" w:space="0"/>
                  </w:tcBorders>
                  <w:vAlign w:val="center"/>
                </w:tcPr>
                <w:p w14:paraId="783A09E7">
                  <w:pPr>
                    <w:jc w:val="center"/>
                    <w:rPr>
                      <w:color w:val="auto"/>
                      <w:sz w:val="22"/>
                      <w:szCs w:val="22"/>
                    </w:rPr>
                  </w:pPr>
                  <w:r>
                    <w:rPr>
                      <w:rFonts w:hint="eastAsia" w:cs="宋体"/>
                      <w:color w:val="auto"/>
                      <w:sz w:val="22"/>
                      <w:szCs w:val="22"/>
                    </w:rPr>
                    <w:t>监测点位</w:t>
                  </w:r>
                </w:p>
              </w:tc>
              <w:tc>
                <w:tcPr>
                  <w:tcW w:w="718" w:type="pct"/>
                  <w:tcBorders>
                    <w:top w:val="single" w:color="auto" w:sz="4" w:space="0"/>
                    <w:left w:val="single" w:color="auto" w:sz="4" w:space="0"/>
                    <w:bottom w:val="single" w:color="auto" w:sz="4" w:space="0"/>
                    <w:right w:val="single" w:color="auto" w:sz="4" w:space="0"/>
                  </w:tcBorders>
                  <w:vAlign w:val="center"/>
                </w:tcPr>
                <w:p w14:paraId="1E7ACFEC">
                  <w:pPr>
                    <w:jc w:val="center"/>
                    <w:rPr>
                      <w:color w:val="auto"/>
                      <w:sz w:val="22"/>
                      <w:szCs w:val="22"/>
                    </w:rPr>
                  </w:pPr>
                  <w:r>
                    <w:rPr>
                      <w:rFonts w:hint="eastAsia" w:cs="宋体"/>
                      <w:color w:val="auto"/>
                      <w:sz w:val="22"/>
                      <w:szCs w:val="22"/>
                    </w:rPr>
                    <w:t>监测项目</w:t>
                  </w:r>
                </w:p>
              </w:tc>
              <w:tc>
                <w:tcPr>
                  <w:tcW w:w="1332" w:type="pct"/>
                  <w:tcBorders>
                    <w:top w:val="single" w:color="auto" w:sz="4" w:space="0"/>
                    <w:left w:val="single" w:color="auto" w:sz="4" w:space="0"/>
                    <w:bottom w:val="single" w:color="auto" w:sz="4" w:space="0"/>
                    <w:right w:val="single" w:color="auto" w:sz="4" w:space="0"/>
                  </w:tcBorders>
                  <w:vAlign w:val="center"/>
                </w:tcPr>
                <w:p w14:paraId="695EC04E">
                  <w:pPr>
                    <w:jc w:val="center"/>
                    <w:rPr>
                      <w:color w:val="auto"/>
                      <w:sz w:val="22"/>
                      <w:szCs w:val="22"/>
                    </w:rPr>
                  </w:pPr>
                  <w:r>
                    <w:rPr>
                      <w:rFonts w:hint="eastAsia" w:cs="宋体"/>
                      <w:color w:val="auto"/>
                      <w:sz w:val="22"/>
                      <w:szCs w:val="22"/>
                    </w:rPr>
                    <w:t>执行标准</w:t>
                  </w:r>
                </w:p>
              </w:tc>
              <w:tc>
                <w:tcPr>
                  <w:tcW w:w="581" w:type="pct"/>
                  <w:tcBorders>
                    <w:top w:val="single" w:color="auto" w:sz="4" w:space="0"/>
                    <w:left w:val="single" w:color="auto" w:sz="4" w:space="0"/>
                    <w:bottom w:val="single" w:color="auto" w:sz="4" w:space="0"/>
                    <w:right w:val="single" w:color="auto" w:sz="4" w:space="0"/>
                  </w:tcBorders>
                  <w:vAlign w:val="center"/>
                </w:tcPr>
                <w:p w14:paraId="58BF6963">
                  <w:pPr>
                    <w:jc w:val="center"/>
                    <w:rPr>
                      <w:color w:val="auto"/>
                      <w:sz w:val="22"/>
                      <w:szCs w:val="22"/>
                    </w:rPr>
                  </w:pPr>
                  <w:r>
                    <w:rPr>
                      <w:rFonts w:hint="eastAsia" w:cs="宋体"/>
                      <w:color w:val="auto"/>
                      <w:sz w:val="22"/>
                      <w:szCs w:val="22"/>
                    </w:rPr>
                    <w:t>监测频次</w:t>
                  </w:r>
                </w:p>
              </w:tc>
            </w:tr>
            <w:tr w14:paraId="2B65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287" w:type="pct"/>
                  <w:vMerge w:val="restart"/>
                  <w:tcBorders>
                    <w:top w:val="single" w:color="auto" w:sz="4" w:space="0"/>
                    <w:left w:val="single" w:color="auto" w:sz="4" w:space="0"/>
                    <w:bottom w:val="single" w:color="auto" w:sz="4" w:space="0"/>
                    <w:right w:val="single" w:color="auto" w:sz="4" w:space="0"/>
                  </w:tcBorders>
                  <w:vAlign w:val="center"/>
                </w:tcPr>
                <w:p w14:paraId="08803D07">
                  <w:pPr>
                    <w:jc w:val="center"/>
                    <w:rPr>
                      <w:color w:val="auto"/>
                      <w:sz w:val="22"/>
                      <w:szCs w:val="22"/>
                    </w:rPr>
                  </w:pPr>
                  <w:r>
                    <w:rPr>
                      <w:rFonts w:hint="eastAsia" w:cs="宋体"/>
                      <w:color w:val="auto"/>
                      <w:sz w:val="22"/>
                      <w:szCs w:val="22"/>
                    </w:rPr>
                    <w:t>废气</w:t>
                  </w:r>
                </w:p>
              </w:tc>
              <w:tc>
                <w:tcPr>
                  <w:tcW w:w="698" w:type="pct"/>
                  <w:tcBorders>
                    <w:top w:val="single" w:color="auto" w:sz="4" w:space="0"/>
                    <w:left w:val="single" w:color="auto" w:sz="4" w:space="0"/>
                    <w:bottom w:val="single" w:color="auto" w:sz="4" w:space="0"/>
                    <w:right w:val="single" w:color="auto" w:sz="4" w:space="0"/>
                  </w:tcBorders>
                  <w:vAlign w:val="center"/>
                </w:tcPr>
                <w:p w14:paraId="7C6FC340">
                  <w:pPr>
                    <w:jc w:val="center"/>
                    <w:rPr>
                      <w:color w:val="auto"/>
                      <w:sz w:val="22"/>
                      <w:szCs w:val="22"/>
                    </w:rPr>
                  </w:pPr>
                  <w:r>
                    <w:rPr>
                      <w:rFonts w:hint="eastAsia" w:ascii="Times New Roman" w:hAnsi="Times New Roman" w:eastAsia="宋体" w:cs="Times New Roman"/>
                      <w:color w:val="auto"/>
                      <w:lang w:val="en-US" w:eastAsia="zh-CN"/>
                    </w:rPr>
                    <w:t>输送、上料、破碎、筛分工序</w:t>
                  </w:r>
                </w:p>
              </w:tc>
              <w:tc>
                <w:tcPr>
                  <w:tcW w:w="625" w:type="pct"/>
                  <w:tcBorders>
                    <w:top w:val="single" w:color="auto" w:sz="4" w:space="0"/>
                    <w:left w:val="single" w:color="auto" w:sz="4" w:space="0"/>
                    <w:bottom w:val="single" w:color="auto" w:sz="4" w:space="0"/>
                    <w:right w:val="single" w:color="auto" w:sz="4" w:space="0"/>
                  </w:tcBorders>
                  <w:vAlign w:val="center"/>
                </w:tcPr>
                <w:p w14:paraId="5BD0702C">
                  <w:pPr>
                    <w:jc w:val="center"/>
                    <w:rPr>
                      <w:color w:val="auto"/>
                      <w:sz w:val="22"/>
                      <w:szCs w:val="22"/>
                    </w:rPr>
                  </w:pPr>
                  <w:r>
                    <w:rPr>
                      <w:color w:val="auto"/>
                      <w:sz w:val="22"/>
                      <w:szCs w:val="22"/>
                    </w:rPr>
                    <w:t>DA001</w:t>
                  </w:r>
                </w:p>
              </w:tc>
              <w:tc>
                <w:tcPr>
                  <w:tcW w:w="757" w:type="pct"/>
                  <w:tcBorders>
                    <w:top w:val="single" w:color="auto" w:sz="4" w:space="0"/>
                    <w:left w:val="single" w:color="auto" w:sz="4" w:space="0"/>
                    <w:bottom w:val="single" w:color="auto" w:sz="4" w:space="0"/>
                    <w:right w:val="single" w:color="auto" w:sz="4" w:space="0"/>
                  </w:tcBorders>
                  <w:vAlign w:val="center"/>
                </w:tcPr>
                <w:p w14:paraId="1B436D7F">
                  <w:pPr>
                    <w:jc w:val="center"/>
                    <w:rPr>
                      <w:color w:val="auto"/>
                      <w:sz w:val="22"/>
                      <w:szCs w:val="22"/>
                    </w:rPr>
                  </w:pPr>
                  <w:r>
                    <w:rPr>
                      <w:rFonts w:hint="eastAsia" w:cs="宋体"/>
                      <w:color w:val="auto"/>
                      <w:sz w:val="22"/>
                      <w:szCs w:val="22"/>
                    </w:rPr>
                    <w:t>排气筒出口</w:t>
                  </w:r>
                </w:p>
              </w:tc>
              <w:tc>
                <w:tcPr>
                  <w:tcW w:w="718" w:type="pct"/>
                  <w:tcBorders>
                    <w:top w:val="single" w:color="auto" w:sz="4" w:space="0"/>
                    <w:left w:val="single" w:color="auto" w:sz="4" w:space="0"/>
                    <w:bottom w:val="single" w:color="auto" w:sz="4" w:space="0"/>
                    <w:right w:val="single" w:color="auto" w:sz="4" w:space="0"/>
                  </w:tcBorders>
                  <w:vAlign w:val="center"/>
                </w:tcPr>
                <w:p w14:paraId="010427BE">
                  <w:pPr>
                    <w:jc w:val="center"/>
                    <w:rPr>
                      <w:color w:val="auto"/>
                      <w:sz w:val="22"/>
                      <w:szCs w:val="22"/>
                    </w:rPr>
                  </w:pPr>
                  <w:r>
                    <w:rPr>
                      <w:rFonts w:hint="eastAsia" w:cs="宋体"/>
                      <w:color w:val="auto"/>
                      <w:sz w:val="22"/>
                      <w:szCs w:val="22"/>
                    </w:rPr>
                    <w:t>颗粒物</w:t>
                  </w:r>
                </w:p>
              </w:tc>
              <w:tc>
                <w:tcPr>
                  <w:tcW w:w="1332" w:type="pct"/>
                  <w:tcBorders>
                    <w:top w:val="single" w:color="auto" w:sz="4" w:space="0"/>
                    <w:left w:val="single" w:color="auto" w:sz="4" w:space="0"/>
                    <w:right w:val="single" w:color="auto" w:sz="4" w:space="0"/>
                  </w:tcBorders>
                  <w:vAlign w:val="center"/>
                </w:tcPr>
                <w:p w14:paraId="2777DE0E">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《砖瓦工业大气污染物排放标准》（DB34/ 4362-2023）</w:t>
                  </w:r>
                </w:p>
              </w:tc>
              <w:tc>
                <w:tcPr>
                  <w:tcW w:w="581" w:type="pct"/>
                  <w:tcBorders>
                    <w:top w:val="single" w:color="auto" w:sz="4" w:space="0"/>
                    <w:left w:val="single" w:color="auto" w:sz="4" w:space="0"/>
                    <w:bottom w:val="single" w:color="auto" w:sz="4" w:space="0"/>
                    <w:right w:val="single" w:color="auto" w:sz="4" w:space="0"/>
                  </w:tcBorders>
                  <w:vAlign w:val="center"/>
                </w:tcPr>
                <w:p w14:paraId="312A8398">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1次/年</w:t>
                  </w:r>
                </w:p>
              </w:tc>
            </w:tr>
            <w:tr w14:paraId="69CB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8" w:hRule="atLeast"/>
                <w:jc w:val="center"/>
              </w:trPr>
              <w:tc>
                <w:tcPr>
                  <w:tcW w:w="287" w:type="pct"/>
                  <w:vMerge w:val="continue"/>
                  <w:tcBorders>
                    <w:left w:val="single" w:color="auto" w:sz="4" w:space="0"/>
                    <w:right w:val="single" w:color="auto" w:sz="4" w:space="0"/>
                  </w:tcBorders>
                  <w:vAlign w:val="center"/>
                </w:tcPr>
                <w:p w14:paraId="0C02BAC6">
                  <w:pPr>
                    <w:jc w:val="center"/>
                    <w:rPr>
                      <w:rFonts w:hint="eastAsia" w:cs="宋体"/>
                      <w:color w:val="auto"/>
                      <w:sz w:val="22"/>
                      <w:szCs w:val="22"/>
                    </w:rPr>
                  </w:pPr>
                </w:p>
              </w:tc>
              <w:tc>
                <w:tcPr>
                  <w:tcW w:w="698" w:type="pct"/>
                  <w:vMerge w:val="restart"/>
                  <w:tcBorders>
                    <w:top w:val="single" w:color="auto" w:sz="4" w:space="0"/>
                    <w:left w:val="single" w:color="auto" w:sz="4" w:space="0"/>
                    <w:right w:val="single" w:color="auto" w:sz="4" w:space="0"/>
                  </w:tcBorders>
                  <w:vAlign w:val="center"/>
                </w:tcPr>
                <w:p w14:paraId="4BD1A3A7">
                  <w:pPr>
                    <w:jc w:val="center"/>
                    <w:rPr>
                      <w:rFonts w:hint="eastAsia" w:hAnsi="宋体" w:eastAsia="宋体" w:cs="宋体"/>
                      <w:color w:val="auto"/>
                      <w:sz w:val="22"/>
                      <w:szCs w:val="22"/>
                      <w:lang w:eastAsia="zh-CN"/>
                    </w:rPr>
                  </w:pPr>
                  <w:r>
                    <w:rPr>
                      <w:rFonts w:hint="eastAsia" w:ascii="Times New Roman" w:hAnsi="Times New Roman" w:eastAsia="宋体" w:cs="Times New Roman"/>
                      <w:color w:val="auto"/>
                      <w:lang w:val="en-US" w:eastAsia="zh-CN"/>
                    </w:rPr>
                    <w:t>隧道窑焙烧工序</w:t>
                  </w:r>
                </w:p>
              </w:tc>
              <w:tc>
                <w:tcPr>
                  <w:tcW w:w="625" w:type="pct"/>
                  <w:vMerge w:val="restart"/>
                  <w:tcBorders>
                    <w:top w:val="single" w:color="auto" w:sz="4" w:space="0"/>
                    <w:left w:val="single" w:color="auto" w:sz="4" w:space="0"/>
                    <w:right w:val="single" w:color="auto" w:sz="4" w:space="0"/>
                  </w:tcBorders>
                  <w:vAlign w:val="center"/>
                </w:tcPr>
                <w:p w14:paraId="456E1FBD">
                  <w:pPr>
                    <w:jc w:val="center"/>
                    <w:rPr>
                      <w:rFonts w:hint="eastAsia" w:eastAsia="宋体"/>
                      <w:color w:val="auto"/>
                      <w:sz w:val="22"/>
                      <w:szCs w:val="22"/>
                      <w:lang w:eastAsia="zh-CN"/>
                    </w:rPr>
                  </w:pPr>
                  <w:r>
                    <w:rPr>
                      <w:color w:val="auto"/>
                      <w:sz w:val="22"/>
                      <w:szCs w:val="22"/>
                    </w:rPr>
                    <w:t>DA00</w:t>
                  </w:r>
                  <w:r>
                    <w:rPr>
                      <w:rFonts w:hint="eastAsia"/>
                      <w:color w:val="auto"/>
                      <w:sz w:val="22"/>
                      <w:szCs w:val="22"/>
                      <w:lang w:val="en-US" w:eastAsia="zh-CN"/>
                    </w:rPr>
                    <w:t>2</w:t>
                  </w:r>
                </w:p>
              </w:tc>
              <w:tc>
                <w:tcPr>
                  <w:tcW w:w="757" w:type="pct"/>
                  <w:vMerge w:val="restart"/>
                  <w:tcBorders>
                    <w:top w:val="single" w:color="auto" w:sz="4" w:space="0"/>
                    <w:left w:val="single" w:color="auto" w:sz="4" w:space="0"/>
                    <w:right w:val="single" w:color="auto" w:sz="4" w:space="0"/>
                  </w:tcBorders>
                  <w:vAlign w:val="center"/>
                </w:tcPr>
                <w:p w14:paraId="3D753E24">
                  <w:pPr>
                    <w:jc w:val="center"/>
                    <w:rPr>
                      <w:rFonts w:hint="eastAsia" w:cs="宋体"/>
                      <w:color w:val="auto"/>
                      <w:sz w:val="22"/>
                      <w:szCs w:val="22"/>
                    </w:rPr>
                  </w:pPr>
                  <w:r>
                    <w:rPr>
                      <w:rFonts w:hint="eastAsia" w:cs="宋体"/>
                      <w:color w:val="auto"/>
                      <w:sz w:val="22"/>
                      <w:szCs w:val="22"/>
                    </w:rPr>
                    <w:t>排气筒出口</w:t>
                  </w:r>
                </w:p>
              </w:tc>
              <w:tc>
                <w:tcPr>
                  <w:tcW w:w="718" w:type="pct"/>
                  <w:tcBorders>
                    <w:top w:val="single" w:color="auto" w:sz="4" w:space="0"/>
                    <w:left w:val="single" w:color="auto" w:sz="4" w:space="0"/>
                    <w:bottom w:val="single" w:color="auto" w:sz="4" w:space="0"/>
                    <w:right w:val="single" w:color="auto" w:sz="4" w:space="0"/>
                  </w:tcBorders>
                  <w:vAlign w:val="center"/>
                </w:tcPr>
                <w:p w14:paraId="101F5340">
                  <w:pPr>
                    <w:jc w:val="center"/>
                    <w:rPr>
                      <w:rFonts w:hint="eastAsia" w:cs="宋体"/>
                      <w:color w:val="auto"/>
                      <w:sz w:val="22"/>
                      <w:szCs w:val="22"/>
                    </w:rPr>
                  </w:pPr>
                  <w:r>
                    <w:rPr>
                      <w:rFonts w:hint="eastAsia" w:ascii="Times New Roman" w:hAnsi="Times New Roman" w:eastAsia="宋体" w:cs="Times New Roman"/>
                      <w:color w:val="auto"/>
                      <w:lang w:val="en-US" w:eastAsia="zh-CN"/>
                    </w:rPr>
                    <w:t>颗粒物</w:t>
                  </w:r>
                </w:p>
              </w:tc>
              <w:tc>
                <w:tcPr>
                  <w:tcW w:w="1332" w:type="pct"/>
                  <w:vMerge w:val="restart"/>
                  <w:tcBorders>
                    <w:top w:val="single" w:color="auto" w:sz="4" w:space="0"/>
                    <w:left w:val="single" w:color="auto" w:sz="4" w:space="0"/>
                    <w:right w:val="single" w:color="auto" w:sz="4" w:space="0"/>
                  </w:tcBorders>
                  <w:vAlign w:val="center"/>
                </w:tcPr>
                <w:p w14:paraId="3D335042">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《砖瓦工业大气污染物排放标准》（DB34/ 4362-2023）、《恶臭污染物排放标准》（GB14554-93）</w:t>
                  </w:r>
                </w:p>
              </w:tc>
              <w:tc>
                <w:tcPr>
                  <w:tcW w:w="581" w:type="pct"/>
                  <w:vMerge w:val="restart"/>
                  <w:tcBorders>
                    <w:top w:val="single" w:color="auto" w:sz="4" w:space="0"/>
                    <w:left w:val="single" w:color="auto" w:sz="4" w:space="0"/>
                    <w:right w:val="single" w:color="auto" w:sz="4" w:space="0"/>
                  </w:tcBorders>
                  <w:vAlign w:val="center"/>
                </w:tcPr>
                <w:p w14:paraId="3BB4FACD">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1次/半年（安装在线监测设备）</w:t>
                  </w:r>
                </w:p>
              </w:tc>
            </w:tr>
            <w:tr w14:paraId="2CD9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7" w:hRule="atLeast"/>
                <w:jc w:val="center"/>
              </w:trPr>
              <w:tc>
                <w:tcPr>
                  <w:tcW w:w="287" w:type="pct"/>
                  <w:vMerge w:val="continue"/>
                  <w:tcBorders>
                    <w:left w:val="single" w:color="auto" w:sz="4" w:space="0"/>
                    <w:right w:val="single" w:color="auto" w:sz="4" w:space="0"/>
                  </w:tcBorders>
                  <w:vAlign w:val="center"/>
                </w:tcPr>
                <w:p w14:paraId="37CF6EC9">
                  <w:pPr>
                    <w:jc w:val="center"/>
                    <w:rPr>
                      <w:color w:val="auto"/>
                    </w:rPr>
                  </w:pPr>
                </w:p>
              </w:tc>
              <w:tc>
                <w:tcPr>
                  <w:tcW w:w="698" w:type="pct"/>
                  <w:vMerge w:val="continue"/>
                  <w:tcBorders>
                    <w:left w:val="single" w:color="auto" w:sz="4" w:space="0"/>
                    <w:right w:val="single" w:color="auto" w:sz="4" w:space="0"/>
                  </w:tcBorders>
                  <w:vAlign w:val="center"/>
                </w:tcPr>
                <w:p w14:paraId="7E5402DC">
                  <w:pPr>
                    <w:jc w:val="center"/>
                    <w:rPr>
                      <w:color w:val="auto"/>
                    </w:rPr>
                  </w:pPr>
                </w:p>
              </w:tc>
              <w:tc>
                <w:tcPr>
                  <w:tcW w:w="625" w:type="pct"/>
                  <w:vMerge w:val="continue"/>
                  <w:tcBorders>
                    <w:left w:val="single" w:color="auto" w:sz="4" w:space="0"/>
                    <w:right w:val="single" w:color="auto" w:sz="4" w:space="0"/>
                  </w:tcBorders>
                  <w:vAlign w:val="center"/>
                </w:tcPr>
                <w:p w14:paraId="0EFC8762">
                  <w:pPr>
                    <w:jc w:val="center"/>
                    <w:rPr>
                      <w:color w:val="auto"/>
                    </w:rPr>
                  </w:pPr>
                </w:p>
              </w:tc>
              <w:tc>
                <w:tcPr>
                  <w:tcW w:w="757" w:type="pct"/>
                  <w:vMerge w:val="continue"/>
                  <w:tcBorders>
                    <w:left w:val="single" w:color="auto" w:sz="4" w:space="0"/>
                    <w:right w:val="single" w:color="auto" w:sz="4" w:space="0"/>
                  </w:tcBorders>
                  <w:vAlign w:val="center"/>
                </w:tcPr>
                <w:p w14:paraId="1FA507E8">
                  <w:pPr>
                    <w:jc w:val="center"/>
                    <w:rPr>
                      <w:color w:val="auto"/>
                    </w:rPr>
                  </w:pPr>
                </w:p>
              </w:tc>
              <w:tc>
                <w:tcPr>
                  <w:tcW w:w="718" w:type="pct"/>
                  <w:tcBorders>
                    <w:top w:val="single" w:color="auto" w:sz="4" w:space="0"/>
                    <w:left w:val="single" w:color="auto" w:sz="4" w:space="0"/>
                    <w:bottom w:val="single" w:color="auto" w:sz="4" w:space="0"/>
                    <w:right w:val="single" w:color="auto" w:sz="4" w:space="0"/>
                  </w:tcBorders>
                  <w:vAlign w:val="center"/>
                </w:tcPr>
                <w:p w14:paraId="1D51E62E">
                  <w:pPr>
                    <w:jc w:val="center"/>
                    <w:rPr>
                      <w:rFonts w:hint="eastAsia" w:cs="宋体"/>
                      <w:color w:val="auto"/>
                      <w:sz w:val="22"/>
                      <w:szCs w:val="22"/>
                    </w:rPr>
                  </w:pPr>
                  <w:r>
                    <w:rPr>
                      <w:rFonts w:hint="eastAsia"/>
                      <w:color w:val="auto"/>
                      <w:lang w:val="en-US" w:eastAsia="zh-CN"/>
                    </w:rPr>
                    <w:t>二氧化硫</w:t>
                  </w:r>
                </w:p>
              </w:tc>
              <w:tc>
                <w:tcPr>
                  <w:tcW w:w="1332" w:type="pct"/>
                  <w:vMerge w:val="continue"/>
                  <w:tcBorders>
                    <w:left w:val="single" w:color="auto" w:sz="4" w:space="0"/>
                    <w:right w:val="single" w:color="auto" w:sz="4" w:space="0"/>
                  </w:tcBorders>
                  <w:vAlign w:val="center"/>
                </w:tcPr>
                <w:p w14:paraId="16B64A9C">
                  <w:pPr>
                    <w:jc w:val="center"/>
                    <w:rPr>
                      <w:rFonts w:hint="eastAsia" w:ascii="Times New Roman" w:hAnsi="Times New Roman" w:eastAsia="宋体" w:cs="Times New Roman"/>
                      <w:color w:val="auto"/>
                      <w:lang w:val="en-US" w:eastAsia="zh-CN"/>
                    </w:rPr>
                  </w:pPr>
                </w:p>
              </w:tc>
              <w:tc>
                <w:tcPr>
                  <w:tcW w:w="581" w:type="pct"/>
                  <w:vMerge w:val="continue"/>
                  <w:tcBorders>
                    <w:left w:val="single" w:color="auto" w:sz="4" w:space="0"/>
                    <w:right w:val="single" w:color="auto" w:sz="4" w:space="0"/>
                  </w:tcBorders>
                  <w:vAlign w:val="center"/>
                </w:tcPr>
                <w:p w14:paraId="0935376B">
                  <w:pPr>
                    <w:jc w:val="center"/>
                    <w:rPr>
                      <w:rFonts w:hint="eastAsia" w:ascii="Times New Roman" w:hAnsi="Times New Roman" w:eastAsia="宋体" w:cs="Times New Roman"/>
                      <w:color w:val="auto"/>
                      <w:lang w:val="en-US" w:eastAsia="zh-CN"/>
                    </w:rPr>
                  </w:pPr>
                </w:p>
              </w:tc>
            </w:tr>
            <w:tr w14:paraId="650D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287" w:type="pct"/>
                  <w:vMerge w:val="continue"/>
                  <w:tcBorders>
                    <w:left w:val="single" w:color="auto" w:sz="4" w:space="0"/>
                    <w:right w:val="single" w:color="auto" w:sz="4" w:space="0"/>
                  </w:tcBorders>
                  <w:vAlign w:val="center"/>
                </w:tcPr>
                <w:p w14:paraId="319421E0">
                  <w:pPr>
                    <w:jc w:val="center"/>
                    <w:rPr>
                      <w:rFonts w:hint="eastAsia" w:cs="宋体"/>
                      <w:color w:val="auto"/>
                      <w:sz w:val="22"/>
                      <w:szCs w:val="22"/>
                    </w:rPr>
                  </w:pPr>
                </w:p>
              </w:tc>
              <w:tc>
                <w:tcPr>
                  <w:tcW w:w="698" w:type="pct"/>
                  <w:vMerge w:val="continue"/>
                  <w:tcBorders>
                    <w:left w:val="single" w:color="auto" w:sz="4" w:space="0"/>
                    <w:right w:val="single" w:color="auto" w:sz="4" w:space="0"/>
                  </w:tcBorders>
                  <w:vAlign w:val="center"/>
                </w:tcPr>
                <w:p w14:paraId="4BAB41D7">
                  <w:pPr>
                    <w:jc w:val="center"/>
                    <w:rPr>
                      <w:rFonts w:hint="eastAsia" w:cs="宋体"/>
                      <w:color w:val="auto"/>
                      <w:sz w:val="22"/>
                      <w:szCs w:val="22"/>
                    </w:rPr>
                  </w:pPr>
                </w:p>
              </w:tc>
              <w:tc>
                <w:tcPr>
                  <w:tcW w:w="625" w:type="pct"/>
                  <w:vMerge w:val="continue"/>
                  <w:tcBorders>
                    <w:left w:val="single" w:color="auto" w:sz="4" w:space="0"/>
                    <w:right w:val="single" w:color="auto" w:sz="4" w:space="0"/>
                  </w:tcBorders>
                  <w:vAlign w:val="center"/>
                </w:tcPr>
                <w:p w14:paraId="68A3AE36">
                  <w:pPr>
                    <w:jc w:val="center"/>
                    <w:rPr>
                      <w:rFonts w:hint="eastAsia" w:cs="宋体"/>
                      <w:color w:val="auto"/>
                      <w:sz w:val="22"/>
                      <w:szCs w:val="22"/>
                    </w:rPr>
                  </w:pPr>
                </w:p>
              </w:tc>
              <w:tc>
                <w:tcPr>
                  <w:tcW w:w="757" w:type="pct"/>
                  <w:vMerge w:val="continue"/>
                  <w:tcBorders>
                    <w:left w:val="single" w:color="auto" w:sz="4" w:space="0"/>
                    <w:right w:val="single" w:color="auto" w:sz="4" w:space="0"/>
                  </w:tcBorders>
                  <w:vAlign w:val="center"/>
                </w:tcPr>
                <w:p w14:paraId="609AEB75">
                  <w:pPr>
                    <w:jc w:val="center"/>
                    <w:rPr>
                      <w:rFonts w:hint="eastAsia" w:cs="宋体"/>
                      <w:color w:val="auto"/>
                      <w:sz w:val="22"/>
                      <w:szCs w:val="22"/>
                    </w:rPr>
                  </w:pPr>
                </w:p>
              </w:tc>
              <w:tc>
                <w:tcPr>
                  <w:tcW w:w="718" w:type="pct"/>
                  <w:tcBorders>
                    <w:top w:val="single" w:color="auto" w:sz="4" w:space="0"/>
                    <w:left w:val="single" w:color="auto" w:sz="4" w:space="0"/>
                    <w:bottom w:val="single" w:color="auto" w:sz="4" w:space="0"/>
                    <w:right w:val="single" w:color="auto" w:sz="4" w:space="0"/>
                  </w:tcBorders>
                  <w:vAlign w:val="center"/>
                </w:tcPr>
                <w:p w14:paraId="4C53B946">
                  <w:pPr>
                    <w:jc w:val="center"/>
                    <w:rPr>
                      <w:rFonts w:hint="eastAsia" w:cs="宋体"/>
                      <w:color w:val="auto"/>
                      <w:sz w:val="22"/>
                      <w:szCs w:val="22"/>
                    </w:rPr>
                  </w:pPr>
                  <w:r>
                    <w:rPr>
                      <w:rFonts w:hint="eastAsia"/>
                      <w:color w:val="auto"/>
                      <w:lang w:val="en-US" w:eastAsia="zh-CN"/>
                    </w:rPr>
                    <w:t>氮氧化物</w:t>
                  </w:r>
                </w:p>
              </w:tc>
              <w:tc>
                <w:tcPr>
                  <w:tcW w:w="1332" w:type="pct"/>
                  <w:vMerge w:val="continue"/>
                  <w:tcBorders>
                    <w:left w:val="single" w:color="auto" w:sz="4" w:space="0"/>
                    <w:right w:val="single" w:color="auto" w:sz="4" w:space="0"/>
                  </w:tcBorders>
                  <w:vAlign w:val="center"/>
                </w:tcPr>
                <w:p w14:paraId="4590A6EA">
                  <w:pPr>
                    <w:jc w:val="center"/>
                    <w:rPr>
                      <w:rFonts w:hint="eastAsia" w:ascii="Times New Roman" w:hAnsi="Times New Roman" w:eastAsia="宋体" w:cs="Times New Roman"/>
                      <w:color w:val="auto"/>
                      <w:lang w:val="en-US" w:eastAsia="zh-CN"/>
                    </w:rPr>
                  </w:pPr>
                </w:p>
              </w:tc>
              <w:tc>
                <w:tcPr>
                  <w:tcW w:w="581" w:type="pct"/>
                  <w:vMerge w:val="continue"/>
                  <w:tcBorders>
                    <w:left w:val="single" w:color="auto" w:sz="4" w:space="0"/>
                    <w:right w:val="single" w:color="auto" w:sz="4" w:space="0"/>
                  </w:tcBorders>
                  <w:vAlign w:val="center"/>
                </w:tcPr>
                <w:p w14:paraId="4C9179ED">
                  <w:pPr>
                    <w:jc w:val="center"/>
                    <w:rPr>
                      <w:rFonts w:hint="eastAsia" w:ascii="Times New Roman" w:hAnsi="Times New Roman" w:eastAsia="宋体" w:cs="Times New Roman"/>
                      <w:color w:val="auto"/>
                      <w:lang w:val="en-US" w:eastAsia="zh-CN"/>
                    </w:rPr>
                  </w:pPr>
                </w:p>
              </w:tc>
            </w:tr>
            <w:tr w14:paraId="4E8F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287" w:type="pct"/>
                  <w:vMerge w:val="continue"/>
                  <w:tcBorders>
                    <w:left w:val="single" w:color="auto" w:sz="4" w:space="0"/>
                    <w:right w:val="single" w:color="auto" w:sz="4" w:space="0"/>
                  </w:tcBorders>
                  <w:vAlign w:val="center"/>
                </w:tcPr>
                <w:p w14:paraId="015EEA0D">
                  <w:pPr>
                    <w:jc w:val="center"/>
                    <w:rPr>
                      <w:rFonts w:hint="eastAsia" w:cs="宋体"/>
                      <w:color w:val="auto"/>
                      <w:sz w:val="22"/>
                      <w:szCs w:val="22"/>
                    </w:rPr>
                  </w:pPr>
                </w:p>
              </w:tc>
              <w:tc>
                <w:tcPr>
                  <w:tcW w:w="698" w:type="pct"/>
                  <w:vMerge w:val="continue"/>
                  <w:tcBorders>
                    <w:left w:val="single" w:color="auto" w:sz="4" w:space="0"/>
                    <w:right w:val="single" w:color="auto" w:sz="4" w:space="0"/>
                  </w:tcBorders>
                  <w:vAlign w:val="center"/>
                </w:tcPr>
                <w:p w14:paraId="5F336730">
                  <w:pPr>
                    <w:jc w:val="center"/>
                    <w:rPr>
                      <w:rFonts w:hint="eastAsia" w:cs="宋体"/>
                      <w:color w:val="auto"/>
                      <w:sz w:val="22"/>
                      <w:szCs w:val="22"/>
                    </w:rPr>
                  </w:pPr>
                </w:p>
              </w:tc>
              <w:tc>
                <w:tcPr>
                  <w:tcW w:w="625" w:type="pct"/>
                  <w:vMerge w:val="continue"/>
                  <w:tcBorders>
                    <w:left w:val="single" w:color="auto" w:sz="4" w:space="0"/>
                    <w:right w:val="single" w:color="auto" w:sz="4" w:space="0"/>
                  </w:tcBorders>
                  <w:vAlign w:val="center"/>
                </w:tcPr>
                <w:p w14:paraId="10C5AB5E">
                  <w:pPr>
                    <w:jc w:val="center"/>
                    <w:rPr>
                      <w:rFonts w:hint="eastAsia" w:cs="宋体"/>
                      <w:color w:val="auto"/>
                      <w:sz w:val="22"/>
                      <w:szCs w:val="22"/>
                    </w:rPr>
                  </w:pPr>
                </w:p>
              </w:tc>
              <w:tc>
                <w:tcPr>
                  <w:tcW w:w="757" w:type="pct"/>
                  <w:vMerge w:val="continue"/>
                  <w:tcBorders>
                    <w:left w:val="single" w:color="auto" w:sz="4" w:space="0"/>
                    <w:right w:val="single" w:color="auto" w:sz="4" w:space="0"/>
                  </w:tcBorders>
                  <w:vAlign w:val="center"/>
                </w:tcPr>
                <w:p w14:paraId="75B1ED3A">
                  <w:pPr>
                    <w:jc w:val="center"/>
                    <w:rPr>
                      <w:rFonts w:hint="eastAsia" w:cs="宋体"/>
                      <w:color w:val="auto"/>
                      <w:sz w:val="22"/>
                      <w:szCs w:val="22"/>
                    </w:rPr>
                  </w:pPr>
                </w:p>
              </w:tc>
              <w:tc>
                <w:tcPr>
                  <w:tcW w:w="718" w:type="pct"/>
                  <w:tcBorders>
                    <w:top w:val="single" w:color="auto" w:sz="4" w:space="0"/>
                    <w:left w:val="single" w:color="auto" w:sz="4" w:space="0"/>
                    <w:bottom w:val="single" w:color="auto" w:sz="4" w:space="0"/>
                    <w:right w:val="single" w:color="auto" w:sz="4" w:space="0"/>
                  </w:tcBorders>
                  <w:vAlign w:val="center"/>
                </w:tcPr>
                <w:p w14:paraId="7CEFE3C6">
                  <w:pPr>
                    <w:jc w:val="center"/>
                    <w:rPr>
                      <w:rFonts w:hint="eastAsia" w:cs="宋体"/>
                      <w:color w:val="auto"/>
                      <w:sz w:val="22"/>
                      <w:szCs w:val="22"/>
                    </w:rPr>
                  </w:pPr>
                  <w:r>
                    <w:rPr>
                      <w:rFonts w:hint="eastAsia"/>
                      <w:color w:val="auto"/>
                      <w:lang w:val="en-US" w:eastAsia="zh-CN"/>
                    </w:rPr>
                    <w:t>氟化物</w:t>
                  </w:r>
                </w:p>
              </w:tc>
              <w:tc>
                <w:tcPr>
                  <w:tcW w:w="1332" w:type="pct"/>
                  <w:vMerge w:val="continue"/>
                  <w:tcBorders>
                    <w:left w:val="single" w:color="auto" w:sz="4" w:space="0"/>
                    <w:right w:val="single" w:color="auto" w:sz="4" w:space="0"/>
                  </w:tcBorders>
                  <w:vAlign w:val="center"/>
                </w:tcPr>
                <w:p w14:paraId="4348E74F">
                  <w:pPr>
                    <w:jc w:val="center"/>
                    <w:rPr>
                      <w:rFonts w:hint="eastAsia" w:ascii="Times New Roman" w:hAnsi="Times New Roman" w:eastAsia="宋体" w:cs="Times New Roman"/>
                      <w:color w:val="auto"/>
                      <w:lang w:val="en-US" w:eastAsia="zh-CN"/>
                    </w:rPr>
                  </w:pPr>
                </w:p>
              </w:tc>
              <w:tc>
                <w:tcPr>
                  <w:tcW w:w="581" w:type="pct"/>
                  <w:tcBorders>
                    <w:left w:val="single" w:color="auto" w:sz="4" w:space="0"/>
                    <w:right w:val="single" w:color="auto" w:sz="4" w:space="0"/>
                  </w:tcBorders>
                  <w:vAlign w:val="center"/>
                </w:tcPr>
                <w:p w14:paraId="6DE02A41">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1次/半年</w:t>
                  </w:r>
                </w:p>
              </w:tc>
            </w:tr>
            <w:tr w14:paraId="2D59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02" w:hRule="atLeast"/>
                <w:jc w:val="center"/>
              </w:trPr>
              <w:tc>
                <w:tcPr>
                  <w:tcW w:w="287" w:type="pct"/>
                  <w:vMerge w:val="continue"/>
                  <w:tcBorders>
                    <w:top w:val="single" w:color="auto" w:sz="4" w:space="0"/>
                    <w:left w:val="single" w:color="auto" w:sz="4" w:space="0"/>
                    <w:bottom w:val="single" w:color="auto" w:sz="4" w:space="0"/>
                    <w:right w:val="single" w:color="auto" w:sz="4" w:space="0"/>
                  </w:tcBorders>
                  <w:vAlign w:val="center"/>
                </w:tcPr>
                <w:p w14:paraId="6C8AE26D">
                  <w:pPr>
                    <w:jc w:val="center"/>
                    <w:rPr>
                      <w:color w:val="auto"/>
                      <w:sz w:val="22"/>
                      <w:szCs w:val="22"/>
                    </w:rPr>
                  </w:pPr>
                </w:p>
              </w:tc>
              <w:tc>
                <w:tcPr>
                  <w:tcW w:w="698" w:type="pct"/>
                  <w:tcBorders>
                    <w:top w:val="single" w:color="auto" w:sz="4" w:space="0"/>
                    <w:left w:val="single" w:color="auto" w:sz="4" w:space="0"/>
                    <w:bottom w:val="single" w:color="auto" w:sz="4" w:space="0"/>
                    <w:right w:val="single" w:color="auto" w:sz="4" w:space="0"/>
                  </w:tcBorders>
                  <w:vAlign w:val="center"/>
                </w:tcPr>
                <w:p w14:paraId="4FB73D4C">
                  <w:pPr>
                    <w:jc w:val="center"/>
                    <w:rPr>
                      <w:color w:val="auto"/>
                      <w:sz w:val="22"/>
                      <w:szCs w:val="22"/>
                    </w:rPr>
                  </w:pPr>
                  <w:r>
                    <w:rPr>
                      <w:rFonts w:hint="eastAsia" w:cs="宋体"/>
                      <w:color w:val="auto"/>
                      <w:sz w:val="22"/>
                      <w:szCs w:val="22"/>
                    </w:rPr>
                    <w:t>厂界</w:t>
                  </w:r>
                </w:p>
              </w:tc>
              <w:tc>
                <w:tcPr>
                  <w:tcW w:w="625" w:type="pct"/>
                  <w:tcBorders>
                    <w:top w:val="single" w:color="auto" w:sz="4" w:space="0"/>
                    <w:left w:val="single" w:color="auto" w:sz="4" w:space="0"/>
                    <w:bottom w:val="single" w:color="auto" w:sz="4" w:space="0"/>
                    <w:right w:val="single" w:color="auto" w:sz="4" w:space="0"/>
                  </w:tcBorders>
                  <w:vAlign w:val="center"/>
                </w:tcPr>
                <w:p w14:paraId="7714A5D8">
                  <w:pPr>
                    <w:jc w:val="center"/>
                    <w:rPr>
                      <w:color w:val="auto"/>
                      <w:sz w:val="22"/>
                      <w:szCs w:val="22"/>
                    </w:rPr>
                  </w:pPr>
                  <w:r>
                    <w:rPr>
                      <w:color w:val="auto"/>
                      <w:sz w:val="22"/>
                      <w:szCs w:val="22"/>
                    </w:rPr>
                    <w:t>/</w:t>
                  </w:r>
                </w:p>
              </w:tc>
              <w:tc>
                <w:tcPr>
                  <w:tcW w:w="757" w:type="pct"/>
                  <w:tcBorders>
                    <w:top w:val="single" w:color="auto" w:sz="4" w:space="0"/>
                    <w:left w:val="single" w:color="auto" w:sz="4" w:space="0"/>
                    <w:bottom w:val="single" w:color="auto" w:sz="4" w:space="0"/>
                    <w:right w:val="single" w:color="auto" w:sz="4" w:space="0"/>
                  </w:tcBorders>
                  <w:vAlign w:val="center"/>
                </w:tcPr>
                <w:p w14:paraId="74FA64D4">
                  <w:pPr>
                    <w:jc w:val="center"/>
                    <w:rPr>
                      <w:color w:val="auto"/>
                      <w:sz w:val="22"/>
                      <w:szCs w:val="22"/>
                    </w:rPr>
                  </w:pPr>
                  <w:r>
                    <w:rPr>
                      <w:rFonts w:hint="eastAsia" w:cs="宋体"/>
                      <w:color w:val="auto"/>
                      <w:sz w:val="22"/>
                      <w:szCs w:val="22"/>
                    </w:rPr>
                    <w:t>上风向设置</w:t>
                  </w:r>
                  <w:r>
                    <w:rPr>
                      <w:color w:val="auto"/>
                      <w:sz w:val="22"/>
                      <w:szCs w:val="22"/>
                    </w:rPr>
                    <w:t>1</w:t>
                  </w:r>
                  <w:r>
                    <w:rPr>
                      <w:rFonts w:hint="eastAsia" w:cs="宋体"/>
                      <w:color w:val="auto"/>
                      <w:sz w:val="22"/>
                      <w:szCs w:val="22"/>
                    </w:rPr>
                    <w:t>个、下风向各</w:t>
                  </w:r>
                  <w:r>
                    <w:rPr>
                      <w:color w:val="auto"/>
                      <w:sz w:val="22"/>
                      <w:szCs w:val="22"/>
                    </w:rPr>
                    <w:t>3</w:t>
                  </w:r>
                  <w:r>
                    <w:rPr>
                      <w:rFonts w:hint="eastAsia" w:cs="宋体"/>
                      <w:color w:val="auto"/>
                      <w:sz w:val="22"/>
                      <w:szCs w:val="22"/>
                    </w:rPr>
                    <w:t>个监测点位</w:t>
                  </w:r>
                </w:p>
              </w:tc>
              <w:tc>
                <w:tcPr>
                  <w:tcW w:w="718" w:type="pct"/>
                  <w:tcBorders>
                    <w:top w:val="single" w:color="auto" w:sz="4" w:space="0"/>
                    <w:left w:val="single" w:color="auto" w:sz="4" w:space="0"/>
                    <w:bottom w:val="single" w:color="auto" w:sz="4" w:space="0"/>
                    <w:right w:val="single" w:color="auto" w:sz="4" w:space="0"/>
                  </w:tcBorders>
                  <w:vAlign w:val="center"/>
                </w:tcPr>
                <w:p w14:paraId="0980908D">
                  <w:pPr>
                    <w:jc w:val="center"/>
                    <w:rPr>
                      <w:rFonts w:hint="eastAsia" w:eastAsia="宋体" w:cs="宋体"/>
                      <w:color w:val="auto"/>
                      <w:sz w:val="22"/>
                      <w:szCs w:val="22"/>
                      <w:lang w:eastAsia="zh-CN"/>
                    </w:rPr>
                  </w:pPr>
                  <w:r>
                    <w:rPr>
                      <w:rFonts w:hint="eastAsia" w:cs="宋体"/>
                      <w:color w:val="auto"/>
                      <w:sz w:val="22"/>
                      <w:szCs w:val="22"/>
                    </w:rPr>
                    <w:t>颗粒物、二氧化硫、氟化物、臭气浓度</w:t>
                  </w:r>
                </w:p>
              </w:tc>
              <w:tc>
                <w:tcPr>
                  <w:tcW w:w="1332" w:type="pct"/>
                  <w:tcBorders>
                    <w:left w:val="single" w:color="auto" w:sz="4" w:space="0"/>
                    <w:right w:val="single" w:color="auto" w:sz="4" w:space="0"/>
                  </w:tcBorders>
                  <w:vAlign w:val="center"/>
                </w:tcPr>
                <w:p w14:paraId="5B902A91">
                  <w:pPr>
                    <w:jc w:val="center"/>
                    <w:rPr>
                      <w:color w:val="auto"/>
                      <w:sz w:val="22"/>
                      <w:szCs w:val="22"/>
                    </w:rPr>
                  </w:pPr>
                  <w:r>
                    <w:rPr>
                      <w:rFonts w:hint="eastAsia" w:ascii="Times New Roman" w:hAnsi="Times New Roman" w:eastAsia="宋体" w:cs="宋体"/>
                      <w:color w:val="auto"/>
                      <w:sz w:val="22"/>
                      <w:szCs w:val="22"/>
                    </w:rPr>
                    <w:t>《砖瓦工业大气污染物排放标准》（DB34/ 4362-2023）</w:t>
                  </w:r>
                  <w:r>
                    <w:rPr>
                      <w:rFonts w:hint="eastAsia" w:ascii="Times New Roman" w:hAnsi="Times New Roman" w:eastAsia="宋体" w:cs="宋体"/>
                      <w:color w:val="auto"/>
                      <w:sz w:val="22"/>
                      <w:szCs w:val="22"/>
                      <w:lang w:eastAsia="zh-CN"/>
                    </w:rPr>
                    <w:t>、</w:t>
                  </w:r>
                  <w:r>
                    <w:rPr>
                      <w:rFonts w:hint="eastAsia" w:cs="宋体"/>
                      <w:color w:val="auto"/>
                      <w:sz w:val="22"/>
                      <w:szCs w:val="22"/>
                    </w:rPr>
                    <w:t>《恶臭污染物排放标准》（GB14554-93）</w:t>
                  </w:r>
                </w:p>
              </w:tc>
              <w:tc>
                <w:tcPr>
                  <w:tcW w:w="581" w:type="pct"/>
                  <w:tcBorders>
                    <w:top w:val="single" w:color="auto" w:sz="4" w:space="0"/>
                    <w:left w:val="single" w:color="auto" w:sz="4" w:space="0"/>
                    <w:bottom w:val="single" w:color="auto" w:sz="4" w:space="0"/>
                    <w:right w:val="single" w:color="auto" w:sz="4" w:space="0"/>
                  </w:tcBorders>
                  <w:vAlign w:val="center"/>
                </w:tcPr>
                <w:p w14:paraId="08D31665">
                  <w:pPr>
                    <w:jc w:val="center"/>
                    <w:rPr>
                      <w:color w:val="auto"/>
                      <w:sz w:val="22"/>
                      <w:szCs w:val="22"/>
                    </w:rPr>
                  </w:pPr>
                  <w:r>
                    <w:rPr>
                      <w:color w:val="auto"/>
                      <w:sz w:val="22"/>
                      <w:szCs w:val="22"/>
                    </w:rPr>
                    <w:t>1</w:t>
                  </w:r>
                  <w:r>
                    <w:rPr>
                      <w:rFonts w:hint="eastAsia" w:cs="宋体"/>
                      <w:color w:val="auto"/>
                      <w:sz w:val="22"/>
                      <w:szCs w:val="22"/>
                    </w:rPr>
                    <w:t>次</w:t>
                  </w:r>
                  <w:r>
                    <w:rPr>
                      <w:color w:val="auto"/>
                      <w:sz w:val="22"/>
                      <w:szCs w:val="22"/>
                    </w:rPr>
                    <w:t>/</w:t>
                  </w:r>
                  <w:r>
                    <w:rPr>
                      <w:rFonts w:hint="eastAsia" w:cs="宋体"/>
                      <w:color w:val="auto"/>
                      <w:sz w:val="22"/>
                      <w:szCs w:val="22"/>
                    </w:rPr>
                    <w:t>年</w:t>
                  </w:r>
                </w:p>
              </w:tc>
            </w:tr>
          </w:tbl>
          <w:p w14:paraId="49021DC0">
            <w:pPr>
              <w:rPr>
                <w:color w:val="auto"/>
                <w:vertAlign w:val="baseline"/>
              </w:rPr>
            </w:pPr>
          </w:p>
        </w:tc>
      </w:tr>
    </w:tbl>
    <w:p w14:paraId="0F333BA9">
      <w:pPr>
        <w:rPr>
          <w:color w:val="auto"/>
        </w:rPr>
        <w:sectPr>
          <w:pgSz w:w="11907" w:h="16840"/>
          <w:pgMar w:top="1701" w:right="1531" w:bottom="1134" w:left="1531" w:header="851" w:footer="851" w:gutter="0"/>
          <w:cols w:space="720" w:num="1"/>
          <w:docGrid w:linePitch="312" w:charSpace="0"/>
        </w:sect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2536"/>
      </w:tblGrid>
      <w:tr w14:paraId="067F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6" w:hRule="atLeast"/>
        </w:trPr>
        <w:tc>
          <w:tcPr>
            <w:tcW w:w="1563" w:type="dxa"/>
          </w:tcPr>
          <w:p w14:paraId="116E159F">
            <w:pPr>
              <w:adjustRightInd w:val="0"/>
              <w:snapToGrid w:val="0"/>
              <w:spacing w:line="360" w:lineRule="auto"/>
              <w:rPr>
                <w:rFonts w:ascii="宋体"/>
                <w:b/>
                <w:bCs/>
                <w:color w:val="auto"/>
                <w:kern w:val="0"/>
                <w:sz w:val="28"/>
                <w:szCs w:val="28"/>
                <w:vertAlign w:val="baseline"/>
              </w:rPr>
            </w:pPr>
          </w:p>
        </w:tc>
        <w:tc>
          <w:tcPr>
            <w:tcW w:w="12536" w:type="dxa"/>
          </w:tcPr>
          <w:p w14:paraId="72797C04">
            <w:pPr>
              <w:spacing w:before="240" w:beforeLines="100" w:line="360" w:lineRule="auto"/>
              <w:ind w:firstLine="482" w:firstLineChars="200"/>
              <w:rPr>
                <w:rStyle w:val="84"/>
                <w:b/>
                <w:bCs/>
                <w:color w:val="auto"/>
              </w:rPr>
            </w:pPr>
            <w:r>
              <w:rPr>
                <w:rStyle w:val="84"/>
                <w:b/>
                <w:bCs/>
                <w:color w:val="auto"/>
              </w:rPr>
              <w:t>3</w:t>
            </w:r>
            <w:r>
              <w:rPr>
                <w:rStyle w:val="84"/>
                <w:rFonts w:hint="eastAsia"/>
                <w:b/>
                <w:bCs/>
                <w:color w:val="auto"/>
              </w:rPr>
              <w:t xml:space="preserve"> </w:t>
            </w:r>
            <w:r>
              <w:rPr>
                <w:rStyle w:val="84"/>
                <w:rFonts w:hint="eastAsia" w:cs="宋体"/>
                <w:b/>
                <w:bCs/>
                <w:color w:val="auto"/>
              </w:rPr>
              <w:t>声环境影响及保护措施</w:t>
            </w:r>
          </w:p>
          <w:p w14:paraId="0C5AB958">
            <w:pPr>
              <w:spacing w:line="360" w:lineRule="auto"/>
              <w:ind w:firstLine="482" w:firstLineChars="200"/>
              <w:rPr>
                <w:rStyle w:val="84"/>
                <w:rFonts w:cs="宋体"/>
                <w:b/>
                <w:bCs/>
                <w:color w:val="auto"/>
              </w:rPr>
            </w:pPr>
            <w:r>
              <w:rPr>
                <w:rStyle w:val="84"/>
                <w:b/>
                <w:bCs/>
                <w:color w:val="auto"/>
              </w:rPr>
              <w:t>3.1</w:t>
            </w:r>
            <w:r>
              <w:rPr>
                <w:rStyle w:val="84"/>
                <w:rFonts w:hint="eastAsia" w:cs="宋体"/>
                <w:b/>
                <w:bCs/>
                <w:color w:val="auto"/>
              </w:rPr>
              <w:t>噪声源强</w:t>
            </w:r>
          </w:p>
          <w:p w14:paraId="3FE29EBF">
            <w:pPr>
              <w:spacing w:line="360" w:lineRule="auto"/>
              <w:ind w:firstLine="480" w:firstLineChars="200"/>
              <w:rPr>
                <w:rStyle w:val="84"/>
                <w:b w:val="0"/>
                <w:bCs w:val="0"/>
                <w:color w:val="auto"/>
              </w:rPr>
            </w:pPr>
            <w:r>
              <w:rPr>
                <w:rStyle w:val="84"/>
                <w:rFonts w:hint="eastAsia" w:cs="宋体"/>
                <w:b w:val="0"/>
                <w:bCs w:val="0"/>
                <w:color w:val="auto"/>
              </w:rPr>
              <w:t>本项目噪声主要</w:t>
            </w:r>
            <w:bookmarkStart w:id="3" w:name="_Hlk525050712"/>
            <w:r>
              <w:rPr>
                <w:rStyle w:val="84"/>
                <w:rFonts w:hint="eastAsia" w:cs="宋体"/>
                <w:b w:val="0"/>
                <w:bCs w:val="0"/>
                <w:color w:val="auto"/>
              </w:rPr>
              <w:t>来源于切坯切条机、破碎机、搅拌机等机械设备运行过程产生的机械噪声，单台设备产生的噪声值约为</w:t>
            </w:r>
            <w:r>
              <w:rPr>
                <w:rStyle w:val="84"/>
                <w:b w:val="0"/>
                <w:bCs w:val="0"/>
                <w:color w:val="auto"/>
              </w:rPr>
              <w:t xml:space="preserve"> 75~80 GB</w:t>
            </w:r>
            <w:r>
              <w:rPr>
                <w:rStyle w:val="84"/>
                <w:rFonts w:hint="eastAsia"/>
                <w:b w:val="0"/>
                <w:bCs w:val="0"/>
                <w:color w:val="auto"/>
              </w:rPr>
              <w:t>（</w:t>
            </w:r>
            <w:r>
              <w:rPr>
                <w:rStyle w:val="84"/>
                <w:b w:val="0"/>
                <w:bCs w:val="0"/>
                <w:color w:val="auto"/>
              </w:rPr>
              <w:t>A</w:t>
            </w:r>
            <w:r>
              <w:rPr>
                <w:rStyle w:val="84"/>
                <w:rFonts w:hint="eastAsia"/>
                <w:b w:val="0"/>
                <w:bCs w:val="0"/>
                <w:color w:val="auto"/>
              </w:rPr>
              <w:t>）</w:t>
            </w:r>
            <w:r>
              <w:rPr>
                <w:rStyle w:val="84"/>
                <w:rFonts w:hint="eastAsia" w:cs="宋体"/>
                <w:b w:val="0"/>
                <w:bCs w:val="0"/>
                <w:color w:val="auto"/>
              </w:rPr>
              <w:t>。</w:t>
            </w:r>
          </w:p>
          <w:p w14:paraId="44B7E8FA">
            <w:pPr>
              <w:spacing w:line="360" w:lineRule="auto"/>
              <w:ind w:firstLine="480" w:firstLineChars="200"/>
              <w:rPr>
                <w:rStyle w:val="84"/>
                <w:b w:val="0"/>
                <w:bCs w:val="0"/>
                <w:color w:val="auto"/>
              </w:rPr>
            </w:pPr>
            <w:r>
              <w:rPr>
                <w:rStyle w:val="84"/>
                <w:rFonts w:hint="eastAsia" w:cs="宋体"/>
                <w:b w:val="0"/>
                <w:bCs w:val="0"/>
                <w:color w:val="auto"/>
              </w:rPr>
              <w:t>生产设备均放置于各生产车间内，钢混结构厂房，综合隔声量可达</w:t>
            </w:r>
            <w:r>
              <w:rPr>
                <w:rStyle w:val="84"/>
                <w:b w:val="0"/>
                <w:bCs w:val="0"/>
                <w:color w:val="auto"/>
              </w:rPr>
              <w:t xml:space="preserve"> 25 GB</w:t>
            </w:r>
            <w:r>
              <w:rPr>
                <w:rStyle w:val="84"/>
                <w:rFonts w:hint="eastAsia"/>
                <w:b w:val="0"/>
                <w:bCs w:val="0"/>
                <w:color w:val="auto"/>
              </w:rPr>
              <w:t>（</w:t>
            </w:r>
            <w:r>
              <w:rPr>
                <w:rStyle w:val="84"/>
                <w:b w:val="0"/>
                <w:bCs w:val="0"/>
                <w:color w:val="auto"/>
              </w:rPr>
              <w:t>A</w:t>
            </w:r>
            <w:r>
              <w:rPr>
                <w:rStyle w:val="84"/>
                <w:rFonts w:hint="eastAsia"/>
                <w:b w:val="0"/>
                <w:bCs w:val="0"/>
                <w:color w:val="auto"/>
              </w:rPr>
              <w:t>）</w:t>
            </w:r>
            <w:r>
              <w:rPr>
                <w:rStyle w:val="84"/>
                <w:rFonts w:hint="eastAsia" w:cs="宋体"/>
                <w:b w:val="0"/>
                <w:bCs w:val="0"/>
                <w:color w:val="auto"/>
              </w:rPr>
              <w:t>以上，各设备噪声值见下表。</w:t>
            </w:r>
          </w:p>
          <w:bookmarkEnd w:id="3"/>
          <w:p w14:paraId="01BEA24B">
            <w:pPr>
              <w:numPr>
                <w:ilvl w:val="0"/>
                <w:numId w:val="0"/>
              </w:numPr>
              <w:adjustRightInd w:val="0"/>
              <w:snapToGrid w:val="0"/>
              <w:ind w:leftChars="0" w:firstLine="562" w:firstLineChars="200"/>
              <w:jc w:val="left"/>
              <w:textAlignment w:val="bottom"/>
              <w:rPr>
                <w:rFonts w:ascii="宋体"/>
                <w:b/>
                <w:bCs/>
                <w:color w:val="auto"/>
                <w:kern w:val="0"/>
                <w:sz w:val="28"/>
                <w:szCs w:val="28"/>
                <w:vertAlign w:val="baseline"/>
              </w:rPr>
            </w:pPr>
          </w:p>
        </w:tc>
      </w:tr>
    </w:tbl>
    <w:p w14:paraId="7767FCFC">
      <w:pPr>
        <w:adjustRightInd w:val="0"/>
        <w:snapToGrid w:val="0"/>
        <w:spacing w:line="360" w:lineRule="auto"/>
        <w:rPr>
          <w:rFonts w:ascii="宋体"/>
          <w:b/>
          <w:bCs/>
          <w:color w:val="auto"/>
          <w:kern w:val="0"/>
          <w:sz w:val="28"/>
          <w:szCs w:val="28"/>
        </w:rPr>
        <w:sectPr>
          <w:pgSz w:w="16840" w:h="11907" w:orient="landscape"/>
          <w:pgMar w:top="1531" w:right="1701" w:bottom="1531" w:left="1134" w:header="851" w:footer="851" w:gutter="0"/>
          <w:cols w:space="720" w:num="1"/>
          <w:docGrid w:linePitch="312" w:charSpace="0"/>
        </w:sect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8173"/>
      </w:tblGrid>
      <w:tr w14:paraId="3FD4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1" w:hRule="atLeast"/>
        </w:trPr>
        <w:tc>
          <w:tcPr>
            <w:tcW w:w="888" w:type="dxa"/>
          </w:tcPr>
          <w:p w14:paraId="643CE95D">
            <w:pPr>
              <w:adjustRightInd w:val="0"/>
              <w:snapToGrid w:val="0"/>
              <w:spacing w:line="360" w:lineRule="auto"/>
              <w:rPr>
                <w:rFonts w:ascii="宋体"/>
                <w:b/>
                <w:bCs/>
                <w:color w:val="auto"/>
                <w:kern w:val="0"/>
                <w:sz w:val="28"/>
                <w:szCs w:val="28"/>
                <w:vertAlign w:val="baseline"/>
              </w:rPr>
            </w:pPr>
          </w:p>
        </w:tc>
        <w:tc>
          <w:tcPr>
            <w:tcW w:w="8173" w:type="dxa"/>
          </w:tcPr>
          <w:p w14:paraId="2AC94681">
            <w:pPr>
              <w:keepNext w:val="0"/>
              <w:keepLines w:val="0"/>
              <w:pageBreakBefore w:val="0"/>
              <w:widowControl w:val="0"/>
              <w:kinsoku/>
              <w:wordWrap/>
              <w:overflowPunct/>
              <w:topLinePunct w:val="0"/>
              <w:autoSpaceDE/>
              <w:autoSpaceDN/>
              <w:bidi w:val="0"/>
              <w:adjustRightInd/>
              <w:snapToGrid/>
              <w:spacing w:before="313" w:beforeLines="100" w:line="360" w:lineRule="auto"/>
              <w:ind w:firstLine="482" w:firstLineChars="200"/>
              <w:textAlignment w:val="auto"/>
              <w:rPr>
                <w:color w:val="auto"/>
                <w:sz w:val="24"/>
                <w:szCs w:val="24"/>
              </w:rPr>
            </w:pPr>
            <w:r>
              <w:rPr>
                <w:rStyle w:val="84"/>
                <w:b/>
                <w:bCs/>
                <w:color w:val="auto"/>
              </w:rPr>
              <w:t>3.</w:t>
            </w:r>
            <w:r>
              <w:rPr>
                <w:rStyle w:val="84"/>
                <w:rFonts w:hint="eastAsia"/>
                <w:b/>
                <w:bCs/>
                <w:color w:val="auto"/>
                <w:lang w:val="en-US"/>
              </w:rPr>
              <w:t>2</w:t>
            </w:r>
            <w:r>
              <w:rPr>
                <w:rStyle w:val="84"/>
                <w:rFonts w:hint="eastAsia" w:cs="宋体"/>
                <w:b/>
                <w:bCs/>
                <w:color w:val="auto"/>
                <w:highlight w:val="none"/>
              </w:rPr>
              <w:t>噪声预测</w:t>
            </w:r>
          </w:p>
          <w:p w14:paraId="0A50E33D">
            <w:pPr>
              <w:widowControl/>
              <w:snapToGrid w:val="0"/>
              <w:spacing w:line="360" w:lineRule="auto"/>
              <w:ind w:firstLine="480" w:firstLineChars="200"/>
              <w:jc w:val="left"/>
              <w:rPr>
                <w:color w:val="auto"/>
                <w:sz w:val="24"/>
                <w:szCs w:val="24"/>
              </w:rPr>
            </w:pPr>
            <w:r>
              <w:rPr>
                <w:color w:val="auto"/>
                <w:sz w:val="24"/>
                <w:szCs w:val="24"/>
              </w:rPr>
              <w:t>采用《环境影响评价技术导则—声环境》（HJ2.4－2021）中的工业噪声预测模式。工业声源有室外和室内两种声源</w:t>
            </w:r>
            <w:r>
              <w:rPr>
                <w:rFonts w:hint="eastAsia"/>
                <w:color w:val="auto"/>
                <w:sz w:val="24"/>
                <w:szCs w:val="24"/>
                <w:lang w:eastAsia="zh-CN"/>
              </w:rPr>
              <w:t>，</w:t>
            </w:r>
            <w:r>
              <w:rPr>
                <w:color w:val="auto"/>
                <w:sz w:val="24"/>
                <w:szCs w:val="24"/>
              </w:rPr>
              <w:t>应分别计算。可根据预测点和声源之间的距离r</w:t>
            </w:r>
            <w:r>
              <w:rPr>
                <w:rFonts w:hint="eastAsia"/>
                <w:color w:val="auto"/>
                <w:sz w:val="24"/>
                <w:szCs w:val="24"/>
                <w:lang w:eastAsia="zh-CN"/>
              </w:rPr>
              <w:t>，</w:t>
            </w:r>
            <w:r>
              <w:rPr>
                <w:color w:val="auto"/>
                <w:sz w:val="24"/>
                <w:szCs w:val="24"/>
              </w:rPr>
              <w:t>根据声源发出声波的波阵面</w:t>
            </w:r>
            <w:r>
              <w:rPr>
                <w:rFonts w:hint="eastAsia"/>
                <w:color w:val="auto"/>
                <w:sz w:val="24"/>
                <w:szCs w:val="24"/>
                <w:lang w:eastAsia="zh-CN"/>
              </w:rPr>
              <w:t>，</w:t>
            </w:r>
            <w:r>
              <w:rPr>
                <w:color w:val="auto"/>
                <w:sz w:val="24"/>
                <w:szCs w:val="24"/>
              </w:rPr>
              <w:t>将声源划分为点声源、线声源、面声源后进行预测。在环境影响评价中遇到的实际声源一般将其划分为点声源进行预测。拟建项目对声环境产生影响的主要噪声源</w:t>
            </w:r>
            <w:r>
              <w:rPr>
                <w:rFonts w:hint="eastAsia"/>
                <w:color w:val="auto"/>
                <w:sz w:val="24"/>
                <w:szCs w:val="24"/>
                <w:lang w:eastAsia="zh-CN"/>
              </w:rPr>
              <w:t>，</w:t>
            </w:r>
            <w:r>
              <w:rPr>
                <w:color w:val="auto"/>
                <w:sz w:val="24"/>
                <w:szCs w:val="24"/>
              </w:rPr>
              <w:t>按其辐射噪声和结构特点</w:t>
            </w:r>
            <w:r>
              <w:rPr>
                <w:rFonts w:hint="eastAsia"/>
                <w:color w:val="auto"/>
                <w:sz w:val="24"/>
                <w:szCs w:val="24"/>
                <w:lang w:eastAsia="zh-CN"/>
              </w:rPr>
              <w:t>，</w:t>
            </w:r>
            <w:r>
              <w:rPr>
                <w:color w:val="auto"/>
                <w:sz w:val="24"/>
                <w:szCs w:val="24"/>
              </w:rPr>
              <w:t>安装位置的环境条件以及噪声源至预测点的距离等因素进行判断</w:t>
            </w:r>
            <w:r>
              <w:rPr>
                <w:rFonts w:hint="eastAsia"/>
                <w:color w:val="auto"/>
                <w:sz w:val="24"/>
                <w:szCs w:val="24"/>
                <w:lang w:eastAsia="zh-CN"/>
              </w:rPr>
              <w:t>，</w:t>
            </w:r>
            <w:r>
              <w:rPr>
                <w:color w:val="auto"/>
                <w:sz w:val="24"/>
                <w:szCs w:val="24"/>
              </w:rPr>
              <w:t>逐一计算某一声源在预测点上产生的声压级（dB）。</w:t>
            </w:r>
          </w:p>
          <w:p w14:paraId="30D64790">
            <w:pPr>
              <w:widowControl/>
              <w:snapToGrid w:val="0"/>
              <w:spacing w:line="360" w:lineRule="auto"/>
              <w:ind w:firstLine="480" w:firstLineChars="200"/>
              <w:jc w:val="left"/>
              <w:rPr>
                <w:color w:val="auto"/>
                <w:sz w:val="24"/>
                <w:szCs w:val="24"/>
              </w:rPr>
            </w:pPr>
            <w:r>
              <w:rPr>
                <w:color w:val="auto"/>
                <w:sz w:val="24"/>
                <w:szCs w:val="24"/>
              </w:rPr>
              <w:t>1、室内声源</w:t>
            </w:r>
          </w:p>
          <w:p w14:paraId="4D6EBA2C">
            <w:pPr>
              <w:widowControl/>
              <w:snapToGrid w:val="0"/>
              <w:spacing w:line="360" w:lineRule="auto"/>
              <w:ind w:firstLine="480" w:firstLineChars="200"/>
              <w:jc w:val="left"/>
              <w:rPr>
                <w:color w:val="auto"/>
                <w:sz w:val="24"/>
                <w:szCs w:val="24"/>
              </w:rPr>
            </w:pPr>
            <w:r>
              <w:rPr>
                <w:rFonts w:hint="eastAsia"/>
                <w:color w:val="auto"/>
                <w:sz w:val="24"/>
                <w:szCs w:val="24"/>
              </w:rPr>
              <w:t>①</w:t>
            </w:r>
            <w:r>
              <w:rPr>
                <w:color w:val="auto"/>
                <w:sz w:val="24"/>
                <w:szCs w:val="24"/>
              </w:rPr>
              <w:t>结合下式计算某个室内声源在靠近围护结构处产生的倍频带声压级：</w:t>
            </w:r>
          </w:p>
          <w:p w14:paraId="27DAAD5F">
            <w:pPr>
              <w:widowControl/>
              <w:snapToGrid w:val="0"/>
              <w:spacing w:line="360" w:lineRule="auto"/>
              <w:ind w:firstLine="480" w:firstLineChars="200"/>
              <w:jc w:val="left"/>
              <w:rPr>
                <w:color w:val="auto"/>
                <w:sz w:val="24"/>
                <w:szCs w:val="24"/>
              </w:rPr>
            </w:pPr>
            <w:r>
              <w:rPr>
                <w:color w:val="auto"/>
                <w:sz w:val="24"/>
                <w:szCs w:val="24"/>
              </w:rPr>
              <w:drawing>
                <wp:inline distT="0" distB="0" distL="114300" distR="114300">
                  <wp:extent cx="1943100" cy="48006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1943100" cy="480060"/>
                          </a:xfrm>
                          <a:prstGeom prst="rect">
                            <a:avLst/>
                          </a:prstGeom>
                          <a:noFill/>
                          <a:ln>
                            <a:noFill/>
                          </a:ln>
                        </pic:spPr>
                      </pic:pic>
                    </a:graphicData>
                  </a:graphic>
                </wp:inline>
              </w:drawing>
            </w:r>
          </w:p>
          <w:p w14:paraId="7DC48022">
            <w:pPr>
              <w:widowControl/>
              <w:snapToGrid w:val="0"/>
              <w:spacing w:line="360" w:lineRule="auto"/>
              <w:ind w:firstLine="480" w:firstLineChars="200"/>
              <w:jc w:val="left"/>
              <w:rPr>
                <w:color w:val="auto"/>
                <w:sz w:val="24"/>
                <w:szCs w:val="24"/>
              </w:rPr>
            </w:pPr>
            <w:r>
              <w:rPr>
                <w:color w:val="auto"/>
                <w:sz w:val="24"/>
                <w:szCs w:val="24"/>
              </w:rPr>
              <w:t>式中：</w:t>
            </w:r>
            <w:r>
              <w:rPr>
                <w:color w:val="auto"/>
                <w:sz w:val="24"/>
                <w:szCs w:val="24"/>
              </w:rPr>
              <w:drawing>
                <wp:inline distT="0" distB="0" distL="114300" distR="114300">
                  <wp:extent cx="313690" cy="24066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313690" cy="240665"/>
                          </a:xfrm>
                          <a:prstGeom prst="rect">
                            <a:avLst/>
                          </a:prstGeom>
                          <a:noFill/>
                          <a:ln>
                            <a:noFill/>
                          </a:ln>
                        </pic:spPr>
                      </pic:pic>
                    </a:graphicData>
                  </a:graphic>
                </wp:inline>
              </w:drawing>
            </w:r>
            <w:r>
              <w:rPr>
                <w:color w:val="auto"/>
                <w:sz w:val="24"/>
                <w:szCs w:val="24"/>
              </w:rPr>
              <w:t>—某个室内声源在靠近围护结构处产生的倍频带声压级</w:t>
            </w:r>
            <w:r>
              <w:rPr>
                <w:rFonts w:hint="eastAsia"/>
                <w:color w:val="auto"/>
                <w:sz w:val="24"/>
                <w:szCs w:val="24"/>
                <w:lang w:eastAsia="zh-CN"/>
              </w:rPr>
              <w:t>，</w:t>
            </w:r>
            <w:r>
              <w:rPr>
                <w:color w:val="auto"/>
                <w:sz w:val="24"/>
                <w:szCs w:val="24"/>
              </w:rPr>
              <w:t>dB；</w:t>
            </w:r>
          </w:p>
          <w:p w14:paraId="4C256AE6">
            <w:pPr>
              <w:widowControl/>
              <w:snapToGrid w:val="0"/>
              <w:spacing w:line="360" w:lineRule="auto"/>
              <w:ind w:firstLine="480" w:firstLineChars="200"/>
              <w:jc w:val="left"/>
              <w:rPr>
                <w:color w:val="auto"/>
                <w:sz w:val="24"/>
                <w:szCs w:val="24"/>
              </w:rPr>
            </w:pPr>
            <w:r>
              <w:rPr>
                <w:color w:val="auto"/>
                <w:sz w:val="24"/>
                <w:szCs w:val="24"/>
              </w:rPr>
              <w:drawing>
                <wp:inline distT="0" distB="0" distL="114300" distR="114300">
                  <wp:extent cx="313690" cy="227330"/>
                  <wp:effectExtent l="0" t="0" r="381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a:stretch>
                            <a:fillRect/>
                          </a:stretch>
                        </pic:blipFill>
                        <pic:spPr>
                          <a:xfrm>
                            <a:off x="0" y="0"/>
                            <a:ext cx="313690" cy="227330"/>
                          </a:xfrm>
                          <a:prstGeom prst="rect">
                            <a:avLst/>
                          </a:prstGeom>
                          <a:noFill/>
                          <a:ln>
                            <a:noFill/>
                          </a:ln>
                        </pic:spPr>
                      </pic:pic>
                    </a:graphicData>
                  </a:graphic>
                </wp:inline>
              </w:drawing>
            </w:r>
            <w:r>
              <w:rPr>
                <w:color w:val="auto"/>
                <w:sz w:val="24"/>
                <w:szCs w:val="24"/>
              </w:rPr>
              <w:t>—某个声源的倍频带声功率级</w:t>
            </w:r>
            <w:r>
              <w:rPr>
                <w:rFonts w:hint="eastAsia"/>
                <w:color w:val="auto"/>
                <w:sz w:val="24"/>
                <w:szCs w:val="24"/>
                <w:lang w:eastAsia="zh-CN"/>
              </w:rPr>
              <w:t>，</w:t>
            </w:r>
            <w:r>
              <w:rPr>
                <w:color w:val="auto"/>
                <w:sz w:val="24"/>
                <w:szCs w:val="24"/>
              </w:rPr>
              <w:t>dB；</w:t>
            </w:r>
          </w:p>
          <w:p w14:paraId="07E8EF50">
            <w:pPr>
              <w:widowControl/>
              <w:snapToGrid w:val="0"/>
              <w:spacing w:line="360" w:lineRule="auto"/>
              <w:ind w:firstLine="480" w:firstLineChars="200"/>
              <w:jc w:val="left"/>
              <w:rPr>
                <w:color w:val="auto"/>
                <w:sz w:val="24"/>
                <w:szCs w:val="24"/>
              </w:rPr>
            </w:pPr>
            <w:r>
              <w:rPr>
                <w:color w:val="auto"/>
                <w:sz w:val="24"/>
                <w:szCs w:val="24"/>
              </w:rPr>
              <w:drawing>
                <wp:inline distT="0" distB="0" distL="114300" distR="114300">
                  <wp:extent cx="125730" cy="213360"/>
                  <wp:effectExtent l="0" t="0" r="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125730" cy="213360"/>
                          </a:xfrm>
                          <a:prstGeom prst="rect">
                            <a:avLst/>
                          </a:prstGeom>
                          <a:noFill/>
                          <a:ln>
                            <a:noFill/>
                          </a:ln>
                        </pic:spPr>
                      </pic:pic>
                    </a:graphicData>
                  </a:graphic>
                </wp:inline>
              </w:drawing>
            </w:r>
            <w:r>
              <w:rPr>
                <w:color w:val="auto"/>
                <w:sz w:val="24"/>
                <w:szCs w:val="24"/>
              </w:rPr>
              <w:t>—室内某个声源与靠近围护结构处的距离</w:t>
            </w:r>
            <w:r>
              <w:rPr>
                <w:rFonts w:hint="eastAsia"/>
                <w:color w:val="auto"/>
                <w:sz w:val="24"/>
                <w:szCs w:val="24"/>
                <w:lang w:eastAsia="zh-CN"/>
              </w:rPr>
              <w:t>，</w:t>
            </w:r>
            <w:r>
              <w:rPr>
                <w:color w:val="auto"/>
                <w:sz w:val="24"/>
                <w:szCs w:val="24"/>
              </w:rPr>
              <w:t>m；</w:t>
            </w:r>
          </w:p>
          <w:p w14:paraId="0FDBE8DF">
            <w:pPr>
              <w:widowControl/>
              <w:snapToGrid w:val="0"/>
              <w:spacing w:line="360" w:lineRule="auto"/>
              <w:ind w:firstLine="480" w:firstLineChars="200"/>
              <w:jc w:val="left"/>
              <w:rPr>
                <w:color w:val="auto"/>
                <w:sz w:val="24"/>
                <w:szCs w:val="24"/>
              </w:rPr>
            </w:pPr>
            <w:r>
              <w:rPr>
                <w:color w:val="auto"/>
                <w:sz w:val="24"/>
                <w:szCs w:val="24"/>
              </w:rPr>
              <w:drawing>
                <wp:inline distT="0" distB="0" distL="114300" distR="114300">
                  <wp:extent cx="151130" cy="163830"/>
                  <wp:effectExtent l="0" t="0" r="0" b="12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7"/>
                          <a:stretch>
                            <a:fillRect/>
                          </a:stretch>
                        </pic:blipFill>
                        <pic:spPr>
                          <a:xfrm>
                            <a:off x="0" y="0"/>
                            <a:ext cx="151130" cy="163830"/>
                          </a:xfrm>
                          <a:prstGeom prst="rect">
                            <a:avLst/>
                          </a:prstGeom>
                          <a:noFill/>
                          <a:ln>
                            <a:noFill/>
                          </a:ln>
                        </pic:spPr>
                      </pic:pic>
                    </a:graphicData>
                  </a:graphic>
                </wp:inline>
              </w:drawing>
            </w:r>
            <w:r>
              <w:rPr>
                <w:color w:val="auto"/>
                <w:sz w:val="24"/>
                <w:szCs w:val="24"/>
              </w:rPr>
              <w:t>—房间常数</w:t>
            </w:r>
            <w:r>
              <w:rPr>
                <w:rFonts w:hint="eastAsia"/>
                <w:color w:val="auto"/>
                <w:sz w:val="24"/>
                <w:szCs w:val="24"/>
                <w:lang w:eastAsia="zh-CN"/>
              </w:rPr>
              <w:t>，</w:t>
            </w:r>
            <w:r>
              <w:rPr>
                <w:color w:val="auto"/>
                <w:sz w:val="24"/>
                <w:szCs w:val="24"/>
              </w:rPr>
              <w:t>㎡；</w:t>
            </w:r>
          </w:p>
          <w:p w14:paraId="65C35913">
            <w:pPr>
              <w:widowControl/>
              <w:snapToGrid w:val="0"/>
              <w:spacing w:line="360" w:lineRule="auto"/>
              <w:ind w:firstLine="480" w:firstLineChars="200"/>
              <w:jc w:val="left"/>
              <w:rPr>
                <w:color w:val="auto"/>
                <w:sz w:val="24"/>
                <w:szCs w:val="24"/>
              </w:rPr>
            </w:pPr>
            <w:r>
              <w:rPr>
                <w:color w:val="auto"/>
                <w:sz w:val="24"/>
                <w:szCs w:val="24"/>
              </w:rPr>
              <w:drawing>
                <wp:inline distT="0" distB="0" distL="114300" distR="114300">
                  <wp:extent cx="151765" cy="201295"/>
                  <wp:effectExtent l="0" t="0" r="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8"/>
                          <a:stretch>
                            <a:fillRect/>
                          </a:stretch>
                        </pic:blipFill>
                        <pic:spPr>
                          <a:xfrm>
                            <a:off x="0" y="0"/>
                            <a:ext cx="151765" cy="201295"/>
                          </a:xfrm>
                          <a:prstGeom prst="rect">
                            <a:avLst/>
                          </a:prstGeom>
                          <a:noFill/>
                          <a:ln>
                            <a:noFill/>
                          </a:ln>
                        </pic:spPr>
                      </pic:pic>
                    </a:graphicData>
                  </a:graphic>
                </wp:inline>
              </w:drawing>
            </w:r>
            <w:r>
              <w:rPr>
                <w:color w:val="auto"/>
                <w:sz w:val="24"/>
                <w:szCs w:val="24"/>
              </w:rPr>
              <w:t>—方向性因子。</w:t>
            </w:r>
          </w:p>
          <w:p w14:paraId="73577055">
            <w:pPr>
              <w:widowControl/>
              <w:snapToGrid w:val="0"/>
              <w:spacing w:line="360" w:lineRule="auto"/>
              <w:ind w:firstLine="480" w:firstLineChars="200"/>
              <w:jc w:val="left"/>
              <w:rPr>
                <w:color w:val="auto"/>
                <w:sz w:val="24"/>
                <w:szCs w:val="24"/>
              </w:rPr>
            </w:pPr>
            <w:r>
              <w:rPr>
                <w:rFonts w:hint="eastAsia"/>
                <w:color w:val="auto"/>
                <w:sz w:val="24"/>
                <w:szCs w:val="24"/>
              </w:rPr>
              <w:t>②</w:t>
            </w:r>
            <w:r>
              <w:rPr>
                <w:color w:val="auto"/>
                <w:sz w:val="24"/>
                <w:szCs w:val="24"/>
              </w:rPr>
              <w:t>计算所有室内声源在靠近围护结构处产生的总倍频带声压级：</w:t>
            </w:r>
          </w:p>
          <w:p w14:paraId="59F49DA8">
            <w:pPr>
              <w:widowControl/>
              <w:snapToGrid w:val="0"/>
              <w:spacing w:line="360" w:lineRule="auto"/>
              <w:ind w:firstLine="480" w:firstLineChars="200"/>
              <w:jc w:val="left"/>
              <w:rPr>
                <w:color w:val="auto"/>
                <w:sz w:val="24"/>
                <w:szCs w:val="24"/>
              </w:rPr>
            </w:pPr>
            <w:r>
              <w:rPr>
                <w:color w:val="auto"/>
                <w:sz w:val="24"/>
                <w:szCs w:val="24"/>
              </w:rPr>
              <w:drawing>
                <wp:inline distT="0" distB="0" distL="114300" distR="114300">
                  <wp:extent cx="1816100" cy="454660"/>
                  <wp:effectExtent l="0" t="0" r="0" b="25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9"/>
                          <a:stretch>
                            <a:fillRect/>
                          </a:stretch>
                        </pic:blipFill>
                        <pic:spPr>
                          <a:xfrm>
                            <a:off x="0" y="0"/>
                            <a:ext cx="1816100" cy="454660"/>
                          </a:xfrm>
                          <a:prstGeom prst="rect">
                            <a:avLst/>
                          </a:prstGeom>
                          <a:noFill/>
                          <a:ln>
                            <a:noFill/>
                          </a:ln>
                        </pic:spPr>
                      </pic:pic>
                    </a:graphicData>
                  </a:graphic>
                </wp:inline>
              </w:drawing>
            </w:r>
          </w:p>
          <w:p w14:paraId="3C505749">
            <w:pPr>
              <w:widowControl/>
              <w:snapToGrid w:val="0"/>
              <w:spacing w:line="360" w:lineRule="auto"/>
              <w:ind w:firstLine="480" w:firstLineChars="200"/>
              <w:jc w:val="left"/>
              <w:rPr>
                <w:color w:val="auto"/>
                <w:sz w:val="24"/>
                <w:szCs w:val="24"/>
              </w:rPr>
            </w:pPr>
            <w:r>
              <w:rPr>
                <w:rFonts w:hint="eastAsia"/>
                <w:color w:val="auto"/>
                <w:sz w:val="24"/>
                <w:szCs w:val="24"/>
              </w:rPr>
              <w:t>③</w:t>
            </w:r>
            <w:r>
              <w:rPr>
                <w:color w:val="auto"/>
                <w:sz w:val="24"/>
                <w:szCs w:val="24"/>
              </w:rPr>
              <w:t>计算室外靠近围护结构处的声压级：</w:t>
            </w:r>
          </w:p>
          <w:p w14:paraId="470C6628">
            <w:pPr>
              <w:widowControl/>
              <w:snapToGrid w:val="0"/>
              <w:spacing w:line="360" w:lineRule="auto"/>
              <w:ind w:firstLine="480" w:firstLineChars="200"/>
              <w:jc w:val="left"/>
              <w:rPr>
                <w:color w:val="auto"/>
                <w:sz w:val="24"/>
                <w:szCs w:val="24"/>
              </w:rPr>
            </w:pPr>
            <w:r>
              <w:rPr>
                <w:color w:val="auto"/>
                <w:sz w:val="24"/>
                <w:szCs w:val="24"/>
              </w:rPr>
              <w:drawing>
                <wp:inline distT="0" distB="0" distL="114300" distR="114300">
                  <wp:extent cx="1917065" cy="238125"/>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0"/>
                          <a:stretch>
                            <a:fillRect/>
                          </a:stretch>
                        </pic:blipFill>
                        <pic:spPr>
                          <a:xfrm>
                            <a:off x="0" y="0"/>
                            <a:ext cx="1917065" cy="238125"/>
                          </a:xfrm>
                          <a:prstGeom prst="rect">
                            <a:avLst/>
                          </a:prstGeom>
                          <a:noFill/>
                          <a:ln>
                            <a:noFill/>
                          </a:ln>
                        </pic:spPr>
                      </pic:pic>
                    </a:graphicData>
                  </a:graphic>
                </wp:inline>
              </w:drawing>
            </w:r>
          </w:p>
          <w:p w14:paraId="118B2E65">
            <w:pPr>
              <w:spacing w:line="360" w:lineRule="auto"/>
              <w:ind w:firstLine="480" w:firstLineChars="200"/>
              <w:jc w:val="left"/>
              <w:rPr>
                <w:color w:val="auto"/>
                <w:sz w:val="24"/>
                <w:szCs w:val="24"/>
              </w:rPr>
            </w:pPr>
            <w:r>
              <w:rPr>
                <w:rFonts w:hint="eastAsia"/>
                <w:color w:val="auto"/>
                <w:sz w:val="24"/>
                <w:szCs w:val="24"/>
              </w:rPr>
              <w:t>④</w:t>
            </w:r>
            <w:r>
              <w:rPr>
                <w:color w:val="auto"/>
                <w:sz w:val="24"/>
                <w:szCs w:val="24"/>
              </w:rPr>
              <w:t>将室外声级</w:t>
            </w:r>
            <w:r>
              <w:rPr>
                <w:color w:val="auto"/>
                <w:sz w:val="24"/>
                <w:szCs w:val="24"/>
              </w:rPr>
              <w:drawing>
                <wp:inline distT="0" distB="0" distL="114300" distR="114300">
                  <wp:extent cx="532765" cy="238760"/>
                  <wp:effectExtent l="0" t="0" r="63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1"/>
                          <a:stretch>
                            <a:fillRect/>
                          </a:stretch>
                        </pic:blipFill>
                        <pic:spPr>
                          <a:xfrm>
                            <a:off x="0" y="0"/>
                            <a:ext cx="532765" cy="238760"/>
                          </a:xfrm>
                          <a:prstGeom prst="rect">
                            <a:avLst/>
                          </a:prstGeom>
                          <a:noFill/>
                          <a:ln>
                            <a:noFill/>
                          </a:ln>
                        </pic:spPr>
                      </pic:pic>
                    </a:graphicData>
                  </a:graphic>
                </wp:inline>
              </w:drawing>
            </w:r>
            <w:r>
              <w:rPr>
                <w:color w:val="auto"/>
                <w:sz w:val="24"/>
                <w:szCs w:val="24"/>
              </w:rPr>
              <w:t>和透声面积换算成等效的室外声源</w:t>
            </w:r>
            <w:r>
              <w:rPr>
                <w:rFonts w:hint="eastAsia"/>
                <w:color w:val="auto"/>
                <w:sz w:val="24"/>
                <w:szCs w:val="24"/>
                <w:lang w:eastAsia="zh-CN"/>
              </w:rPr>
              <w:t>，</w:t>
            </w:r>
            <w:r>
              <w:rPr>
                <w:color w:val="auto"/>
                <w:sz w:val="24"/>
                <w:szCs w:val="24"/>
              </w:rPr>
              <w:t>计算等效声源第i个倍频带的声功率级</w:t>
            </w:r>
            <w:r>
              <w:rPr>
                <w:color w:val="auto"/>
                <w:sz w:val="24"/>
                <w:szCs w:val="24"/>
              </w:rPr>
              <w:drawing>
                <wp:inline distT="0" distB="0" distL="114300" distR="114300">
                  <wp:extent cx="313690" cy="227330"/>
                  <wp:effectExtent l="0" t="0" r="381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5"/>
                          <a:stretch>
                            <a:fillRect/>
                          </a:stretch>
                        </pic:blipFill>
                        <pic:spPr>
                          <a:xfrm>
                            <a:off x="0" y="0"/>
                            <a:ext cx="313690" cy="227330"/>
                          </a:xfrm>
                          <a:prstGeom prst="rect">
                            <a:avLst/>
                          </a:prstGeom>
                          <a:noFill/>
                          <a:ln>
                            <a:noFill/>
                          </a:ln>
                        </pic:spPr>
                      </pic:pic>
                    </a:graphicData>
                  </a:graphic>
                </wp:inline>
              </w:drawing>
            </w:r>
            <w:r>
              <w:rPr>
                <w:color w:val="auto"/>
                <w:sz w:val="24"/>
                <w:szCs w:val="24"/>
              </w:rPr>
              <w:t>：</w:t>
            </w:r>
          </w:p>
          <w:p w14:paraId="1510AA0B">
            <w:pPr>
              <w:spacing w:line="360" w:lineRule="auto"/>
              <w:ind w:firstLine="480" w:firstLineChars="200"/>
              <w:jc w:val="left"/>
              <w:rPr>
                <w:color w:val="auto"/>
                <w:sz w:val="24"/>
                <w:szCs w:val="24"/>
              </w:rPr>
            </w:pPr>
            <w:r>
              <w:rPr>
                <w:color w:val="auto"/>
                <w:sz w:val="24"/>
                <w:szCs w:val="24"/>
              </w:rPr>
              <w:drawing>
                <wp:inline distT="0" distB="0" distL="114300" distR="114300">
                  <wp:extent cx="1511300" cy="23812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1511300" cy="238125"/>
                          </a:xfrm>
                          <a:prstGeom prst="rect">
                            <a:avLst/>
                          </a:prstGeom>
                          <a:noFill/>
                          <a:ln>
                            <a:noFill/>
                          </a:ln>
                        </pic:spPr>
                      </pic:pic>
                    </a:graphicData>
                  </a:graphic>
                </wp:inline>
              </w:drawing>
            </w:r>
          </w:p>
          <w:p w14:paraId="34F2C12D">
            <w:pPr>
              <w:spacing w:line="360" w:lineRule="auto"/>
              <w:ind w:firstLine="480" w:firstLineChars="200"/>
              <w:jc w:val="left"/>
              <w:rPr>
                <w:color w:val="auto"/>
                <w:sz w:val="24"/>
                <w:szCs w:val="24"/>
              </w:rPr>
            </w:pPr>
            <w:r>
              <w:rPr>
                <w:color w:val="auto"/>
                <w:sz w:val="24"/>
                <w:szCs w:val="24"/>
              </w:rPr>
              <w:t>式中：</w:t>
            </w:r>
            <w:r>
              <w:rPr>
                <w:color w:val="auto"/>
                <w:sz w:val="24"/>
                <w:szCs w:val="24"/>
              </w:rPr>
              <w:drawing>
                <wp:inline distT="0" distB="0" distL="114300" distR="114300">
                  <wp:extent cx="139700" cy="17462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139700" cy="174625"/>
                          </a:xfrm>
                          <a:prstGeom prst="rect">
                            <a:avLst/>
                          </a:prstGeom>
                          <a:noFill/>
                          <a:ln>
                            <a:noFill/>
                          </a:ln>
                        </pic:spPr>
                      </pic:pic>
                    </a:graphicData>
                  </a:graphic>
                </wp:inline>
              </w:drawing>
            </w:r>
            <w:r>
              <w:rPr>
                <w:color w:val="auto"/>
                <w:sz w:val="24"/>
                <w:szCs w:val="24"/>
              </w:rPr>
              <w:t>—透声面积</w:t>
            </w:r>
            <w:r>
              <w:rPr>
                <w:rFonts w:hint="eastAsia"/>
                <w:color w:val="auto"/>
                <w:sz w:val="24"/>
                <w:szCs w:val="24"/>
                <w:lang w:eastAsia="zh-CN"/>
              </w:rPr>
              <w:t>，</w:t>
            </w:r>
            <w:r>
              <w:rPr>
                <w:color w:val="auto"/>
                <w:sz w:val="24"/>
                <w:szCs w:val="24"/>
              </w:rPr>
              <w:t>㎡。</w:t>
            </w:r>
          </w:p>
          <w:p w14:paraId="565988EB">
            <w:pPr>
              <w:spacing w:line="360" w:lineRule="auto"/>
              <w:ind w:firstLine="480" w:firstLineChars="200"/>
              <w:jc w:val="left"/>
              <w:rPr>
                <w:color w:val="auto"/>
                <w:sz w:val="24"/>
                <w:szCs w:val="24"/>
              </w:rPr>
            </w:pPr>
            <w:r>
              <w:rPr>
                <w:rFonts w:hint="eastAsia"/>
                <w:color w:val="auto"/>
                <w:sz w:val="24"/>
                <w:szCs w:val="24"/>
              </w:rPr>
              <w:t>⑤</w:t>
            </w:r>
            <w:r>
              <w:rPr>
                <w:color w:val="auto"/>
                <w:sz w:val="24"/>
                <w:szCs w:val="24"/>
              </w:rPr>
              <w:t>等效室外声源的位置为围护结构的位置</w:t>
            </w:r>
            <w:r>
              <w:rPr>
                <w:rFonts w:hint="eastAsia"/>
                <w:color w:val="auto"/>
                <w:sz w:val="24"/>
                <w:szCs w:val="24"/>
                <w:lang w:eastAsia="zh-CN"/>
              </w:rPr>
              <w:t>，</w:t>
            </w:r>
            <w:r>
              <w:rPr>
                <w:color w:val="auto"/>
                <w:sz w:val="24"/>
                <w:szCs w:val="24"/>
              </w:rPr>
              <w:t>其倍频带声功率级为</w:t>
            </w:r>
            <w:r>
              <w:rPr>
                <w:color w:val="auto"/>
                <w:sz w:val="24"/>
                <w:szCs w:val="24"/>
              </w:rPr>
              <w:drawing>
                <wp:inline distT="0" distB="0" distL="114300" distR="114300">
                  <wp:extent cx="313690" cy="227330"/>
                  <wp:effectExtent l="0" t="0" r="381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5"/>
                          <a:stretch>
                            <a:fillRect/>
                          </a:stretch>
                        </pic:blipFill>
                        <pic:spPr>
                          <a:xfrm>
                            <a:off x="0" y="0"/>
                            <a:ext cx="313690" cy="227330"/>
                          </a:xfrm>
                          <a:prstGeom prst="rect">
                            <a:avLst/>
                          </a:prstGeom>
                          <a:noFill/>
                          <a:ln>
                            <a:noFill/>
                          </a:ln>
                        </pic:spPr>
                      </pic:pic>
                    </a:graphicData>
                  </a:graphic>
                </wp:inline>
              </w:drawing>
            </w:r>
            <w:r>
              <w:rPr>
                <w:rFonts w:hint="eastAsia"/>
                <w:color w:val="auto"/>
                <w:sz w:val="24"/>
                <w:szCs w:val="24"/>
                <w:lang w:eastAsia="zh-CN"/>
              </w:rPr>
              <w:t>，</w:t>
            </w:r>
            <w:r>
              <w:rPr>
                <w:color w:val="auto"/>
                <w:sz w:val="24"/>
                <w:szCs w:val="24"/>
              </w:rPr>
              <w:t>由此按室外声源方法计算等效室外声源在预测点产生的A声级。</w:t>
            </w:r>
          </w:p>
          <w:p w14:paraId="3FC6BE73">
            <w:pPr>
              <w:spacing w:line="360" w:lineRule="auto"/>
              <w:ind w:firstLine="480" w:firstLineChars="200"/>
              <w:jc w:val="left"/>
              <w:rPr>
                <w:color w:val="auto"/>
                <w:sz w:val="24"/>
                <w:szCs w:val="24"/>
              </w:rPr>
            </w:pPr>
            <w:r>
              <w:rPr>
                <w:color w:val="auto"/>
                <w:sz w:val="24"/>
                <w:szCs w:val="24"/>
              </w:rPr>
              <w:t>2、室外声源</w:t>
            </w:r>
          </w:p>
          <w:p w14:paraId="1351B06C">
            <w:pPr>
              <w:spacing w:line="360" w:lineRule="auto"/>
              <w:ind w:firstLine="480" w:firstLineChars="200"/>
              <w:jc w:val="left"/>
              <w:rPr>
                <w:color w:val="auto"/>
                <w:sz w:val="24"/>
                <w:szCs w:val="24"/>
              </w:rPr>
            </w:pPr>
            <w:r>
              <w:rPr>
                <w:rFonts w:hint="eastAsia"/>
                <w:color w:val="auto"/>
                <w:sz w:val="24"/>
                <w:szCs w:val="24"/>
              </w:rPr>
              <w:t>①</w:t>
            </w:r>
            <w:r>
              <w:rPr>
                <w:color w:val="auto"/>
                <w:sz w:val="24"/>
                <w:szCs w:val="24"/>
              </w:rPr>
              <w:t>计算某个声源在预测点的倍频带声压级</w:t>
            </w:r>
          </w:p>
          <w:p w14:paraId="1E38F1FB">
            <w:pPr>
              <w:spacing w:line="360" w:lineRule="auto"/>
              <w:ind w:firstLine="480" w:firstLineChars="200"/>
              <w:jc w:val="left"/>
              <w:rPr>
                <w:color w:val="auto"/>
                <w:sz w:val="24"/>
                <w:szCs w:val="24"/>
              </w:rPr>
            </w:pPr>
            <w:r>
              <w:rPr>
                <w:color w:val="auto"/>
                <w:sz w:val="24"/>
                <w:szCs w:val="24"/>
              </w:rPr>
              <w:drawing>
                <wp:inline distT="0" distB="0" distL="114300" distR="114300">
                  <wp:extent cx="2147570" cy="464185"/>
                  <wp:effectExtent l="0" t="0" r="0" b="57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4"/>
                          <a:stretch>
                            <a:fillRect/>
                          </a:stretch>
                        </pic:blipFill>
                        <pic:spPr>
                          <a:xfrm>
                            <a:off x="0" y="0"/>
                            <a:ext cx="2147570" cy="464185"/>
                          </a:xfrm>
                          <a:prstGeom prst="rect">
                            <a:avLst/>
                          </a:prstGeom>
                          <a:noFill/>
                          <a:ln>
                            <a:noFill/>
                          </a:ln>
                        </pic:spPr>
                      </pic:pic>
                    </a:graphicData>
                  </a:graphic>
                </wp:inline>
              </w:drawing>
            </w:r>
          </w:p>
          <w:p w14:paraId="1107DE68">
            <w:pPr>
              <w:spacing w:line="360" w:lineRule="auto"/>
              <w:ind w:firstLine="480" w:firstLineChars="200"/>
              <w:jc w:val="left"/>
              <w:rPr>
                <w:color w:val="auto"/>
                <w:sz w:val="24"/>
                <w:szCs w:val="24"/>
              </w:rPr>
            </w:pPr>
            <w:r>
              <w:rPr>
                <w:color w:val="auto"/>
                <w:sz w:val="24"/>
                <w:szCs w:val="24"/>
              </w:rPr>
              <w:t>式中：</w:t>
            </w:r>
          </w:p>
          <w:p w14:paraId="677B4FE1">
            <w:pPr>
              <w:widowControl/>
              <w:snapToGrid w:val="0"/>
              <w:spacing w:line="360" w:lineRule="auto"/>
              <w:ind w:firstLine="480" w:firstLineChars="200"/>
              <w:jc w:val="left"/>
              <w:rPr>
                <w:color w:val="auto"/>
                <w:sz w:val="24"/>
                <w:szCs w:val="24"/>
              </w:rPr>
            </w:pPr>
            <w:r>
              <w:rPr>
                <w:color w:val="auto"/>
                <w:sz w:val="24"/>
                <w:szCs w:val="24"/>
              </w:rPr>
              <w:t>Loct（r）——点声源在预测点产生的倍频带声压级；</w:t>
            </w:r>
          </w:p>
          <w:p w14:paraId="63F8CDB7">
            <w:pPr>
              <w:widowControl/>
              <w:snapToGrid w:val="0"/>
              <w:spacing w:line="360" w:lineRule="auto"/>
              <w:ind w:firstLine="480" w:firstLineChars="200"/>
              <w:jc w:val="left"/>
              <w:rPr>
                <w:color w:val="auto"/>
                <w:sz w:val="24"/>
                <w:szCs w:val="24"/>
              </w:rPr>
            </w:pPr>
            <w:r>
              <w:rPr>
                <w:color w:val="auto"/>
                <w:sz w:val="24"/>
                <w:szCs w:val="24"/>
              </w:rPr>
              <w:t>Loct（r0）——参考位置r0处的倍频带声压级；</w:t>
            </w:r>
          </w:p>
          <w:p w14:paraId="626726BD">
            <w:pPr>
              <w:widowControl/>
              <w:snapToGrid w:val="0"/>
              <w:spacing w:line="360" w:lineRule="auto"/>
              <w:ind w:firstLine="480" w:firstLineChars="200"/>
              <w:jc w:val="left"/>
              <w:rPr>
                <w:color w:val="auto"/>
                <w:sz w:val="24"/>
                <w:szCs w:val="24"/>
              </w:rPr>
            </w:pPr>
            <w:r>
              <w:rPr>
                <w:color w:val="auto"/>
                <w:sz w:val="24"/>
                <w:szCs w:val="24"/>
              </w:rPr>
              <w:t>r——预测点距声源的距离</w:t>
            </w:r>
            <w:r>
              <w:rPr>
                <w:rFonts w:hint="eastAsia"/>
                <w:color w:val="auto"/>
                <w:sz w:val="24"/>
                <w:szCs w:val="24"/>
                <w:lang w:eastAsia="zh-CN"/>
              </w:rPr>
              <w:t>，</w:t>
            </w:r>
            <w:r>
              <w:rPr>
                <w:color w:val="auto"/>
                <w:sz w:val="24"/>
                <w:szCs w:val="24"/>
              </w:rPr>
              <w:t>m；</w:t>
            </w:r>
          </w:p>
          <w:p w14:paraId="34473E4A">
            <w:pPr>
              <w:widowControl/>
              <w:snapToGrid w:val="0"/>
              <w:spacing w:line="360" w:lineRule="auto"/>
              <w:ind w:firstLine="480" w:firstLineChars="200"/>
              <w:jc w:val="left"/>
              <w:rPr>
                <w:color w:val="auto"/>
                <w:sz w:val="24"/>
                <w:szCs w:val="24"/>
              </w:rPr>
            </w:pPr>
            <w:r>
              <w:rPr>
                <w:color w:val="auto"/>
                <w:sz w:val="24"/>
                <w:szCs w:val="24"/>
              </w:rPr>
              <w:t>r0——参考位置距声源的距离</w:t>
            </w:r>
            <w:r>
              <w:rPr>
                <w:rFonts w:hint="eastAsia"/>
                <w:color w:val="auto"/>
                <w:sz w:val="24"/>
                <w:szCs w:val="24"/>
                <w:lang w:eastAsia="zh-CN"/>
              </w:rPr>
              <w:t>，</w:t>
            </w:r>
            <w:r>
              <w:rPr>
                <w:color w:val="auto"/>
                <w:sz w:val="24"/>
                <w:szCs w:val="24"/>
              </w:rPr>
              <w:t>m；</w:t>
            </w:r>
          </w:p>
          <w:p w14:paraId="784FBDB5">
            <w:pPr>
              <w:widowControl/>
              <w:snapToGrid w:val="0"/>
              <w:spacing w:line="360" w:lineRule="auto"/>
              <w:ind w:firstLine="480" w:firstLineChars="200"/>
              <w:jc w:val="left"/>
              <w:rPr>
                <w:color w:val="auto"/>
                <w:sz w:val="24"/>
                <w:szCs w:val="24"/>
              </w:rPr>
            </w:pPr>
            <w:r>
              <w:rPr>
                <w:color w:val="auto"/>
                <w:sz w:val="24"/>
                <w:szCs w:val="24"/>
              </w:rPr>
              <w:t>ΔLoct——各种因素引起的衰减量（包括声屏障、遮挡物、空气吸收、地面效应等引起的衰减量</w:t>
            </w:r>
            <w:r>
              <w:rPr>
                <w:rFonts w:hint="eastAsia"/>
                <w:color w:val="auto"/>
                <w:sz w:val="24"/>
                <w:szCs w:val="24"/>
                <w:lang w:eastAsia="zh-CN"/>
              </w:rPr>
              <w:t>，</w:t>
            </w:r>
            <w:r>
              <w:rPr>
                <w:color w:val="auto"/>
                <w:sz w:val="24"/>
                <w:szCs w:val="24"/>
              </w:rPr>
              <w:t>其计算方法详见</w:t>
            </w:r>
            <w:r>
              <w:rPr>
                <w:rFonts w:hint="eastAsia"/>
                <w:color w:val="auto"/>
                <w:sz w:val="24"/>
                <w:szCs w:val="24"/>
                <w:lang w:eastAsia="zh-CN"/>
              </w:rPr>
              <w:t>“</w:t>
            </w:r>
            <w:r>
              <w:rPr>
                <w:color w:val="auto"/>
                <w:sz w:val="24"/>
                <w:szCs w:val="24"/>
              </w:rPr>
              <w:t>导则</w:t>
            </w:r>
            <w:r>
              <w:rPr>
                <w:rFonts w:hint="eastAsia"/>
                <w:color w:val="auto"/>
                <w:sz w:val="24"/>
                <w:szCs w:val="24"/>
                <w:lang w:eastAsia="zh-CN"/>
              </w:rPr>
              <w:t>”</w:t>
            </w:r>
            <w:r>
              <w:rPr>
                <w:color w:val="auto"/>
                <w:sz w:val="24"/>
                <w:szCs w:val="24"/>
              </w:rPr>
              <w:t>正文）。</w:t>
            </w:r>
          </w:p>
          <w:p w14:paraId="3A824A5A">
            <w:pPr>
              <w:widowControl/>
              <w:snapToGrid w:val="0"/>
              <w:spacing w:line="360" w:lineRule="auto"/>
              <w:ind w:firstLine="480" w:firstLineChars="200"/>
              <w:jc w:val="left"/>
              <w:rPr>
                <w:color w:val="auto"/>
                <w:sz w:val="24"/>
                <w:szCs w:val="24"/>
              </w:rPr>
            </w:pPr>
            <w:r>
              <w:rPr>
                <w:color w:val="auto"/>
                <w:sz w:val="24"/>
                <w:szCs w:val="24"/>
              </w:rPr>
              <w:t>如果已知声源的倍频带声功率级Lw oct</w:t>
            </w:r>
            <w:r>
              <w:rPr>
                <w:color w:val="auto"/>
                <w:sz w:val="24"/>
                <w:szCs w:val="24"/>
              </w:rPr>
              <w:softHyphen/>
            </w:r>
            <w:r>
              <w:rPr>
                <w:rFonts w:hint="eastAsia"/>
                <w:color w:val="auto"/>
                <w:sz w:val="24"/>
                <w:szCs w:val="24"/>
                <w:lang w:eastAsia="zh-CN"/>
              </w:rPr>
              <w:t>，</w:t>
            </w:r>
            <w:r>
              <w:rPr>
                <w:color w:val="auto"/>
                <w:sz w:val="24"/>
                <w:szCs w:val="24"/>
              </w:rPr>
              <w:t>且声源可看作是位于地面上的</w:t>
            </w:r>
            <w:r>
              <w:rPr>
                <w:rFonts w:hint="eastAsia"/>
                <w:color w:val="auto"/>
                <w:sz w:val="24"/>
                <w:szCs w:val="24"/>
                <w:lang w:eastAsia="zh-CN"/>
              </w:rPr>
              <w:t>，</w:t>
            </w:r>
            <w:r>
              <w:rPr>
                <w:color w:val="auto"/>
                <w:sz w:val="24"/>
                <w:szCs w:val="24"/>
              </w:rPr>
              <w:t>则</w:t>
            </w:r>
          </w:p>
          <w:p w14:paraId="28DF47C8">
            <w:pPr>
              <w:spacing w:line="360" w:lineRule="auto"/>
              <w:ind w:firstLine="480" w:firstLineChars="200"/>
              <w:jc w:val="left"/>
              <w:rPr>
                <w:color w:val="auto"/>
                <w:sz w:val="24"/>
                <w:szCs w:val="24"/>
              </w:rPr>
            </w:pPr>
            <w:r>
              <w:rPr>
                <w:color w:val="auto"/>
                <w:sz w:val="24"/>
                <w:szCs w:val="24"/>
              </w:rPr>
              <w:drawing>
                <wp:inline distT="0" distB="0" distL="114300" distR="114300">
                  <wp:extent cx="1739900" cy="23241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5"/>
                          <a:stretch>
                            <a:fillRect/>
                          </a:stretch>
                        </pic:blipFill>
                        <pic:spPr>
                          <a:xfrm>
                            <a:off x="0" y="0"/>
                            <a:ext cx="1739900" cy="232410"/>
                          </a:xfrm>
                          <a:prstGeom prst="rect">
                            <a:avLst/>
                          </a:prstGeom>
                          <a:noFill/>
                          <a:ln>
                            <a:noFill/>
                          </a:ln>
                        </pic:spPr>
                      </pic:pic>
                    </a:graphicData>
                  </a:graphic>
                </wp:inline>
              </w:drawing>
            </w:r>
          </w:p>
          <w:p w14:paraId="5BDD5F53">
            <w:pPr>
              <w:widowControl/>
              <w:snapToGrid w:val="0"/>
              <w:spacing w:line="360" w:lineRule="auto"/>
              <w:ind w:firstLine="480" w:firstLineChars="200"/>
              <w:jc w:val="left"/>
              <w:rPr>
                <w:color w:val="auto"/>
                <w:sz w:val="24"/>
                <w:szCs w:val="24"/>
              </w:rPr>
            </w:pPr>
            <w:r>
              <w:rPr>
                <w:rFonts w:hint="eastAsia"/>
                <w:color w:val="auto"/>
                <w:sz w:val="24"/>
                <w:szCs w:val="24"/>
              </w:rPr>
              <w:t>②</w:t>
            </w:r>
            <w:r>
              <w:rPr>
                <w:color w:val="auto"/>
                <w:sz w:val="24"/>
                <w:szCs w:val="24"/>
              </w:rPr>
              <w:t>由各倍频带声压级合成计算出该声源产生的声级LA。</w:t>
            </w:r>
          </w:p>
          <w:p w14:paraId="778E1837">
            <w:pPr>
              <w:widowControl/>
              <w:snapToGrid w:val="0"/>
              <w:spacing w:line="360" w:lineRule="auto"/>
              <w:ind w:firstLine="480" w:firstLineChars="200"/>
              <w:jc w:val="left"/>
              <w:rPr>
                <w:color w:val="auto"/>
                <w:sz w:val="24"/>
                <w:szCs w:val="24"/>
              </w:rPr>
            </w:pPr>
            <w:r>
              <w:rPr>
                <w:color w:val="auto"/>
                <w:sz w:val="24"/>
                <w:szCs w:val="24"/>
              </w:rPr>
              <w:t>3、噪声贡献值计算：</w:t>
            </w:r>
          </w:p>
          <w:p w14:paraId="09101738">
            <w:pPr>
              <w:widowControl/>
              <w:snapToGrid w:val="0"/>
              <w:spacing w:line="360" w:lineRule="auto"/>
              <w:ind w:firstLine="480" w:firstLineChars="200"/>
              <w:jc w:val="left"/>
              <w:rPr>
                <w:color w:val="auto"/>
                <w:sz w:val="24"/>
                <w:szCs w:val="24"/>
              </w:rPr>
            </w:pPr>
            <w:r>
              <w:rPr>
                <w:color w:val="auto"/>
                <w:sz w:val="24"/>
                <w:szCs w:val="24"/>
              </w:rPr>
              <w:t>设第i个室外声源在预测点产生的A声级为</w:t>
            </w:r>
            <w:r>
              <w:rPr>
                <w:color w:val="auto"/>
                <w:sz w:val="24"/>
                <w:szCs w:val="24"/>
              </w:rPr>
              <w:drawing>
                <wp:inline distT="0" distB="0" distL="114300" distR="114300">
                  <wp:extent cx="326390" cy="2413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6"/>
                          <a:stretch>
                            <a:fillRect/>
                          </a:stretch>
                        </pic:blipFill>
                        <pic:spPr>
                          <a:xfrm>
                            <a:off x="0" y="0"/>
                            <a:ext cx="326390" cy="241300"/>
                          </a:xfrm>
                          <a:prstGeom prst="rect">
                            <a:avLst/>
                          </a:prstGeom>
                          <a:noFill/>
                          <a:ln>
                            <a:noFill/>
                          </a:ln>
                        </pic:spPr>
                      </pic:pic>
                    </a:graphicData>
                  </a:graphic>
                </wp:inline>
              </w:drawing>
            </w:r>
            <w:r>
              <w:rPr>
                <w:rFonts w:hint="eastAsia"/>
                <w:color w:val="auto"/>
                <w:sz w:val="24"/>
                <w:szCs w:val="24"/>
                <w:lang w:eastAsia="zh-CN"/>
              </w:rPr>
              <w:t>，</w:t>
            </w:r>
            <w:r>
              <w:rPr>
                <w:color w:val="auto"/>
                <w:sz w:val="24"/>
                <w:szCs w:val="24"/>
              </w:rPr>
              <w:t>在</w:t>
            </w:r>
            <w:r>
              <w:rPr>
                <w:color w:val="auto"/>
                <w:sz w:val="24"/>
                <w:szCs w:val="24"/>
              </w:rPr>
              <w:drawing>
                <wp:inline distT="0" distB="0" distL="114300" distR="114300">
                  <wp:extent cx="139065" cy="164465"/>
                  <wp:effectExtent l="0" t="0" r="635" b="63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7"/>
                          <a:stretch>
                            <a:fillRect/>
                          </a:stretch>
                        </pic:blipFill>
                        <pic:spPr>
                          <a:xfrm>
                            <a:off x="0" y="0"/>
                            <a:ext cx="139065" cy="164465"/>
                          </a:xfrm>
                          <a:prstGeom prst="rect">
                            <a:avLst/>
                          </a:prstGeom>
                          <a:noFill/>
                          <a:ln>
                            <a:noFill/>
                          </a:ln>
                        </pic:spPr>
                      </pic:pic>
                    </a:graphicData>
                  </a:graphic>
                </wp:inline>
              </w:drawing>
            </w:r>
            <w:r>
              <w:rPr>
                <w:color w:val="auto"/>
                <w:sz w:val="24"/>
                <w:szCs w:val="24"/>
              </w:rPr>
              <w:t>时间内该声源工作时间为</w:t>
            </w:r>
            <w:r>
              <w:rPr>
                <w:color w:val="auto"/>
                <w:sz w:val="24"/>
                <w:szCs w:val="24"/>
              </w:rPr>
              <w:drawing>
                <wp:inline distT="0" distB="0" distL="114300" distR="114300">
                  <wp:extent cx="215265" cy="24066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8"/>
                          <a:stretch>
                            <a:fillRect/>
                          </a:stretch>
                        </pic:blipFill>
                        <pic:spPr>
                          <a:xfrm>
                            <a:off x="0" y="0"/>
                            <a:ext cx="215265" cy="240665"/>
                          </a:xfrm>
                          <a:prstGeom prst="rect">
                            <a:avLst/>
                          </a:prstGeom>
                          <a:noFill/>
                          <a:ln>
                            <a:noFill/>
                          </a:ln>
                        </pic:spPr>
                      </pic:pic>
                    </a:graphicData>
                  </a:graphic>
                </wp:inline>
              </w:drawing>
            </w:r>
            <w:r>
              <w:rPr>
                <w:rFonts w:hint="eastAsia"/>
                <w:color w:val="auto"/>
                <w:sz w:val="24"/>
                <w:szCs w:val="24"/>
                <w:lang w:eastAsia="zh-CN"/>
              </w:rPr>
              <w:t>，</w:t>
            </w:r>
            <w:r>
              <w:rPr>
                <w:color w:val="auto"/>
                <w:sz w:val="24"/>
                <w:szCs w:val="24"/>
              </w:rPr>
              <w:t>第j个等效室外声源在预测点产生的A声级为</w:t>
            </w:r>
            <w:r>
              <w:rPr>
                <w:color w:val="auto"/>
                <w:sz w:val="24"/>
                <w:szCs w:val="24"/>
              </w:rPr>
              <w:drawing>
                <wp:inline distT="0" distB="0" distL="114300" distR="114300">
                  <wp:extent cx="390525" cy="238760"/>
                  <wp:effectExtent l="0" t="0" r="3175" b="190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9"/>
                          <a:stretch>
                            <a:fillRect/>
                          </a:stretch>
                        </pic:blipFill>
                        <pic:spPr>
                          <a:xfrm>
                            <a:off x="0" y="0"/>
                            <a:ext cx="390525" cy="238760"/>
                          </a:xfrm>
                          <a:prstGeom prst="rect">
                            <a:avLst/>
                          </a:prstGeom>
                          <a:noFill/>
                          <a:ln>
                            <a:noFill/>
                          </a:ln>
                        </pic:spPr>
                      </pic:pic>
                    </a:graphicData>
                  </a:graphic>
                </wp:inline>
              </w:drawing>
            </w:r>
            <w:r>
              <w:rPr>
                <w:rFonts w:hint="eastAsia"/>
                <w:color w:val="auto"/>
                <w:sz w:val="24"/>
                <w:szCs w:val="24"/>
                <w:lang w:eastAsia="zh-CN"/>
              </w:rPr>
              <w:t>，</w:t>
            </w:r>
            <w:r>
              <w:rPr>
                <w:color w:val="auto"/>
                <w:sz w:val="24"/>
                <w:szCs w:val="24"/>
              </w:rPr>
              <w:t>在</w:t>
            </w:r>
            <w:r>
              <w:rPr>
                <w:color w:val="auto"/>
                <w:sz w:val="24"/>
                <w:szCs w:val="24"/>
              </w:rPr>
              <w:drawing>
                <wp:inline distT="0" distB="0" distL="114300" distR="114300">
                  <wp:extent cx="139065" cy="164465"/>
                  <wp:effectExtent l="0" t="0" r="635" b="63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7"/>
                          <a:stretch>
                            <a:fillRect/>
                          </a:stretch>
                        </pic:blipFill>
                        <pic:spPr>
                          <a:xfrm>
                            <a:off x="0" y="0"/>
                            <a:ext cx="139065" cy="164465"/>
                          </a:xfrm>
                          <a:prstGeom prst="rect">
                            <a:avLst/>
                          </a:prstGeom>
                          <a:noFill/>
                          <a:ln>
                            <a:noFill/>
                          </a:ln>
                        </pic:spPr>
                      </pic:pic>
                    </a:graphicData>
                  </a:graphic>
                </wp:inline>
              </w:drawing>
            </w:r>
            <w:r>
              <w:rPr>
                <w:color w:val="auto"/>
                <w:sz w:val="24"/>
                <w:szCs w:val="24"/>
              </w:rPr>
              <w:t>时间内该声源工作时间为</w:t>
            </w:r>
            <w:r>
              <w:rPr>
                <w:color w:val="auto"/>
                <w:sz w:val="24"/>
                <w:szCs w:val="24"/>
              </w:rPr>
              <w:drawing>
                <wp:inline distT="0" distB="0" distL="114300" distR="114300">
                  <wp:extent cx="292100" cy="24066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30"/>
                          <a:stretch>
                            <a:fillRect/>
                          </a:stretch>
                        </pic:blipFill>
                        <pic:spPr>
                          <a:xfrm>
                            <a:off x="0" y="0"/>
                            <a:ext cx="292100" cy="240665"/>
                          </a:xfrm>
                          <a:prstGeom prst="rect">
                            <a:avLst/>
                          </a:prstGeom>
                          <a:noFill/>
                          <a:ln>
                            <a:noFill/>
                          </a:ln>
                        </pic:spPr>
                      </pic:pic>
                    </a:graphicData>
                  </a:graphic>
                </wp:inline>
              </w:drawing>
            </w:r>
            <w:r>
              <w:rPr>
                <w:rFonts w:hint="eastAsia"/>
                <w:color w:val="auto"/>
                <w:sz w:val="24"/>
                <w:szCs w:val="24"/>
                <w:lang w:eastAsia="zh-CN"/>
              </w:rPr>
              <w:t>，</w:t>
            </w:r>
            <w:r>
              <w:rPr>
                <w:color w:val="auto"/>
                <w:sz w:val="24"/>
                <w:szCs w:val="24"/>
              </w:rPr>
              <w:t>则预测点的总等效声级为：</w:t>
            </w:r>
          </w:p>
          <w:p w14:paraId="2B6BD51E">
            <w:pPr>
              <w:widowControl/>
              <w:snapToGrid w:val="0"/>
              <w:spacing w:line="360" w:lineRule="auto"/>
              <w:ind w:firstLine="480" w:firstLineChars="200"/>
              <w:jc w:val="left"/>
              <w:rPr>
                <w:color w:val="auto"/>
                <w:sz w:val="24"/>
                <w:szCs w:val="24"/>
              </w:rPr>
            </w:pPr>
            <w:r>
              <w:rPr>
                <w:color w:val="auto"/>
                <w:sz w:val="24"/>
                <w:szCs w:val="24"/>
              </w:rPr>
              <w:drawing>
                <wp:inline distT="0" distB="0" distL="114300" distR="114300">
                  <wp:extent cx="3276600" cy="480060"/>
                  <wp:effectExtent l="0" t="0" r="0" b="254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31"/>
                          <a:stretch>
                            <a:fillRect/>
                          </a:stretch>
                        </pic:blipFill>
                        <pic:spPr>
                          <a:xfrm>
                            <a:off x="0" y="0"/>
                            <a:ext cx="3276600" cy="480060"/>
                          </a:xfrm>
                          <a:prstGeom prst="rect">
                            <a:avLst/>
                          </a:prstGeom>
                          <a:noFill/>
                          <a:ln>
                            <a:noFill/>
                          </a:ln>
                        </pic:spPr>
                      </pic:pic>
                    </a:graphicData>
                  </a:graphic>
                </wp:inline>
              </w:drawing>
            </w:r>
          </w:p>
          <w:p w14:paraId="0BDD78E4">
            <w:pPr>
              <w:widowControl/>
              <w:snapToGrid w:val="0"/>
              <w:spacing w:line="360" w:lineRule="auto"/>
              <w:ind w:firstLine="480" w:firstLineChars="200"/>
              <w:jc w:val="left"/>
              <w:rPr>
                <w:color w:val="auto"/>
                <w:sz w:val="24"/>
                <w:szCs w:val="24"/>
              </w:rPr>
            </w:pPr>
            <w:r>
              <w:rPr>
                <w:color w:val="auto"/>
                <w:sz w:val="24"/>
                <w:szCs w:val="24"/>
              </w:rPr>
              <w:t>式中：</w:t>
            </w:r>
            <w:r>
              <w:rPr>
                <w:color w:val="auto"/>
                <w:sz w:val="24"/>
                <w:szCs w:val="24"/>
              </w:rPr>
              <w:drawing>
                <wp:inline distT="0" distB="0" distL="114300" distR="114300">
                  <wp:extent cx="139065" cy="164465"/>
                  <wp:effectExtent l="0" t="0" r="635" b="63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7"/>
                          <a:stretch>
                            <a:fillRect/>
                          </a:stretch>
                        </pic:blipFill>
                        <pic:spPr>
                          <a:xfrm>
                            <a:off x="0" y="0"/>
                            <a:ext cx="139065" cy="164465"/>
                          </a:xfrm>
                          <a:prstGeom prst="rect">
                            <a:avLst/>
                          </a:prstGeom>
                          <a:noFill/>
                          <a:ln>
                            <a:noFill/>
                          </a:ln>
                        </pic:spPr>
                      </pic:pic>
                    </a:graphicData>
                  </a:graphic>
                </wp:inline>
              </w:drawing>
            </w:r>
            <w:r>
              <w:rPr>
                <w:color w:val="auto"/>
                <w:sz w:val="24"/>
                <w:szCs w:val="24"/>
              </w:rPr>
              <w:t>—计算等效声级的时间</w:t>
            </w:r>
            <w:r>
              <w:rPr>
                <w:rFonts w:hint="eastAsia"/>
                <w:color w:val="auto"/>
                <w:sz w:val="24"/>
                <w:szCs w:val="24"/>
                <w:lang w:eastAsia="zh-CN"/>
              </w:rPr>
              <w:t>，</w:t>
            </w:r>
            <w:r>
              <w:rPr>
                <w:color w:val="auto"/>
                <w:sz w:val="24"/>
                <w:szCs w:val="24"/>
              </w:rPr>
              <w:t>h；</w:t>
            </w:r>
          </w:p>
          <w:p w14:paraId="5CB1B7C2">
            <w:pPr>
              <w:widowControl/>
              <w:snapToGrid w:val="0"/>
              <w:spacing w:line="360" w:lineRule="auto"/>
              <w:ind w:firstLine="480" w:firstLineChars="200"/>
              <w:jc w:val="left"/>
              <w:rPr>
                <w:color w:val="auto"/>
                <w:sz w:val="24"/>
                <w:szCs w:val="24"/>
              </w:rPr>
            </w:pPr>
            <w:r>
              <w:rPr>
                <w:color w:val="auto"/>
                <w:sz w:val="24"/>
                <w:szCs w:val="24"/>
              </w:rPr>
              <w:drawing>
                <wp:inline distT="0" distB="0" distL="114300" distR="114300">
                  <wp:extent cx="175260" cy="175260"/>
                  <wp:effectExtent l="0" t="0" r="254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32"/>
                          <a:stretch>
                            <a:fillRect/>
                          </a:stretch>
                        </pic:blipFill>
                        <pic:spPr>
                          <a:xfrm>
                            <a:off x="0" y="0"/>
                            <a:ext cx="175260" cy="175260"/>
                          </a:xfrm>
                          <a:prstGeom prst="rect">
                            <a:avLst/>
                          </a:prstGeom>
                          <a:noFill/>
                          <a:ln>
                            <a:noFill/>
                          </a:ln>
                        </pic:spPr>
                      </pic:pic>
                    </a:graphicData>
                  </a:graphic>
                </wp:inline>
              </w:drawing>
            </w:r>
            <w:r>
              <w:rPr>
                <w:color w:val="auto"/>
                <w:sz w:val="24"/>
                <w:szCs w:val="24"/>
              </w:rPr>
              <w:t>—室外声源个数；</w:t>
            </w:r>
          </w:p>
          <w:p w14:paraId="1414C9DA">
            <w:pPr>
              <w:widowControl/>
              <w:snapToGrid w:val="0"/>
              <w:spacing w:line="360" w:lineRule="auto"/>
              <w:ind w:firstLine="480" w:firstLineChars="200"/>
              <w:jc w:val="left"/>
              <w:rPr>
                <w:color w:val="auto"/>
                <w:sz w:val="24"/>
                <w:szCs w:val="24"/>
              </w:rPr>
            </w:pPr>
            <w:r>
              <w:rPr>
                <w:color w:val="auto"/>
                <w:sz w:val="24"/>
                <w:szCs w:val="24"/>
              </w:rPr>
              <w:drawing>
                <wp:inline distT="0" distB="0" distL="114300" distR="114300">
                  <wp:extent cx="201930" cy="163830"/>
                  <wp:effectExtent l="0" t="0" r="0" b="127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33"/>
                          <a:stretch>
                            <a:fillRect/>
                          </a:stretch>
                        </pic:blipFill>
                        <pic:spPr>
                          <a:xfrm>
                            <a:off x="0" y="0"/>
                            <a:ext cx="201930" cy="163830"/>
                          </a:xfrm>
                          <a:prstGeom prst="rect">
                            <a:avLst/>
                          </a:prstGeom>
                          <a:noFill/>
                          <a:ln>
                            <a:noFill/>
                          </a:ln>
                        </pic:spPr>
                      </pic:pic>
                    </a:graphicData>
                  </a:graphic>
                </wp:inline>
              </w:drawing>
            </w:r>
            <w:r>
              <w:rPr>
                <w:color w:val="auto"/>
                <w:sz w:val="24"/>
                <w:szCs w:val="24"/>
              </w:rPr>
              <w:t>—等效室外声源个数。</w:t>
            </w:r>
          </w:p>
          <w:p w14:paraId="6566DC93">
            <w:pPr>
              <w:widowControl/>
              <w:snapToGrid w:val="0"/>
              <w:spacing w:line="360" w:lineRule="auto"/>
              <w:ind w:firstLine="480" w:firstLineChars="200"/>
              <w:jc w:val="left"/>
              <w:rPr>
                <w:color w:val="auto"/>
                <w:sz w:val="24"/>
                <w:szCs w:val="24"/>
              </w:rPr>
            </w:pPr>
            <w:r>
              <w:rPr>
                <w:color w:val="auto"/>
                <w:sz w:val="24"/>
                <w:szCs w:val="24"/>
              </w:rPr>
              <w:t>4、影响值计算：</w:t>
            </w:r>
          </w:p>
          <w:p w14:paraId="27E06ED2">
            <w:pPr>
              <w:widowControl/>
              <w:snapToGrid w:val="0"/>
              <w:spacing w:line="360" w:lineRule="auto"/>
              <w:ind w:firstLine="480" w:firstLineChars="200"/>
              <w:jc w:val="left"/>
              <w:rPr>
                <w:color w:val="auto"/>
                <w:sz w:val="24"/>
                <w:szCs w:val="24"/>
              </w:rPr>
            </w:pPr>
            <w:r>
              <w:rPr>
                <w:color w:val="auto"/>
                <w:sz w:val="24"/>
                <w:szCs w:val="24"/>
              </w:rPr>
              <w:drawing>
                <wp:inline distT="0" distB="0" distL="114300" distR="114300">
                  <wp:extent cx="2067560" cy="283845"/>
                  <wp:effectExtent l="0" t="0" r="2540" b="889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34"/>
                          <a:stretch>
                            <a:fillRect/>
                          </a:stretch>
                        </pic:blipFill>
                        <pic:spPr>
                          <a:xfrm>
                            <a:off x="0" y="0"/>
                            <a:ext cx="2067560" cy="283845"/>
                          </a:xfrm>
                          <a:prstGeom prst="rect">
                            <a:avLst/>
                          </a:prstGeom>
                          <a:noFill/>
                          <a:ln>
                            <a:noFill/>
                          </a:ln>
                        </pic:spPr>
                      </pic:pic>
                    </a:graphicData>
                  </a:graphic>
                </wp:inline>
              </w:drawing>
            </w:r>
          </w:p>
          <w:p w14:paraId="68311A52">
            <w:pPr>
              <w:widowControl/>
              <w:snapToGrid w:val="0"/>
              <w:spacing w:line="360" w:lineRule="auto"/>
              <w:ind w:firstLine="480" w:firstLineChars="200"/>
              <w:jc w:val="left"/>
              <w:rPr>
                <w:color w:val="auto"/>
                <w:sz w:val="24"/>
                <w:szCs w:val="24"/>
              </w:rPr>
            </w:pPr>
            <w:r>
              <w:rPr>
                <w:color w:val="auto"/>
                <w:sz w:val="24"/>
                <w:szCs w:val="24"/>
              </w:rPr>
              <w:t>式中Leqg——建设项目声源在预测点的等效声级贡献值</w:t>
            </w:r>
            <w:r>
              <w:rPr>
                <w:rFonts w:hint="eastAsia"/>
                <w:color w:val="auto"/>
                <w:sz w:val="24"/>
                <w:szCs w:val="24"/>
                <w:lang w:eastAsia="zh-CN"/>
              </w:rPr>
              <w:t>，</w:t>
            </w:r>
            <w:r>
              <w:rPr>
                <w:color w:val="auto"/>
                <w:sz w:val="24"/>
                <w:szCs w:val="24"/>
              </w:rPr>
              <w:t>dB（A）。</w:t>
            </w:r>
          </w:p>
          <w:p w14:paraId="47EC2808">
            <w:pPr>
              <w:widowControl/>
              <w:snapToGrid w:val="0"/>
              <w:spacing w:line="360" w:lineRule="auto"/>
              <w:ind w:firstLine="480" w:firstLineChars="200"/>
              <w:jc w:val="left"/>
              <w:rPr>
                <w:color w:val="auto"/>
                <w:sz w:val="24"/>
                <w:szCs w:val="24"/>
              </w:rPr>
            </w:pPr>
            <w:r>
              <w:rPr>
                <w:color w:val="auto"/>
                <w:sz w:val="24"/>
                <w:szCs w:val="24"/>
              </w:rPr>
              <w:t>Leqb——预测点背景值</w:t>
            </w:r>
            <w:r>
              <w:rPr>
                <w:rFonts w:hint="eastAsia"/>
                <w:color w:val="auto"/>
                <w:sz w:val="24"/>
                <w:szCs w:val="24"/>
                <w:lang w:eastAsia="zh-CN"/>
              </w:rPr>
              <w:t>，</w:t>
            </w:r>
            <w:r>
              <w:rPr>
                <w:color w:val="auto"/>
                <w:sz w:val="24"/>
                <w:szCs w:val="24"/>
              </w:rPr>
              <w:t>dB（A）。</w:t>
            </w:r>
          </w:p>
          <w:p w14:paraId="7DF7A334">
            <w:pPr>
              <w:spacing w:line="360" w:lineRule="auto"/>
              <w:ind w:firstLine="480" w:firstLineChars="200"/>
              <w:rPr>
                <w:color w:val="auto"/>
                <w:sz w:val="24"/>
                <w:szCs w:val="24"/>
                <w:highlight w:val="none"/>
              </w:rPr>
            </w:pPr>
            <w:r>
              <w:rPr>
                <w:color w:val="auto"/>
                <w:sz w:val="24"/>
                <w:szCs w:val="24"/>
              </w:rPr>
              <w:t>根据产生噪声设备噪声源强、相应的预测模式进行预测。项目仅昼间从事生产</w:t>
            </w:r>
            <w:r>
              <w:rPr>
                <w:rFonts w:hint="eastAsia"/>
                <w:color w:val="auto"/>
                <w:sz w:val="24"/>
                <w:szCs w:val="24"/>
                <w:lang w:eastAsia="zh-CN"/>
              </w:rPr>
              <w:t>，</w:t>
            </w:r>
            <w:r>
              <w:rPr>
                <w:color w:val="auto"/>
                <w:sz w:val="24"/>
                <w:szCs w:val="24"/>
              </w:rPr>
              <w:t>因此仅考虑昼间噪声影响。项目周边50m范围内无声环境敏感目标。环境噪声预测结果见下表：</w:t>
            </w:r>
          </w:p>
          <w:p w14:paraId="60C74587">
            <w:pPr>
              <w:tabs>
                <w:tab w:val="left" w:pos="1219"/>
              </w:tabs>
              <w:autoSpaceDE w:val="0"/>
              <w:autoSpaceDN w:val="0"/>
              <w:adjustRightInd w:val="0"/>
              <w:spacing w:line="360" w:lineRule="auto"/>
              <w:ind w:right="193" w:firstLine="436" w:firstLineChars="182"/>
              <w:rPr>
                <w:color w:val="auto"/>
                <w:sz w:val="24"/>
                <w:szCs w:val="24"/>
                <w:highlight w:val="none"/>
              </w:rPr>
            </w:pPr>
            <w:r>
              <w:rPr>
                <w:rFonts w:hint="eastAsia" w:cs="宋体"/>
                <w:color w:val="auto"/>
                <w:sz w:val="24"/>
                <w:szCs w:val="24"/>
                <w:highlight w:val="none"/>
              </w:rPr>
              <w:t>④预测结果</w:t>
            </w:r>
          </w:p>
          <w:p w14:paraId="198AA437">
            <w:pPr>
              <w:spacing w:line="360" w:lineRule="auto"/>
              <w:ind w:firstLine="480" w:firstLineChars="200"/>
              <w:rPr>
                <w:color w:val="auto"/>
                <w:sz w:val="24"/>
                <w:szCs w:val="24"/>
                <w:highlight w:val="none"/>
              </w:rPr>
            </w:pPr>
            <w:r>
              <w:rPr>
                <w:rFonts w:hint="eastAsia" w:cs="宋体"/>
                <w:color w:val="auto"/>
                <w:sz w:val="24"/>
                <w:szCs w:val="24"/>
                <w:highlight w:val="none"/>
              </w:rPr>
              <w:t>预测结果详见下表</w:t>
            </w:r>
            <w:r>
              <w:rPr>
                <w:color w:val="auto"/>
                <w:kern w:val="0"/>
                <w:sz w:val="24"/>
                <w:szCs w:val="24"/>
                <w:highlight w:val="none"/>
              </w:rPr>
              <w:t>4-1</w:t>
            </w:r>
            <w:r>
              <w:rPr>
                <w:rFonts w:hint="eastAsia"/>
                <w:color w:val="auto"/>
                <w:kern w:val="0"/>
                <w:sz w:val="24"/>
                <w:szCs w:val="24"/>
                <w:highlight w:val="none"/>
                <w:lang w:val="en-US" w:eastAsia="zh-CN"/>
              </w:rPr>
              <w:t>1</w:t>
            </w:r>
            <w:r>
              <w:rPr>
                <w:rFonts w:hint="eastAsia" w:cs="宋体"/>
                <w:color w:val="auto"/>
                <w:sz w:val="24"/>
                <w:szCs w:val="24"/>
                <w:highlight w:val="none"/>
              </w:rPr>
              <w:t>。</w:t>
            </w:r>
          </w:p>
          <w:p w14:paraId="32CDFA7B">
            <w:pPr>
              <w:jc w:val="center"/>
              <w:rPr>
                <w:color w:val="auto"/>
                <w:sz w:val="22"/>
                <w:szCs w:val="22"/>
                <w:highlight w:val="none"/>
              </w:rPr>
            </w:pPr>
            <w:r>
              <w:rPr>
                <w:rFonts w:hint="eastAsia" w:cs="宋体"/>
                <w:b/>
                <w:bCs/>
                <w:color w:val="auto"/>
                <w:sz w:val="22"/>
                <w:szCs w:val="22"/>
                <w:highlight w:val="none"/>
              </w:rPr>
              <w:t>表</w:t>
            </w:r>
            <w:r>
              <w:rPr>
                <w:b/>
                <w:bCs/>
                <w:color w:val="auto"/>
                <w:sz w:val="22"/>
                <w:szCs w:val="22"/>
                <w:highlight w:val="none"/>
              </w:rPr>
              <w:t>4-1</w:t>
            </w:r>
            <w:r>
              <w:rPr>
                <w:rFonts w:hint="eastAsia"/>
                <w:b/>
                <w:bCs/>
                <w:color w:val="auto"/>
                <w:sz w:val="22"/>
                <w:szCs w:val="22"/>
                <w:highlight w:val="none"/>
                <w:lang w:val="en-US" w:eastAsia="zh-CN"/>
              </w:rPr>
              <w:t>1</w:t>
            </w:r>
            <w:r>
              <w:rPr>
                <w:b/>
                <w:bCs/>
                <w:color w:val="auto"/>
                <w:sz w:val="22"/>
                <w:szCs w:val="22"/>
                <w:highlight w:val="none"/>
              </w:rPr>
              <w:t xml:space="preserve">  </w:t>
            </w:r>
            <w:r>
              <w:rPr>
                <w:rFonts w:hint="eastAsia" w:cs="宋体"/>
                <w:b/>
                <w:bCs/>
                <w:color w:val="auto"/>
                <w:sz w:val="22"/>
                <w:szCs w:val="22"/>
                <w:highlight w:val="none"/>
              </w:rPr>
              <w:t>厂界噪声预测结果一览表</w:t>
            </w:r>
          </w:p>
          <w:tbl>
            <w:tblPr>
              <w:tblStyle w:val="37"/>
              <w:tblpPr w:leftFromText="180" w:rightFromText="180" w:vertAnchor="text" w:horzAnchor="page" w:tblpXSpec="center" w:tblpY="315"/>
              <w:tblOverlap w:val="never"/>
              <w:tblW w:w="7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621"/>
              <w:gridCol w:w="609"/>
              <w:gridCol w:w="615"/>
              <w:gridCol w:w="615"/>
              <w:gridCol w:w="615"/>
              <w:gridCol w:w="615"/>
              <w:gridCol w:w="615"/>
              <w:gridCol w:w="617"/>
              <w:gridCol w:w="1340"/>
              <w:gridCol w:w="712"/>
            </w:tblGrid>
            <w:tr w14:paraId="356E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02" w:type="dxa"/>
                  <w:vMerge w:val="restart"/>
                  <w:tcBorders>
                    <w:top w:val="single" w:color="auto" w:sz="4" w:space="0"/>
                    <w:left w:val="single" w:color="auto" w:sz="4" w:space="0"/>
                    <w:right w:val="single" w:color="auto" w:sz="4" w:space="0"/>
                  </w:tcBorders>
                  <w:vAlign w:val="center"/>
                </w:tcPr>
                <w:p w14:paraId="505BB505">
                  <w:pPr>
                    <w:jc w:val="center"/>
                    <w:rPr>
                      <w:color w:val="auto"/>
                      <w:sz w:val="22"/>
                      <w:szCs w:val="22"/>
                      <w:highlight w:val="none"/>
                    </w:rPr>
                  </w:pPr>
                  <w:r>
                    <w:rPr>
                      <w:rFonts w:hint="eastAsia" w:cs="宋体"/>
                      <w:color w:val="auto"/>
                      <w:sz w:val="22"/>
                      <w:szCs w:val="22"/>
                      <w:highlight w:val="none"/>
                    </w:rPr>
                    <w:t>厂界</w:t>
                  </w:r>
                </w:p>
              </w:tc>
              <w:tc>
                <w:tcPr>
                  <w:tcW w:w="1230" w:type="dxa"/>
                  <w:gridSpan w:val="2"/>
                  <w:tcBorders>
                    <w:top w:val="single" w:color="auto" w:sz="4" w:space="0"/>
                    <w:left w:val="single" w:color="auto" w:sz="4" w:space="0"/>
                    <w:bottom w:val="single" w:color="auto" w:sz="4" w:space="0"/>
                    <w:right w:val="single" w:color="auto" w:sz="4" w:space="0"/>
                  </w:tcBorders>
                  <w:vAlign w:val="center"/>
                </w:tcPr>
                <w:p w14:paraId="41B67A94">
                  <w:pPr>
                    <w:jc w:val="center"/>
                    <w:rPr>
                      <w:rFonts w:hint="eastAsia" w:cs="宋体"/>
                      <w:color w:val="auto"/>
                      <w:sz w:val="22"/>
                      <w:szCs w:val="22"/>
                      <w:highlight w:val="none"/>
                    </w:rPr>
                  </w:pPr>
                  <w:r>
                    <w:rPr>
                      <w:rFonts w:hint="eastAsia"/>
                      <w:color w:val="auto"/>
                      <w:szCs w:val="21"/>
                      <w:highlight w:val="none"/>
                    </w:rPr>
                    <w:t>现状值</w:t>
                  </w:r>
                </w:p>
              </w:tc>
              <w:tc>
                <w:tcPr>
                  <w:tcW w:w="1230" w:type="dxa"/>
                  <w:gridSpan w:val="2"/>
                  <w:tcBorders>
                    <w:top w:val="single" w:color="auto" w:sz="4" w:space="0"/>
                    <w:left w:val="single" w:color="auto" w:sz="4" w:space="0"/>
                    <w:bottom w:val="single" w:color="auto" w:sz="4" w:space="0"/>
                    <w:right w:val="single" w:color="auto" w:sz="4" w:space="0"/>
                  </w:tcBorders>
                  <w:vAlign w:val="center"/>
                </w:tcPr>
                <w:p w14:paraId="4B9AD77B">
                  <w:pPr>
                    <w:jc w:val="center"/>
                    <w:rPr>
                      <w:rFonts w:hint="default"/>
                      <w:color w:val="auto"/>
                      <w:szCs w:val="21"/>
                      <w:highlight w:val="none"/>
                      <w:lang w:val="en-US" w:eastAsia="zh-CN"/>
                    </w:rPr>
                  </w:pPr>
                  <w:r>
                    <w:rPr>
                      <w:rFonts w:hint="eastAsia"/>
                      <w:color w:val="auto"/>
                      <w:szCs w:val="21"/>
                      <w:highlight w:val="none"/>
                      <w:lang w:val="en-US" w:eastAsia="zh-CN"/>
                    </w:rPr>
                    <w:t>贡献值</w:t>
                  </w:r>
                </w:p>
              </w:tc>
              <w:tc>
                <w:tcPr>
                  <w:tcW w:w="1230" w:type="dxa"/>
                  <w:gridSpan w:val="2"/>
                  <w:tcBorders>
                    <w:top w:val="single" w:color="auto" w:sz="4" w:space="0"/>
                    <w:left w:val="single" w:color="auto" w:sz="4" w:space="0"/>
                    <w:bottom w:val="single" w:color="auto" w:sz="4" w:space="0"/>
                    <w:right w:val="single" w:color="auto" w:sz="4" w:space="0"/>
                  </w:tcBorders>
                  <w:vAlign w:val="center"/>
                </w:tcPr>
                <w:p w14:paraId="68240DB3">
                  <w:pPr>
                    <w:jc w:val="center"/>
                    <w:rPr>
                      <w:rFonts w:hint="default"/>
                      <w:color w:val="auto"/>
                      <w:szCs w:val="21"/>
                      <w:highlight w:val="none"/>
                      <w:lang w:val="en-US" w:eastAsia="zh-CN"/>
                    </w:rPr>
                  </w:pPr>
                  <w:r>
                    <w:rPr>
                      <w:rFonts w:hint="eastAsia"/>
                      <w:color w:val="auto"/>
                      <w:szCs w:val="21"/>
                      <w:highlight w:val="none"/>
                      <w:lang w:val="en-US" w:eastAsia="zh-CN"/>
                    </w:rPr>
                    <w:t>预测值</w:t>
                  </w:r>
                </w:p>
              </w:tc>
              <w:tc>
                <w:tcPr>
                  <w:tcW w:w="1232" w:type="dxa"/>
                  <w:gridSpan w:val="2"/>
                  <w:tcBorders>
                    <w:top w:val="single" w:color="auto" w:sz="4" w:space="0"/>
                    <w:left w:val="single" w:color="auto" w:sz="4" w:space="0"/>
                    <w:right w:val="single" w:color="auto" w:sz="4" w:space="0"/>
                  </w:tcBorders>
                  <w:vAlign w:val="center"/>
                </w:tcPr>
                <w:p w14:paraId="43E89F72">
                  <w:pPr>
                    <w:jc w:val="center"/>
                    <w:rPr>
                      <w:rFonts w:hint="eastAsia"/>
                      <w:color w:val="auto"/>
                      <w:sz w:val="22"/>
                      <w:szCs w:val="22"/>
                      <w:highlight w:val="none"/>
                      <w:lang w:val="en-US" w:eastAsia="zh-CN"/>
                    </w:rPr>
                  </w:pPr>
                  <w:r>
                    <w:rPr>
                      <w:rFonts w:hint="eastAsia"/>
                      <w:color w:val="auto"/>
                      <w:sz w:val="22"/>
                      <w:szCs w:val="22"/>
                      <w:highlight w:val="none"/>
                      <w:lang w:val="en-US" w:eastAsia="zh-CN"/>
                    </w:rPr>
                    <w:t>标准值</w:t>
                  </w:r>
                </w:p>
              </w:tc>
              <w:tc>
                <w:tcPr>
                  <w:tcW w:w="1340" w:type="dxa"/>
                  <w:vMerge w:val="restart"/>
                  <w:tcBorders>
                    <w:top w:val="single" w:color="auto" w:sz="4" w:space="0"/>
                    <w:left w:val="single" w:color="auto" w:sz="4" w:space="0"/>
                    <w:right w:val="single" w:color="auto" w:sz="4" w:space="0"/>
                  </w:tcBorders>
                  <w:vAlign w:val="center"/>
                </w:tcPr>
                <w:p w14:paraId="70BFD8AC">
                  <w:pPr>
                    <w:jc w:val="center"/>
                    <w:rPr>
                      <w:rFonts w:hint="eastAsia" w:cs="宋体"/>
                      <w:color w:val="auto"/>
                      <w:sz w:val="22"/>
                      <w:szCs w:val="22"/>
                      <w:highlight w:val="none"/>
                    </w:rPr>
                  </w:pPr>
                  <w:r>
                    <w:rPr>
                      <w:rFonts w:hint="eastAsia" w:cs="宋体"/>
                      <w:color w:val="auto"/>
                      <w:sz w:val="22"/>
                      <w:szCs w:val="22"/>
                      <w:highlight w:val="none"/>
                    </w:rPr>
                    <w:t>评价标准</w:t>
                  </w:r>
                </w:p>
              </w:tc>
              <w:tc>
                <w:tcPr>
                  <w:tcW w:w="712" w:type="dxa"/>
                  <w:vMerge w:val="restart"/>
                  <w:tcBorders>
                    <w:top w:val="single" w:color="auto" w:sz="4" w:space="0"/>
                    <w:left w:val="single" w:color="auto" w:sz="4" w:space="0"/>
                    <w:right w:val="single" w:color="auto" w:sz="4" w:space="0"/>
                  </w:tcBorders>
                  <w:vAlign w:val="center"/>
                </w:tcPr>
                <w:p w14:paraId="22735821">
                  <w:pPr>
                    <w:jc w:val="center"/>
                    <w:rPr>
                      <w:color w:val="auto"/>
                      <w:sz w:val="22"/>
                      <w:szCs w:val="22"/>
                      <w:highlight w:val="none"/>
                    </w:rPr>
                  </w:pPr>
                  <w:r>
                    <w:rPr>
                      <w:rFonts w:hint="eastAsia" w:cs="宋体"/>
                      <w:color w:val="auto"/>
                      <w:sz w:val="22"/>
                      <w:szCs w:val="22"/>
                      <w:highlight w:val="none"/>
                    </w:rPr>
                    <w:t>达标情况</w:t>
                  </w:r>
                </w:p>
              </w:tc>
            </w:tr>
            <w:tr w14:paraId="0C25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002" w:type="dxa"/>
                  <w:vMerge w:val="continue"/>
                  <w:tcBorders>
                    <w:left w:val="single" w:color="auto" w:sz="4" w:space="0"/>
                    <w:bottom w:val="single" w:color="auto" w:sz="4" w:space="0"/>
                    <w:right w:val="single" w:color="auto" w:sz="4" w:space="0"/>
                  </w:tcBorders>
                  <w:vAlign w:val="center"/>
                </w:tcPr>
                <w:p w14:paraId="11E8C8D8">
                  <w:pPr>
                    <w:jc w:val="center"/>
                    <w:rPr>
                      <w:color w:val="auto"/>
                    </w:rPr>
                  </w:pPr>
                </w:p>
              </w:tc>
              <w:tc>
                <w:tcPr>
                  <w:tcW w:w="621" w:type="dxa"/>
                  <w:tcBorders>
                    <w:top w:val="single" w:color="auto" w:sz="4" w:space="0"/>
                    <w:left w:val="single" w:color="auto" w:sz="4" w:space="0"/>
                    <w:bottom w:val="single" w:color="auto" w:sz="4" w:space="0"/>
                    <w:right w:val="single" w:color="auto" w:sz="4" w:space="0"/>
                  </w:tcBorders>
                  <w:vAlign w:val="center"/>
                </w:tcPr>
                <w:p w14:paraId="5573C1E3">
                  <w:pPr>
                    <w:jc w:val="center"/>
                    <w:rPr>
                      <w:color w:val="auto"/>
                    </w:rPr>
                  </w:pPr>
                  <w:r>
                    <w:rPr>
                      <w:color w:val="auto"/>
                      <w:szCs w:val="21"/>
                      <w:highlight w:val="none"/>
                    </w:rPr>
                    <w:t>昼间</w:t>
                  </w:r>
                </w:p>
              </w:tc>
              <w:tc>
                <w:tcPr>
                  <w:tcW w:w="609" w:type="dxa"/>
                  <w:tcBorders>
                    <w:top w:val="single" w:color="auto" w:sz="4" w:space="0"/>
                    <w:left w:val="single" w:color="auto" w:sz="4" w:space="0"/>
                    <w:bottom w:val="single" w:color="auto" w:sz="4" w:space="0"/>
                    <w:right w:val="single" w:color="auto" w:sz="4" w:space="0"/>
                  </w:tcBorders>
                  <w:vAlign w:val="center"/>
                </w:tcPr>
                <w:p w14:paraId="1AF39127">
                  <w:pPr>
                    <w:jc w:val="center"/>
                    <w:rPr>
                      <w:color w:val="auto"/>
                    </w:rPr>
                  </w:pPr>
                  <w:r>
                    <w:rPr>
                      <w:color w:val="auto"/>
                      <w:szCs w:val="21"/>
                      <w:highlight w:val="none"/>
                    </w:rPr>
                    <w:t>夜间</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0E0C56A0">
                  <w:pPr>
                    <w:jc w:val="center"/>
                    <w:rPr>
                      <w:color w:val="auto"/>
                      <w:szCs w:val="21"/>
                      <w:highlight w:val="none"/>
                    </w:rPr>
                  </w:pPr>
                  <w:r>
                    <w:rPr>
                      <w:rFonts w:hint="eastAsia"/>
                      <w:color w:val="auto"/>
                      <w:szCs w:val="21"/>
                      <w:highlight w:val="none"/>
                      <w:lang w:eastAsia="zh-CN"/>
                    </w:rPr>
                    <w:t>昼间</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641CE181">
                  <w:pPr>
                    <w:jc w:val="center"/>
                    <w:rPr>
                      <w:color w:val="auto"/>
                      <w:szCs w:val="21"/>
                      <w:highlight w:val="none"/>
                    </w:rPr>
                  </w:pPr>
                  <w:r>
                    <w:rPr>
                      <w:rFonts w:hint="eastAsia"/>
                      <w:color w:val="auto"/>
                      <w:szCs w:val="21"/>
                      <w:highlight w:val="none"/>
                      <w:lang w:eastAsia="zh-CN"/>
                    </w:rPr>
                    <w:t>夜间</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19C9D4BF">
                  <w:pPr>
                    <w:jc w:val="center"/>
                    <w:rPr>
                      <w:rFonts w:hint="eastAsia"/>
                      <w:color w:val="auto"/>
                      <w:szCs w:val="21"/>
                      <w:highlight w:val="none"/>
                      <w:lang w:val="en-US" w:eastAsia="zh-CN"/>
                    </w:rPr>
                  </w:pPr>
                  <w:r>
                    <w:rPr>
                      <w:rFonts w:hint="eastAsia"/>
                      <w:color w:val="auto"/>
                      <w:szCs w:val="21"/>
                      <w:highlight w:val="none"/>
                      <w:lang w:eastAsia="zh-CN"/>
                    </w:rPr>
                    <w:t>昼间</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39D8EFA2">
                  <w:pPr>
                    <w:jc w:val="center"/>
                    <w:rPr>
                      <w:rFonts w:hint="eastAsia"/>
                      <w:color w:val="auto"/>
                      <w:szCs w:val="21"/>
                      <w:highlight w:val="none"/>
                      <w:lang w:val="en-US" w:eastAsia="zh-CN"/>
                    </w:rPr>
                  </w:pPr>
                  <w:r>
                    <w:rPr>
                      <w:rFonts w:hint="eastAsia"/>
                      <w:color w:val="auto"/>
                      <w:szCs w:val="21"/>
                      <w:highlight w:val="none"/>
                      <w:lang w:eastAsia="zh-CN"/>
                    </w:rPr>
                    <w:t>夜间</w:t>
                  </w:r>
                </w:p>
              </w:tc>
              <w:tc>
                <w:tcPr>
                  <w:tcW w:w="615" w:type="dxa"/>
                  <w:tcBorders>
                    <w:left w:val="single" w:color="auto" w:sz="4" w:space="0"/>
                    <w:bottom w:val="single" w:color="auto" w:sz="4" w:space="0"/>
                    <w:right w:val="single" w:color="auto" w:sz="4" w:space="0"/>
                  </w:tcBorders>
                  <w:vAlign w:val="center"/>
                </w:tcPr>
                <w:p w14:paraId="17EF854C">
                  <w:pPr>
                    <w:jc w:val="center"/>
                    <w:rPr>
                      <w:rFonts w:hint="eastAsia" w:cs="宋体"/>
                      <w:color w:val="auto"/>
                      <w:sz w:val="22"/>
                      <w:szCs w:val="22"/>
                      <w:highlight w:val="none"/>
                      <w:lang w:eastAsia="zh-CN"/>
                    </w:rPr>
                  </w:pPr>
                  <w:r>
                    <w:rPr>
                      <w:rFonts w:hint="eastAsia" w:cs="宋体"/>
                      <w:color w:val="auto"/>
                      <w:sz w:val="22"/>
                      <w:szCs w:val="22"/>
                      <w:highlight w:val="none"/>
                      <w:lang w:eastAsia="zh-CN"/>
                    </w:rPr>
                    <w:t>昼间</w:t>
                  </w:r>
                </w:p>
              </w:tc>
              <w:tc>
                <w:tcPr>
                  <w:tcW w:w="617" w:type="dxa"/>
                  <w:tcBorders>
                    <w:left w:val="single" w:color="auto" w:sz="4" w:space="0"/>
                    <w:bottom w:val="single" w:color="auto" w:sz="4" w:space="0"/>
                    <w:right w:val="single" w:color="auto" w:sz="4" w:space="0"/>
                  </w:tcBorders>
                  <w:vAlign w:val="center"/>
                </w:tcPr>
                <w:p w14:paraId="4DD25F6A">
                  <w:pPr>
                    <w:jc w:val="center"/>
                    <w:rPr>
                      <w:rFonts w:hint="eastAsia" w:cs="宋体"/>
                      <w:color w:val="auto"/>
                      <w:sz w:val="22"/>
                      <w:szCs w:val="22"/>
                      <w:highlight w:val="none"/>
                      <w:lang w:eastAsia="zh-CN"/>
                    </w:rPr>
                  </w:pPr>
                  <w:r>
                    <w:rPr>
                      <w:rFonts w:hint="eastAsia" w:cs="宋体"/>
                      <w:color w:val="auto"/>
                      <w:sz w:val="22"/>
                      <w:szCs w:val="22"/>
                      <w:highlight w:val="none"/>
                      <w:lang w:eastAsia="zh-CN"/>
                    </w:rPr>
                    <w:t>夜间</w:t>
                  </w:r>
                </w:p>
              </w:tc>
              <w:tc>
                <w:tcPr>
                  <w:tcW w:w="1340" w:type="dxa"/>
                  <w:vMerge w:val="continue"/>
                  <w:tcBorders>
                    <w:left w:val="single" w:color="auto" w:sz="4" w:space="0"/>
                    <w:bottom w:val="single" w:color="auto" w:sz="4" w:space="0"/>
                    <w:right w:val="single" w:color="auto" w:sz="4" w:space="0"/>
                  </w:tcBorders>
                  <w:vAlign w:val="center"/>
                </w:tcPr>
                <w:p w14:paraId="4FF87FF3">
                  <w:pPr>
                    <w:jc w:val="center"/>
                    <w:rPr>
                      <w:rFonts w:hint="eastAsia" w:cs="宋体"/>
                      <w:color w:val="auto"/>
                      <w:sz w:val="22"/>
                      <w:szCs w:val="22"/>
                      <w:highlight w:val="none"/>
                    </w:rPr>
                  </w:pPr>
                </w:p>
              </w:tc>
              <w:tc>
                <w:tcPr>
                  <w:tcW w:w="712" w:type="dxa"/>
                  <w:vMerge w:val="continue"/>
                  <w:tcBorders>
                    <w:left w:val="single" w:color="auto" w:sz="4" w:space="0"/>
                    <w:bottom w:val="single" w:color="auto" w:sz="4" w:space="0"/>
                    <w:right w:val="single" w:color="auto" w:sz="4" w:space="0"/>
                  </w:tcBorders>
                  <w:vAlign w:val="center"/>
                </w:tcPr>
                <w:p w14:paraId="25477E66">
                  <w:pPr>
                    <w:jc w:val="center"/>
                    <w:rPr>
                      <w:rFonts w:hint="eastAsia" w:cs="宋体"/>
                      <w:color w:val="auto"/>
                      <w:sz w:val="22"/>
                      <w:szCs w:val="22"/>
                      <w:highlight w:val="none"/>
                    </w:rPr>
                  </w:pPr>
                </w:p>
              </w:tc>
            </w:tr>
            <w:tr w14:paraId="7200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02" w:type="dxa"/>
                  <w:tcBorders>
                    <w:top w:val="single" w:color="auto" w:sz="4" w:space="0"/>
                    <w:left w:val="single" w:color="auto" w:sz="4" w:space="0"/>
                    <w:bottom w:val="single" w:color="auto" w:sz="4" w:space="0"/>
                    <w:right w:val="single" w:color="auto" w:sz="4" w:space="0"/>
                  </w:tcBorders>
                  <w:vAlign w:val="center"/>
                </w:tcPr>
                <w:p w14:paraId="38F71849">
                  <w:pPr>
                    <w:jc w:val="center"/>
                    <w:rPr>
                      <w:color w:val="auto"/>
                      <w:sz w:val="22"/>
                      <w:szCs w:val="22"/>
                      <w:highlight w:val="none"/>
                    </w:rPr>
                  </w:pPr>
                  <w:r>
                    <w:rPr>
                      <w:rFonts w:hint="eastAsia" w:cs="宋体"/>
                      <w:color w:val="auto"/>
                      <w:sz w:val="22"/>
                      <w:szCs w:val="22"/>
                      <w:highlight w:val="none"/>
                    </w:rPr>
                    <w:t>厂界</w:t>
                  </w:r>
                  <w:r>
                    <w:rPr>
                      <w:rFonts w:hint="eastAsia" w:cs="宋体"/>
                      <w:color w:val="auto"/>
                      <w:sz w:val="22"/>
                      <w:szCs w:val="22"/>
                      <w:highlight w:val="none"/>
                    </w:rPr>
                    <w:br w:type="textWrapping"/>
                  </w:r>
                  <w:r>
                    <w:rPr>
                      <w:rFonts w:hint="eastAsia" w:cs="宋体"/>
                      <w:color w:val="auto"/>
                      <w:sz w:val="22"/>
                      <w:szCs w:val="22"/>
                      <w:highlight w:val="none"/>
                    </w:rPr>
                    <w:t>东侧</w:t>
                  </w:r>
                </w:p>
              </w:tc>
              <w:tc>
                <w:tcPr>
                  <w:tcW w:w="621" w:type="dxa"/>
                  <w:tcBorders>
                    <w:top w:val="single" w:color="auto" w:sz="4" w:space="0"/>
                    <w:left w:val="single" w:color="auto" w:sz="4" w:space="0"/>
                    <w:bottom w:val="single" w:color="auto" w:sz="4" w:space="0"/>
                    <w:right w:val="single" w:color="auto" w:sz="4" w:space="0"/>
                  </w:tcBorders>
                  <w:vAlign w:val="center"/>
                </w:tcPr>
                <w:p w14:paraId="0D3EB0A1">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cs="宋体"/>
                      <w:color w:val="auto"/>
                      <w:sz w:val="22"/>
                      <w:szCs w:val="22"/>
                      <w:highlight w:val="none"/>
                    </w:rPr>
                  </w:pPr>
                </w:p>
              </w:tc>
              <w:tc>
                <w:tcPr>
                  <w:tcW w:w="609" w:type="dxa"/>
                  <w:tcBorders>
                    <w:top w:val="single" w:color="auto" w:sz="4" w:space="0"/>
                    <w:left w:val="single" w:color="auto" w:sz="4" w:space="0"/>
                    <w:bottom w:val="single" w:color="auto" w:sz="4" w:space="0"/>
                    <w:right w:val="single" w:color="auto" w:sz="4" w:space="0"/>
                  </w:tcBorders>
                  <w:vAlign w:val="center"/>
                </w:tcPr>
                <w:p w14:paraId="46FCEE6E">
                  <w:pPr>
                    <w:pStyle w:val="14"/>
                    <w:keepNext w:val="0"/>
                    <w:keepLines w:val="0"/>
                    <w:pageBreakBefore w:val="0"/>
                    <w:widowControl w:val="0"/>
                    <w:kinsoku/>
                    <w:wordWrap/>
                    <w:overflowPunct/>
                    <w:topLinePunct w:val="0"/>
                    <w:bidi w:val="0"/>
                    <w:snapToGrid/>
                    <w:spacing w:after="0"/>
                    <w:ind w:left="0" w:leftChars="0"/>
                    <w:jc w:val="center"/>
                    <w:textAlignment w:val="auto"/>
                    <w:rPr>
                      <w:color w:val="auto"/>
                    </w:rPr>
                  </w:pPr>
                </w:p>
              </w:tc>
              <w:tc>
                <w:tcPr>
                  <w:tcW w:w="615" w:type="dxa"/>
                  <w:tcBorders>
                    <w:top w:val="single" w:color="auto" w:sz="4" w:space="0"/>
                    <w:left w:val="single" w:color="auto" w:sz="4" w:space="0"/>
                    <w:bottom w:val="single" w:color="auto" w:sz="4" w:space="0"/>
                    <w:right w:val="single" w:color="auto" w:sz="4" w:space="0"/>
                  </w:tcBorders>
                  <w:vAlign w:val="center"/>
                </w:tcPr>
                <w:p w14:paraId="5841A543">
                  <w:pPr>
                    <w:jc w:val="center"/>
                    <w:rPr>
                      <w:rFonts w:hint="default"/>
                      <w:color w:val="auto"/>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vAlign w:val="center"/>
                </w:tcPr>
                <w:p w14:paraId="5A933D61">
                  <w:pPr>
                    <w:jc w:val="center"/>
                    <w:rPr>
                      <w:rFonts w:hint="default"/>
                      <w:color w:val="auto"/>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vAlign w:val="center"/>
                </w:tcPr>
                <w:p w14:paraId="644A184D">
                  <w:pPr>
                    <w:jc w:val="center"/>
                    <w:rPr>
                      <w:rFonts w:hint="default"/>
                      <w:color w:val="auto"/>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vAlign w:val="center"/>
                </w:tcPr>
                <w:p w14:paraId="66008099">
                  <w:pPr>
                    <w:jc w:val="center"/>
                    <w:rPr>
                      <w:rFonts w:hint="default"/>
                      <w:color w:val="auto"/>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vAlign w:val="center"/>
                </w:tcPr>
                <w:p w14:paraId="031D0323">
                  <w:pPr>
                    <w:jc w:val="center"/>
                    <w:rPr>
                      <w:rFonts w:hint="default"/>
                      <w:color w:val="auto"/>
                      <w:sz w:val="22"/>
                      <w:szCs w:val="22"/>
                      <w:highlight w:val="none"/>
                      <w:lang w:val="en-US" w:eastAsia="zh-CN"/>
                    </w:rPr>
                  </w:pPr>
                </w:p>
              </w:tc>
              <w:tc>
                <w:tcPr>
                  <w:tcW w:w="617" w:type="dxa"/>
                  <w:tcBorders>
                    <w:top w:val="single" w:color="auto" w:sz="4" w:space="0"/>
                    <w:left w:val="single" w:color="auto" w:sz="4" w:space="0"/>
                    <w:bottom w:val="single" w:color="auto" w:sz="4" w:space="0"/>
                    <w:right w:val="single" w:color="auto" w:sz="4" w:space="0"/>
                  </w:tcBorders>
                  <w:vAlign w:val="center"/>
                </w:tcPr>
                <w:p w14:paraId="186E178A">
                  <w:pPr>
                    <w:jc w:val="center"/>
                    <w:rPr>
                      <w:rFonts w:hint="default"/>
                      <w:color w:val="auto"/>
                      <w:sz w:val="22"/>
                      <w:szCs w:val="22"/>
                      <w:highlight w:val="none"/>
                      <w:lang w:val="en-US" w:eastAsia="zh-CN"/>
                    </w:rPr>
                  </w:pPr>
                </w:p>
              </w:tc>
              <w:tc>
                <w:tcPr>
                  <w:tcW w:w="1340" w:type="dxa"/>
                  <w:vMerge w:val="restart"/>
                  <w:tcBorders>
                    <w:top w:val="single" w:color="auto" w:sz="4" w:space="0"/>
                    <w:left w:val="single" w:color="auto" w:sz="4" w:space="0"/>
                    <w:right w:val="single" w:color="auto" w:sz="4" w:space="0"/>
                  </w:tcBorders>
                  <w:vAlign w:val="center"/>
                </w:tcPr>
                <w:p w14:paraId="3E2EE9A1">
                  <w:pPr>
                    <w:jc w:val="center"/>
                    <w:rPr>
                      <w:rFonts w:hint="eastAsia" w:cs="宋体"/>
                      <w:color w:val="auto"/>
                      <w:sz w:val="22"/>
                      <w:szCs w:val="22"/>
                      <w:highlight w:val="none"/>
                    </w:rPr>
                  </w:pPr>
                  <w:r>
                    <w:rPr>
                      <w:rFonts w:hint="eastAsia" w:cs="宋体"/>
                      <w:color w:val="auto"/>
                      <w:sz w:val="22"/>
                      <w:szCs w:val="22"/>
                      <w:highlight w:val="none"/>
                    </w:rPr>
                    <w:t>《工业企业厂界环境噪声排放标准》（</w:t>
                  </w:r>
                  <w:r>
                    <w:rPr>
                      <w:color w:val="auto"/>
                      <w:sz w:val="22"/>
                      <w:szCs w:val="22"/>
                      <w:highlight w:val="none"/>
                    </w:rPr>
                    <w:t>GB12348-2008</w:t>
                  </w:r>
                  <w:r>
                    <w:rPr>
                      <w:rFonts w:hint="eastAsia" w:cs="宋体"/>
                      <w:color w:val="auto"/>
                      <w:sz w:val="22"/>
                      <w:szCs w:val="22"/>
                      <w:highlight w:val="none"/>
                    </w:rPr>
                    <w:t>）中</w:t>
                  </w:r>
                  <w:r>
                    <w:rPr>
                      <w:rFonts w:hint="eastAsia"/>
                      <w:color w:val="auto"/>
                      <w:sz w:val="22"/>
                      <w:szCs w:val="22"/>
                      <w:highlight w:val="none"/>
                      <w:lang w:val="en-US" w:eastAsia="zh-CN"/>
                    </w:rPr>
                    <w:t>2</w:t>
                  </w:r>
                  <w:r>
                    <w:rPr>
                      <w:rFonts w:hint="eastAsia" w:cs="宋体"/>
                      <w:color w:val="auto"/>
                      <w:sz w:val="22"/>
                      <w:szCs w:val="22"/>
                      <w:highlight w:val="none"/>
                    </w:rPr>
                    <w:t>类标准</w:t>
                  </w:r>
                </w:p>
              </w:tc>
              <w:tc>
                <w:tcPr>
                  <w:tcW w:w="712" w:type="dxa"/>
                  <w:tcBorders>
                    <w:top w:val="single" w:color="auto" w:sz="4" w:space="0"/>
                    <w:left w:val="single" w:color="auto" w:sz="4" w:space="0"/>
                    <w:bottom w:val="single" w:color="auto" w:sz="4" w:space="0"/>
                    <w:right w:val="single" w:color="auto" w:sz="4" w:space="0"/>
                  </w:tcBorders>
                  <w:vAlign w:val="center"/>
                </w:tcPr>
                <w:p w14:paraId="75B73887">
                  <w:pPr>
                    <w:jc w:val="center"/>
                    <w:rPr>
                      <w:color w:val="auto"/>
                      <w:sz w:val="22"/>
                      <w:szCs w:val="22"/>
                      <w:highlight w:val="none"/>
                    </w:rPr>
                  </w:pPr>
                  <w:r>
                    <w:rPr>
                      <w:rFonts w:hint="eastAsia" w:cs="宋体"/>
                      <w:color w:val="auto"/>
                      <w:sz w:val="22"/>
                      <w:szCs w:val="22"/>
                      <w:highlight w:val="none"/>
                    </w:rPr>
                    <w:t>达标</w:t>
                  </w:r>
                </w:p>
              </w:tc>
            </w:tr>
            <w:tr w14:paraId="1A1A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02" w:type="dxa"/>
                  <w:tcBorders>
                    <w:top w:val="single" w:color="auto" w:sz="4" w:space="0"/>
                    <w:left w:val="single" w:color="auto" w:sz="4" w:space="0"/>
                    <w:bottom w:val="single" w:color="auto" w:sz="4" w:space="0"/>
                    <w:right w:val="single" w:color="auto" w:sz="4" w:space="0"/>
                  </w:tcBorders>
                  <w:vAlign w:val="center"/>
                </w:tcPr>
                <w:p w14:paraId="28FD0B39">
                  <w:pPr>
                    <w:jc w:val="center"/>
                    <w:rPr>
                      <w:color w:val="auto"/>
                      <w:sz w:val="22"/>
                      <w:szCs w:val="22"/>
                      <w:highlight w:val="none"/>
                    </w:rPr>
                  </w:pPr>
                  <w:r>
                    <w:rPr>
                      <w:rFonts w:hint="eastAsia" w:cs="宋体"/>
                      <w:color w:val="auto"/>
                      <w:sz w:val="22"/>
                      <w:szCs w:val="22"/>
                      <w:highlight w:val="none"/>
                    </w:rPr>
                    <w:t>厂界</w:t>
                  </w:r>
                  <w:r>
                    <w:rPr>
                      <w:rFonts w:hint="eastAsia" w:cs="宋体"/>
                      <w:color w:val="auto"/>
                      <w:sz w:val="22"/>
                      <w:szCs w:val="22"/>
                      <w:highlight w:val="none"/>
                    </w:rPr>
                    <w:br w:type="textWrapping"/>
                  </w:r>
                  <w:r>
                    <w:rPr>
                      <w:rFonts w:hint="eastAsia" w:cs="宋体"/>
                      <w:color w:val="auto"/>
                      <w:sz w:val="22"/>
                      <w:szCs w:val="22"/>
                      <w:highlight w:val="none"/>
                    </w:rPr>
                    <w:t>南侧</w:t>
                  </w:r>
                </w:p>
              </w:tc>
              <w:tc>
                <w:tcPr>
                  <w:tcW w:w="621" w:type="dxa"/>
                  <w:tcBorders>
                    <w:top w:val="single" w:color="auto" w:sz="4" w:space="0"/>
                    <w:left w:val="single" w:color="auto" w:sz="4" w:space="0"/>
                    <w:bottom w:val="single" w:color="auto" w:sz="4" w:space="0"/>
                    <w:right w:val="single" w:color="auto" w:sz="4" w:space="0"/>
                  </w:tcBorders>
                  <w:vAlign w:val="center"/>
                </w:tcPr>
                <w:p w14:paraId="4A1EABD0">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cs="宋体"/>
                      <w:color w:val="auto"/>
                      <w:sz w:val="22"/>
                      <w:szCs w:val="22"/>
                      <w:highlight w:val="none"/>
                    </w:rPr>
                  </w:pPr>
                </w:p>
              </w:tc>
              <w:tc>
                <w:tcPr>
                  <w:tcW w:w="609" w:type="dxa"/>
                  <w:tcBorders>
                    <w:top w:val="single" w:color="auto" w:sz="4" w:space="0"/>
                    <w:left w:val="single" w:color="auto" w:sz="4" w:space="0"/>
                    <w:bottom w:val="single" w:color="auto" w:sz="4" w:space="0"/>
                    <w:right w:val="single" w:color="auto" w:sz="4" w:space="0"/>
                  </w:tcBorders>
                  <w:vAlign w:val="center"/>
                </w:tcPr>
                <w:p w14:paraId="5B7DE420">
                  <w:pPr>
                    <w:pStyle w:val="14"/>
                    <w:keepNext w:val="0"/>
                    <w:keepLines w:val="0"/>
                    <w:pageBreakBefore w:val="0"/>
                    <w:widowControl w:val="0"/>
                    <w:kinsoku/>
                    <w:wordWrap/>
                    <w:overflowPunct/>
                    <w:topLinePunct w:val="0"/>
                    <w:bidi w:val="0"/>
                    <w:snapToGrid/>
                    <w:spacing w:after="0"/>
                    <w:ind w:left="0" w:leftChars="0"/>
                    <w:jc w:val="center"/>
                    <w:textAlignment w:val="auto"/>
                    <w:rPr>
                      <w:color w:val="auto"/>
                    </w:rPr>
                  </w:pPr>
                </w:p>
              </w:tc>
              <w:tc>
                <w:tcPr>
                  <w:tcW w:w="615" w:type="dxa"/>
                  <w:tcBorders>
                    <w:top w:val="single" w:color="auto" w:sz="4" w:space="0"/>
                    <w:left w:val="single" w:color="auto" w:sz="4" w:space="0"/>
                    <w:bottom w:val="single" w:color="auto" w:sz="4" w:space="0"/>
                    <w:right w:val="single" w:color="auto" w:sz="4" w:space="0"/>
                  </w:tcBorders>
                  <w:vAlign w:val="center"/>
                </w:tcPr>
                <w:p w14:paraId="71587BC1">
                  <w:pPr>
                    <w:jc w:val="center"/>
                    <w:rPr>
                      <w:rFonts w:hint="default"/>
                      <w:color w:val="auto"/>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vAlign w:val="center"/>
                </w:tcPr>
                <w:p w14:paraId="6E114568">
                  <w:pPr>
                    <w:jc w:val="center"/>
                    <w:rPr>
                      <w:rFonts w:hint="eastAsia"/>
                      <w:color w:val="auto"/>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vAlign w:val="center"/>
                </w:tcPr>
                <w:p w14:paraId="70BB949E">
                  <w:pPr>
                    <w:jc w:val="center"/>
                    <w:rPr>
                      <w:rFonts w:hint="default"/>
                      <w:color w:val="auto"/>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vAlign w:val="center"/>
                </w:tcPr>
                <w:p w14:paraId="7C72C318">
                  <w:pPr>
                    <w:jc w:val="center"/>
                    <w:rPr>
                      <w:rFonts w:hint="default"/>
                      <w:color w:val="auto"/>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vAlign w:val="center"/>
                </w:tcPr>
                <w:p w14:paraId="58FF2C4D">
                  <w:pPr>
                    <w:jc w:val="center"/>
                    <w:rPr>
                      <w:rFonts w:hint="default"/>
                      <w:color w:val="auto"/>
                      <w:sz w:val="22"/>
                      <w:szCs w:val="22"/>
                      <w:highlight w:val="none"/>
                      <w:lang w:val="en-US" w:eastAsia="zh-CN"/>
                    </w:rPr>
                  </w:pPr>
                </w:p>
              </w:tc>
              <w:tc>
                <w:tcPr>
                  <w:tcW w:w="617" w:type="dxa"/>
                  <w:tcBorders>
                    <w:top w:val="single" w:color="auto" w:sz="4" w:space="0"/>
                    <w:left w:val="single" w:color="auto" w:sz="4" w:space="0"/>
                    <w:bottom w:val="single" w:color="auto" w:sz="4" w:space="0"/>
                    <w:right w:val="single" w:color="auto" w:sz="4" w:space="0"/>
                  </w:tcBorders>
                  <w:vAlign w:val="center"/>
                </w:tcPr>
                <w:p w14:paraId="28C786C9">
                  <w:pPr>
                    <w:jc w:val="center"/>
                    <w:rPr>
                      <w:rFonts w:hint="eastAsia"/>
                      <w:color w:val="auto"/>
                      <w:sz w:val="22"/>
                      <w:szCs w:val="22"/>
                      <w:highlight w:val="none"/>
                      <w:lang w:val="en-US" w:eastAsia="zh-CN"/>
                    </w:rPr>
                  </w:pPr>
                </w:p>
              </w:tc>
              <w:tc>
                <w:tcPr>
                  <w:tcW w:w="1340" w:type="dxa"/>
                  <w:vMerge w:val="continue"/>
                  <w:tcBorders>
                    <w:left w:val="single" w:color="auto" w:sz="4" w:space="0"/>
                    <w:right w:val="single" w:color="auto" w:sz="4" w:space="0"/>
                  </w:tcBorders>
                  <w:vAlign w:val="center"/>
                </w:tcPr>
                <w:p w14:paraId="0803CA15">
                  <w:pPr>
                    <w:jc w:val="center"/>
                    <w:rPr>
                      <w:color w:val="auto"/>
                      <w:sz w:val="22"/>
                      <w:szCs w:val="22"/>
                      <w:highlight w:val="none"/>
                    </w:rPr>
                  </w:pPr>
                </w:p>
              </w:tc>
              <w:tc>
                <w:tcPr>
                  <w:tcW w:w="712" w:type="dxa"/>
                  <w:tcBorders>
                    <w:top w:val="single" w:color="auto" w:sz="4" w:space="0"/>
                    <w:left w:val="single" w:color="auto" w:sz="4" w:space="0"/>
                    <w:bottom w:val="single" w:color="auto" w:sz="4" w:space="0"/>
                    <w:right w:val="single" w:color="auto" w:sz="4" w:space="0"/>
                  </w:tcBorders>
                  <w:vAlign w:val="center"/>
                </w:tcPr>
                <w:p w14:paraId="6D2BF4E8">
                  <w:pPr>
                    <w:jc w:val="center"/>
                    <w:rPr>
                      <w:color w:val="auto"/>
                      <w:sz w:val="22"/>
                      <w:szCs w:val="22"/>
                      <w:highlight w:val="none"/>
                    </w:rPr>
                  </w:pPr>
                  <w:r>
                    <w:rPr>
                      <w:rFonts w:hint="eastAsia" w:cs="宋体"/>
                      <w:color w:val="auto"/>
                      <w:sz w:val="22"/>
                      <w:szCs w:val="22"/>
                      <w:highlight w:val="none"/>
                    </w:rPr>
                    <w:t>达标</w:t>
                  </w:r>
                </w:p>
              </w:tc>
            </w:tr>
            <w:tr w14:paraId="2F7E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02" w:type="dxa"/>
                  <w:tcBorders>
                    <w:top w:val="single" w:color="auto" w:sz="4" w:space="0"/>
                    <w:left w:val="single" w:color="auto" w:sz="4" w:space="0"/>
                    <w:bottom w:val="single" w:color="auto" w:sz="4" w:space="0"/>
                    <w:right w:val="single" w:color="auto" w:sz="4" w:space="0"/>
                  </w:tcBorders>
                  <w:vAlign w:val="center"/>
                </w:tcPr>
                <w:p w14:paraId="3806F750">
                  <w:pPr>
                    <w:jc w:val="center"/>
                    <w:rPr>
                      <w:color w:val="auto"/>
                      <w:sz w:val="22"/>
                      <w:szCs w:val="22"/>
                      <w:highlight w:val="none"/>
                    </w:rPr>
                  </w:pPr>
                  <w:r>
                    <w:rPr>
                      <w:rFonts w:hint="eastAsia" w:cs="宋体"/>
                      <w:color w:val="auto"/>
                      <w:sz w:val="22"/>
                      <w:szCs w:val="22"/>
                      <w:highlight w:val="none"/>
                    </w:rPr>
                    <w:t>厂界</w:t>
                  </w:r>
                  <w:r>
                    <w:rPr>
                      <w:rFonts w:hint="eastAsia" w:cs="宋体"/>
                      <w:color w:val="auto"/>
                      <w:sz w:val="22"/>
                      <w:szCs w:val="22"/>
                      <w:highlight w:val="none"/>
                    </w:rPr>
                    <w:br w:type="textWrapping"/>
                  </w:r>
                  <w:r>
                    <w:rPr>
                      <w:rFonts w:hint="eastAsia" w:cs="宋体"/>
                      <w:color w:val="auto"/>
                      <w:sz w:val="22"/>
                      <w:szCs w:val="22"/>
                      <w:highlight w:val="none"/>
                    </w:rPr>
                    <w:t>西侧</w:t>
                  </w:r>
                </w:p>
              </w:tc>
              <w:tc>
                <w:tcPr>
                  <w:tcW w:w="621" w:type="dxa"/>
                  <w:tcBorders>
                    <w:top w:val="single" w:color="auto" w:sz="4" w:space="0"/>
                    <w:left w:val="single" w:color="auto" w:sz="4" w:space="0"/>
                    <w:bottom w:val="single" w:color="auto" w:sz="4" w:space="0"/>
                    <w:right w:val="single" w:color="auto" w:sz="4" w:space="0"/>
                  </w:tcBorders>
                  <w:vAlign w:val="center"/>
                </w:tcPr>
                <w:p w14:paraId="1F115044">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cs="宋体"/>
                      <w:color w:val="auto"/>
                      <w:sz w:val="22"/>
                      <w:szCs w:val="22"/>
                      <w:highlight w:val="none"/>
                    </w:rPr>
                  </w:pPr>
                </w:p>
              </w:tc>
              <w:tc>
                <w:tcPr>
                  <w:tcW w:w="609" w:type="dxa"/>
                  <w:tcBorders>
                    <w:top w:val="single" w:color="auto" w:sz="4" w:space="0"/>
                    <w:left w:val="single" w:color="auto" w:sz="4" w:space="0"/>
                    <w:bottom w:val="single" w:color="auto" w:sz="4" w:space="0"/>
                    <w:right w:val="single" w:color="auto" w:sz="4" w:space="0"/>
                  </w:tcBorders>
                  <w:vAlign w:val="center"/>
                </w:tcPr>
                <w:p w14:paraId="36B481D0">
                  <w:pPr>
                    <w:pStyle w:val="14"/>
                    <w:keepNext w:val="0"/>
                    <w:keepLines w:val="0"/>
                    <w:pageBreakBefore w:val="0"/>
                    <w:widowControl w:val="0"/>
                    <w:kinsoku/>
                    <w:wordWrap/>
                    <w:overflowPunct/>
                    <w:topLinePunct w:val="0"/>
                    <w:bidi w:val="0"/>
                    <w:snapToGrid/>
                    <w:spacing w:after="0"/>
                    <w:ind w:left="0" w:leftChars="0"/>
                    <w:jc w:val="center"/>
                    <w:textAlignment w:val="auto"/>
                    <w:rPr>
                      <w:color w:val="auto"/>
                    </w:rPr>
                  </w:pPr>
                </w:p>
              </w:tc>
              <w:tc>
                <w:tcPr>
                  <w:tcW w:w="615" w:type="dxa"/>
                  <w:tcBorders>
                    <w:top w:val="single" w:color="auto" w:sz="4" w:space="0"/>
                    <w:left w:val="single" w:color="auto" w:sz="4" w:space="0"/>
                    <w:bottom w:val="single" w:color="auto" w:sz="4" w:space="0"/>
                    <w:right w:val="single" w:color="auto" w:sz="4" w:space="0"/>
                  </w:tcBorders>
                  <w:vAlign w:val="center"/>
                </w:tcPr>
                <w:p w14:paraId="6D7BC1FF">
                  <w:pPr>
                    <w:jc w:val="center"/>
                    <w:rPr>
                      <w:rFonts w:hint="default"/>
                      <w:color w:val="auto"/>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vAlign w:val="center"/>
                </w:tcPr>
                <w:p w14:paraId="7B5E82F1">
                  <w:pPr>
                    <w:jc w:val="center"/>
                    <w:rPr>
                      <w:rFonts w:hint="eastAsia"/>
                      <w:color w:val="auto"/>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vAlign w:val="center"/>
                </w:tcPr>
                <w:p w14:paraId="672BCEFB">
                  <w:pPr>
                    <w:jc w:val="center"/>
                    <w:rPr>
                      <w:rFonts w:hint="default"/>
                      <w:color w:val="auto"/>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vAlign w:val="center"/>
                </w:tcPr>
                <w:p w14:paraId="4DF13E90">
                  <w:pPr>
                    <w:jc w:val="center"/>
                    <w:rPr>
                      <w:rFonts w:hint="default"/>
                      <w:color w:val="auto"/>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vAlign w:val="center"/>
                </w:tcPr>
                <w:p w14:paraId="2EE6B968">
                  <w:pPr>
                    <w:jc w:val="center"/>
                    <w:rPr>
                      <w:rFonts w:hint="default"/>
                      <w:color w:val="auto"/>
                      <w:sz w:val="22"/>
                      <w:szCs w:val="22"/>
                      <w:highlight w:val="none"/>
                      <w:lang w:val="en-US" w:eastAsia="zh-CN"/>
                    </w:rPr>
                  </w:pPr>
                </w:p>
              </w:tc>
              <w:tc>
                <w:tcPr>
                  <w:tcW w:w="617" w:type="dxa"/>
                  <w:tcBorders>
                    <w:top w:val="single" w:color="auto" w:sz="4" w:space="0"/>
                    <w:left w:val="single" w:color="auto" w:sz="4" w:space="0"/>
                    <w:bottom w:val="single" w:color="auto" w:sz="4" w:space="0"/>
                    <w:right w:val="single" w:color="auto" w:sz="4" w:space="0"/>
                  </w:tcBorders>
                  <w:vAlign w:val="center"/>
                </w:tcPr>
                <w:p w14:paraId="7DEDC41A">
                  <w:pPr>
                    <w:jc w:val="center"/>
                    <w:rPr>
                      <w:rFonts w:hint="eastAsia"/>
                      <w:color w:val="auto"/>
                      <w:sz w:val="22"/>
                      <w:szCs w:val="22"/>
                      <w:highlight w:val="none"/>
                      <w:lang w:val="en-US" w:eastAsia="zh-CN"/>
                    </w:rPr>
                  </w:pPr>
                </w:p>
              </w:tc>
              <w:tc>
                <w:tcPr>
                  <w:tcW w:w="1340" w:type="dxa"/>
                  <w:vMerge w:val="continue"/>
                  <w:tcBorders>
                    <w:left w:val="single" w:color="auto" w:sz="4" w:space="0"/>
                    <w:right w:val="single" w:color="auto" w:sz="4" w:space="0"/>
                  </w:tcBorders>
                  <w:vAlign w:val="center"/>
                </w:tcPr>
                <w:p w14:paraId="7E3C606C">
                  <w:pPr>
                    <w:jc w:val="center"/>
                    <w:rPr>
                      <w:color w:val="auto"/>
                      <w:sz w:val="22"/>
                      <w:szCs w:val="22"/>
                      <w:highlight w:val="none"/>
                    </w:rPr>
                  </w:pPr>
                </w:p>
              </w:tc>
              <w:tc>
                <w:tcPr>
                  <w:tcW w:w="712" w:type="dxa"/>
                  <w:tcBorders>
                    <w:top w:val="single" w:color="auto" w:sz="4" w:space="0"/>
                    <w:left w:val="single" w:color="auto" w:sz="4" w:space="0"/>
                    <w:bottom w:val="single" w:color="auto" w:sz="4" w:space="0"/>
                    <w:right w:val="single" w:color="auto" w:sz="4" w:space="0"/>
                  </w:tcBorders>
                  <w:vAlign w:val="center"/>
                </w:tcPr>
                <w:p w14:paraId="2C9230BC">
                  <w:pPr>
                    <w:jc w:val="center"/>
                    <w:rPr>
                      <w:color w:val="auto"/>
                      <w:sz w:val="22"/>
                      <w:szCs w:val="22"/>
                      <w:highlight w:val="none"/>
                    </w:rPr>
                  </w:pPr>
                  <w:r>
                    <w:rPr>
                      <w:rFonts w:hint="eastAsia" w:cs="宋体"/>
                      <w:color w:val="auto"/>
                      <w:sz w:val="22"/>
                      <w:szCs w:val="22"/>
                      <w:highlight w:val="none"/>
                    </w:rPr>
                    <w:t>达标</w:t>
                  </w:r>
                </w:p>
              </w:tc>
            </w:tr>
            <w:tr w14:paraId="31CD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002" w:type="dxa"/>
                  <w:tcBorders>
                    <w:top w:val="single" w:color="auto" w:sz="4" w:space="0"/>
                    <w:left w:val="single" w:color="auto" w:sz="4" w:space="0"/>
                    <w:bottom w:val="single" w:color="auto" w:sz="4" w:space="0"/>
                    <w:right w:val="single" w:color="auto" w:sz="4" w:space="0"/>
                  </w:tcBorders>
                  <w:vAlign w:val="center"/>
                </w:tcPr>
                <w:p w14:paraId="4B48A007">
                  <w:pPr>
                    <w:jc w:val="center"/>
                    <w:rPr>
                      <w:color w:val="auto"/>
                      <w:sz w:val="22"/>
                      <w:szCs w:val="22"/>
                      <w:highlight w:val="none"/>
                    </w:rPr>
                  </w:pPr>
                  <w:r>
                    <w:rPr>
                      <w:rFonts w:hint="eastAsia" w:cs="宋体"/>
                      <w:color w:val="auto"/>
                      <w:sz w:val="22"/>
                      <w:szCs w:val="22"/>
                      <w:highlight w:val="none"/>
                    </w:rPr>
                    <w:t>厂界</w:t>
                  </w:r>
                  <w:r>
                    <w:rPr>
                      <w:rFonts w:hint="eastAsia" w:cs="宋体"/>
                      <w:color w:val="auto"/>
                      <w:sz w:val="22"/>
                      <w:szCs w:val="22"/>
                      <w:highlight w:val="none"/>
                    </w:rPr>
                    <w:br w:type="textWrapping"/>
                  </w:r>
                  <w:r>
                    <w:rPr>
                      <w:rFonts w:hint="eastAsia" w:cs="宋体"/>
                      <w:color w:val="auto"/>
                      <w:sz w:val="22"/>
                      <w:szCs w:val="22"/>
                      <w:highlight w:val="none"/>
                    </w:rPr>
                    <w:t>北侧</w:t>
                  </w:r>
                </w:p>
              </w:tc>
              <w:tc>
                <w:tcPr>
                  <w:tcW w:w="621" w:type="dxa"/>
                  <w:tcBorders>
                    <w:top w:val="single" w:color="auto" w:sz="4" w:space="0"/>
                    <w:left w:val="single" w:color="auto" w:sz="4" w:space="0"/>
                    <w:bottom w:val="single" w:color="auto" w:sz="4" w:space="0"/>
                    <w:right w:val="single" w:color="auto" w:sz="4" w:space="0"/>
                  </w:tcBorders>
                  <w:vAlign w:val="center"/>
                </w:tcPr>
                <w:p w14:paraId="520CF8CD">
                  <w:pPr>
                    <w:pStyle w:val="14"/>
                    <w:keepNext w:val="0"/>
                    <w:keepLines w:val="0"/>
                    <w:pageBreakBefore w:val="0"/>
                    <w:widowControl w:val="0"/>
                    <w:kinsoku/>
                    <w:wordWrap/>
                    <w:overflowPunct/>
                    <w:topLinePunct w:val="0"/>
                    <w:bidi w:val="0"/>
                    <w:snapToGrid/>
                    <w:spacing w:after="0"/>
                    <w:ind w:left="0" w:leftChars="0"/>
                    <w:jc w:val="center"/>
                    <w:textAlignment w:val="auto"/>
                    <w:rPr>
                      <w:rFonts w:hint="eastAsia" w:cs="宋体"/>
                      <w:color w:val="auto"/>
                      <w:sz w:val="22"/>
                      <w:szCs w:val="22"/>
                      <w:highlight w:val="none"/>
                    </w:rPr>
                  </w:pPr>
                </w:p>
              </w:tc>
              <w:tc>
                <w:tcPr>
                  <w:tcW w:w="609" w:type="dxa"/>
                  <w:tcBorders>
                    <w:top w:val="single" w:color="auto" w:sz="4" w:space="0"/>
                    <w:left w:val="single" w:color="auto" w:sz="4" w:space="0"/>
                    <w:bottom w:val="single" w:color="auto" w:sz="4" w:space="0"/>
                    <w:right w:val="single" w:color="auto" w:sz="4" w:space="0"/>
                  </w:tcBorders>
                  <w:vAlign w:val="center"/>
                </w:tcPr>
                <w:p w14:paraId="61B372E3">
                  <w:pPr>
                    <w:pStyle w:val="14"/>
                    <w:keepNext w:val="0"/>
                    <w:keepLines w:val="0"/>
                    <w:pageBreakBefore w:val="0"/>
                    <w:widowControl w:val="0"/>
                    <w:kinsoku/>
                    <w:wordWrap/>
                    <w:overflowPunct/>
                    <w:topLinePunct w:val="0"/>
                    <w:bidi w:val="0"/>
                    <w:snapToGrid/>
                    <w:spacing w:after="0"/>
                    <w:ind w:left="0" w:leftChars="0"/>
                    <w:jc w:val="center"/>
                    <w:textAlignment w:val="auto"/>
                    <w:rPr>
                      <w:color w:val="auto"/>
                    </w:rPr>
                  </w:pPr>
                </w:p>
              </w:tc>
              <w:tc>
                <w:tcPr>
                  <w:tcW w:w="615" w:type="dxa"/>
                  <w:tcBorders>
                    <w:top w:val="single" w:color="auto" w:sz="4" w:space="0"/>
                    <w:left w:val="single" w:color="auto" w:sz="4" w:space="0"/>
                    <w:bottom w:val="single" w:color="auto" w:sz="4" w:space="0"/>
                    <w:right w:val="single" w:color="auto" w:sz="4" w:space="0"/>
                  </w:tcBorders>
                  <w:vAlign w:val="center"/>
                </w:tcPr>
                <w:p w14:paraId="2B3EB761">
                  <w:pPr>
                    <w:jc w:val="center"/>
                    <w:rPr>
                      <w:rFonts w:hint="default"/>
                      <w:color w:val="auto"/>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vAlign w:val="center"/>
                </w:tcPr>
                <w:p w14:paraId="04DB85BD">
                  <w:pPr>
                    <w:jc w:val="center"/>
                    <w:rPr>
                      <w:rFonts w:hint="eastAsia"/>
                      <w:color w:val="auto"/>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vAlign w:val="center"/>
                </w:tcPr>
                <w:p w14:paraId="02EEB700">
                  <w:pPr>
                    <w:jc w:val="center"/>
                    <w:rPr>
                      <w:rFonts w:hint="default"/>
                      <w:color w:val="auto"/>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vAlign w:val="center"/>
                </w:tcPr>
                <w:p w14:paraId="6FE52BBA">
                  <w:pPr>
                    <w:jc w:val="center"/>
                    <w:rPr>
                      <w:rFonts w:hint="default"/>
                      <w:color w:val="auto"/>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vAlign w:val="center"/>
                </w:tcPr>
                <w:p w14:paraId="2DDB0408">
                  <w:pPr>
                    <w:jc w:val="center"/>
                    <w:rPr>
                      <w:rFonts w:hint="default"/>
                      <w:color w:val="auto"/>
                      <w:sz w:val="22"/>
                      <w:szCs w:val="22"/>
                      <w:highlight w:val="none"/>
                      <w:lang w:val="en-US" w:eastAsia="zh-CN"/>
                    </w:rPr>
                  </w:pPr>
                </w:p>
              </w:tc>
              <w:tc>
                <w:tcPr>
                  <w:tcW w:w="617" w:type="dxa"/>
                  <w:tcBorders>
                    <w:top w:val="single" w:color="auto" w:sz="4" w:space="0"/>
                    <w:left w:val="single" w:color="auto" w:sz="4" w:space="0"/>
                    <w:bottom w:val="single" w:color="auto" w:sz="4" w:space="0"/>
                    <w:right w:val="single" w:color="auto" w:sz="4" w:space="0"/>
                  </w:tcBorders>
                  <w:vAlign w:val="center"/>
                </w:tcPr>
                <w:p w14:paraId="38A17B99">
                  <w:pPr>
                    <w:jc w:val="center"/>
                    <w:rPr>
                      <w:rFonts w:hint="eastAsia"/>
                      <w:color w:val="auto"/>
                      <w:sz w:val="22"/>
                      <w:szCs w:val="22"/>
                      <w:highlight w:val="none"/>
                      <w:lang w:val="en-US" w:eastAsia="zh-CN"/>
                    </w:rPr>
                  </w:pPr>
                </w:p>
              </w:tc>
              <w:tc>
                <w:tcPr>
                  <w:tcW w:w="1340" w:type="dxa"/>
                  <w:vMerge w:val="continue"/>
                  <w:tcBorders>
                    <w:left w:val="single" w:color="auto" w:sz="4" w:space="0"/>
                    <w:right w:val="single" w:color="auto" w:sz="4" w:space="0"/>
                  </w:tcBorders>
                  <w:vAlign w:val="center"/>
                </w:tcPr>
                <w:p w14:paraId="61C40A9A">
                  <w:pPr>
                    <w:jc w:val="center"/>
                    <w:rPr>
                      <w:color w:val="auto"/>
                      <w:sz w:val="22"/>
                      <w:szCs w:val="22"/>
                      <w:highlight w:val="none"/>
                    </w:rPr>
                  </w:pPr>
                </w:p>
              </w:tc>
              <w:tc>
                <w:tcPr>
                  <w:tcW w:w="712" w:type="dxa"/>
                  <w:tcBorders>
                    <w:top w:val="single" w:color="auto" w:sz="4" w:space="0"/>
                    <w:left w:val="single" w:color="auto" w:sz="4" w:space="0"/>
                    <w:bottom w:val="single" w:color="auto" w:sz="4" w:space="0"/>
                    <w:right w:val="single" w:color="auto" w:sz="4" w:space="0"/>
                  </w:tcBorders>
                  <w:vAlign w:val="center"/>
                </w:tcPr>
                <w:p w14:paraId="52AB6491">
                  <w:pPr>
                    <w:jc w:val="center"/>
                    <w:rPr>
                      <w:color w:val="auto"/>
                      <w:sz w:val="22"/>
                      <w:szCs w:val="22"/>
                      <w:highlight w:val="none"/>
                    </w:rPr>
                  </w:pPr>
                  <w:r>
                    <w:rPr>
                      <w:rFonts w:hint="eastAsia" w:cs="宋体"/>
                      <w:color w:val="auto"/>
                      <w:sz w:val="22"/>
                      <w:szCs w:val="22"/>
                      <w:highlight w:val="none"/>
                    </w:rPr>
                    <w:t>达标</w:t>
                  </w:r>
                </w:p>
              </w:tc>
            </w:tr>
          </w:tbl>
          <w:p w14:paraId="016D44E6">
            <w:pPr>
              <w:tabs>
                <w:tab w:val="left" w:pos="900"/>
              </w:tabs>
              <w:spacing w:beforeLines="100" w:line="360" w:lineRule="auto"/>
              <w:ind w:firstLine="480" w:firstLineChars="200"/>
              <w:rPr>
                <w:color w:val="auto"/>
                <w:sz w:val="24"/>
                <w:szCs w:val="24"/>
                <w:highlight w:val="none"/>
              </w:rPr>
            </w:pPr>
            <w:r>
              <w:rPr>
                <w:rFonts w:hint="eastAsia" w:cs="宋体"/>
                <w:color w:val="auto"/>
                <w:sz w:val="24"/>
                <w:szCs w:val="24"/>
                <w:highlight w:val="none"/>
              </w:rPr>
              <w:t>由上表可见</w:t>
            </w:r>
            <w:r>
              <w:rPr>
                <w:rFonts w:hint="eastAsia" w:cs="宋体"/>
                <w:color w:val="auto"/>
                <w:sz w:val="24"/>
                <w:szCs w:val="24"/>
                <w:highlight w:val="none"/>
                <w:lang w:eastAsia="zh-CN"/>
              </w:rPr>
              <w:t>，</w:t>
            </w:r>
            <w:r>
              <w:rPr>
                <w:rFonts w:hint="eastAsia" w:cs="宋体"/>
                <w:color w:val="auto"/>
                <w:sz w:val="24"/>
                <w:szCs w:val="24"/>
                <w:highlight w:val="none"/>
              </w:rPr>
              <w:t>项目采取以上噪声防治措施后</w:t>
            </w:r>
            <w:r>
              <w:rPr>
                <w:rFonts w:hint="eastAsia" w:cs="宋体"/>
                <w:color w:val="auto"/>
                <w:sz w:val="24"/>
                <w:szCs w:val="24"/>
                <w:highlight w:val="none"/>
                <w:lang w:eastAsia="zh-CN"/>
              </w:rPr>
              <w:t>，</w:t>
            </w:r>
            <w:r>
              <w:rPr>
                <w:rFonts w:hint="eastAsia" w:cs="宋体"/>
                <w:color w:val="auto"/>
                <w:sz w:val="24"/>
                <w:szCs w:val="24"/>
                <w:highlight w:val="none"/>
              </w:rPr>
              <w:t>项目厂界噪声可以达到《工业企业厂界环境噪声排放标准》（</w:t>
            </w:r>
            <w:r>
              <w:rPr>
                <w:color w:val="auto"/>
                <w:sz w:val="24"/>
                <w:szCs w:val="24"/>
                <w:highlight w:val="none"/>
              </w:rPr>
              <w:t>GB12348-2008</w:t>
            </w:r>
            <w:r>
              <w:rPr>
                <w:rFonts w:hint="eastAsia" w:cs="宋体"/>
                <w:color w:val="auto"/>
                <w:sz w:val="24"/>
                <w:szCs w:val="24"/>
                <w:highlight w:val="none"/>
              </w:rPr>
              <w:t>）中</w:t>
            </w:r>
            <w:r>
              <w:rPr>
                <w:rFonts w:hint="eastAsia"/>
                <w:color w:val="auto"/>
                <w:sz w:val="24"/>
                <w:szCs w:val="24"/>
                <w:highlight w:val="none"/>
                <w:lang w:val="en-US" w:eastAsia="zh-CN"/>
              </w:rPr>
              <w:t>2</w:t>
            </w:r>
            <w:r>
              <w:rPr>
                <w:rFonts w:hint="eastAsia" w:cs="宋体"/>
                <w:color w:val="auto"/>
                <w:sz w:val="24"/>
                <w:szCs w:val="24"/>
                <w:highlight w:val="none"/>
              </w:rPr>
              <w:t>类标准。</w:t>
            </w:r>
          </w:p>
          <w:p w14:paraId="581B5F4B">
            <w:pPr>
              <w:tabs>
                <w:tab w:val="left" w:pos="900"/>
              </w:tabs>
              <w:spacing w:line="360" w:lineRule="auto"/>
              <w:ind w:firstLine="480" w:firstLineChars="200"/>
              <w:rPr>
                <w:color w:val="auto"/>
                <w:sz w:val="24"/>
                <w:szCs w:val="24"/>
              </w:rPr>
            </w:pPr>
            <w:r>
              <w:rPr>
                <w:rFonts w:hint="eastAsia" w:cs="宋体"/>
                <w:color w:val="auto"/>
                <w:sz w:val="24"/>
                <w:szCs w:val="24"/>
              </w:rPr>
              <w:t>根据现场查勘</w:t>
            </w:r>
            <w:r>
              <w:rPr>
                <w:rFonts w:hint="eastAsia" w:cs="宋体"/>
                <w:color w:val="auto"/>
                <w:sz w:val="24"/>
                <w:szCs w:val="24"/>
                <w:lang w:eastAsia="zh-CN"/>
              </w:rPr>
              <w:t>，</w:t>
            </w:r>
            <w:r>
              <w:rPr>
                <w:rFonts w:hint="eastAsia" w:cs="宋体"/>
                <w:color w:val="auto"/>
                <w:sz w:val="24"/>
                <w:szCs w:val="24"/>
              </w:rPr>
              <w:t>本项目</w:t>
            </w:r>
            <w:r>
              <w:rPr>
                <w:color w:val="auto"/>
                <w:sz w:val="24"/>
                <w:szCs w:val="24"/>
              </w:rPr>
              <w:t>50</w:t>
            </w:r>
            <w:r>
              <w:rPr>
                <w:rFonts w:hint="eastAsia" w:cs="宋体"/>
                <w:color w:val="auto"/>
                <w:sz w:val="24"/>
                <w:szCs w:val="24"/>
              </w:rPr>
              <w:t>米范围内无环境敏感点</w:t>
            </w:r>
            <w:r>
              <w:rPr>
                <w:rFonts w:hint="eastAsia" w:cs="宋体"/>
                <w:color w:val="auto"/>
                <w:sz w:val="24"/>
                <w:szCs w:val="24"/>
                <w:lang w:eastAsia="zh-CN"/>
              </w:rPr>
              <w:t>，</w:t>
            </w:r>
            <w:r>
              <w:rPr>
                <w:rFonts w:hint="eastAsia" w:cs="宋体"/>
                <w:color w:val="auto"/>
                <w:sz w:val="24"/>
                <w:szCs w:val="24"/>
              </w:rPr>
              <w:t>综上</w:t>
            </w:r>
            <w:r>
              <w:rPr>
                <w:rFonts w:hint="eastAsia" w:cs="宋体"/>
                <w:color w:val="auto"/>
                <w:sz w:val="24"/>
                <w:szCs w:val="24"/>
                <w:lang w:eastAsia="zh-CN"/>
              </w:rPr>
              <w:t>，</w:t>
            </w:r>
            <w:r>
              <w:rPr>
                <w:rFonts w:hint="eastAsia" w:cs="宋体"/>
                <w:color w:val="auto"/>
                <w:sz w:val="24"/>
                <w:szCs w:val="24"/>
              </w:rPr>
              <w:t>本项目噪声对区域声环境影响较小。</w:t>
            </w:r>
          </w:p>
          <w:p w14:paraId="189C0217">
            <w:pPr>
              <w:tabs>
                <w:tab w:val="left" w:pos="900"/>
              </w:tabs>
              <w:spacing w:line="360" w:lineRule="auto"/>
              <w:ind w:firstLine="480" w:firstLineChars="200"/>
              <w:rPr>
                <w:color w:val="auto"/>
                <w:sz w:val="24"/>
                <w:szCs w:val="24"/>
              </w:rPr>
            </w:pPr>
            <w:r>
              <w:rPr>
                <w:rFonts w:hint="eastAsia" w:cs="宋体"/>
                <w:color w:val="auto"/>
                <w:sz w:val="24"/>
                <w:szCs w:val="24"/>
              </w:rPr>
              <w:t>经治理后噪声设备可隔声</w:t>
            </w:r>
            <w:r>
              <w:rPr>
                <w:color w:val="auto"/>
                <w:sz w:val="24"/>
                <w:szCs w:val="24"/>
              </w:rPr>
              <w:t>15~20GB</w:t>
            </w:r>
            <w:r>
              <w:rPr>
                <w:rFonts w:hint="eastAsia"/>
                <w:color w:val="auto"/>
                <w:sz w:val="24"/>
                <w:szCs w:val="24"/>
                <w:lang w:eastAsia="zh-CN"/>
              </w:rPr>
              <w:t>（</w:t>
            </w:r>
            <w:r>
              <w:rPr>
                <w:color w:val="auto"/>
                <w:sz w:val="24"/>
                <w:szCs w:val="24"/>
              </w:rPr>
              <w:t>A</w:t>
            </w:r>
            <w:r>
              <w:rPr>
                <w:rFonts w:hint="eastAsia"/>
                <w:color w:val="auto"/>
                <w:sz w:val="24"/>
                <w:szCs w:val="24"/>
                <w:lang w:eastAsia="zh-CN"/>
              </w:rPr>
              <w:t>）</w:t>
            </w:r>
            <w:r>
              <w:rPr>
                <w:rFonts w:hint="eastAsia" w:cs="宋体"/>
                <w:color w:val="auto"/>
                <w:sz w:val="24"/>
                <w:szCs w:val="24"/>
                <w:lang w:eastAsia="zh-CN"/>
              </w:rPr>
              <w:t>，</w:t>
            </w:r>
            <w:r>
              <w:rPr>
                <w:rFonts w:hint="eastAsia" w:cs="宋体"/>
                <w:color w:val="auto"/>
                <w:sz w:val="24"/>
                <w:szCs w:val="24"/>
              </w:rPr>
              <w:t>再通过厂房隔声</w:t>
            </w:r>
            <w:r>
              <w:rPr>
                <w:rFonts w:hint="eastAsia" w:cs="宋体"/>
                <w:color w:val="auto"/>
                <w:sz w:val="24"/>
                <w:szCs w:val="24"/>
                <w:lang w:eastAsia="zh-CN"/>
              </w:rPr>
              <w:t>，</w:t>
            </w:r>
            <w:r>
              <w:rPr>
                <w:rFonts w:hint="eastAsia" w:cs="宋体"/>
                <w:color w:val="auto"/>
                <w:sz w:val="24"/>
                <w:szCs w:val="24"/>
              </w:rPr>
              <w:t>通常厂房的隔声量为</w:t>
            </w:r>
            <w:r>
              <w:rPr>
                <w:color w:val="auto"/>
                <w:sz w:val="24"/>
                <w:szCs w:val="24"/>
              </w:rPr>
              <w:t>15</w:t>
            </w:r>
            <w:r>
              <w:rPr>
                <w:rFonts w:hint="eastAsia" w:cs="宋体"/>
                <w:color w:val="auto"/>
                <w:sz w:val="24"/>
                <w:szCs w:val="24"/>
              </w:rPr>
              <w:t>～</w:t>
            </w:r>
            <w:r>
              <w:rPr>
                <w:color w:val="auto"/>
                <w:sz w:val="24"/>
                <w:szCs w:val="24"/>
              </w:rPr>
              <w:t>25GB</w:t>
            </w:r>
            <w:r>
              <w:rPr>
                <w:rFonts w:hint="eastAsia"/>
                <w:color w:val="auto"/>
                <w:sz w:val="24"/>
                <w:szCs w:val="24"/>
                <w:lang w:eastAsia="zh-CN"/>
              </w:rPr>
              <w:t>（</w:t>
            </w:r>
            <w:r>
              <w:rPr>
                <w:color w:val="auto"/>
                <w:sz w:val="24"/>
                <w:szCs w:val="24"/>
              </w:rPr>
              <w:t>A</w:t>
            </w:r>
            <w:r>
              <w:rPr>
                <w:rFonts w:hint="eastAsia"/>
                <w:color w:val="auto"/>
                <w:sz w:val="24"/>
                <w:szCs w:val="24"/>
                <w:lang w:eastAsia="zh-CN"/>
              </w:rPr>
              <w:t>）</w:t>
            </w:r>
            <w:r>
              <w:rPr>
                <w:rFonts w:hint="eastAsia" w:cs="宋体"/>
                <w:color w:val="auto"/>
                <w:sz w:val="24"/>
                <w:szCs w:val="24"/>
                <w:lang w:eastAsia="zh-CN"/>
              </w:rPr>
              <w:t>，</w:t>
            </w:r>
            <w:r>
              <w:rPr>
                <w:rFonts w:hint="eastAsia" w:cs="宋体"/>
                <w:color w:val="auto"/>
                <w:sz w:val="24"/>
                <w:szCs w:val="24"/>
              </w:rPr>
              <w:t>最后厂界噪声能满足《工业企业厂界环境噪声排放标准》（</w:t>
            </w:r>
            <w:r>
              <w:rPr>
                <w:color w:val="auto"/>
                <w:sz w:val="24"/>
                <w:szCs w:val="24"/>
              </w:rPr>
              <w:t>GB12348-2008</w:t>
            </w:r>
            <w:r>
              <w:rPr>
                <w:rFonts w:hint="eastAsia" w:cs="宋体"/>
                <w:color w:val="auto"/>
                <w:sz w:val="24"/>
                <w:szCs w:val="24"/>
              </w:rPr>
              <w:t>）中的</w:t>
            </w:r>
            <w:r>
              <w:rPr>
                <w:rFonts w:hint="eastAsia"/>
                <w:color w:val="auto"/>
                <w:sz w:val="24"/>
                <w:szCs w:val="24"/>
              </w:rPr>
              <w:t>2</w:t>
            </w:r>
            <w:r>
              <w:rPr>
                <w:rFonts w:hint="eastAsia" w:cs="宋体"/>
                <w:color w:val="auto"/>
                <w:sz w:val="24"/>
                <w:szCs w:val="24"/>
              </w:rPr>
              <w:t>类标准</w:t>
            </w:r>
            <w:r>
              <w:rPr>
                <w:rFonts w:hint="eastAsia" w:cs="宋体"/>
                <w:color w:val="auto"/>
                <w:sz w:val="24"/>
                <w:szCs w:val="24"/>
                <w:lang w:eastAsia="zh-CN"/>
              </w:rPr>
              <w:t>，</w:t>
            </w:r>
            <w:r>
              <w:rPr>
                <w:rFonts w:hint="eastAsia" w:cs="宋体"/>
                <w:color w:val="auto"/>
                <w:sz w:val="24"/>
                <w:szCs w:val="24"/>
              </w:rPr>
              <w:t>不会对周围声环境造成影响。</w:t>
            </w:r>
          </w:p>
          <w:p w14:paraId="2DA8FF0B">
            <w:pPr>
              <w:tabs>
                <w:tab w:val="left" w:pos="900"/>
              </w:tabs>
              <w:spacing w:line="360" w:lineRule="auto"/>
              <w:ind w:firstLine="480" w:firstLineChars="200"/>
              <w:rPr>
                <w:color w:val="auto"/>
                <w:sz w:val="24"/>
                <w:szCs w:val="24"/>
              </w:rPr>
            </w:pPr>
            <w:r>
              <w:rPr>
                <w:rFonts w:hint="eastAsia" w:cs="宋体"/>
                <w:color w:val="auto"/>
                <w:sz w:val="24"/>
                <w:szCs w:val="24"/>
              </w:rPr>
              <w:t>为进一步减小本项目对区域声环境的影响</w:t>
            </w:r>
            <w:r>
              <w:rPr>
                <w:rFonts w:hint="eastAsia" w:cs="宋体"/>
                <w:color w:val="auto"/>
                <w:sz w:val="24"/>
                <w:szCs w:val="24"/>
                <w:lang w:eastAsia="zh-CN"/>
              </w:rPr>
              <w:t>，</w:t>
            </w:r>
            <w:r>
              <w:rPr>
                <w:rFonts w:hint="eastAsia" w:cs="宋体"/>
                <w:color w:val="auto"/>
                <w:sz w:val="24"/>
                <w:szCs w:val="24"/>
              </w:rPr>
              <w:t>企业应加强噪声的治理</w:t>
            </w:r>
            <w:r>
              <w:rPr>
                <w:rFonts w:hint="eastAsia" w:cs="宋体"/>
                <w:color w:val="auto"/>
                <w:sz w:val="24"/>
                <w:szCs w:val="24"/>
                <w:lang w:eastAsia="zh-CN"/>
              </w:rPr>
              <w:t>，</w:t>
            </w:r>
            <w:r>
              <w:rPr>
                <w:rFonts w:hint="eastAsia" w:cs="宋体"/>
                <w:color w:val="auto"/>
                <w:sz w:val="24"/>
                <w:szCs w:val="24"/>
              </w:rPr>
              <w:t>具体治理措施如下：</w:t>
            </w:r>
          </w:p>
          <w:p w14:paraId="20624C61">
            <w:pPr>
              <w:spacing w:line="360" w:lineRule="auto"/>
              <w:ind w:firstLine="480" w:firstLineChars="200"/>
              <w:rPr>
                <w:color w:val="auto"/>
                <w:sz w:val="24"/>
                <w:szCs w:val="24"/>
              </w:rPr>
            </w:pPr>
            <w:r>
              <w:rPr>
                <w:color w:val="auto"/>
                <w:sz w:val="24"/>
                <w:szCs w:val="24"/>
              </w:rPr>
              <w:t>1</w:t>
            </w:r>
            <w:r>
              <w:rPr>
                <w:rFonts w:hint="eastAsia" w:cs="宋体"/>
                <w:color w:val="auto"/>
                <w:sz w:val="24"/>
                <w:szCs w:val="24"/>
              </w:rPr>
              <w:t>）在生产过程中严格操作规程</w:t>
            </w:r>
            <w:r>
              <w:rPr>
                <w:rFonts w:hint="eastAsia" w:cs="宋体"/>
                <w:color w:val="auto"/>
                <w:sz w:val="24"/>
                <w:szCs w:val="24"/>
                <w:lang w:eastAsia="zh-CN"/>
              </w:rPr>
              <w:t>，</w:t>
            </w:r>
            <w:r>
              <w:rPr>
                <w:rFonts w:hint="eastAsia" w:cs="宋体"/>
                <w:color w:val="auto"/>
                <w:sz w:val="24"/>
                <w:szCs w:val="24"/>
              </w:rPr>
              <w:t>做好生产设备运行期间的维护保养</w:t>
            </w:r>
            <w:r>
              <w:rPr>
                <w:rFonts w:hint="eastAsia" w:cs="宋体"/>
                <w:color w:val="auto"/>
                <w:sz w:val="24"/>
                <w:szCs w:val="24"/>
                <w:lang w:eastAsia="zh-CN"/>
              </w:rPr>
              <w:t>，</w:t>
            </w:r>
            <w:r>
              <w:rPr>
                <w:rFonts w:hint="eastAsia" w:cs="宋体"/>
                <w:color w:val="auto"/>
                <w:sz w:val="24"/>
                <w:szCs w:val="24"/>
              </w:rPr>
              <w:t>以使其处于正常工况；</w:t>
            </w:r>
          </w:p>
          <w:p w14:paraId="1D0A2918">
            <w:pPr>
              <w:spacing w:line="360" w:lineRule="auto"/>
              <w:ind w:firstLine="480" w:firstLineChars="200"/>
              <w:rPr>
                <w:color w:val="auto"/>
                <w:sz w:val="24"/>
                <w:szCs w:val="24"/>
              </w:rPr>
            </w:pPr>
            <w:r>
              <w:rPr>
                <w:color w:val="auto"/>
                <w:sz w:val="24"/>
                <w:szCs w:val="24"/>
              </w:rPr>
              <w:t>2</w:t>
            </w:r>
            <w:r>
              <w:rPr>
                <w:rFonts w:hint="eastAsia" w:cs="宋体"/>
                <w:color w:val="auto"/>
                <w:sz w:val="24"/>
                <w:szCs w:val="24"/>
              </w:rPr>
              <w:t>）在厂区内应对产生噪声的机械设备进行合理布局</w:t>
            </w:r>
            <w:r>
              <w:rPr>
                <w:rFonts w:hint="eastAsia" w:cs="宋体"/>
                <w:color w:val="auto"/>
                <w:sz w:val="24"/>
                <w:szCs w:val="24"/>
                <w:lang w:eastAsia="zh-CN"/>
              </w:rPr>
              <w:t>，</w:t>
            </w:r>
            <w:r>
              <w:rPr>
                <w:rFonts w:hint="eastAsia" w:cs="宋体"/>
                <w:color w:val="auto"/>
                <w:sz w:val="24"/>
                <w:szCs w:val="24"/>
              </w:rPr>
              <w:t>使高噪声设备远离厂界。</w:t>
            </w:r>
          </w:p>
          <w:p w14:paraId="592D89DC">
            <w:pPr>
              <w:keepNext w:val="0"/>
              <w:keepLines w:val="0"/>
              <w:pageBreakBefore w:val="0"/>
              <w:widowControl w:val="0"/>
              <w:kinsoku/>
              <w:wordWrap/>
              <w:overflowPunct/>
              <w:topLinePunct w:val="0"/>
              <w:autoSpaceDE/>
              <w:autoSpaceDN/>
              <w:bidi w:val="0"/>
              <w:adjustRightInd/>
              <w:snapToGrid/>
              <w:spacing w:before="313" w:beforeLines="100" w:line="360" w:lineRule="auto"/>
              <w:ind w:firstLine="482" w:firstLineChars="200"/>
              <w:jc w:val="left"/>
              <w:textAlignment w:val="auto"/>
              <w:rPr>
                <w:rStyle w:val="84"/>
                <w:b/>
                <w:bCs/>
                <w:color w:val="auto"/>
              </w:rPr>
            </w:pPr>
            <w:r>
              <w:rPr>
                <w:rStyle w:val="84"/>
                <w:b/>
                <w:bCs/>
                <w:color w:val="auto"/>
              </w:rPr>
              <w:t>3.</w:t>
            </w:r>
            <w:r>
              <w:rPr>
                <w:rStyle w:val="84"/>
                <w:rFonts w:hint="eastAsia"/>
                <w:b/>
                <w:bCs/>
                <w:color w:val="auto"/>
                <w:lang w:val="en-US"/>
              </w:rPr>
              <w:t>3</w:t>
            </w:r>
            <w:r>
              <w:rPr>
                <w:rStyle w:val="84"/>
                <w:b/>
                <w:bCs/>
                <w:color w:val="auto"/>
              </w:rPr>
              <w:t xml:space="preserve"> </w:t>
            </w:r>
            <w:r>
              <w:rPr>
                <w:rStyle w:val="84"/>
                <w:rFonts w:hint="eastAsia" w:cs="宋体"/>
                <w:b/>
                <w:bCs/>
                <w:color w:val="auto"/>
              </w:rPr>
              <w:t>噪声环境监测计划</w:t>
            </w:r>
          </w:p>
          <w:p w14:paraId="3C348E5A">
            <w:pPr>
              <w:pStyle w:val="46"/>
              <w:spacing w:line="360" w:lineRule="auto"/>
              <w:ind w:firstLine="480" w:firstLineChars="200"/>
              <w:rPr>
                <w:b w:val="0"/>
                <w:bCs/>
                <w:color w:val="auto"/>
                <w:kern w:val="2"/>
              </w:rPr>
            </w:pPr>
            <w:r>
              <w:rPr>
                <w:rFonts w:hint="eastAsia" w:ascii="Times New Roman" w:hAnsi="Times New Roman" w:eastAsia="宋体" w:cs="宋体"/>
                <w:color w:val="auto"/>
                <w:kern w:val="2"/>
                <w:sz w:val="24"/>
                <w:szCs w:val="24"/>
                <w:lang w:val="en-US" w:eastAsia="zh-CN" w:bidi="ar-SA"/>
              </w:rPr>
              <w:t>根据《排污单位自行监测技术指南 总则》（HJ819-2017）、《排污单位自行监测技术指南 工业噪声》（HJ1301-2023）中监测要求，本项目自行监测频次见下表</w:t>
            </w:r>
            <w:r>
              <w:rPr>
                <w:rFonts w:hint="eastAsia" w:cs="宋体"/>
                <w:b w:val="0"/>
                <w:bCs/>
                <w:color w:val="auto"/>
                <w:kern w:val="2"/>
              </w:rPr>
              <w:t>：</w:t>
            </w:r>
          </w:p>
          <w:p w14:paraId="5BA1FE33">
            <w:pPr>
              <w:pStyle w:val="103"/>
              <w:spacing w:beforeLines="50" w:after="120" w:afterLines="50" w:line="240" w:lineRule="auto"/>
              <w:ind w:left="210" w:firstLine="220"/>
              <w:rPr>
                <w:rFonts w:eastAsia="宋体"/>
                <w:b/>
                <w:bCs/>
                <w:color w:val="auto"/>
                <w:sz w:val="22"/>
                <w:szCs w:val="22"/>
              </w:rPr>
            </w:pPr>
            <w:r>
              <w:rPr>
                <w:rFonts w:hint="eastAsia" w:eastAsia="宋体" w:cs="宋体"/>
                <w:b/>
                <w:bCs/>
                <w:color w:val="auto"/>
                <w:sz w:val="22"/>
                <w:szCs w:val="22"/>
              </w:rPr>
              <w:t>表</w:t>
            </w:r>
            <w:r>
              <w:rPr>
                <w:rFonts w:eastAsia="宋体"/>
                <w:b/>
                <w:bCs/>
                <w:color w:val="auto"/>
                <w:sz w:val="22"/>
                <w:szCs w:val="22"/>
              </w:rPr>
              <w:t>4-1</w:t>
            </w:r>
            <w:r>
              <w:rPr>
                <w:rFonts w:hint="eastAsia" w:eastAsia="宋体"/>
                <w:b/>
                <w:bCs/>
                <w:color w:val="auto"/>
                <w:sz w:val="22"/>
                <w:szCs w:val="22"/>
                <w:lang w:val="en-US" w:eastAsia="zh-CN"/>
              </w:rPr>
              <w:t>2</w:t>
            </w:r>
            <w:r>
              <w:rPr>
                <w:rFonts w:eastAsia="宋体"/>
                <w:b/>
                <w:bCs/>
                <w:color w:val="auto"/>
                <w:sz w:val="22"/>
                <w:szCs w:val="22"/>
              </w:rPr>
              <w:t xml:space="preserve">  </w:t>
            </w:r>
            <w:r>
              <w:rPr>
                <w:rFonts w:hint="eastAsia" w:eastAsia="宋体" w:cs="宋体"/>
                <w:b/>
                <w:bCs/>
                <w:color w:val="auto"/>
                <w:sz w:val="22"/>
                <w:szCs w:val="22"/>
              </w:rPr>
              <w:t>声环境监测计划一览表</w:t>
            </w:r>
          </w:p>
          <w:tbl>
            <w:tblPr>
              <w:tblStyle w:val="37"/>
              <w:tblW w:w="80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85"/>
              <w:gridCol w:w="1730"/>
              <w:gridCol w:w="1164"/>
              <w:gridCol w:w="1119"/>
              <w:gridCol w:w="1169"/>
              <w:gridCol w:w="2310"/>
            </w:tblGrid>
            <w:tr w14:paraId="4D7B5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2" w:hRule="atLeast"/>
                <w:jc w:val="center"/>
              </w:trPr>
              <w:tc>
                <w:tcPr>
                  <w:tcW w:w="362" w:type="pct"/>
                  <w:tcBorders>
                    <w:top w:val="single" w:color="auto" w:sz="6" w:space="0"/>
                    <w:left w:val="single" w:color="auto" w:sz="6" w:space="0"/>
                    <w:bottom w:val="single" w:color="auto" w:sz="6" w:space="0"/>
                    <w:right w:val="single" w:color="auto" w:sz="6" w:space="0"/>
                  </w:tcBorders>
                  <w:vAlign w:val="center"/>
                </w:tcPr>
                <w:p w14:paraId="2871BBF4">
                  <w:pPr>
                    <w:jc w:val="center"/>
                    <w:rPr>
                      <w:color w:val="auto"/>
                    </w:rPr>
                  </w:pPr>
                  <w:r>
                    <w:rPr>
                      <w:rFonts w:hint="eastAsia"/>
                      <w:color w:val="auto"/>
                    </w:rPr>
                    <w:t>序号</w:t>
                  </w:r>
                </w:p>
              </w:tc>
              <w:tc>
                <w:tcPr>
                  <w:tcW w:w="1070" w:type="pct"/>
                  <w:tcBorders>
                    <w:top w:val="single" w:color="auto" w:sz="6" w:space="0"/>
                    <w:left w:val="single" w:color="auto" w:sz="6" w:space="0"/>
                    <w:bottom w:val="single" w:color="auto" w:sz="6" w:space="0"/>
                    <w:right w:val="single" w:color="auto" w:sz="6" w:space="0"/>
                  </w:tcBorders>
                  <w:vAlign w:val="center"/>
                </w:tcPr>
                <w:p w14:paraId="7FD15A5D">
                  <w:pPr>
                    <w:jc w:val="center"/>
                    <w:rPr>
                      <w:color w:val="auto"/>
                    </w:rPr>
                  </w:pPr>
                  <w:r>
                    <w:rPr>
                      <w:rFonts w:hint="eastAsia"/>
                      <w:color w:val="auto"/>
                    </w:rPr>
                    <w:t>监测点位</w:t>
                  </w:r>
                </w:p>
              </w:tc>
              <w:tc>
                <w:tcPr>
                  <w:tcW w:w="720" w:type="pct"/>
                  <w:tcBorders>
                    <w:top w:val="single" w:color="auto" w:sz="6" w:space="0"/>
                    <w:left w:val="single" w:color="auto" w:sz="6" w:space="0"/>
                    <w:bottom w:val="single" w:color="auto" w:sz="6" w:space="0"/>
                    <w:right w:val="single" w:color="auto" w:sz="6" w:space="0"/>
                  </w:tcBorders>
                  <w:vAlign w:val="center"/>
                </w:tcPr>
                <w:p w14:paraId="12AE2BA2">
                  <w:pPr>
                    <w:jc w:val="center"/>
                    <w:rPr>
                      <w:color w:val="auto"/>
                    </w:rPr>
                  </w:pPr>
                  <w:r>
                    <w:rPr>
                      <w:rFonts w:hint="eastAsia"/>
                      <w:color w:val="auto"/>
                    </w:rPr>
                    <w:t>监测项目</w:t>
                  </w:r>
                </w:p>
              </w:tc>
              <w:tc>
                <w:tcPr>
                  <w:tcW w:w="692" w:type="pct"/>
                  <w:tcBorders>
                    <w:top w:val="single" w:color="auto" w:sz="6" w:space="0"/>
                    <w:left w:val="single" w:color="auto" w:sz="6" w:space="0"/>
                    <w:bottom w:val="single" w:color="auto" w:sz="6" w:space="0"/>
                    <w:right w:val="single" w:color="auto" w:sz="6" w:space="0"/>
                  </w:tcBorders>
                  <w:vAlign w:val="center"/>
                </w:tcPr>
                <w:p w14:paraId="06666360">
                  <w:pPr>
                    <w:jc w:val="center"/>
                    <w:rPr>
                      <w:color w:val="auto"/>
                    </w:rPr>
                  </w:pPr>
                  <w:r>
                    <w:rPr>
                      <w:rFonts w:hint="eastAsia"/>
                      <w:color w:val="auto"/>
                    </w:rPr>
                    <w:t>频率</w:t>
                  </w:r>
                </w:p>
              </w:tc>
              <w:tc>
                <w:tcPr>
                  <w:tcW w:w="723" w:type="pct"/>
                  <w:tcBorders>
                    <w:top w:val="single" w:color="auto" w:sz="6" w:space="0"/>
                    <w:left w:val="single" w:color="auto" w:sz="6" w:space="0"/>
                    <w:bottom w:val="single" w:color="auto" w:sz="4" w:space="0"/>
                    <w:right w:val="single" w:color="auto" w:sz="6" w:space="0"/>
                  </w:tcBorders>
                  <w:vAlign w:val="center"/>
                </w:tcPr>
                <w:p w14:paraId="4F3FDFC6">
                  <w:pPr>
                    <w:jc w:val="center"/>
                    <w:rPr>
                      <w:color w:val="auto"/>
                    </w:rPr>
                  </w:pPr>
                  <w:r>
                    <w:rPr>
                      <w:rFonts w:hint="eastAsia"/>
                      <w:color w:val="auto"/>
                    </w:rPr>
                    <w:t>实施单位</w:t>
                  </w:r>
                </w:p>
              </w:tc>
              <w:tc>
                <w:tcPr>
                  <w:tcW w:w="1429" w:type="pct"/>
                  <w:tcBorders>
                    <w:top w:val="single" w:color="auto" w:sz="6" w:space="0"/>
                    <w:left w:val="single" w:color="auto" w:sz="6" w:space="0"/>
                    <w:bottom w:val="single" w:color="auto" w:sz="4" w:space="0"/>
                    <w:right w:val="single" w:color="auto" w:sz="6" w:space="0"/>
                  </w:tcBorders>
                  <w:vAlign w:val="center"/>
                </w:tcPr>
                <w:p w14:paraId="24D93E14">
                  <w:pPr>
                    <w:jc w:val="center"/>
                    <w:rPr>
                      <w:color w:val="auto"/>
                    </w:rPr>
                  </w:pPr>
                  <w:r>
                    <w:rPr>
                      <w:rFonts w:hint="eastAsia"/>
                      <w:color w:val="auto"/>
                    </w:rPr>
                    <w:t>执行标准</w:t>
                  </w:r>
                </w:p>
              </w:tc>
            </w:tr>
            <w:tr w14:paraId="7F0A8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41" w:hRule="atLeast"/>
                <w:jc w:val="center"/>
              </w:trPr>
              <w:tc>
                <w:tcPr>
                  <w:tcW w:w="362" w:type="pct"/>
                  <w:tcBorders>
                    <w:top w:val="single" w:color="auto" w:sz="6" w:space="0"/>
                    <w:left w:val="single" w:color="auto" w:sz="6" w:space="0"/>
                    <w:bottom w:val="single" w:color="auto" w:sz="6" w:space="0"/>
                    <w:right w:val="single" w:color="auto" w:sz="6" w:space="0"/>
                  </w:tcBorders>
                  <w:vAlign w:val="center"/>
                </w:tcPr>
                <w:p w14:paraId="7CB33940">
                  <w:pPr>
                    <w:jc w:val="center"/>
                    <w:rPr>
                      <w:color w:val="auto"/>
                    </w:rPr>
                  </w:pPr>
                  <w:r>
                    <w:rPr>
                      <w:color w:val="auto"/>
                    </w:rPr>
                    <w:t>1</w:t>
                  </w:r>
                </w:p>
              </w:tc>
              <w:tc>
                <w:tcPr>
                  <w:tcW w:w="1070" w:type="pct"/>
                  <w:tcBorders>
                    <w:top w:val="single" w:color="auto" w:sz="6" w:space="0"/>
                    <w:left w:val="single" w:color="auto" w:sz="6" w:space="0"/>
                    <w:bottom w:val="single" w:color="auto" w:sz="6" w:space="0"/>
                    <w:right w:val="single" w:color="auto" w:sz="6" w:space="0"/>
                  </w:tcBorders>
                  <w:vAlign w:val="center"/>
                </w:tcPr>
                <w:p w14:paraId="190841EF">
                  <w:pPr>
                    <w:jc w:val="center"/>
                    <w:rPr>
                      <w:color w:val="auto"/>
                    </w:rPr>
                  </w:pPr>
                  <w:r>
                    <w:rPr>
                      <w:rFonts w:hint="eastAsia"/>
                      <w:color w:val="auto"/>
                    </w:rPr>
                    <w:t>项目厂界四周</w:t>
                  </w:r>
                  <w:r>
                    <w:rPr>
                      <w:rFonts w:hint="eastAsia"/>
                      <w:color w:val="auto"/>
                      <w:lang w:eastAsia="zh-CN"/>
                    </w:rPr>
                    <w:t>，</w:t>
                  </w:r>
                  <w:r>
                    <w:rPr>
                      <w:rFonts w:hint="eastAsia"/>
                      <w:color w:val="auto"/>
                    </w:rPr>
                    <w:t>东南西北各一个监测点</w:t>
                  </w:r>
                </w:p>
              </w:tc>
              <w:tc>
                <w:tcPr>
                  <w:tcW w:w="720" w:type="pct"/>
                  <w:tcBorders>
                    <w:top w:val="single" w:color="auto" w:sz="6" w:space="0"/>
                    <w:left w:val="single" w:color="auto" w:sz="6" w:space="0"/>
                    <w:bottom w:val="single" w:color="auto" w:sz="6" w:space="0"/>
                    <w:right w:val="single" w:color="auto" w:sz="6" w:space="0"/>
                  </w:tcBorders>
                  <w:vAlign w:val="center"/>
                </w:tcPr>
                <w:p w14:paraId="23999647">
                  <w:pPr>
                    <w:jc w:val="center"/>
                    <w:rPr>
                      <w:color w:val="auto"/>
                    </w:rPr>
                  </w:pPr>
                  <w:r>
                    <w:rPr>
                      <w:rFonts w:hint="eastAsia"/>
                      <w:color w:val="auto"/>
                    </w:rPr>
                    <w:t>噪声</w:t>
                  </w:r>
                </w:p>
              </w:tc>
              <w:tc>
                <w:tcPr>
                  <w:tcW w:w="692" w:type="pct"/>
                  <w:tcBorders>
                    <w:top w:val="single" w:color="auto" w:sz="6" w:space="0"/>
                    <w:left w:val="single" w:color="auto" w:sz="6" w:space="0"/>
                    <w:bottom w:val="single" w:color="auto" w:sz="6" w:space="0"/>
                    <w:right w:val="single" w:color="auto" w:sz="6" w:space="0"/>
                  </w:tcBorders>
                  <w:vAlign w:val="center"/>
                </w:tcPr>
                <w:p w14:paraId="01289E92">
                  <w:pPr>
                    <w:jc w:val="center"/>
                    <w:rPr>
                      <w:color w:val="auto"/>
                    </w:rPr>
                  </w:pPr>
                  <w:r>
                    <w:rPr>
                      <w:color w:val="auto"/>
                    </w:rPr>
                    <w:t>1</w:t>
                  </w:r>
                  <w:r>
                    <w:rPr>
                      <w:rFonts w:hint="eastAsia"/>
                      <w:color w:val="auto"/>
                    </w:rPr>
                    <w:t>次</w:t>
                  </w:r>
                  <w:r>
                    <w:rPr>
                      <w:color w:val="auto"/>
                    </w:rPr>
                    <w:t>/</w:t>
                  </w:r>
                  <w:r>
                    <w:rPr>
                      <w:rFonts w:hint="eastAsia"/>
                      <w:color w:val="auto"/>
                    </w:rPr>
                    <w:t>季度</w:t>
                  </w:r>
                </w:p>
              </w:tc>
              <w:tc>
                <w:tcPr>
                  <w:tcW w:w="723" w:type="pct"/>
                  <w:tcBorders>
                    <w:top w:val="single" w:color="auto" w:sz="6" w:space="0"/>
                    <w:left w:val="single" w:color="auto" w:sz="6" w:space="0"/>
                    <w:bottom w:val="single" w:color="auto" w:sz="6" w:space="0"/>
                    <w:right w:val="single" w:color="auto" w:sz="6" w:space="0"/>
                  </w:tcBorders>
                  <w:vAlign w:val="center"/>
                </w:tcPr>
                <w:p w14:paraId="210B1D7C">
                  <w:pPr>
                    <w:jc w:val="center"/>
                    <w:rPr>
                      <w:color w:val="auto"/>
                    </w:rPr>
                  </w:pPr>
                  <w:r>
                    <w:rPr>
                      <w:rFonts w:hint="eastAsia"/>
                      <w:color w:val="auto"/>
                    </w:rPr>
                    <w:t>有资质的监测单位</w:t>
                  </w:r>
                </w:p>
              </w:tc>
              <w:tc>
                <w:tcPr>
                  <w:tcW w:w="1429" w:type="pct"/>
                  <w:tcBorders>
                    <w:top w:val="single" w:color="auto" w:sz="6" w:space="0"/>
                    <w:left w:val="single" w:color="auto" w:sz="6" w:space="0"/>
                    <w:bottom w:val="single" w:color="auto" w:sz="6" w:space="0"/>
                    <w:right w:val="single" w:color="auto" w:sz="6" w:space="0"/>
                  </w:tcBorders>
                  <w:vAlign w:val="center"/>
                </w:tcPr>
                <w:p w14:paraId="21205E5E">
                  <w:pPr>
                    <w:jc w:val="center"/>
                    <w:rPr>
                      <w:color w:val="auto"/>
                    </w:rPr>
                  </w:pPr>
                  <w:r>
                    <w:rPr>
                      <w:rFonts w:hint="eastAsia"/>
                      <w:color w:val="auto"/>
                    </w:rPr>
                    <w:t>《工业企业厂界环境噪声排放标准》（</w:t>
                  </w:r>
                  <w:r>
                    <w:rPr>
                      <w:color w:val="auto"/>
                    </w:rPr>
                    <w:t>GB12348-2008</w:t>
                  </w:r>
                  <w:r>
                    <w:rPr>
                      <w:rFonts w:hint="eastAsia"/>
                      <w:color w:val="auto"/>
                    </w:rPr>
                    <w:t>）2类标准要求</w:t>
                  </w:r>
                </w:p>
              </w:tc>
            </w:tr>
          </w:tbl>
          <w:p w14:paraId="078DF6CA">
            <w:pPr>
              <w:pStyle w:val="6"/>
              <w:spacing w:before="240" w:beforeLines="100" w:after="0" w:line="360" w:lineRule="auto"/>
              <w:ind w:firstLine="482" w:firstLineChars="200"/>
              <w:rPr>
                <w:rStyle w:val="84"/>
                <w:rFonts w:ascii="Times New Roman" w:hAnsi="Times New Roman" w:cs="Times New Roman"/>
                <w:b/>
                <w:bCs/>
                <w:color w:val="auto"/>
              </w:rPr>
            </w:pPr>
            <w:r>
              <w:rPr>
                <w:rStyle w:val="84"/>
                <w:rFonts w:hint="eastAsia" w:ascii="Times New Roman" w:hAnsi="Times New Roman" w:cs="Times New Roman"/>
                <w:b/>
                <w:bCs/>
                <w:color w:val="auto"/>
              </w:rPr>
              <w:t xml:space="preserve">4 </w:t>
            </w:r>
            <w:r>
              <w:rPr>
                <w:rStyle w:val="84"/>
                <w:rFonts w:hint="eastAsia" w:ascii="Times New Roman" w:hAnsi="Times New Roman" w:cs="宋体"/>
                <w:b/>
                <w:bCs/>
                <w:color w:val="auto"/>
              </w:rPr>
              <w:t>固体废物环境影响及保护措施</w:t>
            </w:r>
          </w:p>
          <w:p w14:paraId="5FF6611D">
            <w:pPr>
              <w:spacing w:line="360" w:lineRule="auto"/>
              <w:ind w:firstLine="480" w:firstLineChars="200"/>
              <w:jc w:val="left"/>
              <w:rPr>
                <w:rFonts w:cs="宋体"/>
                <w:color w:val="auto"/>
                <w:sz w:val="24"/>
                <w:szCs w:val="24"/>
              </w:rPr>
            </w:pPr>
            <w:r>
              <w:rPr>
                <w:rFonts w:hint="eastAsia" w:cs="宋体"/>
                <w:color w:val="auto"/>
                <w:sz w:val="24"/>
                <w:szCs w:val="24"/>
              </w:rPr>
              <w:t>本项目固体废弃物主要为废边角料</w:t>
            </w:r>
            <w:r>
              <w:rPr>
                <w:rFonts w:hint="eastAsia" w:cs="宋体"/>
                <w:color w:val="auto"/>
                <w:sz w:val="24"/>
                <w:szCs w:val="24"/>
                <w:lang w:eastAsia="zh-CN"/>
              </w:rPr>
              <w:t>、</w:t>
            </w:r>
            <w:r>
              <w:rPr>
                <w:rFonts w:hint="eastAsia" w:cs="宋体"/>
                <w:color w:val="auto"/>
                <w:sz w:val="24"/>
                <w:szCs w:val="24"/>
              </w:rPr>
              <w:t>除尘器收集的粉尘</w:t>
            </w:r>
            <w:r>
              <w:rPr>
                <w:rFonts w:hint="eastAsia" w:cs="宋体"/>
                <w:color w:val="auto"/>
                <w:sz w:val="24"/>
                <w:szCs w:val="24"/>
                <w:lang w:eastAsia="zh-CN"/>
              </w:rPr>
              <w:t>、脱硫脱硝废渣、</w:t>
            </w:r>
            <w:r>
              <w:rPr>
                <w:rFonts w:hint="eastAsia" w:cs="宋体"/>
                <w:color w:val="auto"/>
                <w:sz w:val="24"/>
                <w:szCs w:val="24"/>
              </w:rPr>
              <w:t>不合格产品</w:t>
            </w:r>
            <w:r>
              <w:rPr>
                <w:rFonts w:hint="eastAsia" w:cs="宋体"/>
                <w:color w:val="auto"/>
                <w:sz w:val="24"/>
                <w:szCs w:val="24"/>
                <w:lang w:eastAsia="zh-CN"/>
              </w:rPr>
              <w:t>及</w:t>
            </w:r>
            <w:r>
              <w:rPr>
                <w:rFonts w:hint="eastAsia" w:cs="宋体"/>
                <w:color w:val="auto"/>
                <w:sz w:val="24"/>
                <w:szCs w:val="24"/>
              </w:rPr>
              <w:t>生活垃圾。</w:t>
            </w:r>
          </w:p>
          <w:p w14:paraId="7AA173C9">
            <w:pPr>
              <w:numPr>
                <w:ilvl w:val="0"/>
                <w:numId w:val="0"/>
              </w:numPr>
              <w:spacing w:line="360" w:lineRule="auto"/>
              <w:ind w:leftChars="228"/>
              <w:jc w:val="left"/>
              <w:rPr>
                <w:rFonts w:hint="eastAsia"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1</w:t>
            </w:r>
            <w:r>
              <w:rPr>
                <w:rFonts w:hint="eastAsia" w:cs="宋体"/>
                <w:color w:val="auto"/>
                <w:sz w:val="24"/>
                <w:szCs w:val="24"/>
                <w:lang w:eastAsia="zh-CN"/>
              </w:rPr>
              <w:t>）</w:t>
            </w:r>
            <w:r>
              <w:rPr>
                <w:rFonts w:hint="eastAsia" w:cs="宋体"/>
                <w:color w:val="auto"/>
                <w:sz w:val="24"/>
                <w:szCs w:val="24"/>
              </w:rPr>
              <w:t>废边角料</w:t>
            </w:r>
          </w:p>
          <w:p w14:paraId="38C0ECC2">
            <w:pPr>
              <w:numPr>
                <w:ilvl w:val="0"/>
                <w:numId w:val="0"/>
              </w:numPr>
              <w:spacing w:line="360" w:lineRule="auto"/>
              <w:ind w:firstLine="480" w:firstLineChars="200"/>
              <w:jc w:val="left"/>
              <w:rPr>
                <w:rFonts w:hint="eastAsia" w:eastAsia="宋体" w:cs="宋体"/>
                <w:color w:val="auto"/>
                <w:sz w:val="24"/>
                <w:szCs w:val="24"/>
                <w:lang w:val="en-US" w:eastAsia="zh-CN"/>
              </w:rPr>
            </w:pPr>
            <w:r>
              <w:rPr>
                <w:rFonts w:hint="eastAsia" w:cs="宋体"/>
                <w:color w:val="auto"/>
                <w:sz w:val="24"/>
                <w:szCs w:val="24"/>
                <w:lang w:eastAsia="zh-CN"/>
              </w:rPr>
              <w:t>本</w:t>
            </w:r>
            <w:r>
              <w:rPr>
                <w:rFonts w:hint="eastAsia" w:cs="宋体"/>
                <w:color w:val="auto"/>
                <w:sz w:val="24"/>
                <w:szCs w:val="24"/>
              </w:rPr>
              <w:t>项目在挤出成型、切条切坯、码坯以过程中会产生一定量的废</w:t>
            </w:r>
            <w:r>
              <w:rPr>
                <w:rFonts w:hint="eastAsia" w:cs="宋体"/>
                <w:color w:val="auto"/>
                <w:sz w:val="24"/>
                <w:szCs w:val="24"/>
                <w:lang w:eastAsia="zh-CN"/>
              </w:rPr>
              <w:t>边角料，参照现有项目工程，废边角料产生量约</w:t>
            </w:r>
            <w:r>
              <w:rPr>
                <w:rFonts w:hint="eastAsia" w:cs="宋体"/>
                <w:color w:val="auto"/>
                <w:sz w:val="24"/>
                <w:szCs w:val="24"/>
                <w:lang w:val="en-US" w:eastAsia="zh-CN"/>
              </w:rPr>
              <w:t>45</w:t>
            </w:r>
            <w:r>
              <w:rPr>
                <w:rFonts w:hint="eastAsia" w:cs="宋体"/>
                <w:color w:val="auto"/>
                <w:sz w:val="24"/>
                <w:szCs w:val="24"/>
                <w:lang w:eastAsia="zh-CN"/>
              </w:rPr>
              <w:t>00t/a，全部收集作为原材料使用，不储存。</w:t>
            </w:r>
          </w:p>
          <w:p w14:paraId="7AB89AEB">
            <w:pPr>
              <w:numPr>
                <w:ilvl w:val="0"/>
                <w:numId w:val="0"/>
              </w:numPr>
              <w:spacing w:line="360" w:lineRule="auto"/>
              <w:ind w:leftChars="128" w:firstLine="240" w:firstLineChars="100"/>
              <w:jc w:val="left"/>
              <w:rPr>
                <w:rFonts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2</w:t>
            </w:r>
            <w:r>
              <w:rPr>
                <w:rFonts w:hint="eastAsia" w:cs="宋体"/>
                <w:color w:val="auto"/>
                <w:sz w:val="24"/>
                <w:szCs w:val="24"/>
                <w:lang w:eastAsia="zh-CN"/>
              </w:rPr>
              <w:t>）</w:t>
            </w:r>
            <w:r>
              <w:rPr>
                <w:rFonts w:hint="eastAsia" w:cs="宋体"/>
                <w:color w:val="auto"/>
                <w:sz w:val="24"/>
                <w:szCs w:val="24"/>
              </w:rPr>
              <w:t>除尘器收集的粉尘</w:t>
            </w:r>
          </w:p>
          <w:p w14:paraId="57461D83">
            <w:pPr>
              <w:spacing w:line="360" w:lineRule="auto"/>
              <w:ind w:firstLine="480" w:firstLineChars="200"/>
              <w:jc w:val="left"/>
              <w:rPr>
                <w:rFonts w:cs="宋体"/>
                <w:color w:val="auto"/>
                <w:sz w:val="24"/>
                <w:szCs w:val="24"/>
              </w:rPr>
            </w:pPr>
            <w:r>
              <w:rPr>
                <w:rFonts w:cs="宋体"/>
                <w:color w:val="auto"/>
                <w:sz w:val="24"/>
                <w:szCs w:val="24"/>
              </w:rPr>
              <w:t>根据上文中的计算可知</w:t>
            </w:r>
            <w:r>
              <w:rPr>
                <w:rFonts w:hint="eastAsia" w:cs="宋体"/>
                <w:color w:val="auto"/>
                <w:sz w:val="24"/>
                <w:szCs w:val="24"/>
                <w:lang w:eastAsia="zh-CN"/>
              </w:rPr>
              <w:t>，</w:t>
            </w:r>
            <w:r>
              <w:rPr>
                <w:rFonts w:cs="宋体"/>
                <w:color w:val="auto"/>
                <w:sz w:val="24"/>
                <w:szCs w:val="24"/>
              </w:rPr>
              <w:t>布袋除尘器收集粉尘的量</w:t>
            </w:r>
            <w:r>
              <w:rPr>
                <w:rFonts w:cs="宋体"/>
                <w:color w:val="auto"/>
                <w:sz w:val="24"/>
                <w:szCs w:val="24"/>
                <w:highlight w:val="none"/>
              </w:rPr>
              <w:t>约为</w:t>
            </w:r>
            <w:r>
              <w:rPr>
                <w:rFonts w:hint="eastAsia" w:cs="宋体"/>
                <w:color w:val="auto"/>
                <w:sz w:val="24"/>
                <w:szCs w:val="24"/>
                <w:highlight w:val="none"/>
                <w:lang w:val="en-US" w:eastAsia="zh-CN"/>
              </w:rPr>
              <w:t>68</w:t>
            </w:r>
            <w:r>
              <w:rPr>
                <w:rFonts w:cs="宋体"/>
                <w:color w:val="auto"/>
                <w:sz w:val="24"/>
                <w:szCs w:val="24"/>
                <w:highlight w:val="none"/>
              </w:rPr>
              <w:t>t/a</w:t>
            </w:r>
            <w:r>
              <w:rPr>
                <w:rFonts w:hint="eastAsia" w:cs="宋体"/>
                <w:color w:val="auto"/>
                <w:sz w:val="24"/>
                <w:szCs w:val="24"/>
                <w:highlight w:val="none"/>
                <w:lang w:eastAsia="zh-CN"/>
              </w:rPr>
              <w:t>，收集后</w:t>
            </w:r>
            <w:r>
              <w:rPr>
                <w:rFonts w:hint="eastAsia" w:cs="宋体"/>
                <w:color w:val="auto"/>
                <w:sz w:val="24"/>
                <w:szCs w:val="24"/>
                <w:lang w:val="en-US" w:eastAsia="zh-CN"/>
              </w:rPr>
              <w:t>即时回用于生产，不储存</w:t>
            </w:r>
            <w:r>
              <w:rPr>
                <w:rFonts w:hint="eastAsia" w:cs="宋体"/>
                <w:color w:val="auto"/>
                <w:sz w:val="24"/>
                <w:szCs w:val="24"/>
                <w:lang w:eastAsia="zh-CN"/>
              </w:rPr>
              <w:t>。</w:t>
            </w:r>
            <w:r>
              <w:rPr>
                <w:rFonts w:hint="eastAsia" w:cs="宋体"/>
                <w:color w:val="auto"/>
                <w:sz w:val="24"/>
                <w:szCs w:val="24"/>
              </w:rPr>
              <w:t>根据《一般固体废物分类与代码》（GB/T39198-2020）</w:t>
            </w:r>
            <w:r>
              <w:rPr>
                <w:rFonts w:hint="eastAsia" w:cs="宋体"/>
                <w:color w:val="auto"/>
                <w:sz w:val="24"/>
                <w:szCs w:val="24"/>
                <w:lang w:eastAsia="zh-CN"/>
              </w:rPr>
              <w:t>，</w:t>
            </w:r>
            <w:r>
              <w:rPr>
                <w:rFonts w:hint="eastAsia" w:cs="宋体"/>
                <w:color w:val="auto"/>
                <w:sz w:val="24"/>
                <w:szCs w:val="24"/>
              </w:rPr>
              <w:t>袋式除尘器收集的粉尘代码为900-999-99。</w:t>
            </w:r>
          </w:p>
          <w:p w14:paraId="1E6D4CEB">
            <w:pPr>
              <w:numPr>
                <w:ilvl w:val="0"/>
                <w:numId w:val="0"/>
              </w:numPr>
              <w:spacing w:line="360" w:lineRule="auto"/>
              <w:ind w:leftChars="228"/>
              <w:jc w:val="left"/>
              <w:rPr>
                <w:rFonts w:hint="eastAsia" w:eastAsia="宋体" w:cs="宋体"/>
                <w:color w:val="auto"/>
                <w:sz w:val="24"/>
                <w:szCs w:val="24"/>
                <w:lang w:eastAsia="zh-CN"/>
              </w:rPr>
            </w:pPr>
            <w:r>
              <w:rPr>
                <w:rFonts w:hint="eastAsia" w:cs="宋体"/>
                <w:color w:val="auto"/>
                <w:sz w:val="24"/>
                <w:szCs w:val="24"/>
                <w:lang w:eastAsia="zh-CN"/>
              </w:rPr>
              <w:t>（</w:t>
            </w:r>
            <w:r>
              <w:rPr>
                <w:rFonts w:hint="eastAsia" w:cs="宋体"/>
                <w:color w:val="auto"/>
                <w:sz w:val="24"/>
                <w:szCs w:val="24"/>
                <w:lang w:val="en-US" w:eastAsia="zh-CN"/>
              </w:rPr>
              <w:t>3</w:t>
            </w:r>
            <w:r>
              <w:rPr>
                <w:rFonts w:hint="eastAsia" w:cs="宋体"/>
                <w:color w:val="auto"/>
                <w:sz w:val="24"/>
                <w:szCs w:val="24"/>
                <w:lang w:eastAsia="zh-CN"/>
              </w:rPr>
              <w:t>）脱硫脱硝废渣</w:t>
            </w:r>
          </w:p>
          <w:p w14:paraId="146A0004">
            <w:pPr>
              <w:numPr>
                <w:ilvl w:val="0"/>
                <w:numId w:val="0"/>
              </w:numPr>
              <w:spacing w:line="360" w:lineRule="auto"/>
              <w:ind w:firstLine="480" w:firstLineChars="200"/>
              <w:jc w:val="left"/>
              <w:rPr>
                <w:rFonts w:hint="default" w:eastAsia="宋体" w:cs="宋体"/>
                <w:color w:val="auto"/>
                <w:sz w:val="24"/>
                <w:szCs w:val="24"/>
                <w:lang w:val="en-US" w:eastAsia="zh-CN"/>
              </w:rPr>
            </w:pPr>
            <w:r>
              <w:rPr>
                <w:rFonts w:hint="eastAsia" w:cs="宋体"/>
                <w:color w:val="auto"/>
                <w:sz w:val="24"/>
                <w:szCs w:val="24"/>
                <w:lang w:eastAsia="zh-CN"/>
              </w:rPr>
              <w:t>本项目焙烧废气采用石灰-石膏法脱硫+湿电除尘+SNCR脱硝进行处理，设施运行处理过程中会产生一定量的脱硫脱硝废渣，主要成分是亚硫酸钙和硫酸钙。参照现有项目工程，脱硫脱硝废渣产生量约为</w:t>
            </w:r>
            <w:r>
              <w:rPr>
                <w:rFonts w:hint="eastAsia" w:cs="宋体"/>
                <w:color w:val="auto"/>
                <w:sz w:val="24"/>
                <w:szCs w:val="24"/>
                <w:lang w:val="en-US" w:eastAsia="zh-CN"/>
              </w:rPr>
              <w:t>450</w:t>
            </w:r>
            <w:r>
              <w:rPr>
                <w:rFonts w:hint="eastAsia" w:cs="宋体"/>
                <w:color w:val="auto"/>
                <w:sz w:val="24"/>
                <w:szCs w:val="24"/>
                <w:lang w:eastAsia="zh-CN"/>
              </w:rPr>
              <w:t>t/a，产生后</w:t>
            </w:r>
            <w:r>
              <w:rPr>
                <w:rFonts w:hint="eastAsia" w:cs="宋体"/>
                <w:color w:val="auto"/>
                <w:sz w:val="24"/>
                <w:szCs w:val="24"/>
                <w:lang w:val="en-US" w:eastAsia="zh-CN"/>
              </w:rPr>
              <w:t>即时外售，不储存</w:t>
            </w:r>
            <w:r>
              <w:rPr>
                <w:rFonts w:hint="eastAsia" w:cs="宋体"/>
                <w:color w:val="auto"/>
                <w:sz w:val="24"/>
                <w:szCs w:val="24"/>
                <w:lang w:eastAsia="zh-CN"/>
              </w:rPr>
              <w:t>。对照《国家危险废物名录（2025年版）》，该废渣不属于危险废物。</w:t>
            </w:r>
          </w:p>
          <w:p w14:paraId="112AE7B4">
            <w:pPr>
              <w:numPr>
                <w:ilvl w:val="0"/>
                <w:numId w:val="8"/>
              </w:numPr>
              <w:spacing w:line="360" w:lineRule="auto"/>
              <w:ind w:leftChars="228"/>
              <w:jc w:val="left"/>
              <w:rPr>
                <w:rFonts w:hint="default" w:eastAsia="宋体" w:cs="宋体"/>
                <w:color w:val="auto"/>
                <w:sz w:val="24"/>
                <w:szCs w:val="24"/>
                <w:lang w:val="en-US" w:eastAsia="zh-CN"/>
              </w:rPr>
            </w:pPr>
            <w:r>
              <w:rPr>
                <w:rFonts w:hint="eastAsia" w:cs="宋体"/>
                <w:color w:val="auto"/>
                <w:sz w:val="24"/>
                <w:szCs w:val="24"/>
              </w:rPr>
              <w:t>不合格产品</w:t>
            </w:r>
          </w:p>
          <w:p w14:paraId="19CFCEF6">
            <w:pPr>
              <w:numPr>
                <w:ilvl w:val="0"/>
                <w:numId w:val="0"/>
              </w:numPr>
              <w:spacing w:line="360" w:lineRule="auto"/>
              <w:ind w:firstLine="480" w:firstLineChars="200"/>
              <w:jc w:val="left"/>
              <w:rPr>
                <w:color w:val="auto"/>
              </w:rPr>
            </w:pPr>
            <w:r>
              <w:rPr>
                <w:rFonts w:hint="eastAsia" w:cs="宋体"/>
                <w:color w:val="auto"/>
                <w:sz w:val="24"/>
                <w:szCs w:val="24"/>
                <w:lang w:eastAsia="zh-CN"/>
              </w:rPr>
              <w:t>本项目烧制的成品检验过程中产生部分不合格产品。参照现有项目工程，不合格产生量约为</w:t>
            </w:r>
            <w:r>
              <w:rPr>
                <w:rFonts w:hint="eastAsia" w:cs="宋体"/>
                <w:color w:val="auto"/>
                <w:sz w:val="24"/>
                <w:szCs w:val="24"/>
                <w:lang w:val="en-US" w:eastAsia="zh-CN"/>
              </w:rPr>
              <w:t>550t/a，产生后即时回用于生产，不储存。</w:t>
            </w:r>
            <w:r>
              <w:rPr>
                <w:rFonts w:hint="eastAsia" w:cs="宋体"/>
                <w:color w:val="auto"/>
                <w:sz w:val="24"/>
                <w:szCs w:val="24"/>
                <w:lang w:val="en-US" w:eastAsia="zh-CN"/>
              </w:rPr>
              <w:br w:type="textWrapping"/>
            </w:r>
            <w:r>
              <w:rPr>
                <w:rFonts w:hint="eastAsia" w:cs="宋体"/>
                <w:color w:val="auto"/>
                <w:sz w:val="24"/>
                <w:szCs w:val="24"/>
                <w:lang w:val="en-US" w:eastAsia="zh-CN"/>
              </w:rPr>
              <w:t xml:space="preserve">   </w:t>
            </w:r>
            <w:r>
              <w:rPr>
                <w:rFonts w:hint="eastAsia" w:ascii="Times New Roman" w:hAnsi="Times New Roman" w:eastAsia="宋体" w:cs="宋体"/>
                <w:color w:val="auto"/>
                <w:sz w:val="24"/>
                <w:szCs w:val="24"/>
                <w:lang w:val="en-US" w:eastAsia="zh-CN"/>
              </w:rPr>
              <w:t>（5）生活垃圾</w:t>
            </w:r>
          </w:p>
          <w:p w14:paraId="685D3C63">
            <w:pPr>
              <w:spacing w:line="360" w:lineRule="auto"/>
              <w:ind w:firstLine="480" w:firstLineChars="200"/>
              <w:rPr>
                <w:rFonts w:hint="eastAsia" w:cs="宋体"/>
                <w:color w:val="auto"/>
                <w:sz w:val="24"/>
                <w:szCs w:val="24"/>
              </w:rPr>
            </w:pPr>
            <w:r>
              <w:rPr>
                <w:rFonts w:hint="eastAsia" w:cs="宋体"/>
                <w:color w:val="auto"/>
                <w:sz w:val="24"/>
                <w:szCs w:val="24"/>
              </w:rPr>
              <w:t>本项目劳动人员</w:t>
            </w:r>
            <w:r>
              <w:rPr>
                <w:rFonts w:hint="eastAsia"/>
                <w:color w:val="auto"/>
                <w:sz w:val="24"/>
                <w:szCs w:val="24"/>
                <w:lang w:val="en-US" w:eastAsia="zh-CN"/>
              </w:rPr>
              <w:t>24</w:t>
            </w:r>
            <w:r>
              <w:rPr>
                <w:rFonts w:hint="eastAsia" w:cs="宋体"/>
                <w:color w:val="auto"/>
                <w:sz w:val="24"/>
                <w:szCs w:val="24"/>
              </w:rPr>
              <w:t>人</w:t>
            </w:r>
            <w:r>
              <w:rPr>
                <w:rFonts w:hint="eastAsia" w:cs="宋体"/>
                <w:color w:val="auto"/>
                <w:sz w:val="24"/>
                <w:szCs w:val="24"/>
                <w:lang w:eastAsia="zh-CN"/>
              </w:rPr>
              <w:t>，</w:t>
            </w:r>
            <w:r>
              <w:rPr>
                <w:rFonts w:hint="eastAsia" w:cs="宋体"/>
                <w:color w:val="auto"/>
                <w:sz w:val="24"/>
                <w:szCs w:val="24"/>
              </w:rPr>
              <w:t>生活垃圾产生量按</w:t>
            </w:r>
            <w:r>
              <w:rPr>
                <w:color w:val="auto"/>
                <w:sz w:val="24"/>
                <w:szCs w:val="24"/>
              </w:rPr>
              <w:t>1.0kg/</w:t>
            </w:r>
            <w:r>
              <w:rPr>
                <w:rFonts w:hint="eastAsia" w:cs="宋体"/>
                <w:color w:val="auto"/>
                <w:sz w:val="24"/>
                <w:szCs w:val="24"/>
              </w:rPr>
              <w:t>人</w:t>
            </w:r>
            <w:r>
              <w:rPr>
                <w:color w:val="auto"/>
                <w:sz w:val="24"/>
                <w:szCs w:val="24"/>
              </w:rPr>
              <w:t>·</w:t>
            </w:r>
            <w:r>
              <w:rPr>
                <w:rFonts w:hint="eastAsia" w:cs="宋体"/>
                <w:color w:val="auto"/>
                <w:sz w:val="24"/>
                <w:szCs w:val="24"/>
              </w:rPr>
              <w:t>天计</w:t>
            </w:r>
            <w:r>
              <w:rPr>
                <w:rFonts w:hint="eastAsia" w:cs="宋体"/>
                <w:color w:val="auto"/>
                <w:sz w:val="24"/>
                <w:szCs w:val="24"/>
                <w:lang w:eastAsia="zh-CN"/>
              </w:rPr>
              <w:t>，</w:t>
            </w:r>
            <w:r>
              <w:rPr>
                <w:rFonts w:hint="eastAsia" w:cs="宋体"/>
                <w:color w:val="auto"/>
                <w:sz w:val="24"/>
                <w:szCs w:val="24"/>
              </w:rPr>
              <w:t>为</w:t>
            </w:r>
            <w:r>
              <w:rPr>
                <w:color w:val="auto"/>
                <w:sz w:val="24"/>
                <w:szCs w:val="24"/>
              </w:rPr>
              <w:t>0.0</w:t>
            </w:r>
            <w:r>
              <w:rPr>
                <w:rFonts w:hint="eastAsia"/>
                <w:color w:val="auto"/>
                <w:sz w:val="24"/>
                <w:szCs w:val="24"/>
                <w:lang w:val="en-US" w:eastAsia="zh-CN"/>
              </w:rPr>
              <w:t>24</w:t>
            </w:r>
            <w:r>
              <w:rPr>
                <w:color w:val="auto"/>
                <w:sz w:val="24"/>
                <w:szCs w:val="24"/>
              </w:rPr>
              <w:t>t/d</w:t>
            </w:r>
            <w:r>
              <w:rPr>
                <w:rFonts w:hint="eastAsia" w:cs="宋体"/>
                <w:color w:val="auto"/>
                <w:sz w:val="24"/>
                <w:szCs w:val="24"/>
              </w:rPr>
              <w:t>（</w:t>
            </w:r>
            <w:r>
              <w:rPr>
                <w:rFonts w:hint="eastAsia" w:cs="宋体"/>
                <w:color w:val="auto"/>
                <w:sz w:val="24"/>
                <w:szCs w:val="24"/>
                <w:lang w:val="en-US" w:eastAsia="zh-CN"/>
              </w:rPr>
              <w:t>5.76</w:t>
            </w:r>
            <w:r>
              <w:rPr>
                <w:color w:val="auto"/>
                <w:sz w:val="24"/>
                <w:szCs w:val="24"/>
              </w:rPr>
              <w:t>t/a</w:t>
            </w:r>
            <w:r>
              <w:rPr>
                <w:rFonts w:hint="eastAsia" w:cs="宋体"/>
                <w:color w:val="auto"/>
                <w:sz w:val="24"/>
                <w:szCs w:val="24"/>
              </w:rPr>
              <w:t>）</w:t>
            </w:r>
            <w:r>
              <w:rPr>
                <w:rFonts w:hint="eastAsia" w:cs="宋体"/>
                <w:color w:val="auto"/>
                <w:sz w:val="24"/>
                <w:szCs w:val="24"/>
                <w:lang w:eastAsia="zh-CN"/>
              </w:rPr>
              <w:t>，</w:t>
            </w:r>
            <w:r>
              <w:rPr>
                <w:rFonts w:hint="eastAsia" w:cs="宋体"/>
                <w:color w:val="auto"/>
                <w:sz w:val="24"/>
                <w:szCs w:val="24"/>
              </w:rPr>
              <w:t>收集后交环卫部门处置。</w:t>
            </w:r>
          </w:p>
          <w:p w14:paraId="5A770ACC">
            <w:pPr>
              <w:spacing w:line="360" w:lineRule="auto"/>
              <w:jc w:val="center"/>
              <w:rPr>
                <w:b/>
                <w:bCs/>
                <w:color w:val="auto"/>
                <w:sz w:val="24"/>
                <w:szCs w:val="24"/>
              </w:rPr>
            </w:pPr>
            <w:r>
              <w:rPr>
                <w:rFonts w:hint="eastAsia" w:cs="宋体"/>
                <w:b/>
                <w:bCs/>
                <w:color w:val="auto"/>
                <w:sz w:val="22"/>
                <w:szCs w:val="22"/>
              </w:rPr>
              <w:t>表</w:t>
            </w:r>
            <w:r>
              <w:rPr>
                <w:b/>
                <w:bCs/>
                <w:color w:val="auto"/>
                <w:sz w:val="22"/>
                <w:szCs w:val="22"/>
              </w:rPr>
              <w:t>4-1</w:t>
            </w:r>
            <w:r>
              <w:rPr>
                <w:rFonts w:hint="eastAsia"/>
                <w:b/>
                <w:bCs/>
                <w:color w:val="auto"/>
                <w:sz w:val="22"/>
                <w:szCs w:val="22"/>
                <w:lang w:val="en-US" w:eastAsia="zh-CN"/>
              </w:rPr>
              <w:t>2</w:t>
            </w:r>
            <w:r>
              <w:rPr>
                <w:b/>
                <w:bCs/>
                <w:color w:val="auto"/>
                <w:sz w:val="22"/>
                <w:szCs w:val="22"/>
              </w:rPr>
              <w:t xml:space="preserve">  </w:t>
            </w:r>
            <w:r>
              <w:rPr>
                <w:rFonts w:hint="eastAsia" w:cs="宋体"/>
                <w:b/>
                <w:bCs/>
                <w:color w:val="auto"/>
                <w:sz w:val="22"/>
                <w:szCs w:val="22"/>
              </w:rPr>
              <w:t>固体废物产生及处理处置情况一览表</w:t>
            </w:r>
          </w:p>
          <w:tbl>
            <w:tblPr>
              <w:tblStyle w:val="37"/>
              <w:tblW w:w="8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411"/>
              <w:gridCol w:w="1182"/>
              <w:gridCol w:w="779"/>
              <w:gridCol w:w="1303"/>
              <w:gridCol w:w="1155"/>
              <w:gridCol w:w="1551"/>
            </w:tblGrid>
            <w:tr w14:paraId="6C7E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159B9E2D">
                  <w:pPr>
                    <w:jc w:val="center"/>
                    <w:rPr>
                      <w:color w:val="auto"/>
                      <w:sz w:val="22"/>
                      <w:szCs w:val="22"/>
                    </w:rPr>
                  </w:pPr>
                  <w:r>
                    <w:rPr>
                      <w:rFonts w:hint="eastAsia" w:cs="宋体"/>
                      <w:color w:val="auto"/>
                      <w:sz w:val="22"/>
                      <w:szCs w:val="22"/>
                    </w:rPr>
                    <w:t>序号</w:t>
                  </w:r>
                </w:p>
              </w:tc>
              <w:tc>
                <w:tcPr>
                  <w:tcW w:w="1411" w:type="dxa"/>
                  <w:tcBorders>
                    <w:top w:val="single" w:color="auto" w:sz="4" w:space="0"/>
                    <w:left w:val="single" w:color="auto" w:sz="4" w:space="0"/>
                    <w:bottom w:val="single" w:color="auto" w:sz="4" w:space="0"/>
                    <w:right w:val="single" w:color="auto" w:sz="4" w:space="0"/>
                  </w:tcBorders>
                  <w:vAlign w:val="center"/>
                </w:tcPr>
                <w:p w14:paraId="1C87813A">
                  <w:pPr>
                    <w:jc w:val="center"/>
                    <w:rPr>
                      <w:color w:val="auto"/>
                      <w:sz w:val="22"/>
                      <w:szCs w:val="22"/>
                    </w:rPr>
                  </w:pPr>
                  <w:r>
                    <w:rPr>
                      <w:rFonts w:hint="eastAsia" w:cs="宋体"/>
                      <w:color w:val="auto"/>
                      <w:sz w:val="22"/>
                      <w:szCs w:val="22"/>
                    </w:rPr>
                    <w:t>固废名称</w:t>
                  </w:r>
                </w:p>
              </w:tc>
              <w:tc>
                <w:tcPr>
                  <w:tcW w:w="1182" w:type="dxa"/>
                  <w:tcBorders>
                    <w:top w:val="single" w:color="auto" w:sz="4" w:space="0"/>
                    <w:left w:val="single" w:color="auto" w:sz="4" w:space="0"/>
                    <w:bottom w:val="single" w:color="auto" w:sz="4" w:space="0"/>
                    <w:right w:val="single" w:color="auto" w:sz="4" w:space="0"/>
                  </w:tcBorders>
                  <w:vAlign w:val="center"/>
                </w:tcPr>
                <w:p w14:paraId="12AF5EF1">
                  <w:pPr>
                    <w:jc w:val="center"/>
                    <w:rPr>
                      <w:color w:val="auto"/>
                      <w:sz w:val="22"/>
                      <w:szCs w:val="22"/>
                    </w:rPr>
                  </w:pPr>
                  <w:r>
                    <w:rPr>
                      <w:rFonts w:hint="eastAsia" w:cs="宋体"/>
                      <w:color w:val="auto"/>
                      <w:sz w:val="22"/>
                      <w:szCs w:val="22"/>
                    </w:rPr>
                    <w:t>属性</w:t>
                  </w:r>
                </w:p>
              </w:tc>
              <w:tc>
                <w:tcPr>
                  <w:tcW w:w="779" w:type="dxa"/>
                  <w:tcBorders>
                    <w:top w:val="single" w:color="auto" w:sz="4" w:space="0"/>
                    <w:left w:val="single" w:color="auto" w:sz="4" w:space="0"/>
                    <w:bottom w:val="single" w:color="auto" w:sz="4" w:space="0"/>
                    <w:right w:val="single" w:color="auto" w:sz="4" w:space="0"/>
                  </w:tcBorders>
                  <w:vAlign w:val="center"/>
                </w:tcPr>
                <w:p w14:paraId="7F00D49E">
                  <w:pPr>
                    <w:jc w:val="center"/>
                    <w:rPr>
                      <w:color w:val="auto"/>
                      <w:sz w:val="22"/>
                      <w:szCs w:val="22"/>
                    </w:rPr>
                  </w:pPr>
                  <w:r>
                    <w:rPr>
                      <w:rFonts w:hint="eastAsia" w:cs="宋体"/>
                      <w:color w:val="auto"/>
                      <w:sz w:val="22"/>
                      <w:szCs w:val="22"/>
                    </w:rPr>
                    <w:t>性状</w:t>
                  </w:r>
                </w:p>
              </w:tc>
              <w:tc>
                <w:tcPr>
                  <w:tcW w:w="1303" w:type="dxa"/>
                  <w:tcBorders>
                    <w:top w:val="single" w:color="auto" w:sz="4" w:space="0"/>
                    <w:left w:val="single" w:color="auto" w:sz="4" w:space="0"/>
                    <w:bottom w:val="single" w:color="auto" w:sz="4" w:space="0"/>
                    <w:right w:val="single" w:color="auto" w:sz="4" w:space="0"/>
                  </w:tcBorders>
                  <w:vAlign w:val="center"/>
                </w:tcPr>
                <w:p w14:paraId="609C0730">
                  <w:pPr>
                    <w:jc w:val="center"/>
                    <w:rPr>
                      <w:color w:val="auto"/>
                      <w:sz w:val="22"/>
                      <w:szCs w:val="22"/>
                    </w:rPr>
                  </w:pPr>
                  <w:r>
                    <w:rPr>
                      <w:rFonts w:hint="eastAsia" w:cs="宋体"/>
                      <w:color w:val="auto"/>
                      <w:sz w:val="22"/>
                      <w:szCs w:val="22"/>
                    </w:rPr>
                    <w:t>废物代码</w:t>
                  </w:r>
                </w:p>
              </w:tc>
              <w:tc>
                <w:tcPr>
                  <w:tcW w:w="1155" w:type="dxa"/>
                  <w:tcBorders>
                    <w:top w:val="single" w:color="auto" w:sz="4" w:space="0"/>
                    <w:left w:val="single" w:color="auto" w:sz="4" w:space="0"/>
                    <w:bottom w:val="single" w:color="auto" w:sz="4" w:space="0"/>
                    <w:right w:val="single" w:color="auto" w:sz="4" w:space="0"/>
                  </w:tcBorders>
                  <w:vAlign w:val="center"/>
                </w:tcPr>
                <w:p w14:paraId="1B3FB4AA">
                  <w:pPr>
                    <w:jc w:val="center"/>
                    <w:rPr>
                      <w:color w:val="auto"/>
                      <w:sz w:val="22"/>
                      <w:szCs w:val="22"/>
                    </w:rPr>
                  </w:pPr>
                  <w:r>
                    <w:rPr>
                      <w:rFonts w:hint="eastAsia" w:cs="宋体"/>
                      <w:color w:val="auto"/>
                      <w:sz w:val="22"/>
                      <w:szCs w:val="22"/>
                    </w:rPr>
                    <w:t>年产生量</w:t>
                  </w:r>
                </w:p>
              </w:tc>
              <w:tc>
                <w:tcPr>
                  <w:tcW w:w="1551" w:type="dxa"/>
                  <w:tcBorders>
                    <w:top w:val="single" w:color="auto" w:sz="4" w:space="0"/>
                    <w:left w:val="single" w:color="auto" w:sz="4" w:space="0"/>
                    <w:bottom w:val="single" w:color="auto" w:sz="4" w:space="0"/>
                    <w:right w:val="single" w:color="auto" w:sz="4" w:space="0"/>
                  </w:tcBorders>
                  <w:vAlign w:val="center"/>
                </w:tcPr>
                <w:p w14:paraId="41ED4557">
                  <w:pPr>
                    <w:jc w:val="center"/>
                    <w:rPr>
                      <w:color w:val="auto"/>
                      <w:sz w:val="22"/>
                      <w:szCs w:val="22"/>
                    </w:rPr>
                  </w:pPr>
                  <w:r>
                    <w:rPr>
                      <w:rFonts w:hint="eastAsia" w:cs="宋体"/>
                      <w:color w:val="auto"/>
                      <w:sz w:val="22"/>
                      <w:szCs w:val="22"/>
                    </w:rPr>
                    <w:t>去向</w:t>
                  </w:r>
                </w:p>
              </w:tc>
            </w:tr>
            <w:tr w14:paraId="1EB2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55" w:type="dxa"/>
                  <w:tcBorders>
                    <w:top w:val="single" w:color="auto" w:sz="4" w:space="0"/>
                    <w:left w:val="single" w:color="auto" w:sz="4" w:space="0"/>
                    <w:right w:val="single" w:color="auto" w:sz="4" w:space="0"/>
                  </w:tcBorders>
                  <w:vAlign w:val="center"/>
                </w:tcPr>
                <w:p w14:paraId="63146BEF">
                  <w:pPr>
                    <w:jc w:val="center"/>
                    <w:rPr>
                      <w:color w:val="auto"/>
                      <w:sz w:val="22"/>
                      <w:szCs w:val="22"/>
                    </w:rPr>
                  </w:pPr>
                  <w:r>
                    <w:rPr>
                      <w:rFonts w:hint="eastAsia"/>
                      <w:color w:val="auto"/>
                      <w:sz w:val="22"/>
                      <w:szCs w:val="22"/>
                    </w:rPr>
                    <w:t>1</w:t>
                  </w:r>
                </w:p>
              </w:tc>
              <w:tc>
                <w:tcPr>
                  <w:tcW w:w="1411" w:type="dxa"/>
                  <w:tcBorders>
                    <w:top w:val="single" w:color="auto" w:sz="4" w:space="0"/>
                    <w:left w:val="single" w:color="auto" w:sz="4" w:space="0"/>
                    <w:right w:val="single" w:color="auto" w:sz="4" w:space="0"/>
                  </w:tcBorders>
                  <w:vAlign w:val="center"/>
                </w:tcPr>
                <w:p w14:paraId="6EC3EFE0">
                  <w:pPr>
                    <w:jc w:val="center"/>
                    <w:rPr>
                      <w:rFonts w:hint="eastAsia" w:eastAsia="宋体" w:cs="宋体"/>
                      <w:color w:val="auto"/>
                      <w:lang w:eastAsia="zh-CN"/>
                    </w:rPr>
                  </w:pPr>
                  <w:r>
                    <w:rPr>
                      <w:rFonts w:hint="eastAsia" w:cs="宋体"/>
                      <w:color w:val="auto"/>
                      <w:lang w:eastAsia="zh-CN"/>
                    </w:rPr>
                    <w:t>废边角料</w:t>
                  </w:r>
                </w:p>
              </w:tc>
              <w:tc>
                <w:tcPr>
                  <w:tcW w:w="1182" w:type="dxa"/>
                  <w:tcBorders>
                    <w:top w:val="single" w:color="auto" w:sz="4" w:space="0"/>
                    <w:left w:val="single" w:color="auto" w:sz="4" w:space="0"/>
                    <w:right w:val="single" w:color="auto" w:sz="4" w:space="0"/>
                  </w:tcBorders>
                  <w:vAlign w:val="center"/>
                </w:tcPr>
                <w:p w14:paraId="6CA09FDA">
                  <w:pPr>
                    <w:jc w:val="center"/>
                    <w:rPr>
                      <w:rFonts w:cs="宋体"/>
                      <w:color w:val="auto"/>
                      <w:sz w:val="22"/>
                      <w:szCs w:val="22"/>
                    </w:rPr>
                  </w:pPr>
                  <w:r>
                    <w:rPr>
                      <w:rFonts w:hint="eastAsia" w:cs="宋体"/>
                      <w:color w:val="auto"/>
                      <w:sz w:val="22"/>
                      <w:szCs w:val="22"/>
                    </w:rPr>
                    <w:t>一般固废</w:t>
                  </w:r>
                </w:p>
              </w:tc>
              <w:tc>
                <w:tcPr>
                  <w:tcW w:w="779" w:type="dxa"/>
                  <w:tcBorders>
                    <w:top w:val="single" w:color="auto" w:sz="4" w:space="0"/>
                    <w:left w:val="single" w:color="auto" w:sz="4" w:space="0"/>
                    <w:right w:val="single" w:color="auto" w:sz="4" w:space="0"/>
                  </w:tcBorders>
                  <w:vAlign w:val="center"/>
                </w:tcPr>
                <w:p w14:paraId="1F4BA56F">
                  <w:pPr>
                    <w:jc w:val="center"/>
                    <w:rPr>
                      <w:rFonts w:cs="宋体"/>
                      <w:color w:val="auto"/>
                      <w:sz w:val="22"/>
                      <w:szCs w:val="22"/>
                    </w:rPr>
                  </w:pPr>
                  <w:r>
                    <w:rPr>
                      <w:rFonts w:hint="eastAsia" w:cs="宋体"/>
                      <w:color w:val="auto"/>
                      <w:sz w:val="22"/>
                      <w:szCs w:val="22"/>
                    </w:rPr>
                    <w:t>固态</w:t>
                  </w:r>
                </w:p>
              </w:tc>
              <w:tc>
                <w:tcPr>
                  <w:tcW w:w="1303" w:type="dxa"/>
                  <w:tcBorders>
                    <w:top w:val="single" w:color="auto" w:sz="4" w:space="0"/>
                    <w:left w:val="single" w:color="auto" w:sz="4" w:space="0"/>
                    <w:right w:val="single" w:color="auto" w:sz="4" w:space="0"/>
                  </w:tcBorders>
                  <w:vAlign w:val="center"/>
                </w:tcPr>
                <w:p w14:paraId="2E1030AB">
                  <w:pPr>
                    <w:jc w:val="center"/>
                    <w:rPr>
                      <w:rFonts w:hint="eastAsia" w:eastAsia="宋体"/>
                      <w:color w:val="auto"/>
                      <w:sz w:val="22"/>
                      <w:szCs w:val="22"/>
                      <w:lang w:val="en-US" w:eastAsia="zh-CN"/>
                    </w:rPr>
                  </w:pPr>
                  <w:r>
                    <w:rPr>
                      <w:rFonts w:hint="eastAsia"/>
                      <w:color w:val="auto"/>
                      <w:sz w:val="22"/>
                      <w:szCs w:val="22"/>
                      <w:lang w:val="en-US" w:eastAsia="zh-CN"/>
                    </w:rPr>
                    <w:t>/</w:t>
                  </w:r>
                </w:p>
              </w:tc>
              <w:tc>
                <w:tcPr>
                  <w:tcW w:w="1155" w:type="dxa"/>
                  <w:tcBorders>
                    <w:top w:val="single" w:color="auto" w:sz="4" w:space="0"/>
                    <w:left w:val="single" w:color="auto" w:sz="4" w:space="0"/>
                    <w:bottom w:val="single" w:color="auto" w:sz="4" w:space="0"/>
                    <w:right w:val="single" w:color="auto" w:sz="4" w:space="0"/>
                  </w:tcBorders>
                  <w:vAlign w:val="center"/>
                </w:tcPr>
                <w:p w14:paraId="35B59CA2">
                  <w:pPr>
                    <w:jc w:val="center"/>
                    <w:rPr>
                      <w:rFonts w:hint="default" w:eastAsia="宋体"/>
                      <w:color w:val="auto"/>
                      <w:sz w:val="22"/>
                      <w:szCs w:val="22"/>
                      <w:highlight w:val="red"/>
                      <w:lang w:val="en-US" w:eastAsia="zh-CN"/>
                    </w:rPr>
                  </w:pPr>
                  <w:r>
                    <w:rPr>
                      <w:rFonts w:hint="eastAsia"/>
                      <w:color w:val="auto"/>
                      <w:sz w:val="22"/>
                      <w:szCs w:val="22"/>
                      <w:highlight w:val="none"/>
                      <w:lang w:val="en-US" w:eastAsia="zh-CN"/>
                    </w:rPr>
                    <w:t>4500</w:t>
                  </w:r>
                  <w:r>
                    <w:rPr>
                      <w:rFonts w:hint="eastAsia"/>
                      <w:color w:val="auto"/>
                      <w:sz w:val="22"/>
                      <w:szCs w:val="22"/>
                    </w:rPr>
                    <w:t>t/a</w:t>
                  </w:r>
                </w:p>
              </w:tc>
              <w:tc>
                <w:tcPr>
                  <w:tcW w:w="1551" w:type="dxa"/>
                  <w:tcBorders>
                    <w:top w:val="single" w:color="auto" w:sz="4" w:space="0"/>
                    <w:left w:val="single" w:color="auto" w:sz="4" w:space="0"/>
                    <w:right w:val="single" w:color="auto" w:sz="4" w:space="0"/>
                  </w:tcBorders>
                  <w:vAlign w:val="center"/>
                </w:tcPr>
                <w:p w14:paraId="1CDDCA4C">
                  <w:pPr>
                    <w:jc w:val="center"/>
                    <w:rPr>
                      <w:color w:val="auto"/>
                      <w:sz w:val="22"/>
                      <w:szCs w:val="22"/>
                    </w:rPr>
                  </w:pPr>
                  <w:r>
                    <w:rPr>
                      <w:rFonts w:hint="eastAsia" w:cs="宋体"/>
                      <w:color w:val="auto"/>
                      <w:sz w:val="22"/>
                      <w:szCs w:val="22"/>
                    </w:rPr>
                    <w:t>回用于生产</w:t>
                  </w:r>
                </w:p>
              </w:tc>
            </w:tr>
            <w:tr w14:paraId="2D5E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55" w:type="dxa"/>
                  <w:tcBorders>
                    <w:top w:val="single" w:color="auto" w:sz="4" w:space="0"/>
                    <w:left w:val="single" w:color="auto" w:sz="4" w:space="0"/>
                    <w:right w:val="single" w:color="auto" w:sz="4" w:space="0"/>
                  </w:tcBorders>
                  <w:vAlign w:val="center"/>
                </w:tcPr>
                <w:p w14:paraId="02A99D74">
                  <w:pPr>
                    <w:jc w:val="center"/>
                    <w:rPr>
                      <w:rFonts w:hint="eastAsia" w:eastAsia="宋体"/>
                      <w:color w:val="auto"/>
                      <w:sz w:val="22"/>
                      <w:szCs w:val="22"/>
                      <w:lang w:val="en-US" w:eastAsia="zh-CN"/>
                    </w:rPr>
                  </w:pPr>
                  <w:r>
                    <w:rPr>
                      <w:rFonts w:hint="eastAsia"/>
                      <w:color w:val="auto"/>
                      <w:sz w:val="22"/>
                      <w:szCs w:val="22"/>
                      <w:lang w:val="en-US" w:eastAsia="zh-CN"/>
                    </w:rPr>
                    <w:t>2</w:t>
                  </w:r>
                </w:p>
              </w:tc>
              <w:tc>
                <w:tcPr>
                  <w:tcW w:w="1411" w:type="dxa"/>
                  <w:tcBorders>
                    <w:top w:val="single" w:color="auto" w:sz="4" w:space="0"/>
                    <w:left w:val="single" w:color="auto" w:sz="4" w:space="0"/>
                    <w:right w:val="single" w:color="auto" w:sz="4" w:space="0"/>
                  </w:tcBorders>
                  <w:vAlign w:val="center"/>
                </w:tcPr>
                <w:p w14:paraId="0EE6DE89">
                  <w:pPr>
                    <w:jc w:val="center"/>
                    <w:rPr>
                      <w:rFonts w:hint="eastAsia" w:ascii="Times New Roman" w:hAnsi="Times New Roman" w:eastAsia="宋体" w:cs="宋体"/>
                      <w:color w:val="auto"/>
                    </w:rPr>
                  </w:pPr>
                  <w:r>
                    <w:rPr>
                      <w:rFonts w:hint="eastAsia" w:ascii="Times New Roman" w:hAnsi="Times New Roman" w:eastAsia="宋体" w:cs="宋体"/>
                      <w:color w:val="auto"/>
                    </w:rPr>
                    <w:t>除尘器收集的粉尘</w:t>
                  </w:r>
                </w:p>
              </w:tc>
              <w:tc>
                <w:tcPr>
                  <w:tcW w:w="1182" w:type="dxa"/>
                  <w:tcBorders>
                    <w:top w:val="single" w:color="auto" w:sz="4" w:space="0"/>
                    <w:left w:val="single" w:color="auto" w:sz="4" w:space="0"/>
                    <w:right w:val="single" w:color="auto" w:sz="4" w:space="0"/>
                  </w:tcBorders>
                  <w:vAlign w:val="center"/>
                </w:tcPr>
                <w:p w14:paraId="738D634C">
                  <w:pPr>
                    <w:jc w:val="center"/>
                    <w:rPr>
                      <w:rFonts w:hint="eastAsia" w:cs="宋体"/>
                      <w:color w:val="auto"/>
                      <w:sz w:val="22"/>
                      <w:szCs w:val="22"/>
                    </w:rPr>
                  </w:pPr>
                  <w:r>
                    <w:rPr>
                      <w:rFonts w:hint="eastAsia" w:cs="宋体"/>
                      <w:color w:val="auto"/>
                      <w:sz w:val="22"/>
                      <w:szCs w:val="22"/>
                    </w:rPr>
                    <w:t>一般固废</w:t>
                  </w:r>
                </w:p>
              </w:tc>
              <w:tc>
                <w:tcPr>
                  <w:tcW w:w="779" w:type="dxa"/>
                  <w:tcBorders>
                    <w:top w:val="single" w:color="auto" w:sz="4" w:space="0"/>
                    <w:left w:val="single" w:color="auto" w:sz="4" w:space="0"/>
                    <w:right w:val="single" w:color="auto" w:sz="4" w:space="0"/>
                  </w:tcBorders>
                  <w:vAlign w:val="center"/>
                </w:tcPr>
                <w:p w14:paraId="6A285A00">
                  <w:pPr>
                    <w:jc w:val="center"/>
                    <w:rPr>
                      <w:rFonts w:hint="eastAsia" w:cs="宋体"/>
                      <w:color w:val="auto"/>
                      <w:sz w:val="22"/>
                      <w:szCs w:val="22"/>
                    </w:rPr>
                  </w:pPr>
                  <w:r>
                    <w:rPr>
                      <w:rFonts w:hint="eastAsia" w:cs="宋体"/>
                      <w:color w:val="auto"/>
                      <w:sz w:val="22"/>
                      <w:szCs w:val="22"/>
                    </w:rPr>
                    <w:t>固态</w:t>
                  </w:r>
                </w:p>
              </w:tc>
              <w:tc>
                <w:tcPr>
                  <w:tcW w:w="1303" w:type="dxa"/>
                  <w:tcBorders>
                    <w:top w:val="single" w:color="auto" w:sz="4" w:space="0"/>
                    <w:left w:val="single" w:color="auto" w:sz="4" w:space="0"/>
                    <w:right w:val="single" w:color="auto" w:sz="4" w:space="0"/>
                  </w:tcBorders>
                  <w:vAlign w:val="center"/>
                </w:tcPr>
                <w:p w14:paraId="4D489E3C">
                  <w:pPr>
                    <w:jc w:val="center"/>
                    <w:rPr>
                      <w:rFonts w:hint="eastAsia"/>
                      <w:color w:val="auto"/>
                      <w:sz w:val="22"/>
                      <w:szCs w:val="22"/>
                    </w:rPr>
                  </w:pPr>
                  <w:r>
                    <w:rPr>
                      <w:rFonts w:hint="eastAsia"/>
                      <w:color w:val="auto"/>
                      <w:sz w:val="22"/>
                      <w:szCs w:val="22"/>
                    </w:rPr>
                    <w:t>900</w:t>
                  </w:r>
                  <w:r>
                    <w:rPr>
                      <w:color w:val="auto"/>
                      <w:sz w:val="22"/>
                      <w:szCs w:val="22"/>
                    </w:rPr>
                    <w:t>-</w:t>
                  </w:r>
                  <w:r>
                    <w:rPr>
                      <w:rFonts w:hint="eastAsia"/>
                      <w:color w:val="auto"/>
                      <w:sz w:val="22"/>
                      <w:szCs w:val="22"/>
                    </w:rPr>
                    <w:t>999</w:t>
                  </w:r>
                  <w:r>
                    <w:rPr>
                      <w:color w:val="auto"/>
                      <w:sz w:val="22"/>
                      <w:szCs w:val="22"/>
                    </w:rPr>
                    <w:t>-</w:t>
                  </w:r>
                  <w:r>
                    <w:rPr>
                      <w:rFonts w:hint="eastAsia"/>
                      <w:color w:val="auto"/>
                      <w:sz w:val="22"/>
                      <w:szCs w:val="22"/>
                    </w:rPr>
                    <w:t>66</w:t>
                  </w:r>
                </w:p>
              </w:tc>
              <w:tc>
                <w:tcPr>
                  <w:tcW w:w="1155" w:type="dxa"/>
                  <w:tcBorders>
                    <w:top w:val="single" w:color="auto" w:sz="4" w:space="0"/>
                    <w:left w:val="single" w:color="auto" w:sz="4" w:space="0"/>
                    <w:bottom w:val="single" w:color="auto" w:sz="4" w:space="0"/>
                    <w:right w:val="single" w:color="auto" w:sz="4" w:space="0"/>
                  </w:tcBorders>
                  <w:vAlign w:val="center"/>
                </w:tcPr>
                <w:p w14:paraId="2D5D80DE">
                  <w:pPr>
                    <w:jc w:val="center"/>
                    <w:rPr>
                      <w:rFonts w:hint="eastAsia"/>
                      <w:color w:val="auto"/>
                      <w:sz w:val="22"/>
                      <w:szCs w:val="22"/>
                    </w:rPr>
                  </w:pPr>
                  <w:r>
                    <w:rPr>
                      <w:rFonts w:hint="eastAsia"/>
                      <w:color w:val="auto"/>
                      <w:sz w:val="22"/>
                      <w:szCs w:val="22"/>
                      <w:lang w:val="en-US" w:eastAsia="zh-CN"/>
                    </w:rPr>
                    <w:t>68</w:t>
                  </w:r>
                  <w:r>
                    <w:rPr>
                      <w:rFonts w:hint="eastAsia"/>
                      <w:color w:val="auto"/>
                      <w:sz w:val="22"/>
                      <w:szCs w:val="22"/>
                    </w:rPr>
                    <w:t>t/a</w:t>
                  </w:r>
                </w:p>
              </w:tc>
              <w:tc>
                <w:tcPr>
                  <w:tcW w:w="1551" w:type="dxa"/>
                  <w:tcBorders>
                    <w:top w:val="single" w:color="auto" w:sz="4" w:space="0"/>
                    <w:left w:val="single" w:color="auto" w:sz="4" w:space="0"/>
                    <w:right w:val="single" w:color="auto" w:sz="4" w:space="0"/>
                  </w:tcBorders>
                  <w:vAlign w:val="center"/>
                </w:tcPr>
                <w:p w14:paraId="5561EE32">
                  <w:pPr>
                    <w:jc w:val="center"/>
                    <w:rPr>
                      <w:rFonts w:hint="eastAsia" w:cs="宋体"/>
                      <w:color w:val="auto"/>
                      <w:sz w:val="22"/>
                      <w:szCs w:val="22"/>
                    </w:rPr>
                  </w:pPr>
                  <w:r>
                    <w:rPr>
                      <w:rFonts w:hint="eastAsia" w:cs="宋体"/>
                      <w:color w:val="auto"/>
                      <w:sz w:val="22"/>
                      <w:szCs w:val="22"/>
                    </w:rPr>
                    <w:t>回用于生产</w:t>
                  </w:r>
                </w:p>
              </w:tc>
            </w:tr>
            <w:tr w14:paraId="72B2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55" w:type="dxa"/>
                  <w:tcBorders>
                    <w:top w:val="single" w:color="auto" w:sz="4" w:space="0"/>
                    <w:left w:val="single" w:color="auto" w:sz="4" w:space="0"/>
                    <w:right w:val="single" w:color="auto" w:sz="4" w:space="0"/>
                  </w:tcBorders>
                  <w:vAlign w:val="center"/>
                </w:tcPr>
                <w:p w14:paraId="068A96C4">
                  <w:pPr>
                    <w:jc w:val="center"/>
                    <w:rPr>
                      <w:rFonts w:hint="eastAsia" w:eastAsia="宋体"/>
                      <w:color w:val="auto"/>
                      <w:sz w:val="22"/>
                      <w:szCs w:val="22"/>
                      <w:lang w:val="en-US" w:eastAsia="zh-CN"/>
                    </w:rPr>
                  </w:pPr>
                  <w:r>
                    <w:rPr>
                      <w:rFonts w:hint="eastAsia"/>
                      <w:color w:val="auto"/>
                      <w:sz w:val="22"/>
                      <w:szCs w:val="22"/>
                      <w:lang w:val="en-US" w:eastAsia="zh-CN"/>
                    </w:rPr>
                    <w:t>3</w:t>
                  </w:r>
                </w:p>
              </w:tc>
              <w:tc>
                <w:tcPr>
                  <w:tcW w:w="1411" w:type="dxa"/>
                  <w:tcBorders>
                    <w:top w:val="single" w:color="auto" w:sz="4" w:space="0"/>
                    <w:left w:val="single" w:color="auto" w:sz="4" w:space="0"/>
                    <w:right w:val="single" w:color="auto" w:sz="4" w:space="0"/>
                  </w:tcBorders>
                  <w:vAlign w:val="center"/>
                </w:tcPr>
                <w:p w14:paraId="31B4B6CB">
                  <w:pPr>
                    <w:jc w:val="center"/>
                    <w:rPr>
                      <w:rFonts w:hint="eastAsia" w:ascii="Times New Roman" w:hAnsi="Times New Roman" w:eastAsia="宋体" w:cs="宋体"/>
                      <w:color w:val="auto"/>
                      <w:lang w:eastAsia="zh-CN"/>
                    </w:rPr>
                  </w:pPr>
                  <w:r>
                    <w:rPr>
                      <w:rFonts w:hint="eastAsia" w:cs="宋体"/>
                      <w:color w:val="auto"/>
                      <w:lang w:eastAsia="zh-CN"/>
                    </w:rPr>
                    <w:t>脱硫脱硝</w:t>
                  </w:r>
                  <w:r>
                    <w:rPr>
                      <w:rFonts w:hint="eastAsia" w:cs="宋体"/>
                      <w:color w:val="auto"/>
                      <w:lang w:eastAsia="zh-CN"/>
                    </w:rPr>
                    <w:br w:type="textWrapping"/>
                  </w:r>
                  <w:r>
                    <w:rPr>
                      <w:rFonts w:hint="eastAsia" w:cs="宋体"/>
                      <w:color w:val="auto"/>
                      <w:lang w:eastAsia="zh-CN"/>
                    </w:rPr>
                    <w:t>废渣</w:t>
                  </w:r>
                </w:p>
              </w:tc>
              <w:tc>
                <w:tcPr>
                  <w:tcW w:w="1182" w:type="dxa"/>
                  <w:tcBorders>
                    <w:top w:val="single" w:color="auto" w:sz="4" w:space="0"/>
                    <w:left w:val="single" w:color="auto" w:sz="4" w:space="0"/>
                    <w:right w:val="single" w:color="auto" w:sz="4" w:space="0"/>
                  </w:tcBorders>
                  <w:vAlign w:val="center"/>
                </w:tcPr>
                <w:p w14:paraId="1D02B9CC">
                  <w:pPr>
                    <w:jc w:val="center"/>
                    <w:rPr>
                      <w:rFonts w:hint="eastAsia" w:cs="宋体"/>
                      <w:color w:val="auto"/>
                      <w:sz w:val="22"/>
                      <w:szCs w:val="22"/>
                    </w:rPr>
                  </w:pPr>
                  <w:r>
                    <w:rPr>
                      <w:rFonts w:hint="eastAsia" w:cs="宋体"/>
                      <w:color w:val="auto"/>
                      <w:sz w:val="22"/>
                      <w:szCs w:val="22"/>
                    </w:rPr>
                    <w:t>一般固废</w:t>
                  </w:r>
                </w:p>
              </w:tc>
              <w:tc>
                <w:tcPr>
                  <w:tcW w:w="779" w:type="dxa"/>
                  <w:tcBorders>
                    <w:top w:val="single" w:color="auto" w:sz="4" w:space="0"/>
                    <w:left w:val="single" w:color="auto" w:sz="4" w:space="0"/>
                    <w:right w:val="single" w:color="auto" w:sz="4" w:space="0"/>
                  </w:tcBorders>
                  <w:vAlign w:val="center"/>
                </w:tcPr>
                <w:p w14:paraId="1A3F37E0">
                  <w:pPr>
                    <w:jc w:val="center"/>
                    <w:rPr>
                      <w:rFonts w:hint="eastAsia" w:cs="宋体"/>
                      <w:color w:val="auto"/>
                      <w:sz w:val="22"/>
                      <w:szCs w:val="22"/>
                    </w:rPr>
                  </w:pPr>
                  <w:r>
                    <w:rPr>
                      <w:rFonts w:hint="eastAsia" w:cs="宋体"/>
                      <w:color w:val="auto"/>
                      <w:sz w:val="22"/>
                      <w:szCs w:val="22"/>
                    </w:rPr>
                    <w:t>固态</w:t>
                  </w:r>
                </w:p>
              </w:tc>
              <w:tc>
                <w:tcPr>
                  <w:tcW w:w="1303" w:type="dxa"/>
                  <w:tcBorders>
                    <w:top w:val="single" w:color="auto" w:sz="4" w:space="0"/>
                    <w:left w:val="single" w:color="auto" w:sz="4" w:space="0"/>
                    <w:right w:val="single" w:color="auto" w:sz="4" w:space="0"/>
                  </w:tcBorders>
                  <w:vAlign w:val="center"/>
                </w:tcPr>
                <w:p w14:paraId="7DC7CDC1">
                  <w:pPr>
                    <w:jc w:val="center"/>
                    <w:rPr>
                      <w:rFonts w:hint="eastAsia" w:eastAsia="宋体"/>
                      <w:color w:val="auto"/>
                      <w:sz w:val="22"/>
                      <w:szCs w:val="22"/>
                      <w:lang w:val="en-US" w:eastAsia="zh-CN"/>
                    </w:rPr>
                  </w:pPr>
                  <w:r>
                    <w:rPr>
                      <w:rFonts w:hint="eastAsia"/>
                      <w:color w:val="auto"/>
                      <w:sz w:val="22"/>
                      <w:szCs w:val="22"/>
                      <w:lang w:val="en-US" w:eastAsia="zh-CN"/>
                    </w:rPr>
                    <w:t>/</w:t>
                  </w:r>
                </w:p>
              </w:tc>
              <w:tc>
                <w:tcPr>
                  <w:tcW w:w="1155" w:type="dxa"/>
                  <w:tcBorders>
                    <w:top w:val="single" w:color="auto" w:sz="4" w:space="0"/>
                    <w:left w:val="single" w:color="auto" w:sz="4" w:space="0"/>
                    <w:bottom w:val="single" w:color="auto" w:sz="4" w:space="0"/>
                    <w:right w:val="single" w:color="auto" w:sz="4" w:space="0"/>
                  </w:tcBorders>
                  <w:vAlign w:val="center"/>
                </w:tcPr>
                <w:p w14:paraId="24F316A7">
                  <w:pPr>
                    <w:jc w:val="center"/>
                    <w:rPr>
                      <w:rFonts w:hint="eastAsia"/>
                      <w:color w:val="auto"/>
                      <w:sz w:val="22"/>
                      <w:szCs w:val="22"/>
                    </w:rPr>
                  </w:pPr>
                  <w:r>
                    <w:rPr>
                      <w:rFonts w:hint="eastAsia"/>
                      <w:color w:val="auto"/>
                      <w:sz w:val="22"/>
                      <w:szCs w:val="22"/>
                      <w:highlight w:val="none"/>
                      <w:lang w:val="en-US" w:eastAsia="zh-CN"/>
                    </w:rPr>
                    <w:t>450</w:t>
                  </w:r>
                  <w:r>
                    <w:rPr>
                      <w:rFonts w:hint="eastAsia"/>
                      <w:color w:val="auto"/>
                      <w:sz w:val="22"/>
                      <w:szCs w:val="22"/>
                    </w:rPr>
                    <w:t>t/a</w:t>
                  </w:r>
                </w:p>
              </w:tc>
              <w:tc>
                <w:tcPr>
                  <w:tcW w:w="1551" w:type="dxa"/>
                  <w:tcBorders>
                    <w:top w:val="single" w:color="auto" w:sz="4" w:space="0"/>
                    <w:left w:val="single" w:color="auto" w:sz="4" w:space="0"/>
                    <w:right w:val="single" w:color="auto" w:sz="4" w:space="0"/>
                  </w:tcBorders>
                  <w:vAlign w:val="center"/>
                </w:tcPr>
                <w:p w14:paraId="3CDDAA07">
                  <w:pPr>
                    <w:jc w:val="center"/>
                    <w:rPr>
                      <w:rFonts w:hint="default" w:eastAsia="宋体" w:cs="宋体"/>
                      <w:color w:val="auto"/>
                      <w:sz w:val="22"/>
                      <w:szCs w:val="22"/>
                      <w:lang w:val="en-US" w:eastAsia="zh-CN"/>
                    </w:rPr>
                  </w:pPr>
                  <w:r>
                    <w:rPr>
                      <w:rFonts w:hint="eastAsia" w:cs="宋体"/>
                      <w:color w:val="auto"/>
                      <w:sz w:val="22"/>
                      <w:szCs w:val="22"/>
                    </w:rPr>
                    <w:t>回用于生产</w:t>
                  </w:r>
                </w:p>
              </w:tc>
            </w:tr>
            <w:tr w14:paraId="3249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55" w:type="dxa"/>
                  <w:tcBorders>
                    <w:top w:val="single" w:color="auto" w:sz="4" w:space="0"/>
                    <w:left w:val="single" w:color="auto" w:sz="4" w:space="0"/>
                    <w:right w:val="single" w:color="auto" w:sz="4" w:space="0"/>
                  </w:tcBorders>
                  <w:vAlign w:val="center"/>
                </w:tcPr>
                <w:p w14:paraId="05A0465F">
                  <w:pPr>
                    <w:jc w:val="center"/>
                    <w:rPr>
                      <w:rFonts w:hint="eastAsia" w:eastAsia="宋体"/>
                      <w:color w:val="auto"/>
                      <w:sz w:val="22"/>
                      <w:szCs w:val="22"/>
                      <w:lang w:val="en-US" w:eastAsia="zh-CN"/>
                    </w:rPr>
                  </w:pPr>
                  <w:r>
                    <w:rPr>
                      <w:rFonts w:hint="eastAsia"/>
                      <w:color w:val="auto"/>
                      <w:sz w:val="22"/>
                      <w:szCs w:val="22"/>
                      <w:lang w:val="en-US" w:eastAsia="zh-CN"/>
                    </w:rPr>
                    <w:t>4</w:t>
                  </w:r>
                </w:p>
              </w:tc>
              <w:tc>
                <w:tcPr>
                  <w:tcW w:w="1411" w:type="dxa"/>
                  <w:tcBorders>
                    <w:top w:val="single" w:color="auto" w:sz="4" w:space="0"/>
                    <w:left w:val="single" w:color="auto" w:sz="4" w:space="0"/>
                    <w:right w:val="single" w:color="auto" w:sz="4" w:space="0"/>
                  </w:tcBorders>
                  <w:vAlign w:val="center"/>
                </w:tcPr>
                <w:p w14:paraId="1262BF73">
                  <w:pPr>
                    <w:jc w:val="cente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不合格产品</w:t>
                  </w:r>
                </w:p>
              </w:tc>
              <w:tc>
                <w:tcPr>
                  <w:tcW w:w="1182" w:type="dxa"/>
                  <w:tcBorders>
                    <w:top w:val="single" w:color="auto" w:sz="4" w:space="0"/>
                    <w:left w:val="single" w:color="auto" w:sz="4" w:space="0"/>
                    <w:right w:val="single" w:color="auto" w:sz="4" w:space="0"/>
                  </w:tcBorders>
                  <w:vAlign w:val="center"/>
                </w:tcPr>
                <w:p w14:paraId="07617293">
                  <w:pPr>
                    <w:jc w:val="center"/>
                    <w:rPr>
                      <w:rFonts w:hint="eastAsia" w:cs="宋体"/>
                      <w:color w:val="auto"/>
                      <w:sz w:val="22"/>
                      <w:szCs w:val="22"/>
                    </w:rPr>
                  </w:pPr>
                  <w:r>
                    <w:rPr>
                      <w:rFonts w:hint="eastAsia" w:cs="宋体"/>
                      <w:color w:val="auto"/>
                      <w:sz w:val="22"/>
                      <w:szCs w:val="22"/>
                    </w:rPr>
                    <w:t>一般固废</w:t>
                  </w:r>
                </w:p>
              </w:tc>
              <w:tc>
                <w:tcPr>
                  <w:tcW w:w="779" w:type="dxa"/>
                  <w:tcBorders>
                    <w:top w:val="single" w:color="auto" w:sz="4" w:space="0"/>
                    <w:left w:val="single" w:color="auto" w:sz="4" w:space="0"/>
                    <w:right w:val="single" w:color="auto" w:sz="4" w:space="0"/>
                  </w:tcBorders>
                  <w:vAlign w:val="center"/>
                </w:tcPr>
                <w:p w14:paraId="465DC4DA">
                  <w:pPr>
                    <w:jc w:val="center"/>
                    <w:rPr>
                      <w:rFonts w:hint="eastAsia" w:cs="宋体"/>
                      <w:color w:val="auto"/>
                      <w:sz w:val="22"/>
                      <w:szCs w:val="22"/>
                    </w:rPr>
                  </w:pPr>
                  <w:r>
                    <w:rPr>
                      <w:rFonts w:hint="eastAsia" w:cs="宋体"/>
                      <w:color w:val="auto"/>
                      <w:sz w:val="22"/>
                      <w:szCs w:val="22"/>
                    </w:rPr>
                    <w:t>固态</w:t>
                  </w:r>
                </w:p>
              </w:tc>
              <w:tc>
                <w:tcPr>
                  <w:tcW w:w="1303" w:type="dxa"/>
                  <w:tcBorders>
                    <w:top w:val="single" w:color="auto" w:sz="4" w:space="0"/>
                    <w:left w:val="single" w:color="auto" w:sz="4" w:space="0"/>
                    <w:right w:val="single" w:color="auto" w:sz="4" w:space="0"/>
                  </w:tcBorders>
                  <w:vAlign w:val="center"/>
                </w:tcPr>
                <w:p w14:paraId="09DEE5C5">
                  <w:pPr>
                    <w:jc w:val="center"/>
                    <w:rPr>
                      <w:rFonts w:hint="eastAsia" w:eastAsia="宋体"/>
                      <w:color w:val="auto"/>
                      <w:sz w:val="22"/>
                      <w:szCs w:val="22"/>
                      <w:lang w:val="en-US" w:eastAsia="zh-CN"/>
                    </w:rPr>
                  </w:pPr>
                  <w:r>
                    <w:rPr>
                      <w:rFonts w:hint="eastAsia"/>
                      <w:color w:val="auto"/>
                      <w:sz w:val="22"/>
                      <w:szCs w:val="22"/>
                      <w:lang w:val="en-US" w:eastAsia="zh-CN"/>
                    </w:rPr>
                    <w:t>/</w:t>
                  </w:r>
                </w:p>
              </w:tc>
              <w:tc>
                <w:tcPr>
                  <w:tcW w:w="1155" w:type="dxa"/>
                  <w:tcBorders>
                    <w:top w:val="single" w:color="auto" w:sz="4" w:space="0"/>
                    <w:left w:val="single" w:color="auto" w:sz="4" w:space="0"/>
                    <w:bottom w:val="single" w:color="auto" w:sz="4" w:space="0"/>
                    <w:right w:val="single" w:color="auto" w:sz="4" w:space="0"/>
                  </w:tcBorders>
                  <w:vAlign w:val="center"/>
                </w:tcPr>
                <w:p w14:paraId="019DA932">
                  <w:pPr>
                    <w:jc w:val="center"/>
                    <w:rPr>
                      <w:rFonts w:hint="eastAsia"/>
                      <w:color w:val="auto"/>
                      <w:sz w:val="22"/>
                      <w:szCs w:val="22"/>
                    </w:rPr>
                  </w:pPr>
                  <w:r>
                    <w:rPr>
                      <w:rFonts w:hint="eastAsia"/>
                      <w:color w:val="auto"/>
                      <w:sz w:val="22"/>
                      <w:szCs w:val="22"/>
                      <w:highlight w:val="none"/>
                      <w:lang w:val="en-US" w:eastAsia="zh-CN"/>
                    </w:rPr>
                    <w:t>550</w:t>
                  </w:r>
                  <w:r>
                    <w:rPr>
                      <w:rFonts w:hint="eastAsia"/>
                      <w:color w:val="auto"/>
                      <w:sz w:val="22"/>
                      <w:szCs w:val="22"/>
                    </w:rPr>
                    <w:t>t/a</w:t>
                  </w:r>
                </w:p>
              </w:tc>
              <w:tc>
                <w:tcPr>
                  <w:tcW w:w="1551" w:type="dxa"/>
                  <w:tcBorders>
                    <w:top w:val="single" w:color="auto" w:sz="4" w:space="0"/>
                    <w:left w:val="single" w:color="auto" w:sz="4" w:space="0"/>
                    <w:right w:val="single" w:color="auto" w:sz="4" w:space="0"/>
                  </w:tcBorders>
                  <w:vAlign w:val="center"/>
                </w:tcPr>
                <w:p w14:paraId="1835428D">
                  <w:pPr>
                    <w:jc w:val="center"/>
                    <w:rPr>
                      <w:rFonts w:hint="eastAsia" w:cs="宋体"/>
                      <w:color w:val="auto"/>
                      <w:sz w:val="22"/>
                      <w:szCs w:val="22"/>
                    </w:rPr>
                  </w:pPr>
                  <w:r>
                    <w:rPr>
                      <w:rFonts w:hint="eastAsia" w:cs="宋体"/>
                      <w:color w:val="auto"/>
                      <w:sz w:val="22"/>
                      <w:szCs w:val="22"/>
                    </w:rPr>
                    <w:t>回用于生产</w:t>
                  </w:r>
                </w:p>
              </w:tc>
            </w:tr>
            <w:tr w14:paraId="3121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4A1C1C06">
                  <w:pPr>
                    <w:jc w:val="center"/>
                    <w:rPr>
                      <w:rFonts w:hint="eastAsia" w:eastAsia="宋体"/>
                      <w:color w:val="auto"/>
                      <w:sz w:val="22"/>
                      <w:szCs w:val="22"/>
                      <w:lang w:eastAsia="zh-CN"/>
                    </w:rPr>
                  </w:pPr>
                  <w:r>
                    <w:rPr>
                      <w:rFonts w:hint="eastAsia"/>
                      <w:color w:val="auto"/>
                      <w:sz w:val="22"/>
                      <w:szCs w:val="22"/>
                      <w:lang w:val="en-US" w:eastAsia="zh-CN"/>
                    </w:rPr>
                    <w:t>5</w:t>
                  </w:r>
                </w:p>
              </w:tc>
              <w:tc>
                <w:tcPr>
                  <w:tcW w:w="1411" w:type="dxa"/>
                  <w:tcBorders>
                    <w:top w:val="single" w:color="auto" w:sz="4" w:space="0"/>
                    <w:left w:val="single" w:color="auto" w:sz="4" w:space="0"/>
                    <w:bottom w:val="single" w:color="auto" w:sz="4" w:space="0"/>
                    <w:right w:val="single" w:color="auto" w:sz="4" w:space="0"/>
                  </w:tcBorders>
                  <w:vAlign w:val="center"/>
                </w:tcPr>
                <w:p w14:paraId="3EE74322">
                  <w:pPr>
                    <w:jc w:val="center"/>
                    <w:rPr>
                      <w:rFonts w:hint="eastAsia" w:ascii="Times New Roman" w:hAnsi="Times New Roman" w:eastAsia="宋体" w:cs="宋体"/>
                      <w:color w:val="auto"/>
                    </w:rPr>
                  </w:pPr>
                  <w:r>
                    <w:rPr>
                      <w:rFonts w:hint="eastAsia" w:ascii="Times New Roman" w:hAnsi="Times New Roman" w:eastAsia="宋体" w:cs="宋体"/>
                      <w:color w:val="auto"/>
                    </w:rPr>
                    <w:t>生活垃圾</w:t>
                  </w:r>
                </w:p>
              </w:tc>
              <w:tc>
                <w:tcPr>
                  <w:tcW w:w="1182" w:type="dxa"/>
                  <w:tcBorders>
                    <w:top w:val="single" w:color="auto" w:sz="4" w:space="0"/>
                    <w:left w:val="single" w:color="auto" w:sz="4" w:space="0"/>
                    <w:bottom w:val="single" w:color="auto" w:sz="4" w:space="0"/>
                    <w:right w:val="single" w:color="auto" w:sz="4" w:space="0"/>
                  </w:tcBorders>
                  <w:vAlign w:val="center"/>
                </w:tcPr>
                <w:p w14:paraId="6AD5F138">
                  <w:pPr>
                    <w:jc w:val="center"/>
                    <w:rPr>
                      <w:color w:val="auto"/>
                      <w:sz w:val="22"/>
                      <w:szCs w:val="22"/>
                    </w:rPr>
                  </w:pPr>
                  <w:r>
                    <w:rPr>
                      <w:color w:val="auto"/>
                      <w:sz w:val="22"/>
                      <w:szCs w:val="22"/>
                    </w:rPr>
                    <w:t>/</w:t>
                  </w:r>
                </w:p>
              </w:tc>
              <w:tc>
                <w:tcPr>
                  <w:tcW w:w="779" w:type="dxa"/>
                  <w:tcBorders>
                    <w:top w:val="single" w:color="auto" w:sz="4" w:space="0"/>
                    <w:left w:val="single" w:color="auto" w:sz="4" w:space="0"/>
                    <w:bottom w:val="single" w:color="auto" w:sz="4" w:space="0"/>
                    <w:right w:val="single" w:color="auto" w:sz="4" w:space="0"/>
                  </w:tcBorders>
                  <w:vAlign w:val="center"/>
                </w:tcPr>
                <w:p w14:paraId="31248132">
                  <w:pPr>
                    <w:jc w:val="center"/>
                    <w:rPr>
                      <w:color w:val="auto"/>
                      <w:sz w:val="22"/>
                      <w:szCs w:val="22"/>
                    </w:rPr>
                  </w:pPr>
                  <w:r>
                    <w:rPr>
                      <w:rFonts w:hint="eastAsia" w:cs="宋体"/>
                      <w:color w:val="auto"/>
                      <w:sz w:val="22"/>
                      <w:szCs w:val="22"/>
                    </w:rPr>
                    <w:t>固态</w:t>
                  </w:r>
                </w:p>
              </w:tc>
              <w:tc>
                <w:tcPr>
                  <w:tcW w:w="1303" w:type="dxa"/>
                  <w:tcBorders>
                    <w:top w:val="single" w:color="auto" w:sz="4" w:space="0"/>
                    <w:left w:val="single" w:color="auto" w:sz="4" w:space="0"/>
                    <w:bottom w:val="single" w:color="auto" w:sz="4" w:space="0"/>
                    <w:right w:val="single" w:color="auto" w:sz="4" w:space="0"/>
                  </w:tcBorders>
                  <w:vAlign w:val="center"/>
                </w:tcPr>
                <w:p w14:paraId="490306FE">
                  <w:pPr>
                    <w:jc w:val="center"/>
                    <w:rPr>
                      <w:color w:val="auto"/>
                    </w:rPr>
                  </w:pPr>
                  <w:r>
                    <w:rPr>
                      <w:color w:val="auto"/>
                      <w:sz w:val="22"/>
                      <w:szCs w:val="22"/>
                    </w:rPr>
                    <w:t>/</w:t>
                  </w:r>
                </w:p>
              </w:tc>
              <w:tc>
                <w:tcPr>
                  <w:tcW w:w="1155" w:type="dxa"/>
                  <w:tcBorders>
                    <w:top w:val="single" w:color="auto" w:sz="4" w:space="0"/>
                    <w:left w:val="single" w:color="auto" w:sz="4" w:space="0"/>
                    <w:bottom w:val="single" w:color="auto" w:sz="4" w:space="0"/>
                    <w:right w:val="single" w:color="auto" w:sz="4" w:space="0"/>
                  </w:tcBorders>
                  <w:vAlign w:val="center"/>
                </w:tcPr>
                <w:p w14:paraId="2D4FC5A9">
                  <w:pPr>
                    <w:jc w:val="center"/>
                    <w:rPr>
                      <w:color w:val="auto"/>
                      <w:sz w:val="22"/>
                      <w:szCs w:val="22"/>
                      <w:highlight w:val="red"/>
                    </w:rPr>
                  </w:pPr>
                  <w:r>
                    <w:rPr>
                      <w:rFonts w:hint="eastAsia"/>
                      <w:color w:val="auto"/>
                      <w:sz w:val="22"/>
                      <w:szCs w:val="22"/>
                      <w:lang w:val="en-US" w:eastAsia="zh-CN"/>
                    </w:rPr>
                    <w:t>5.76</w:t>
                  </w:r>
                  <w:r>
                    <w:rPr>
                      <w:rFonts w:hint="eastAsia"/>
                      <w:color w:val="auto"/>
                      <w:sz w:val="22"/>
                      <w:szCs w:val="22"/>
                    </w:rPr>
                    <w:t>t/a</w:t>
                  </w:r>
                </w:p>
              </w:tc>
              <w:tc>
                <w:tcPr>
                  <w:tcW w:w="1551" w:type="dxa"/>
                  <w:tcBorders>
                    <w:left w:val="single" w:color="auto" w:sz="4" w:space="0"/>
                    <w:bottom w:val="single" w:color="auto" w:sz="4" w:space="0"/>
                    <w:right w:val="single" w:color="auto" w:sz="4" w:space="0"/>
                  </w:tcBorders>
                  <w:vAlign w:val="center"/>
                </w:tcPr>
                <w:p w14:paraId="36BF3452">
                  <w:pPr>
                    <w:jc w:val="center"/>
                    <w:rPr>
                      <w:rFonts w:cs="宋体"/>
                      <w:color w:val="auto"/>
                      <w:sz w:val="22"/>
                      <w:szCs w:val="22"/>
                    </w:rPr>
                  </w:pPr>
                  <w:r>
                    <w:rPr>
                      <w:rFonts w:hint="eastAsia" w:cs="宋体"/>
                      <w:color w:val="auto"/>
                      <w:sz w:val="22"/>
                      <w:szCs w:val="22"/>
                    </w:rPr>
                    <w:t>环卫部门定期清运</w:t>
                  </w:r>
                </w:p>
              </w:tc>
            </w:tr>
          </w:tbl>
          <w:p w14:paraId="0F3CC456">
            <w:pPr>
              <w:spacing w:before="240" w:beforeLines="100" w:line="360" w:lineRule="auto"/>
              <w:ind w:firstLine="480" w:firstLineChars="200"/>
              <w:rPr>
                <w:color w:val="auto"/>
                <w:sz w:val="24"/>
                <w:szCs w:val="24"/>
              </w:rPr>
            </w:pPr>
            <w:r>
              <w:rPr>
                <w:rFonts w:hint="eastAsia" w:cs="宋体"/>
                <w:color w:val="auto"/>
                <w:sz w:val="24"/>
                <w:szCs w:val="24"/>
              </w:rPr>
              <w:t>综上</w:t>
            </w:r>
            <w:r>
              <w:rPr>
                <w:rFonts w:hint="eastAsia" w:cs="宋体"/>
                <w:color w:val="auto"/>
                <w:sz w:val="24"/>
                <w:szCs w:val="24"/>
                <w:lang w:eastAsia="zh-CN"/>
              </w:rPr>
              <w:t>，</w:t>
            </w:r>
            <w:r>
              <w:rPr>
                <w:rFonts w:hint="eastAsia" w:cs="宋体"/>
                <w:color w:val="auto"/>
                <w:sz w:val="24"/>
                <w:szCs w:val="24"/>
              </w:rPr>
              <w:t>本项目产生的各种固体废物通过分类放置、分类处置</w:t>
            </w:r>
            <w:r>
              <w:rPr>
                <w:rFonts w:hint="eastAsia" w:cs="宋体"/>
                <w:color w:val="auto"/>
                <w:sz w:val="24"/>
                <w:szCs w:val="24"/>
                <w:lang w:eastAsia="zh-CN"/>
              </w:rPr>
              <w:t>，</w:t>
            </w:r>
            <w:r>
              <w:rPr>
                <w:rFonts w:hint="eastAsia" w:cs="宋体"/>
                <w:color w:val="auto"/>
                <w:sz w:val="24"/>
                <w:szCs w:val="24"/>
              </w:rPr>
              <w:t>不会对周围环境造成不利影响。</w:t>
            </w:r>
          </w:p>
          <w:p w14:paraId="3815E9FB">
            <w:pPr>
              <w:spacing w:line="360" w:lineRule="auto"/>
              <w:ind w:firstLine="482" w:firstLineChars="200"/>
              <w:rPr>
                <w:b/>
                <w:bCs/>
                <w:color w:val="auto"/>
                <w:sz w:val="24"/>
                <w:szCs w:val="24"/>
              </w:rPr>
            </w:pPr>
            <w:r>
              <w:rPr>
                <w:b/>
                <w:bCs/>
                <w:color w:val="auto"/>
                <w:sz w:val="24"/>
                <w:szCs w:val="24"/>
              </w:rPr>
              <w:t>5</w:t>
            </w:r>
            <w:r>
              <w:rPr>
                <w:rFonts w:hint="eastAsia"/>
                <w:b/>
                <w:bCs/>
                <w:color w:val="auto"/>
                <w:sz w:val="24"/>
                <w:szCs w:val="24"/>
              </w:rPr>
              <w:t xml:space="preserve"> </w:t>
            </w:r>
            <w:r>
              <w:rPr>
                <w:rFonts w:hint="eastAsia" w:cs="宋体"/>
                <w:b/>
                <w:bCs/>
                <w:color w:val="auto"/>
                <w:sz w:val="24"/>
                <w:szCs w:val="24"/>
              </w:rPr>
              <w:t>地下水、土壤环境影响及保护措施</w:t>
            </w:r>
          </w:p>
          <w:p w14:paraId="2054A69E">
            <w:pPr>
              <w:spacing w:line="360" w:lineRule="auto"/>
              <w:ind w:firstLine="480" w:firstLineChars="200"/>
              <w:rPr>
                <w:color w:val="auto"/>
                <w:sz w:val="24"/>
                <w:szCs w:val="24"/>
              </w:rPr>
            </w:pPr>
            <w:r>
              <w:rPr>
                <w:rFonts w:hint="eastAsia" w:cs="宋体"/>
                <w:color w:val="auto"/>
                <w:sz w:val="24"/>
                <w:szCs w:val="24"/>
              </w:rPr>
              <w:t>本项目不开采利用地下水</w:t>
            </w:r>
            <w:r>
              <w:rPr>
                <w:rFonts w:hint="eastAsia" w:cs="宋体"/>
                <w:color w:val="auto"/>
                <w:sz w:val="24"/>
                <w:szCs w:val="24"/>
                <w:lang w:eastAsia="zh-CN"/>
              </w:rPr>
              <w:t>，</w:t>
            </w:r>
            <w:r>
              <w:rPr>
                <w:rFonts w:hint="eastAsia" w:cs="宋体"/>
                <w:color w:val="auto"/>
                <w:sz w:val="24"/>
                <w:szCs w:val="24"/>
              </w:rPr>
              <w:t>无地下构筑物</w:t>
            </w:r>
            <w:r>
              <w:rPr>
                <w:rFonts w:hint="eastAsia" w:cs="宋体"/>
                <w:color w:val="auto"/>
                <w:sz w:val="24"/>
                <w:szCs w:val="24"/>
                <w:lang w:eastAsia="zh-CN"/>
              </w:rPr>
              <w:t>，</w:t>
            </w:r>
            <w:r>
              <w:rPr>
                <w:rFonts w:hint="eastAsia" w:cs="宋体"/>
                <w:color w:val="auto"/>
                <w:sz w:val="24"/>
                <w:szCs w:val="24"/>
              </w:rPr>
              <w:t>项目建设和运营过程不会引起地下水流场或地下水位变化</w:t>
            </w:r>
            <w:r>
              <w:rPr>
                <w:rFonts w:hint="eastAsia" w:cs="宋体"/>
                <w:color w:val="auto"/>
                <w:sz w:val="24"/>
                <w:szCs w:val="24"/>
                <w:lang w:eastAsia="zh-CN"/>
              </w:rPr>
              <w:t>，</w:t>
            </w:r>
            <w:r>
              <w:rPr>
                <w:rFonts w:hint="eastAsia" w:cs="宋体"/>
                <w:color w:val="auto"/>
                <w:sz w:val="24"/>
                <w:szCs w:val="24"/>
              </w:rPr>
              <w:t>不会导致新的环境水文地质问题的产生。厂区地面采用水泥硬地化处理</w:t>
            </w:r>
            <w:r>
              <w:rPr>
                <w:rFonts w:hint="eastAsia" w:cs="宋体"/>
                <w:color w:val="auto"/>
                <w:sz w:val="24"/>
                <w:szCs w:val="24"/>
                <w:lang w:eastAsia="zh-CN"/>
              </w:rPr>
              <w:t>，</w:t>
            </w:r>
            <w:r>
              <w:rPr>
                <w:rFonts w:hint="eastAsia" w:cs="宋体"/>
                <w:color w:val="auto"/>
                <w:sz w:val="24"/>
                <w:szCs w:val="24"/>
              </w:rPr>
              <w:t>防止渗漏的产生。项目排放的废气污染物不涉及土壤污染因子。因此</w:t>
            </w:r>
            <w:r>
              <w:rPr>
                <w:rFonts w:hint="eastAsia" w:cs="宋体"/>
                <w:color w:val="auto"/>
                <w:sz w:val="24"/>
                <w:szCs w:val="24"/>
                <w:lang w:eastAsia="zh-CN"/>
              </w:rPr>
              <w:t>，</w:t>
            </w:r>
            <w:r>
              <w:rPr>
                <w:rFonts w:hint="eastAsia" w:cs="宋体"/>
                <w:color w:val="auto"/>
                <w:sz w:val="24"/>
                <w:szCs w:val="24"/>
              </w:rPr>
              <w:t>本项目的建设不会对地下水及土壤环境产生影响。</w:t>
            </w:r>
          </w:p>
          <w:p w14:paraId="45BB592E">
            <w:pPr>
              <w:spacing w:line="360" w:lineRule="auto"/>
              <w:ind w:firstLine="480" w:firstLineChars="200"/>
              <w:rPr>
                <w:rFonts w:hint="eastAsia" w:cs="宋体"/>
                <w:color w:val="auto"/>
                <w:sz w:val="24"/>
                <w:szCs w:val="24"/>
              </w:rPr>
            </w:pPr>
            <w:r>
              <w:rPr>
                <w:rFonts w:hint="eastAsia" w:cs="宋体"/>
                <w:color w:val="auto"/>
                <w:sz w:val="24"/>
                <w:szCs w:val="24"/>
              </w:rPr>
              <w:t>本项目污染防渗区分为</w:t>
            </w:r>
            <w:r>
              <w:rPr>
                <w:rFonts w:hint="eastAsia" w:cs="宋体"/>
                <w:color w:val="auto"/>
                <w:sz w:val="24"/>
                <w:szCs w:val="24"/>
                <w:lang w:eastAsia="zh-CN"/>
              </w:rPr>
              <w:t>简单防渗区、</w:t>
            </w:r>
            <w:r>
              <w:rPr>
                <w:rFonts w:hint="eastAsia" w:cs="宋体"/>
                <w:color w:val="auto"/>
                <w:sz w:val="24"/>
                <w:szCs w:val="24"/>
              </w:rPr>
              <w:t>一般防渗场区、重点防渗区：</w:t>
            </w:r>
          </w:p>
          <w:p w14:paraId="0613B41E">
            <w:pPr>
              <w:spacing w:line="360" w:lineRule="auto"/>
              <w:ind w:firstLine="480" w:firstLineChars="200"/>
              <w:rPr>
                <w:rFonts w:hint="eastAsia" w:eastAsia="宋体" w:cs="宋体"/>
                <w:color w:val="auto"/>
                <w:sz w:val="24"/>
                <w:szCs w:val="24"/>
                <w:lang w:eastAsia="zh-CN"/>
              </w:rPr>
            </w:pPr>
            <w:r>
              <w:rPr>
                <w:color w:val="auto"/>
                <w:sz w:val="24"/>
                <w:szCs w:val="24"/>
              </w:rPr>
              <w:t>A</w:t>
            </w:r>
            <w:r>
              <w:rPr>
                <w:rFonts w:hint="eastAsia" w:cs="宋体"/>
                <w:color w:val="auto"/>
                <w:sz w:val="24"/>
                <w:szCs w:val="24"/>
              </w:rPr>
              <w:t>、</w:t>
            </w:r>
            <w:r>
              <w:rPr>
                <w:rFonts w:hint="eastAsia" w:cs="宋体"/>
                <w:color w:val="auto"/>
                <w:sz w:val="24"/>
                <w:szCs w:val="24"/>
                <w:lang w:eastAsia="zh-CN"/>
              </w:rPr>
              <w:t>简单防渗区：</w:t>
            </w:r>
            <w:r>
              <w:rPr>
                <w:rFonts w:hint="eastAsia" w:ascii="Times New Roman" w:hAnsi="Times New Roman" w:eastAsia="宋体" w:cs="Times New Roman"/>
                <w:color w:val="auto"/>
                <w:sz w:val="24"/>
                <w:szCs w:val="24"/>
                <w:lang w:val="en-US" w:eastAsia="zh-CN"/>
              </w:rPr>
              <w:t>仅对地面进行硬化</w:t>
            </w:r>
            <w:r>
              <w:rPr>
                <w:rFonts w:hint="eastAsia" w:cs="Times New Roman"/>
                <w:color w:val="auto"/>
                <w:sz w:val="24"/>
                <w:szCs w:val="24"/>
                <w:lang w:val="en-US" w:eastAsia="zh-CN"/>
              </w:rPr>
              <w:t>。</w:t>
            </w:r>
          </w:p>
          <w:p w14:paraId="0A6D730C">
            <w:pPr>
              <w:spacing w:line="360" w:lineRule="auto"/>
              <w:ind w:firstLine="480" w:firstLineChars="200"/>
              <w:rPr>
                <w:color w:val="auto"/>
                <w:sz w:val="24"/>
                <w:szCs w:val="24"/>
              </w:rPr>
            </w:pPr>
            <w:r>
              <w:rPr>
                <w:color w:val="auto"/>
                <w:sz w:val="24"/>
                <w:szCs w:val="24"/>
              </w:rPr>
              <w:t>B</w:t>
            </w:r>
            <w:r>
              <w:rPr>
                <w:rFonts w:hint="eastAsia" w:cs="宋体"/>
                <w:color w:val="auto"/>
                <w:sz w:val="24"/>
                <w:szCs w:val="24"/>
              </w:rPr>
              <w:t>、一般防渗区：对土壤和地下水环境有污染的物料或污染物泄漏后可及时发现和处理的区域和部位。</w:t>
            </w:r>
            <w:r>
              <w:rPr>
                <w:color w:val="auto"/>
                <w:sz w:val="24"/>
                <w:szCs w:val="24"/>
              </w:rPr>
              <w:t>—</w:t>
            </w:r>
            <w:r>
              <w:rPr>
                <w:rFonts w:hint="eastAsia" w:cs="宋体"/>
                <w:color w:val="auto"/>
                <w:sz w:val="24"/>
                <w:szCs w:val="24"/>
              </w:rPr>
              <w:t>般为装置区内除重点防渗区外的部分及装置区外管廊区；污染物污染防治区参照《一般工业固体废物贮存和填埋污染控制标准》（</w:t>
            </w:r>
            <w:r>
              <w:rPr>
                <w:color w:val="auto"/>
                <w:sz w:val="24"/>
                <w:szCs w:val="24"/>
              </w:rPr>
              <w:t>GB18599-2020</w:t>
            </w:r>
            <w:r>
              <w:rPr>
                <w:rFonts w:hint="eastAsia" w:cs="宋体"/>
                <w:color w:val="auto"/>
                <w:sz w:val="24"/>
                <w:szCs w:val="24"/>
              </w:rPr>
              <w:t>）。一般防渗场区防渗层的性能应不低于</w:t>
            </w:r>
            <w:r>
              <w:rPr>
                <w:color w:val="auto"/>
                <w:sz w:val="24"/>
                <w:szCs w:val="24"/>
              </w:rPr>
              <w:t>1.5m</w:t>
            </w:r>
            <w:r>
              <w:rPr>
                <w:rFonts w:hint="eastAsia" w:cs="宋体"/>
                <w:color w:val="auto"/>
                <w:sz w:val="24"/>
                <w:szCs w:val="24"/>
              </w:rPr>
              <w:t>厚渗透系数≤</w:t>
            </w:r>
            <w:r>
              <w:rPr>
                <w:color w:val="auto"/>
                <w:sz w:val="24"/>
                <w:szCs w:val="24"/>
              </w:rPr>
              <w:t>1.0</w:t>
            </w:r>
            <w:r>
              <w:rPr>
                <w:rFonts w:hint="eastAsia" w:cs="宋体"/>
                <w:color w:val="auto"/>
                <w:sz w:val="24"/>
                <w:szCs w:val="24"/>
              </w:rPr>
              <w:t>×</w:t>
            </w:r>
            <w:r>
              <w:rPr>
                <w:color w:val="auto"/>
                <w:sz w:val="24"/>
                <w:szCs w:val="24"/>
              </w:rPr>
              <w:t>10</w:t>
            </w:r>
            <w:r>
              <w:rPr>
                <w:color w:val="auto"/>
                <w:sz w:val="24"/>
                <w:szCs w:val="24"/>
                <w:vertAlign w:val="superscript"/>
              </w:rPr>
              <w:t>-7</w:t>
            </w:r>
            <w:r>
              <w:rPr>
                <w:color w:val="auto"/>
                <w:sz w:val="24"/>
                <w:szCs w:val="24"/>
              </w:rPr>
              <w:t>cm/s</w:t>
            </w:r>
            <w:r>
              <w:rPr>
                <w:rFonts w:hint="eastAsia" w:cs="宋体"/>
                <w:color w:val="auto"/>
                <w:sz w:val="24"/>
                <w:szCs w:val="24"/>
              </w:rPr>
              <w:t>的天然材料防渗结构或厚度不低于</w:t>
            </w:r>
            <w:r>
              <w:rPr>
                <w:color w:val="auto"/>
                <w:sz w:val="24"/>
                <w:szCs w:val="24"/>
              </w:rPr>
              <w:t>1.5mm</w:t>
            </w:r>
            <w:r>
              <w:rPr>
                <w:rFonts w:hint="eastAsia" w:cs="宋体"/>
                <w:color w:val="auto"/>
                <w:sz w:val="24"/>
                <w:szCs w:val="24"/>
              </w:rPr>
              <w:t>厚的土工膜。</w:t>
            </w:r>
          </w:p>
          <w:p w14:paraId="3368C56B">
            <w:pPr>
              <w:spacing w:line="360" w:lineRule="auto"/>
              <w:ind w:firstLine="480" w:firstLineChars="200"/>
              <w:rPr>
                <w:color w:val="auto"/>
                <w:sz w:val="24"/>
                <w:szCs w:val="24"/>
              </w:rPr>
            </w:pPr>
            <w:r>
              <w:rPr>
                <w:rFonts w:hint="eastAsia"/>
                <w:color w:val="auto"/>
                <w:sz w:val="24"/>
                <w:szCs w:val="24"/>
                <w:lang w:val="en-US" w:eastAsia="zh-CN"/>
              </w:rPr>
              <w:t>C</w:t>
            </w:r>
            <w:r>
              <w:rPr>
                <w:rFonts w:hint="eastAsia" w:cs="宋体"/>
                <w:color w:val="auto"/>
                <w:sz w:val="24"/>
                <w:szCs w:val="24"/>
              </w:rPr>
              <w:t>、重点防渗区：对土壤和地下水环境有污染的物料或污染物泄漏后不易及时发现和处理的区域和部位。重点防渗区防渗层的性能应不低于</w:t>
            </w:r>
            <w:r>
              <w:rPr>
                <w:color w:val="auto"/>
                <w:sz w:val="24"/>
                <w:szCs w:val="24"/>
              </w:rPr>
              <w:t>2m</w:t>
            </w:r>
            <w:r>
              <w:rPr>
                <w:rFonts w:hint="eastAsia" w:cs="宋体"/>
                <w:color w:val="auto"/>
                <w:sz w:val="24"/>
                <w:szCs w:val="24"/>
              </w:rPr>
              <w:t>厚渗透系数≤</w:t>
            </w:r>
            <w:r>
              <w:rPr>
                <w:color w:val="auto"/>
                <w:sz w:val="24"/>
                <w:szCs w:val="24"/>
              </w:rPr>
              <w:t>1.0</w:t>
            </w:r>
            <w:r>
              <w:rPr>
                <w:rFonts w:hint="eastAsia" w:cs="宋体"/>
                <w:color w:val="auto"/>
                <w:sz w:val="24"/>
                <w:szCs w:val="24"/>
              </w:rPr>
              <w:t>×</w:t>
            </w:r>
            <w:r>
              <w:rPr>
                <w:color w:val="auto"/>
                <w:sz w:val="24"/>
                <w:szCs w:val="24"/>
              </w:rPr>
              <w:t>10</w:t>
            </w:r>
            <w:r>
              <w:rPr>
                <w:color w:val="auto"/>
                <w:sz w:val="24"/>
                <w:szCs w:val="24"/>
                <w:vertAlign w:val="superscript"/>
              </w:rPr>
              <w:t>-10</w:t>
            </w:r>
            <w:r>
              <w:rPr>
                <w:color w:val="auto"/>
                <w:sz w:val="24"/>
                <w:szCs w:val="24"/>
              </w:rPr>
              <w:t>cm/s</w:t>
            </w:r>
            <w:r>
              <w:rPr>
                <w:rFonts w:hint="eastAsia" w:cs="宋体"/>
                <w:color w:val="auto"/>
                <w:sz w:val="24"/>
                <w:szCs w:val="24"/>
              </w:rPr>
              <w:t>的天然材料防渗结构或厚度不低于</w:t>
            </w:r>
            <w:r>
              <w:rPr>
                <w:color w:val="auto"/>
                <w:sz w:val="24"/>
                <w:szCs w:val="24"/>
              </w:rPr>
              <w:t>1.5mm</w:t>
            </w:r>
            <w:r>
              <w:rPr>
                <w:rFonts w:hint="eastAsia" w:cs="宋体"/>
                <w:color w:val="auto"/>
                <w:sz w:val="24"/>
                <w:szCs w:val="24"/>
              </w:rPr>
              <w:t>的土工膜</w:t>
            </w:r>
            <w:r>
              <w:rPr>
                <w:color w:val="auto"/>
                <w:sz w:val="24"/>
                <w:szCs w:val="24"/>
              </w:rPr>
              <w:t>+</w:t>
            </w:r>
            <w:r>
              <w:rPr>
                <w:rFonts w:hint="eastAsia" w:cs="宋体"/>
                <w:color w:val="auto"/>
                <w:sz w:val="24"/>
                <w:szCs w:val="24"/>
              </w:rPr>
              <w:t>厚度不低于</w:t>
            </w:r>
            <w:r>
              <w:rPr>
                <w:color w:val="auto"/>
                <w:sz w:val="24"/>
                <w:szCs w:val="24"/>
              </w:rPr>
              <w:t>100mm</w:t>
            </w:r>
            <w:r>
              <w:rPr>
                <w:rFonts w:hint="eastAsia" w:cs="宋体"/>
                <w:color w:val="auto"/>
                <w:sz w:val="24"/>
                <w:szCs w:val="24"/>
              </w:rPr>
              <w:t>的抗渗混凝土（渗透系数≤</w:t>
            </w:r>
            <w:r>
              <w:rPr>
                <w:color w:val="auto"/>
                <w:sz w:val="24"/>
                <w:szCs w:val="24"/>
              </w:rPr>
              <w:t>1.0</w:t>
            </w:r>
            <w:r>
              <w:rPr>
                <w:rFonts w:hint="eastAsia" w:cs="宋体"/>
                <w:color w:val="auto"/>
                <w:sz w:val="24"/>
                <w:szCs w:val="24"/>
              </w:rPr>
              <w:t>×</w:t>
            </w:r>
            <w:r>
              <w:rPr>
                <w:color w:val="auto"/>
                <w:sz w:val="24"/>
                <w:szCs w:val="24"/>
              </w:rPr>
              <w:t>10</w:t>
            </w:r>
            <w:r>
              <w:rPr>
                <w:color w:val="auto"/>
                <w:sz w:val="24"/>
                <w:szCs w:val="24"/>
                <w:vertAlign w:val="superscript"/>
              </w:rPr>
              <w:t>-10</w:t>
            </w:r>
            <w:r>
              <w:rPr>
                <w:color w:val="auto"/>
                <w:sz w:val="24"/>
                <w:szCs w:val="24"/>
              </w:rPr>
              <w:t>cm/s</w:t>
            </w:r>
            <w:r>
              <w:rPr>
                <w:rFonts w:hint="eastAsia" w:cs="宋体"/>
                <w:color w:val="auto"/>
                <w:sz w:val="24"/>
                <w:szCs w:val="24"/>
              </w:rPr>
              <w:t>）。</w:t>
            </w:r>
          </w:p>
          <w:p w14:paraId="39C01AC3">
            <w:pPr>
              <w:spacing w:line="360" w:lineRule="auto"/>
              <w:ind w:firstLine="480" w:firstLineChars="200"/>
              <w:rPr>
                <w:color w:val="auto"/>
                <w:sz w:val="24"/>
                <w:szCs w:val="24"/>
              </w:rPr>
            </w:pPr>
            <w:r>
              <w:rPr>
                <w:rFonts w:hint="eastAsia" w:cs="宋体"/>
                <w:color w:val="auto"/>
                <w:sz w:val="24"/>
                <w:szCs w:val="24"/>
              </w:rPr>
              <w:t>确定本项目污染防治分区情况详见下表</w:t>
            </w:r>
            <w:r>
              <w:rPr>
                <w:rFonts w:hint="eastAsia" w:cs="宋体"/>
                <w:color w:val="auto"/>
                <w:sz w:val="24"/>
                <w:szCs w:val="24"/>
                <w:lang w:eastAsia="zh-CN"/>
              </w:rPr>
              <w:t>及附</w:t>
            </w:r>
            <w:r>
              <w:rPr>
                <w:rFonts w:hint="eastAsia" w:ascii="Times New Roman" w:hAnsi="Times New Roman" w:eastAsia="宋体" w:cs="宋体"/>
                <w:color w:val="auto"/>
                <w:sz w:val="24"/>
                <w:szCs w:val="24"/>
                <w:lang w:eastAsia="zh-CN"/>
              </w:rPr>
              <w:t>图</w:t>
            </w:r>
            <w:r>
              <w:rPr>
                <w:rFonts w:hint="eastAsia" w:ascii="Times New Roman" w:hAnsi="Times New Roman" w:eastAsia="宋体" w:cs="宋体"/>
                <w:color w:val="auto"/>
                <w:sz w:val="24"/>
                <w:szCs w:val="24"/>
                <w:lang w:val="en-US" w:eastAsia="zh-CN"/>
              </w:rPr>
              <w:t>6 分区防渗图</w:t>
            </w:r>
            <w:r>
              <w:rPr>
                <w:rFonts w:hint="eastAsia" w:cs="宋体"/>
                <w:color w:val="auto"/>
                <w:sz w:val="24"/>
                <w:szCs w:val="24"/>
              </w:rPr>
              <w:t>。</w:t>
            </w:r>
          </w:p>
          <w:p w14:paraId="6235EF96">
            <w:pPr>
              <w:spacing w:line="360" w:lineRule="auto"/>
              <w:jc w:val="center"/>
              <w:rPr>
                <w:rFonts w:hint="eastAsia"/>
                <w:b/>
                <w:bCs/>
                <w:color w:val="auto"/>
                <w:sz w:val="22"/>
                <w:szCs w:val="22"/>
                <w:lang w:val="en-US" w:eastAsia="zh-CN"/>
              </w:rPr>
            </w:pPr>
            <w:r>
              <w:rPr>
                <w:rFonts w:hint="eastAsia"/>
                <w:b/>
                <w:bCs/>
                <w:color w:val="auto"/>
                <w:sz w:val="22"/>
                <w:szCs w:val="22"/>
                <w:lang w:val="en-US" w:eastAsia="zh-CN"/>
              </w:rPr>
              <w:t>表4-13 地下水、土壤污染防治分区情况表</w:t>
            </w:r>
          </w:p>
          <w:tbl>
            <w:tblPr>
              <w:tblStyle w:val="37"/>
              <w:tblW w:w="8019"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93"/>
              <w:gridCol w:w="5731"/>
            </w:tblGrid>
            <w:tr w14:paraId="03D4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0" w:hRule="atLeast"/>
              </w:trPr>
              <w:tc>
                <w:tcPr>
                  <w:tcW w:w="995" w:type="dxa"/>
                  <w:tcBorders>
                    <w:top w:val="single" w:color="auto" w:sz="4" w:space="0"/>
                    <w:left w:val="single" w:color="auto" w:sz="4" w:space="0"/>
                    <w:bottom w:val="single" w:color="auto" w:sz="4" w:space="0"/>
                    <w:right w:val="single" w:color="auto" w:sz="4" w:space="0"/>
                  </w:tcBorders>
                  <w:vAlign w:val="center"/>
                </w:tcPr>
                <w:p w14:paraId="29DDEA87">
                  <w:pPr>
                    <w:jc w:val="center"/>
                    <w:rPr>
                      <w:color w:val="auto"/>
                      <w:sz w:val="22"/>
                      <w:szCs w:val="22"/>
                    </w:rPr>
                  </w:pPr>
                  <w:r>
                    <w:rPr>
                      <w:rFonts w:hint="eastAsia" w:cs="宋体"/>
                      <w:color w:val="auto"/>
                      <w:sz w:val="22"/>
                      <w:szCs w:val="22"/>
                    </w:rPr>
                    <w:t>重点污染防渗区</w:t>
                  </w:r>
                </w:p>
              </w:tc>
              <w:tc>
                <w:tcPr>
                  <w:tcW w:w="1293" w:type="dxa"/>
                  <w:tcBorders>
                    <w:top w:val="single" w:color="auto" w:sz="4" w:space="0"/>
                    <w:left w:val="single" w:color="auto" w:sz="4" w:space="0"/>
                    <w:bottom w:val="single" w:color="auto" w:sz="4" w:space="0"/>
                    <w:right w:val="single" w:color="auto" w:sz="4" w:space="0"/>
                  </w:tcBorders>
                  <w:vAlign w:val="center"/>
                </w:tcPr>
                <w:p w14:paraId="1ED3FAA4">
                  <w:pPr>
                    <w:jc w:val="center"/>
                    <w:rPr>
                      <w:rFonts w:hint="eastAsia" w:eastAsia="宋体"/>
                      <w:color w:val="auto"/>
                      <w:sz w:val="22"/>
                      <w:szCs w:val="22"/>
                      <w:lang w:eastAsia="zh-CN"/>
                    </w:rPr>
                  </w:pPr>
                  <w:r>
                    <w:rPr>
                      <w:rFonts w:hint="eastAsia"/>
                      <w:color w:val="auto"/>
                      <w:sz w:val="22"/>
                      <w:szCs w:val="22"/>
                      <w:lang w:eastAsia="zh-CN"/>
                    </w:rPr>
                    <w:t>污水管线（依托现有）、化粪池（依托现有）、车辆冲洗平台沉淀池（依托现有）、化学品储库（新建）</w:t>
                  </w:r>
                </w:p>
              </w:tc>
              <w:tc>
                <w:tcPr>
                  <w:tcW w:w="5731" w:type="dxa"/>
                  <w:tcBorders>
                    <w:top w:val="single" w:color="auto" w:sz="4" w:space="0"/>
                    <w:left w:val="single" w:color="auto" w:sz="4" w:space="0"/>
                    <w:bottom w:val="single" w:color="auto" w:sz="4" w:space="0"/>
                    <w:right w:val="single" w:color="auto" w:sz="4" w:space="0"/>
                  </w:tcBorders>
                  <w:vAlign w:val="center"/>
                </w:tcPr>
                <w:p w14:paraId="3E3D9DBF">
                  <w:pPr>
                    <w:jc w:val="center"/>
                    <w:rPr>
                      <w:color w:val="auto"/>
                      <w:sz w:val="22"/>
                      <w:szCs w:val="22"/>
                    </w:rPr>
                  </w:pPr>
                  <w:r>
                    <w:rPr>
                      <w:rFonts w:hint="eastAsia" w:cs="宋体"/>
                      <w:color w:val="auto"/>
                      <w:sz w:val="22"/>
                      <w:szCs w:val="22"/>
                    </w:rPr>
                    <w:t>防渗层需满足等效黏土防水层</w:t>
                  </w:r>
                  <w:r>
                    <w:rPr>
                      <w:color w:val="auto"/>
                      <w:sz w:val="22"/>
                      <w:szCs w:val="22"/>
                    </w:rPr>
                    <w:t>Mb</w:t>
                  </w:r>
                  <w:r>
                    <w:rPr>
                      <w:rFonts w:hint="eastAsia" w:cs="宋体"/>
                      <w:color w:val="auto"/>
                      <w:sz w:val="22"/>
                      <w:szCs w:val="22"/>
                    </w:rPr>
                    <w:t>≥</w:t>
                  </w:r>
                  <w:r>
                    <w:rPr>
                      <w:color w:val="auto"/>
                      <w:sz w:val="22"/>
                      <w:szCs w:val="22"/>
                    </w:rPr>
                    <w:t>6.0m</w:t>
                  </w:r>
                  <w:r>
                    <w:rPr>
                      <w:rFonts w:hint="eastAsia" w:cs="宋体"/>
                      <w:color w:val="auto"/>
                      <w:sz w:val="22"/>
                      <w:szCs w:val="22"/>
                      <w:lang w:eastAsia="zh-CN"/>
                    </w:rPr>
                    <w:t>，</w:t>
                  </w:r>
                  <w:r>
                    <w:rPr>
                      <w:color w:val="auto"/>
                      <w:sz w:val="22"/>
                      <w:szCs w:val="22"/>
                    </w:rPr>
                    <w:t>K</w:t>
                  </w:r>
                  <w:r>
                    <w:rPr>
                      <w:rFonts w:hint="eastAsia" w:cs="宋体"/>
                      <w:color w:val="auto"/>
                      <w:sz w:val="22"/>
                      <w:szCs w:val="22"/>
                    </w:rPr>
                    <w:t>≤</w:t>
                  </w:r>
                  <w:r>
                    <w:rPr>
                      <w:color w:val="auto"/>
                      <w:sz w:val="22"/>
                      <w:szCs w:val="22"/>
                    </w:rPr>
                    <w:t>1.0</w:t>
                  </w:r>
                  <w:r>
                    <w:rPr>
                      <w:rFonts w:hint="eastAsia" w:cs="宋体"/>
                      <w:color w:val="auto"/>
                      <w:sz w:val="22"/>
                      <w:szCs w:val="22"/>
                    </w:rPr>
                    <w:t>×</w:t>
                  </w:r>
                  <w:r>
                    <w:rPr>
                      <w:color w:val="auto"/>
                      <w:sz w:val="22"/>
                      <w:szCs w:val="22"/>
                    </w:rPr>
                    <w:t>10</w:t>
                  </w:r>
                  <w:r>
                    <w:rPr>
                      <w:color w:val="auto"/>
                      <w:sz w:val="22"/>
                      <w:szCs w:val="22"/>
                      <w:vertAlign w:val="superscript"/>
                    </w:rPr>
                    <w:t>-7</w:t>
                  </w:r>
                  <w:r>
                    <w:rPr>
                      <w:color w:val="auto"/>
                      <w:sz w:val="22"/>
                      <w:szCs w:val="22"/>
                    </w:rPr>
                    <w:t>cm/s</w:t>
                  </w:r>
                  <w:r>
                    <w:rPr>
                      <w:rFonts w:hint="eastAsia" w:cs="宋体"/>
                      <w:color w:val="auto"/>
                      <w:sz w:val="22"/>
                      <w:szCs w:val="22"/>
                    </w:rPr>
                    <w:t>；或参照《危险废物贮存污染控制标准》（</w:t>
                  </w:r>
                  <w:r>
                    <w:rPr>
                      <w:color w:val="auto"/>
                      <w:sz w:val="22"/>
                      <w:szCs w:val="22"/>
                    </w:rPr>
                    <w:t>GB18597-2001</w:t>
                  </w:r>
                  <w:r>
                    <w:rPr>
                      <w:rFonts w:hint="eastAsia" w:cs="宋体"/>
                      <w:color w:val="auto"/>
                      <w:sz w:val="22"/>
                      <w:szCs w:val="22"/>
                    </w:rPr>
                    <w:t>）中对防渗层的要求为</w:t>
                  </w:r>
                  <w:r>
                    <w:rPr>
                      <w:rFonts w:hint="eastAsia" w:cs="宋体"/>
                      <w:color w:val="auto"/>
                      <w:sz w:val="22"/>
                      <w:szCs w:val="22"/>
                      <w:lang w:eastAsia="zh-CN"/>
                    </w:rPr>
                    <w:t>“</w:t>
                  </w:r>
                  <w:r>
                    <w:rPr>
                      <w:rFonts w:hint="eastAsia" w:cs="宋体"/>
                      <w:color w:val="auto"/>
                      <w:sz w:val="22"/>
                      <w:szCs w:val="22"/>
                    </w:rPr>
                    <w:t>人工合成材料衬层可以采用高密度聚乙烯（</w:t>
                  </w:r>
                  <w:r>
                    <w:rPr>
                      <w:color w:val="auto"/>
                      <w:sz w:val="22"/>
                      <w:szCs w:val="22"/>
                    </w:rPr>
                    <w:t>HDPE</w:t>
                  </w:r>
                  <w:r>
                    <w:rPr>
                      <w:rFonts w:hint="eastAsia" w:cs="宋体"/>
                      <w:color w:val="auto"/>
                      <w:sz w:val="22"/>
                      <w:szCs w:val="22"/>
                    </w:rPr>
                    <w:t>）</w:t>
                  </w:r>
                  <w:r>
                    <w:rPr>
                      <w:rFonts w:hint="eastAsia" w:cs="宋体"/>
                      <w:color w:val="auto"/>
                      <w:sz w:val="22"/>
                      <w:szCs w:val="22"/>
                      <w:lang w:eastAsia="zh-CN"/>
                    </w:rPr>
                    <w:t>，</w:t>
                  </w:r>
                  <w:r>
                    <w:rPr>
                      <w:rFonts w:hint="eastAsia" w:cs="宋体"/>
                      <w:color w:val="auto"/>
                      <w:sz w:val="22"/>
                      <w:szCs w:val="22"/>
                    </w:rPr>
                    <w:t>其渗透系数不大于</w:t>
                  </w:r>
                  <w:r>
                    <w:rPr>
                      <w:color w:val="auto"/>
                      <w:sz w:val="22"/>
                      <w:szCs w:val="22"/>
                    </w:rPr>
                    <w:t>10</w:t>
                  </w:r>
                  <w:r>
                    <w:rPr>
                      <w:color w:val="auto"/>
                      <w:sz w:val="22"/>
                      <w:szCs w:val="22"/>
                      <w:vertAlign w:val="superscript"/>
                    </w:rPr>
                    <w:t>-10</w:t>
                  </w:r>
                  <w:r>
                    <w:rPr>
                      <w:color w:val="auto"/>
                      <w:sz w:val="22"/>
                      <w:szCs w:val="22"/>
                    </w:rPr>
                    <w:t>cm/s</w:t>
                  </w:r>
                  <w:r>
                    <w:rPr>
                      <w:rFonts w:hint="eastAsia" w:cs="宋体"/>
                      <w:color w:val="auto"/>
                      <w:sz w:val="22"/>
                      <w:szCs w:val="22"/>
                      <w:lang w:eastAsia="zh-CN"/>
                    </w:rPr>
                    <w:t>，</w:t>
                  </w:r>
                  <w:r>
                    <w:rPr>
                      <w:rFonts w:hint="eastAsia" w:cs="宋体"/>
                      <w:color w:val="auto"/>
                      <w:sz w:val="22"/>
                      <w:szCs w:val="22"/>
                    </w:rPr>
                    <w:t>厚度不小于</w:t>
                  </w:r>
                  <w:r>
                    <w:rPr>
                      <w:color w:val="auto"/>
                      <w:sz w:val="22"/>
                      <w:szCs w:val="22"/>
                    </w:rPr>
                    <w:t>1.5mm</w:t>
                  </w:r>
                  <w:r>
                    <w:rPr>
                      <w:rFonts w:hint="eastAsia" w:cs="宋体"/>
                      <w:color w:val="auto"/>
                      <w:sz w:val="22"/>
                      <w:szCs w:val="22"/>
                      <w:lang w:eastAsia="zh-CN"/>
                    </w:rPr>
                    <w:t>”</w:t>
                  </w:r>
                  <w:r>
                    <w:rPr>
                      <w:rFonts w:hint="eastAsia" w:cs="宋体"/>
                      <w:color w:val="auto"/>
                      <w:sz w:val="22"/>
                      <w:szCs w:val="22"/>
                    </w:rPr>
                    <w:t>。建议防渗层的设置必须达到</w:t>
                  </w:r>
                  <w:r>
                    <w:rPr>
                      <w:rFonts w:hint="eastAsia" w:cs="宋体"/>
                      <w:color w:val="auto"/>
                      <w:sz w:val="22"/>
                      <w:szCs w:val="22"/>
                      <w:lang w:eastAsia="zh-CN"/>
                    </w:rPr>
                    <w:t>“</w:t>
                  </w:r>
                  <w:r>
                    <w:rPr>
                      <w:rFonts w:hint="eastAsia" w:cs="宋体"/>
                      <w:color w:val="auto"/>
                      <w:sz w:val="22"/>
                      <w:szCs w:val="22"/>
                    </w:rPr>
                    <w:t>双人工衬层</w:t>
                  </w:r>
                  <w:r>
                    <w:rPr>
                      <w:rFonts w:hint="eastAsia" w:cs="宋体"/>
                      <w:color w:val="auto"/>
                      <w:sz w:val="22"/>
                      <w:szCs w:val="22"/>
                      <w:lang w:eastAsia="zh-CN"/>
                    </w:rPr>
                    <w:t>，</w:t>
                  </w:r>
                  <w:r>
                    <w:rPr>
                      <w:rFonts w:hint="eastAsia" w:cs="宋体"/>
                      <w:color w:val="auto"/>
                      <w:sz w:val="22"/>
                      <w:szCs w:val="22"/>
                    </w:rPr>
                    <w:t>且人工衬层的材料渗透系数不大于</w:t>
                  </w:r>
                  <w:r>
                    <w:rPr>
                      <w:color w:val="auto"/>
                      <w:sz w:val="22"/>
                      <w:szCs w:val="22"/>
                    </w:rPr>
                    <w:t>10</w:t>
                  </w:r>
                  <w:r>
                    <w:rPr>
                      <w:color w:val="auto"/>
                      <w:sz w:val="22"/>
                      <w:szCs w:val="22"/>
                      <w:vertAlign w:val="superscript"/>
                    </w:rPr>
                    <w:t>-10</w:t>
                  </w:r>
                  <w:r>
                    <w:rPr>
                      <w:color w:val="auto"/>
                      <w:sz w:val="22"/>
                      <w:szCs w:val="22"/>
                    </w:rPr>
                    <w:t>cm/s</w:t>
                  </w:r>
                  <w:r>
                    <w:rPr>
                      <w:rFonts w:hint="eastAsia" w:cs="宋体"/>
                      <w:color w:val="auto"/>
                      <w:sz w:val="22"/>
                      <w:szCs w:val="22"/>
                      <w:lang w:eastAsia="zh-CN"/>
                    </w:rPr>
                    <w:t>”</w:t>
                  </w:r>
                  <w:r>
                    <w:rPr>
                      <w:rFonts w:hint="eastAsia" w:cs="宋体"/>
                      <w:color w:val="auto"/>
                      <w:sz w:val="22"/>
                      <w:szCs w:val="22"/>
                    </w:rPr>
                    <w:t>的要求。</w:t>
                  </w:r>
                </w:p>
              </w:tc>
            </w:tr>
            <w:tr w14:paraId="05CD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995" w:type="dxa"/>
                  <w:tcBorders>
                    <w:top w:val="single" w:color="auto" w:sz="4" w:space="0"/>
                    <w:left w:val="single" w:color="auto" w:sz="4" w:space="0"/>
                    <w:bottom w:val="single" w:color="auto" w:sz="4" w:space="0"/>
                    <w:right w:val="single" w:color="auto" w:sz="4" w:space="0"/>
                  </w:tcBorders>
                  <w:vAlign w:val="center"/>
                </w:tcPr>
                <w:p w14:paraId="2395F91E">
                  <w:pPr>
                    <w:jc w:val="center"/>
                    <w:rPr>
                      <w:color w:val="auto"/>
                      <w:sz w:val="22"/>
                      <w:szCs w:val="22"/>
                    </w:rPr>
                  </w:pPr>
                  <w:r>
                    <w:rPr>
                      <w:rFonts w:hint="eastAsia" w:cs="宋体"/>
                      <w:color w:val="auto"/>
                      <w:sz w:val="22"/>
                      <w:szCs w:val="22"/>
                    </w:rPr>
                    <w:t>一般污染防渗区</w:t>
                  </w:r>
                </w:p>
              </w:tc>
              <w:tc>
                <w:tcPr>
                  <w:tcW w:w="1293" w:type="dxa"/>
                  <w:tcBorders>
                    <w:top w:val="single" w:color="auto" w:sz="4" w:space="0"/>
                    <w:left w:val="single" w:color="auto" w:sz="4" w:space="0"/>
                    <w:bottom w:val="single" w:color="auto" w:sz="4" w:space="0"/>
                    <w:right w:val="single" w:color="auto" w:sz="4" w:space="0"/>
                  </w:tcBorders>
                  <w:vAlign w:val="center"/>
                </w:tcPr>
                <w:p w14:paraId="5F3308F7">
                  <w:pPr>
                    <w:jc w:val="center"/>
                    <w:rPr>
                      <w:rFonts w:hint="eastAsia" w:eastAsia="宋体"/>
                      <w:color w:val="auto"/>
                      <w:sz w:val="22"/>
                      <w:szCs w:val="22"/>
                      <w:lang w:eastAsia="zh-CN"/>
                    </w:rPr>
                  </w:pPr>
                  <w:r>
                    <w:rPr>
                      <w:rFonts w:hint="eastAsia" w:cs="宋体"/>
                      <w:color w:val="auto"/>
                      <w:sz w:val="22"/>
                      <w:szCs w:val="22"/>
                      <w:lang w:eastAsia="zh-CN"/>
                    </w:rPr>
                    <w:t>各物料库及各</w:t>
                  </w:r>
                  <w:r>
                    <w:rPr>
                      <w:rFonts w:hint="eastAsia" w:cs="宋体"/>
                      <w:color w:val="auto"/>
                      <w:sz w:val="22"/>
                      <w:szCs w:val="22"/>
                    </w:rPr>
                    <w:t>车间</w:t>
                  </w:r>
                  <w:r>
                    <w:rPr>
                      <w:rFonts w:hint="eastAsia" w:cs="宋体"/>
                      <w:color w:val="auto"/>
                      <w:sz w:val="22"/>
                      <w:szCs w:val="22"/>
                      <w:lang w:eastAsia="zh-CN"/>
                    </w:rPr>
                    <w:t>（新增新建）</w:t>
                  </w:r>
                </w:p>
              </w:tc>
              <w:tc>
                <w:tcPr>
                  <w:tcW w:w="5731" w:type="dxa"/>
                  <w:tcBorders>
                    <w:top w:val="single" w:color="auto" w:sz="4" w:space="0"/>
                    <w:left w:val="single" w:color="auto" w:sz="4" w:space="0"/>
                    <w:bottom w:val="single" w:color="auto" w:sz="4" w:space="0"/>
                    <w:right w:val="single" w:color="auto" w:sz="4" w:space="0"/>
                  </w:tcBorders>
                  <w:vAlign w:val="center"/>
                </w:tcPr>
                <w:p w14:paraId="4506C6F7">
                  <w:pPr>
                    <w:jc w:val="center"/>
                    <w:rPr>
                      <w:color w:val="auto"/>
                      <w:sz w:val="22"/>
                      <w:szCs w:val="22"/>
                    </w:rPr>
                  </w:pPr>
                  <w:r>
                    <w:rPr>
                      <w:rFonts w:hint="eastAsia" w:cs="宋体"/>
                      <w:color w:val="auto"/>
                      <w:sz w:val="22"/>
                      <w:szCs w:val="22"/>
                    </w:rPr>
                    <w:t>防渗层需满足等效黏土防水层</w:t>
                  </w:r>
                  <w:r>
                    <w:rPr>
                      <w:color w:val="auto"/>
                      <w:sz w:val="22"/>
                      <w:szCs w:val="22"/>
                    </w:rPr>
                    <w:t>Mb</w:t>
                  </w:r>
                  <w:r>
                    <w:rPr>
                      <w:rFonts w:hint="eastAsia" w:cs="宋体"/>
                      <w:color w:val="auto"/>
                      <w:sz w:val="22"/>
                      <w:szCs w:val="22"/>
                    </w:rPr>
                    <w:t>≥</w:t>
                  </w:r>
                  <w:r>
                    <w:rPr>
                      <w:color w:val="auto"/>
                      <w:sz w:val="22"/>
                      <w:szCs w:val="22"/>
                    </w:rPr>
                    <w:t>1.5m</w:t>
                  </w:r>
                  <w:r>
                    <w:rPr>
                      <w:rFonts w:hint="eastAsia" w:cs="宋体"/>
                      <w:color w:val="auto"/>
                      <w:sz w:val="22"/>
                      <w:szCs w:val="22"/>
                      <w:lang w:eastAsia="zh-CN"/>
                    </w:rPr>
                    <w:t>，</w:t>
                  </w:r>
                  <w:r>
                    <w:rPr>
                      <w:color w:val="auto"/>
                      <w:sz w:val="22"/>
                      <w:szCs w:val="22"/>
                    </w:rPr>
                    <w:t>K</w:t>
                  </w:r>
                  <w:r>
                    <w:rPr>
                      <w:rFonts w:hint="eastAsia" w:cs="宋体"/>
                      <w:color w:val="auto"/>
                      <w:sz w:val="22"/>
                      <w:szCs w:val="22"/>
                    </w:rPr>
                    <w:t>≤</w:t>
                  </w:r>
                  <w:r>
                    <w:rPr>
                      <w:color w:val="auto"/>
                      <w:sz w:val="22"/>
                      <w:szCs w:val="22"/>
                    </w:rPr>
                    <w:t>1.0</w:t>
                  </w:r>
                  <w:r>
                    <w:rPr>
                      <w:rFonts w:hint="eastAsia" w:cs="宋体"/>
                      <w:color w:val="auto"/>
                      <w:sz w:val="22"/>
                      <w:szCs w:val="22"/>
                    </w:rPr>
                    <w:t>×</w:t>
                  </w:r>
                  <w:r>
                    <w:rPr>
                      <w:color w:val="auto"/>
                      <w:sz w:val="22"/>
                      <w:szCs w:val="22"/>
                    </w:rPr>
                    <w:t>10</w:t>
                  </w:r>
                  <w:r>
                    <w:rPr>
                      <w:color w:val="auto"/>
                      <w:sz w:val="22"/>
                      <w:szCs w:val="22"/>
                      <w:vertAlign w:val="superscript"/>
                    </w:rPr>
                    <w:t>-7</w:t>
                  </w:r>
                  <w:r>
                    <w:rPr>
                      <w:color w:val="auto"/>
                      <w:sz w:val="22"/>
                      <w:szCs w:val="22"/>
                    </w:rPr>
                    <w:t>cm/s</w:t>
                  </w:r>
                  <w:r>
                    <w:rPr>
                      <w:rFonts w:hint="eastAsia" w:cs="宋体"/>
                      <w:color w:val="auto"/>
                      <w:sz w:val="22"/>
                      <w:szCs w:val="22"/>
                    </w:rPr>
                    <w:t>；或参照《一般工业固体废弃物贮存和填埋污染控制标准》（</w:t>
                  </w:r>
                  <w:r>
                    <w:rPr>
                      <w:color w:val="auto"/>
                      <w:sz w:val="22"/>
                      <w:szCs w:val="22"/>
                    </w:rPr>
                    <w:t>GB18599-2020</w:t>
                  </w:r>
                  <w:r>
                    <w:rPr>
                      <w:rFonts w:hint="eastAsia" w:cs="宋体"/>
                      <w:color w:val="auto"/>
                      <w:sz w:val="22"/>
                      <w:szCs w:val="22"/>
                    </w:rPr>
                    <w:t>）的要求：</w:t>
                  </w:r>
                  <w:r>
                    <w:rPr>
                      <w:rFonts w:hint="eastAsia" w:cs="宋体"/>
                      <w:color w:val="auto"/>
                      <w:sz w:val="22"/>
                      <w:szCs w:val="22"/>
                      <w:lang w:eastAsia="zh-CN"/>
                    </w:rPr>
                    <w:t>“</w:t>
                  </w:r>
                  <w:r>
                    <w:rPr>
                      <w:rFonts w:hint="eastAsia" w:cs="宋体"/>
                      <w:color w:val="auto"/>
                      <w:sz w:val="22"/>
                      <w:szCs w:val="22"/>
                    </w:rPr>
                    <w:t>当天然基础层的渗透系统大于</w:t>
                  </w:r>
                  <w:r>
                    <w:rPr>
                      <w:color w:val="auto"/>
                      <w:sz w:val="22"/>
                      <w:szCs w:val="22"/>
                    </w:rPr>
                    <w:t>1.0</w:t>
                  </w:r>
                  <w:r>
                    <w:rPr>
                      <w:rFonts w:hint="eastAsia" w:cs="宋体"/>
                      <w:color w:val="auto"/>
                      <w:sz w:val="22"/>
                      <w:szCs w:val="22"/>
                    </w:rPr>
                    <w:t>×</w:t>
                  </w:r>
                  <w:r>
                    <w:rPr>
                      <w:color w:val="auto"/>
                      <w:sz w:val="22"/>
                      <w:szCs w:val="22"/>
                    </w:rPr>
                    <w:t>10</w:t>
                  </w:r>
                  <w:r>
                    <w:rPr>
                      <w:color w:val="auto"/>
                      <w:sz w:val="22"/>
                      <w:szCs w:val="22"/>
                      <w:vertAlign w:val="superscript"/>
                    </w:rPr>
                    <w:t>-7</w:t>
                  </w:r>
                  <w:r>
                    <w:rPr>
                      <w:color w:val="auto"/>
                      <w:sz w:val="22"/>
                      <w:szCs w:val="22"/>
                    </w:rPr>
                    <w:t>cm/s</w:t>
                  </w:r>
                  <w:r>
                    <w:rPr>
                      <w:rFonts w:hint="eastAsia" w:cs="宋体"/>
                      <w:color w:val="auto"/>
                      <w:sz w:val="22"/>
                      <w:szCs w:val="22"/>
                    </w:rPr>
                    <w:t>时</w:t>
                  </w:r>
                  <w:r>
                    <w:rPr>
                      <w:rFonts w:hint="eastAsia" w:cs="宋体"/>
                      <w:color w:val="auto"/>
                      <w:sz w:val="22"/>
                      <w:szCs w:val="22"/>
                      <w:lang w:eastAsia="zh-CN"/>
                    </w:rPr>
                    <w:t>，</w:t>
                  </w:r>
                  <w:r>
                    <w:rPr>
                      <w:rFonts w:hint="eastAsia" w:cs="宋体"/>
                      <w:color w:val="auto"/>
                      <w:sz w:val="22"/>
                      <w:szCs w:val="22"/>
                    </w:rPr>
                    <w:t>应采用天然或人工材料构筑防渗层</w:t>
                  </w:r>
                  <w:r>
                    <w:rPr>
                      <w:rFonts w:hint="eastAsia" w:cs="宋体"/>
                      <w:color w:val="auto"/>
                      <w:sz w:val="22"/>
                      <w:szCs w:val="22"/>
                      <w:lang w:eastAsia="zh-CN"/>
                    </w:rPr>
                    <w:t>，</w:t>
                  </w:r>
                  <w:r>
                    <w:rPr>
                      <w:rFonts w:hint="eastAsia" w:cs="宋体"/>
                      <w:color w:val="auto"/>
                      <w:sz w:val="22"/>
                      <w:szCs w:val="22"/>
                    </w:rPr>
                    <w:t>防渗层的厚度应相当于渗透系数</w:t>
                  </w:r>
                  <w:r>
                    <w:rPr>
                      <w:color w:val="auto"/>
                      <w:sz w:val="22"/>
                      <w:szCs w:val="22"/>
                    </w:rPr>
                    <w:t>1.0</w:t>
                  </w:r>
                  <w:r>
                    <w:rPr>
                      <w:rFonts w:hint="eastAsia" w:cs="宋体"/>
                      <w:color w:val="auto"/>
                      <w:sz w:val="22"/>
                      <w:szCs w:val="22"/>
                    </w:rPr>
                    <w:t>×</w:t>
                  </w:r>
                  <w:r>
                    <w:rPr>
                      <w:color w:val="auto"/>
                      <w:sz w:val="22"/>
                      <w:szCs w:val="22"/>
                    </w:rPr>
                    <w:t>10</w:t>
                  </w:r>
                  <w:r>
                    <w:rPr>
                      <w:color w:val="auto"/>
                      <w:sz w:val="22"/>
                      <w:szCs w:val="22"/>
                      <w:vertAlign w:val="superscript"/>
                    </w:rPr>
                    <w:t>-7</w:t>
                  </w:r>
                  <w:r>
                    <w:rPr>
                      <w:color w:val="auto"/>
                      <w:sz w:val="22"/>
                      <w:szCs w:val="22"/>
                    </w:rPr>
                    <w:t>cm/s</w:t>
                  </w:r>
                  <w:r>
                    <w:rPr>
                      <w:rFonts w:hint="eastAsia" w:cs="宋体"/>
                      <w:color w:val="auto"/>
                      <w:sz w:val="22"/>
                      <w:szCs w:val="22"/>
                    </w:rPr>
                    <w:t>和厚度</w:t>
                  </w:r>
                  <w:r>
                    <w:rPr>
                      <w:color w:val="auto"/>
                      <w:sz w:val="22"/>
                      <w:szCs w:val="22"/>
                    </w:rPr>
                    <w:t>1.5m</w:t>
                  </w:r>
                  <w:r>
                    <w:rPr>
                      <w:rFonts w:hint="eastAsia" w:cs="宋体"/>
                      <w:color w:val="auto"/>
                      <w:sz w:val="22"/>
                      <w:szCs w:val="22"/>
                    </w:rPr>
                    <w:t>的粘土层的防渗性能</w:t>
                  </w:r>
                  <w:r>
                    <w:rPr>
                      <w:rFonts w:hint="eastAsia" w:cs="宋体"/>
                      <w:color w:val="auto"/>
                      <w:sz w:val="22"/>
                      <w:szCs w:val="22"/>
                      <w:lang w:eastAsia="zh-CN"/>
                    </w:rPr>
                    <w:t>”</w:t>
                  </w:r>
                  <w:r>
                    <w:rPr>
                      <w:rFonts w:hint="eastAsia" w:cs="宋体"/>
                      <w:color w:val="auto"/>
                      <w:sz w:val="22"/>
                      <w:szCs w:val="22"/>
                    </w:rPr>
                    <w:t>。</w:t>
                  </w:r>
                </w:p>
              </w:tc>
            </w:tr>
            <w:tr w14:paraId="7329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95" w:type="dxa"/>
                  <w:tcBorders>
                    <w:top w:val="single" w:color="auto" w:sz="4" w:space="0"/>
                    <w:left w:val="single" w:color="auto" w:sz="4" w:space="0"/>
                    <w:bottom w:val="single" w:color="auto" w:sz="4" w:space="0"/>
                    <w:right w:val="single" w:color="auto" w:sz="4" w:space="0"/>
                  </w:tcBorders>
                  <w:vAlign w:val="center"/>
                </w:tcPr>
                <w:p w14:paraId="66A7345E">
                  <w:pPr>
                    <w:jc w:val="center"/>
                    <w:rPr>
                      <w:rFonts w:hint="eastAsia" w:eastAsia="宋体" w:cs="宋体"/>
                      <w:color w:val="auto"/>
                      <w:sz w:val="22"/>
                      <w:szCs w:val="22"/>
                      <w:lang w:eastAsia="zh-CN"/>
                    </w:rPr>
                  </w:pPr>
                  <w:r>
                    <w:rPr>
                      <w:rFonts w:hint="eastAsia" w:cs="宋体"/>
                      <w:color w:val="auto"/>
                      <w:sz w:val="22"/>
                      <w:szCs w:val="22"/>
                      <w:lang w:eastAsia="zh-CN"/>
                    </w:rPr>
                    <w:t>简单防渗区</w:t>
                  </w:r>
                </w:p>
              </w:tc>
              <w:tc>
                <w:tcPr>
                  <w:tcW w:w="1293" w:type="dxa"/>
                  <w:tcBorders>
                    <w:top w:val="single" w:color="auto" w:sz="4" w:space="0"/>
                    <w:left w:val="single" w:color="auto" w:sz="4" w:space="0"/>
                    <w:bottom w:val="single" w:color="auto" w:sz="4" w:space="0"/>
                    <w:right w:val="single" w:color="auto" w:sz="4" w:space="0"/>
                  </w:tcBorders>
                  <w:vAlign w:val="center"/>
                </w:tcPr>
                <w:p w14:paraId="05A37B21">
                  <w:pPr>
                    <w:jc w:val="center"/>
                    <w:rPr>
                      <w:rFonts w:hint="eastAsia" w:cs="宋体"/>
                      <w:color w:val="auto"/>
                      <w:sz w:val="22"/>
                      <w:szCs w:val="22"/>
                    </w:rPr>
                  </w:pPr>
                  <w:r>
                    <w:rPr>
                      <w:rFonts w:hint="eastAsia" w:cs="宋体"/>
                      <w:color w:val="auto"/>
                      <w:sz w:val="22"/>
                      <w:szCs w:val="22"/>
                    </w:rPr>
                    <w:t>办公区及其他区域</w:t>
                  </w:r>
                </w:p>
              </w:tc>
              <w:tc>
                <w:tcPr>
                  <w:tcW w:w="5731" w:type="dxa"/>
                  <w:tcBorders>
                    <w:top w:val="single" w:color="auto" w:sz="4" w:space="0"/>
                    <w:left w:val="single" w:color="auto" w:sz="4" w:space="0"/>
                    <w:bottom w:val="single" w:color="auto" w:sz="4" w:space="0"/>
                    <w:right w:val="single" w:color="auto" w:sz="4" w:space="0"/>
                  </w:tcBorders>
                  <w:vAlign w:val="center"/>
                </w:tcPr>
                <w:p w14:paraId="06C7A845">
                  <w:pPr>
                    <w:jc w:val="center"/>
                    <w:rPr>
                      <w:rFonts w:hint="eastAsia" w:eastAsia="宋体" w:cs="宋体"/>
                      <w:color w:val="auto"/>
                      <w:sz w:val="22"/>
                      <w:szCs w:val="22"/>
                      <w:lang w:eastAsia="zh-CN"/>
                    </w:rPr>
                  </w:pPr>
                  <w:r>
                    <w:rPr>
                      <w:rFonts w:hint="eastAsia" w:cs="宋体"/>
                      <w:color w:val="auto"/>
                      <w:sz w:val="22"/>
                      <w:szCs w:val="22"/>
                      <w:lang w:eastAsia="zh-CN"/>
                    </w:rPr>
                    <w:t>地面硬化</w:t>
                  </w:r>
                </w:p>
              </w:tc>
            </w:tr>
          </w:tbl>
          <w:p w14:paraId="6D3D174E">
            <w:pPr>
              <w:spacing w:before="240" w:beforeLines="100" w:line="360" w:lineRule="auto"/>
              <w:jc w:val="left"/>
              <w:rPr>
                <w:rStyle w:val="84"/>
                <w:b w:val="0"/>
                <w:bCs w:val="0"/>
                <w:color w:val="auto"/>
              </w:rPr>
            </w:pPr>
            <w:r>
              <w:rPr>
                <w:rStyle w:val="84"/>
                <w:rFonts w:hint="eastAsia"/>
                <w:b w:val="0"/>
                <w:bCs w:val="0"/>
                <w:color w:val="auto"/>
              </w:rPr>
              <w:t xml:space="preserve"> </w:t>
            </w:r>
            <w:r>
              <w:rPr>
                <w:rStyle w:val="84"/>
                <w:rFonts w:hint="eastAsia"/>
                <w:b/>
                <w:bCs/>
                <w:color w:val="auto"/>
              </w:rPr>
              <w:t xml:space="preserve">   </w:t>
            </w:r>
            <w:r>
              <w:rPr>
                <w:rStyle w:val="84"/>
                <w:b/>
                <w:bCs/>
                <w:color w:val="auto"/>
              </w:rPr>
              <w:t>6</w:t>
            </w:r>
            <w:r>
              <w:rPr>
                <w:rStyle w:val="84"/>
                <w:rFonts w:hint="eastAsia"/>
                <w:b/>
                <w:bCs/>
                <w:color w:val="auto"/>
              </w:rPr>
              <w:t xml:space="preserve"> </w:t>
            </w:r>
            <w:r>
              <w:rPr>
                <w:rStyle w:val="84"/>
                <w:rFonts w:hint="eastAsia" w:cs="宋体"/>
                <w:b/>
                <w:bCs/>
                <w:color w:val="auto"/>
              </w:rPr>
              <w:t>环境风险</w:t>
            </w:r>
          </w:p>
          <w:p w14:paraId="1FE7681D">
            <w:pPr>
              <w:pStyle w:val="6"/>
              <w:spacing w:before="0" w:after="0" w:line="360" w:lineRule="auto"/>
              <w:rPr>
                <w:rStyle w:val="84"/>
                <w:rFonts w:ascii="Times New Roman" w:hAnsi="Times New Roman" w:cs="Times New Roman"/>
                <w:b w:val="0"/>
                <w:bCs w:val="0"/>
                <w:color w:val="auto"/>
              </w:rPr>
            </w:pPr>
            <w:r>
              <w:rPr>
                <w:rStyle w:val="84"/>
                <w:rFonts w:hint="eastAsia" w:ascii="Times New Roman" w:hAnsi="Times New Roman" w:cs="Times New Roman"/>
                <w:b w:val="0"/>
                <w:bCs w:val="0"/>
                <w:color w:val="auto"/>
              </w:rPr>
              <w:t xml:space="preserve">    </w:t>
            </w:r>
            <w:r>
              <w:rPr>
                <w:rStyle w:val="84"/>
                <w:rFonts w:ascii="Times New Roman" w:hAnsi="Times New Roman" w:cs="Times New Roman"/>
                <w:b/>
                <w:bCs/>
                <w:color w:val="auto"/>
              </w:rPr>
              <w:t>6.1</w:t>
            </w:r>
            <w:r>
              <w:rPr>
                <w:rStyle w:val="84"/>
                <w:rFonts w:hint="eastAsia" w:ascii="Times New Roman" w:hAnsi="Times New Roman" w:cs="宋体"/>
                <w:b/>
                <w:bCs/>
                <w:color w:val="auto"/>
              </w:rPr>
              <w:t>环境风险初判</w:t>
            </w:r>
          </w:p>
          <w:p w14:paraId="5D54CF71">
            <w:pPr>
              <w:spacing w:line="360" w:lineRule="auto"/>
              <w:ind w:firstLine="480" w:firstLineChars="200"/>
              <w:rPr>
                <w:color w:val="auto"/>
                <w:sz w:val="24"/>
                <w:szCs w:val="24"/>
              </w:rPr>
            </w:pPr>
            <w:r>
              <w:rPr>
                <w:rFonts w:hint="eastAsia"/>
                <w:color w:val="auto"/>
                <w:sz w:val="24"/>
                <w:szCs w:val="24"/>
                <w:lang w:eastAsia="zh-CN"/>
              </w:rPr>
              <w:t>本项目使用的原辅料为煤矸石、生物质燃料、固硫剂、尿素。废气污染物主要为颗粒物、二氧化硫、氮氧化物等。</w:t>
            </w:r>
            <w:r>
              <w:rPr>
                <w:rFonts w:hint="eastAsia"/>
                <w:color w:val="auto"/>
                <w:sz w:val="24"/>
                <w:szCs w:val="24"/>
              </w:rPr>
              <w:br w:type="textWrapping"/>
            </w:r>
            <w:r>
              <w:rPr>
                <w:rFonts w:hint="eastAsia"/>
                <w:color w:val="auto"/>
                <w:sz w:val="24"/>
                <w:szCs w:val="24"/>
                <w:lang w:val="en-US" w:eastAsia="zh-CN"/>
              </w:rPr>
              <w:t xml:space="preserve">    </w:t>
            </w:r>
            <w:r>
              <w:rPr>
                <w:rFonts w:hint="eastAsia"/>
                <w:color w:val="auto"/>
                <w:sz w:val="24"/>
                <w:szCs w:val="24"/>
              </w:rPr>
              <w:t>评价结合项目涉及的各类物质，逐一搜索《建设项目环境风险评价技术导则》（HJ/T169-2018）附录B，初步判定项目</w:t>
            </w:r>
            <w:r>
              <w:rPr>
                <w:rFonts w:hint="eastAsia"/>
                <w:color w:val="auto"/>
                <w:sz w:val="24"/>
                <w:szCs w:val="24"/>
                <w:lang w:eastAsia="zh-CN"/>
              </w:rPr>
              <w:t>涉及</w:t>
            </w:r>
            <w:r>
              <w:rPr>
                <w:rFonts w:hint="eastAsia"/>
                <w:color w:val="auto"/>
                <w:sz w:val="24"/>
                <w:szCs w:val="24"/>
              </w:rPr>
              <w:t>的风险物质为：</w:t>
            </w:r>
            <w:r>
              <w:rPr>
                <w:rFonts w:hint="eastAsia"/>
                <w:color w:val="auto"/>
                <w:sz w:val="24"/>
                <w:szCs w:val="24"/>
                <w:lang w:eastAsia="zh-CN"/>
              </w:rPr>
              <w:t>固硫剂、尿素</w:t>
            </w:r>
            <w:r>
              <w:rPr>
                <w:rFonts w:hint="eastAsia"/>
                <w:color w:val="auto"/>
                <w:sz w:val="24"/>
                <w:szCs w:val="24"/>
              </w:rPr>
              <w:t>。</w:t>
            </w:r>
            <w:r>
              <w:rPr>
                <w:rFonts w:hint="eastAsia"/>
                <w:color w:val="auto"/>
                <w:sz w:val="24"/>
                <w:szCs w:val="24"/>
                <w:lang w:eastAsia="zh-CN"/>
              </w:rPr>
              <w:t>固硫剂仅石灰罐内储存，最大量为</w:t>
            </w:r>
            <w:r>
              <w:rPr>
                <w:rFonts w:hint="eastAsia"/>
                <w:color w:val="auto"/>
                <w:sz w:val="24"/>
                <w:szCs w:val="24"/>
                <w:lang w:val="en-US" w:eastAsia="zh-CN"/>
              </w:rPr>
              <w:t>60t</w:t>
            </w:r>
            <w:r>
              <w:rPr>
                <w:rFonts w:hint="eastAsia"/>
                <w:color w:val="auto"/>
                <w:sz w:val="24"/>
                <w:szCs w:val="24"/>
                <w:lang w:eastAsia="zh-CN"/>
              </w:rPr>
              <w:t>，</w:t>
            </w:r>
            <w:r>
              <w:rPr>
                <w:rFonts w:hint="eastAsia"/>
                <w:color w:val="auto"/>
                <w:sz w:val="24"/>
                <w:szCs w:val="24"/>
              </w:rPr>
              <w:t>因此，项目风险源主要</w:t>
            </w:r>
            <w:r>
              <w:rPr>
                <w:rFonts w:hint="eastAsia"/>
                <w:color w:val="auto"/>
                <w:sz w:val="24"/>
                <w:szCs w:val="24"/>
                <w:lang w:eastAsia="zh-CN"/>
              </w:rPr>
              <w:t>化学品储库。</w:t>
            </w:r>
          </w:p>
          <w:p w14:paraId="7D45F37E">
            <w:pPr>
              <w:adjustRightInd w:val="0"/>
              <w:snapToGrid w:val="0"/>
              <w:spacing w:before="120" w:beforeLines="50" w:line="360" w:lineRule="auto"/>
              <w:rPr>
                <w:bCs/>
                <w:color w:val="auto"/>
                <w:sz w:val="24"/>
                <w:szCs w:val="24"/>
              </w:rPr>
            </w:pPr>
            <w:r>
              <w:rPr>
                <w:rFonts w:hint="eastAsia"/>
                <w:bCs/>
                <w:color w:val="auto"/>
                <w:sz w:val="24"/>
                <w:szCs w:val="24"/>
              </w:rPr>
              <w:t xml:space="preserve">    </w:t>
            </w:r>
            <w:r>
              <w:rPr>
                <w:rFonts w:hint="eastAsia"/>
                <w:b/>
                <w:bCs w:val="0"/>
                <w:color w:val="auto"/>
                <w:sz w:val="24"/>
                <w:szCs w:val="24"/>
              </w:rPr>
              <w:t xml:space="preserve"> 6.2风险调查</w:t>
            </w:r>
          </w:p>
          <w:p w14:paraId="22293FF7">
            <w:pPr>
              <w:bidi w:val="0"/>
              <w:spacing w:line="360" w:lineRule="auto"/>
              <w:ind w:firstLine="48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根据调查识别，拟建项目涉及到的风险物质主要为等，物料相关信息详见下表：</w:t>
            </w:r>
          </w:p>
          <w:p w14:paraId="55C3AD84">
            <w:pPr>
              <w:bidi w:val="0"/>
              <w:spacing w:line="360" w:lineRule="auto"/>
              <w:jc w:val="center"/>
              <w:rPr>
                <w:b/>
                <w:bCs/>
                <w:color w:val="auto"/>
              </w:rPr>
            </w:pPr>
            <w:r>
              <w:rPr>
                <w:rFonts w:hint="eastAsia"/>
                <w:b/>
                <w:bCs/>
                <w:color w:val="auto"/>
              </w:rPr>
              <w:t>表4</w:t>
            </w:r>
            <w:r>
              <w:rPr>
                <w:rFonts w:hint="eastAsia"/>
                <w:b/>
                <w:bCs/>
                <w:color w:val="auto"/>
                <w:lang w:val="en-US" w:eastAsia="zh-CN"/>
              </w:rPr>
              <w:t xml:space="preserve">-14 </w:t>
            </w:r>
            <w:r>
              <w:rPr>
                <w:b/>
                <w:bCs/>
                <w:color w:val="auto"/>
              </w:rPr>
              <w:t>项目主要风险物质识别表</w:t>
            </w:r>
          </w:p>
          <w:tbl>
            <w:tblPr>
              <w:tblStyle w:val="37"/>
              <w:tblW w:w="7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1281"/>
              <w:gridCol w:w="1113"/>
              <w:gridCol w:w="1281"/>
              <w:gridCol w:w="1718"/>
            </w:tblGrid>
            <w:tr w14:paraId="206D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370" w:type="dxa"/>
                  <w:tcBorders>
                    <w:top w:val="single" w:color="auto" w:sz="4" w:space="0"/>
                    <w:left w:val="single" w:color="auto" w:sz="4" w:space="0"/>
                    <w:bottom w:val="single" w:color="auto" w:sz="4" w:space="0"/>
                    <w:right w:val="single" w:color="auto" w:sz="4" w:space="0"/>
                  </w:tcBorders>
                  <w:noWrap w:val="0"/>
                  <w:vAlign w:val="center"/>
                </w:tcPr>
                <w:p w14:paraId="4F627824">
                  <w:pPr>
                    <w:jc w:val="center"/>
                    <w:rPr>
                      <w:color w:val="auto"/>
                    </w:rPr>
                  </w:pPr>
                  <w:r>
                    <w:rPr>
                      <w:color w:val="auto"/>
                    </w:rPr>
                    <w:t>物料名称</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5DE96468">
                  <w:pPr>
                    <w:jc w:val="center"/>
                    <w:rPr>
                      <w:color w:val="auto"/>
                    </w:rPr>
                  </w:pPr>
                  <w:r>
                    <w:rPr>
                      <w:color w:val="auto"/>
                    </w:rPr>
                    <w:t>CAS号</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6A1FA9A3">
                  <w:pPr>
                    <w:jc w:val="center"/>
                    <w:rPr>
                      <w:color w:val="auto"/>
                    </w:rPr>
                  </w:pPr>
                  <w:r>
                    <w:rPr>
                      <w:color w:val="auto"/>
                    </w:rPr>
                    <w:t>临界量</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5CA56F74">
                  <w:pPr>
                    <w:jc w:val="center"/>
                    <w:rPr>
                      <w:color w:val="auto"/>
                    </w:rPr>
                  </w:pPr>
                  <w:r>
                    <w:rPr>
                      <w:color w:val="auto"/>
                    </w:rPr>
                    <w:t>年用量</w:t>
                  </w:r>
                  <w:r>
                    <w:rPr>
                      <w:rFonts w:hint="eastAsia"/>
                      <w:color w:val="auto"/>
                      <w:lang w:eastAsia="zh-CN"/>
                    </w:rPr>
                    <w:t>（</w:t>
                  </w:r>
                  <w:r>
                    <w:rPr>
                      <w:rFonts w:hint="eastAsia" w:cs="Times New Roman"/>
                      <w:color w:val="auto"/>
                      <w:kern w:val="2"/>
                      <w:sz w:val="21"/>
                      <w:szCs w:val="21"/>
                      <w:lang w:val="en-US" w:eastAsia="zh-CN" w:bidi="ar-SA"/>
                    </w:rPr>
                    <w:t>t</w:t>
                  </w:r>
                  <w:r>
                    <w:rPr>
                      <w:rFonts w:hint="eastAsia"/>
                      <w:color w:val="auto"/>
                      <w:lang w:eastAsia="zh-CN"/>
                    </w:rPr>
                    <w:t>）</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7458793E">
                  <w:pPr>
                    <w:jc w:val="center"/>
                    <w:rPr>
                      <w:color w:val="auto"/>
                    </w:rPr>
                  </w:pPr>
                  <w:r>
                    <w:rPr>
                      <w:color w:val="auto"/>
                    </w:rPr>
                    <w:t>最大储量</w:t>
                  </w:r>
                  <w:r>
                    <w:rPr>
                      <w:rFonts w:hint="eastAsia"/>
                      <w:color w:val="auto"/>
                      <w:lang w:eastAsia="zh-CN"/>
                    </w:rPr>
                    <w:t>（</w:t>
                  </w:r>
                  <w:r>
                    <w:rPr>
                      <w:rFonts w:hint="eastAsia" w:cs="Times New Roman"/>
                      <w:color w:val="auto"/>
                      <w:kern w:val="2"/>
                      <w:sz w:val="21"/>
                      <w:szCs w:val="21"/>
                      <w:lang w:val="en-US" w:eastAsia="zh-CN" w:bidi="ar-SA"/>
                    </w:rPr>
                    <w:t>t</w:t>
                  </w:r>
                  <w:r>
                    <w:rPr>
                      <w:rFonts w:hint="eastAsia"/>
                      <w:color w:val="auto"/>
                      <w:lang w:eastAsia="zh-CN"/>
                    </w:rPr>
                    <w:t>）</w:t>
                  </w:r>
                </w:p>
              </w:tc>
            </w:tr>
            <w:tr w14:paraId="7281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370" w:type="dxa"/>
                  <w:tcBorders>
                    <w:top w:val="single" w:color="auto" w:sz="4" w:space="0"/>
                    <w:left w:val="single" w:color="auto" w:sz="4" w:space="0"/>
                    <w:bottom w:val="single" w:color="auto" w:sz="4" w:space="0"/>
                    <w:right w:val="single" w:color="auto" w:sz="4" w:space="0"/>
                  </w:tcBorders>
                  <w:noWrap w:val="0"/>
                  <w:vAlign w:val="center"/>
                </w:tcPr>
                <w:p w14:paraId="30D8D831">
                  <w:pPr>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固硫剂</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0F6E7BAB">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1305-78-8</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6FCA27E1">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100</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3EB13122">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1000</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612BC67C">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60</w:t>
                  </w:r>
                </w:p>
              </w:tc>
            </w:tr>
            <w:tr w14:paraId="307B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370" w:type="dxa"/>
                  <w:tcBorders>
                    <w:top w:val="single" w:color="auto" w:sz="4" w:space="0"/>
                    <w:left w:val="single" w:color="auto" w:sz="4" w:space="0"/>
                    <w:bottom w:val="single" w:color="auto" w:sz="4" w:space="0"/>
                    <w:right w:val="single" w:color="auto" w:sz="4" w:space="0"/>
                  </w:tcBorders>
                  <w:noWrap w:val="0"/>
                  <w:vAlign w:val="center"/>
                </w:tcPr>
                <w:p w14:paraId="3DF684D5">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尿素</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56147B38">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57-13-6</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6DACB343">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100</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3359ED3F">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300</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3680B74D">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w:t>
                  </w:r>
                </w:p>
              </w:tc>
            </w:tr>
          </w:tbl>
          <w:p w14:paraId="464ABBA9">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482" w:firstLineChars="200"/>
              <w:textAlignment w:val="auto"/>
              <w:rPr>
                <w:b/>
                <w:bCs w:val="0"/>
                <w:color w:val="auto"/>
                <w:sz w:val="24"/>
                <w:szCs w:val="24"/>
              </w:rPr>
            </w:pPr>
            <w:r>
              <w:rPr>
                <w:rFonts w:hint="eastAsia"/>
                <w:b/>
                <w:bCs w:val="0"/>
                <w:color w:val="auto"/>
                <w:sz w:val="24"/>
                <w:szCs w:val="24"/>
              </w:rPr>
              <w:t>6.3环境风险识别</w:t>
            </w:r>
          </w:p>
          <w:p w14:paraId="1AD2F5D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rPr>
            </w:pPr>
            <w:r>
              <w:rPr>
                <w:rFonts w:hint="eastAsia"/>
                <w:color w:val="auto"/>
                <w:sz w:val="24"/>
                <w:szCs w:val="24"/>
              </w:rPr>
              <w:t>据《建设项目环境风险评价技术导则》（HJ169-2018），进行环境风险评价工作等级的判定。</w:t>
            </w:r>
          </w:p>
          <w:p w14:paraId="7AC0804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rPr>
            </w:pPr>
            <w:r>
              <w:rPr>
                <w:rFonts w:hint="eastAsia"/>
                <w:color w:val="auto"/>
                <w:sz w:val="24"/>
                <w:szCs w:val="24"/>
              </w:rPr>
              <w:t>（1）危险物质数量及临界量比值（Q）</w:t>
            </w:r>
          </w:p>
          <w:p w14:paraId="60994A66">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auto"/>
                <w:sz w:val="24"/>
                <w:szCs w:val="24"/>
              </w:rPr>
            </w:pPr>
            <w:r>
              <w:rPr>
                <w:rFonts w:hint="eastAsia"/>
                <w:color w:val="auto"/>
                <w:sz w:val="24"/>
                <w:szCs w:val="24"/>
              </w:rPr>
              <w:t>依据《建设项目环境风险评价技术导则》（HJ169-2018）</w:t>
            </w:r>
            <w:r>
              <w:rPr>
                <w:color w:val="auto"/>
                <w:sz w:val="24"/>
                <w:szCs w:val="24"/>
              </w:rPr>
              <w:t>计算所涉及的每种危险物质在厂界内的最大存在总量与其在附录B中对应临界量的比值Q。在不同厂区的同一种物质，按其在厂界内的最大存在总量计算。按照根据《建设项目环境风险评价技术导则》（HJ169-2018）附录C，当存在多种危险物质时，Q按下式进行计算：</w:t>
            </w:r>
          </w:p>
          <w:p w14:paraId="370D8DF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rPr>
            </w:pPr>
            <w:r>
              <w:rPr>
                <w:rFonts w:hint="eastAsia"/>
                <w:color w:val="auto"/>
                <w:sz w:val="24"/>
                <w:szCs w:val="24"/>
              </w:rPr>
              <w:t>当存在多种危险物质时，按下式计算物质总量与其临界量比值：</w:t>
            </w:r>
          </w:p>
          <w:p w14:paraId="0E241FEF">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auto"/>
                <w:sz w:val="24"/>
                <w:szCs w:val="24"/>
              </w:rPr>
            </w:pPr>
            <w:r>
              <w:rPr>
                <w:color w:val="auto"/>
                <w:sz w:val="24"/>
                <w:szCs w:val="24"/>
              </w:rPr>
              <w:t>Q=</w:t>
            </w:r>
            <w:r>
              <w:rPr>
                <w:rFonts w:hint="eastAsia"/>
                <w:color w:val="auto"/>
                <w:sz w:val="24"/>
                <w:szCs w:val="24"/>
              </w:rPr>
              <w:t>q</w:t>
            </w:r>
            <w:r>
              <w:rPr>
                <w:color w:val="auto"/>
                <w:sz w:val="24"/>
                <w:szCs w:val="24"/>
              </w:rPr>
              <w:t>1/Q1+q2/Q2+……+ qn/Qn</w:t>
            </w:r>
          </w:p>
          <w:p w14:paraId="6332840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rPr>
            </w:pPr>
            <w:r>
              <w:rPr>
                <w:rFonts w:hint="eastAsia"/>
                <w:color w:val="auto"/>
                <w:sz w:val="24"/>
                <w:szCs w:val="24"/>
              </w:rPr>
              <w:t>式中：q1，q2，…，qn——每种危险物质的最大存在总量，t；</w:t>
            </w:r>
          </w:p>
          <w:p w14:paraId="532E8C6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rPr>
            </w:pPr>
            <w:r>
              <w:rPr>
                <w:rFonts w:hint="eastAsia"/>
                <w:color w:val="auto"/>
                <w:sz w:val="24"/>
                <w:szCs w:val="24"/>
              </w:rPr>
              <w:t>Q1，Q2，…，Qn——每种危险物质的临界量，t；</w:t>
            </w:r>
          </w:p>
          <w:p w14:paraId="4A9410C2">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auto"/>
                <w:sz w:val="24"/>
                <w:szCs w:val="24"/>
              </w:rPr>
            </w:pPr>
            <w:r>
              <w:rPr>
                <w:color w:val="auto"/>
                <w:sz w:val="24"/>
                <w:szCs w:val="24"/>
              </w:rPr>
              <w:t>当Q＜1时，该项目环境风险潜势为Ⅰ，当Q≥1时，将Q值划分为：（1）1≤Q＜10；（1）10≤Q＜100；（1）Q≥100。</w:t>
            </w:r>
          </w:p>
          <w:p w14:paraId="09481B6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eastAsia="宋体" w:cs="宋体"/>
                <w:color w:val="auto"/>
                <w:sz w:val="24"/>
                <w:szCs w:val="24"/>
              </w:rPr>
            </w:pPr>
            <w:r>
              <w:rPr>
                <w:rFonts w:hint="eastAsia" w:eastAsia="宋体" w:cs="宋体"/>
                <w:color w:val="auto"/>
                <w:sz w:val="24"/>
                <w:szCs w:val="24"/>
              </w:rPr>
              <w:t>项目</w:t>
            </w:r>
            <w:r>
              <w:rPr>
                <w:rFonts w:eastAsia="宋体" w:cs="宋体"/>
                <w:color w:val="auto"/>
                <w:sz w:val="24"/>
                <w:szCs w:val="24"/>
              </w:rPr>
              <w:t>Q值计算详见下表：</w:t>
            </w:r>
          </w:p>
          <w:p w14:paraId="608C8B5A">
            <w:pPr>
              <w:keepNext/>
              <w:keepLines/>
              <w:tabs>
                <w:tab w:val="left" w:pos="0"/>
                <w:tab w:val="left" w:pos="180"/>
                <w:tab w:val="left" w:pos="1418"/>
                <w:tab w:val="left" w:pos="2976"/>
              </w:tabs>
              <w:spacing w:line="360" w:lineRule="auto"/>
              <w:jc w:val="center"/>
              <w:outlineLvl w:val="7"/>
              <w:rPr>
                <w:rFonts w:hint="eastAsia"/>
                <w:b/>
                <w:bCs/>
                <w:color w:val="auto"/>
              </w:rPr>
            </w:pPr>
            <w:r>
              <w:rPr>
                <w:b/>
                <w:bCs/>
                <w:color w:val="auto"/>
              </w:rPr>
              <w:t>表</w:t>
            </w:r>
            <w:r>
              <w:rPr>
                <w:rFonts w:hint="eastAsia"/>
                <w:b/>
                <w:bCs/>
                <w:color w:val="auto"/>
              </w:rPr>
              <w:t>4-</w:t>
            </w:r>
            <w:r>
              <w:rPr>
                <w:rFonts w:hint="eastAsia"/>
                <w:b/>
                <w:bCs/>
                <w:color w:val="auto"/>
                <w:lang w:val="en-US" w:eastAsia="zh-CN"/>
              </w:rPr>
              <w:t>15</w:t>
            </w:r>
            <w:r>
              <w:rPr>
                <w:rFonts w:hint="eastAsia"/>
                <w:b/>
                <w:bCs/>
                <w:color w:val="auto"/>
              </w:rPr>
              <w:t xml:space="preserve">  建设项目Q值确定表</w:t>
            </w:r>
          </w:p>
          <w:tbl>
            <w:tblPr>
              <w:tblStyle w:val="37"/>
              <w:tblW w:w="4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1255"/>
              <w:gridCol w:w="1495"/>
              <w:gridCol w:w="1290"/>
              <w:gridCol w:w="1374"/>
            </w:tblGrid>
            <w:tr w14:paraId="609B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08" w:type="pct"/>
                  <w:noWrap w:val="0"/>
                  <w:vAlign w:val="center"/>
                </w:tcPr>
                <w:p w14:paraId="6DFFC415">
                  <w:pPr>
                    <w:pStyle w:val="14"/>
                    <w:spacing w:after="0"/>
                    <w:ind w:left="0" w:leftChars="0"/>
                    <w:jc w:val="center"/>
                    <w:rPr>
                      <w:rFonts w:hint="eastAsia"/>
                      <w:color w:val="auto"/>
                      <w:sz w:val="21"/>
                      <w:szCs w:val="21"/>
                      <w:lang w:val="en-US" w:eastAsia="zh-CN"/>
                    </w:rPr>
                  </w:pPr>
                  <w:r>
                    <w:rPr>
                      <w:rFonts w:hint="eastAsia"/>
                      <w:color w:val="auto"/>
                      <w:sz w:val="21"/>
                      <w:szCs w:val="21"/>
                      <w:lang w:val="en-US" w:eastAsia="zh-CN"/>
                    </w:rPr>
                    <w:t>物质名称</w:t>
                  </w:r>
                </w:p>
              </w:tc>
              <w:tc>
                <w:tcPr>
                  <w:tcW w:w="832" w:type="pct"/>
                  <w:noWrap w:val="0"/>
                  <w:vAlign w:val="center"/>
                </w:tcPr>
                <w:p w14:paraId="61222CB7">
                  <w:pPr>
                    <w:pStyle w:val="14"/>
                    <w:spacing w:after="0"/>
                    <w:ind w:left="0" w:leftChars="0"/>
                    <w:jc w:val="center"/>
                    <w:rPr>
                      <w:rFonts w:hint="eastAsia"/>
                      <w:color w:val="auto"/>
                      <w:sz w:val="21"/>
                      <w:szCs w:val="21"/>
                      <w:lang w:val="en-US" w:eastAsia="zh-CN"/>
                    </w:rPr>
                  </w:pPr>
                  <w:r>
                    <w:rPr>
                      <w:rFonts w:hint="eastAsia"/>
                      <w:color w:val="auto"/>
                      <w:sz w:val="21"/>
                      <w:szCs w:val="21"/>
                      <w:lang w:val="en-US" w:eastAsia="zh-CN"/>
                    </w:rPr>
                    <w:t>CAS号</w:t>
                  </w:r>
                </w:p>
              </w:tc>
              <w:tc>
                <w:tcPr>
                  <w:tcW w:w="991" w:type="pct"/>
                  <w:noWrap w:val="0"/>
                  <w:vAlign w:val="center"/>
                </w:tcPr>
                <w:p w14:paraId="724702BC">
                  <w:pPr>
                    <w:pStyle w:val="14"/>
                    <w:spacing w:after="0"/>
                    <w:ind w:left="0" w:leftChars="0"/>
                    <w:jc w:val="center"/>
                    <w:rPr>
                      <w:rFonts w:hint="eastAsia"/>
                      <w:color w:val="auto"/>
                      <w:sz w:val="21"/>
                      <w:szCs w:val="21"/>
                      <w:lang w:val="en-US" w:eastAsia="zh-CN"/>
                    </w:rPr>
                  </w:pPr>
                  <w:r>
                    <w:rPr>
                      <w:rFonts w:hint="eastAsia"/>
                      <w:color w:val="auto"/>
                      <w:sz w:val="21"/>
                      <w:szCs w:val="21"/>
                      <w:lang w:val="en-US" w:eastAsia="zh-CN"/>
                    </w:rPr>
                    <w:t>最大存储总量qn/t</w:t>
                  </w:r>
                </w:p>
              </w:tc>
              <w:tc>
                <w:tcPr>
                  <w:tcW w:w="855" w:type="pct"/>
                  <w:noWrap w:val="0"/>
                  <w:vAlign w:val="center"/>
                </w:tcPr>
                <w:p w14:paraId="1A704B7E">
                  <w:pPr>
                    <w:pStyle w:val="14"/>
                    <w:spacing w:after="0"/>
                    <w:ind w:left="0" w:leftChars="0"/>
                    <w:jc w:val="center"/>
                    <w:rPr>
                      <w:rFonts w:hint="eastAsia"/>
                      <w:color w:val="auto"/>
                      <w:sz w:val="21"/>
                      <w:szCs w:val="21"/>
                      <w:lang w:val="en-US" w:eastAsia="zh-CN"/>
                    </w:rPr>
                  </w:pPr>
                  <w:r>
                    <w:rPr>
                      <w:rFonts w:hint="eastAsia"/>
                      <w:color w:val="auto"/>
                      <w:sz w:val="21"/>
                      <w:szCs w:val="21"/>
                      <w:lang w:val="en-US" w:eastAsia="zh-CN"/>
                    </w:rPr>
                    <w:t>临界量Qn/t</w:t>
                  </w:r>
                </w:p>
              </w:tc>
              <w:tc>
                <w:tcPr>
                  <w:tcW w:w="911" w:type="pct"/>
                  <w:noWrap w:val="0"/>
                  <w:vAlign w:val="center"/>
                </w:tcPr>
                <w:p w14:paraId="140A6AAB">
                  <w:pPr>
                    <w:pStyle w:val="14"/>
                    <w:spacing w:after="0"/>
                    <w:ind w:left="0" w:leftChars="0"/>
                    <w:jc w:val="center"/>
                    <w:rPr>
                      <w:rFonts w:hint="eastAsia"/>
                      <w:color w:val="auto"/>
                      <w:sz w:val="21"/>
                      <w:szCs w:val="21"/>
                      <w:lang w:val="en-US" w:eastAsia="zh-CN"/>
                    </w:rPr>
                  </w:pPr>
                  <w:r>
                    <w:rPr>
                      <w:rFonts w:hint="eastAsia"/>
                      <w:color w:val="auto"/>
                      <w:sz w:val="21"/>
                      <w:szCs w:val="21"/>
                      <w:lang w:val="en-US" w:eastAsia="zh-CN"/>
                    </w:rPr>
                    <w:t>该种危险物质Q值</w:t>
                  </w:r>
                </w:p>
              </w:tc>
            </w:tr>
            <w:tr w14:paraId="2436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08" w:type="pct"/>
                  <w:noWrap w:val="0"/>
                  <w:vAlign w:val="center"/>
                </w:tcPr>
                <w:p w14:paraId="6F7D549C">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固硫剂</w:t>
                  </w:r>
                </w:p>
              </w:tc>
              <w:tc>
                <w:tcPr>
                  <w:tcW w:w="832" w:type="pct"/>
                  <w:noWrap w:val="0"/>
                  <w:vAlign w:val="center"/>
                </w:tcPr>
                <w:p w14:paraId="612DD892">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1305-78-8</w:t>
                  </w:r>
                </w:p>
              </w:tc>
              <w:tc>
                <w:tcPr>
                  <w:tcW w:w="991" w:type="pct"/>
                  <w:noWrap w:val="0"/>
                  <w:vAlign w:val="center"/>
                </w:tcPr>
                <w:p w14:paraId="1B955CD7">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60</w:t>
                  </w:r>
                </w:p>
              </w:tc>
              <w:tc>
                <w:tcPr>
                  <w:tcW w:w="855" w:type="pct"/>
                  <w:noWrap w:val="0"/>
                  <w:vAlign w:val="center"/>
                </w:tcPr>
                <w:p w14:paraId="21ACCB8A">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100</w:t>
                  </w:r>
                </w:p>
              </w:tc>
              <w:tc>
                <w:tcPr>
                  <w:tcW w:w="911" w:type="pct"/>
                  <w:noWrap w:val="0"/>
                  <w:vAlign w:val="center"/>
                </w:tcPr>
                <w:p w14:paraId="3174638D">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6</w:t>
                  </w:r>
                </w:p>
              </w:tc>
            </w:tr>
            <w:tr w14:paraId="05EC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08" w:type="pct"/>
                  <w:noWrap w:val="0"/>
                  <w:vAlign w:val="center"/>
                </w:tcPr>
                <w:p w14:paraId="0CA75DE6">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尿素</w:t>
                  </w:r>
                </w:p>
              </w:tc>
              <w:tc>
                <w:tcPr>
                  <w:tcW w:w="832" w:type="pct"/>
                  <w:noWrap w:val="0"/>
                  <w:vAlign w:val="center"/>
                </w:tcPr>
                <w:p w14:paraId="05DCB5FC">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57-13-6</w:t>
                  </w:r>
                </w:p>
              </w:tc>
              <w:tc>
                <w:tcPr>
                  <w:tcW w:w="991" w:type="pct"/>
                  <w:noWrap w:val="0"/>
                  <w:vAlign w:val="center"/>
                </w:tcPr>
                <w:p w14:paraId="3CF3538B">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w:t>
                  </w:r>
                </w:p>
              </w:tc>
              <w:tc>
                <w:tcPr>
                  <w:tcW w:w="855" w:type="pct"/>
                  <w:noWrap w:val="0"/>
                  <w:vAlign w:val="center"/>
                </w:tcPr>
                <w:p w14:paraId="7418C7B5">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100</w:t>
                  </w:r>
                </w:p>
              </w:tc>
              <w:tc>
                <w:tcPr>
                  <w:tcW w:w="911" w:type="pct"/>
                  <w:noWrap w:val="0"/>
                  <w:vAlign w:val="center"/>
                </w:tcPr>
                <w:p w14:paraId="33079C8C">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0.05</w:t>
                  </w:r>
                </w:p>
              </w:tc>
            </w:tr>
            <w:tr w14:paraId="1CB8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088" w:type="pct"/>
                  <w:gridSpan w:val="4"/>
                  <w:noWrap w:val="0"/>
                  <w:vAlign w:val="center"/>
                </w:tcPr>
                <w:p w14:paraId="37887A10">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合计</w:t>
                  </w:r>
                </w:p>
              </w:tc>
              <w:tc>
                <w:tcPr>
                  <w:tcW w:w="911" w:type="pct"/>
                  <w:noWrap w:val="0"/>
                  <w:vAlign w:val="center"/>
                </w:tcPr>
                <w:p w14:paraId="53CB5487">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6</w:t>
                  </w:r>
                  <w:r>
                    <w:rPr>
                      <w:rFonts w:hint="eastAsia" w:ascii="Times New Roman" w:hAnsi="Times New Roman" w:eastAsia="宋体" w:cs="Times New Roman"/>
                      <w:color w:val="auto"/>
                      <w:lang w:val="en-US" w:eastAsia="zh-CN"/>
                    </w:rPr>
                    <w:t>5</w:t>
                  </w:r>
                </w:p>
              </w:tc>
            </w:tr>
          </w:tbl>
          <w:p w14:paraId="0C04C925">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由上表可知，本项目</w:t>
            </w:r>
            <w:r>
              <w:rPr>
                <w:rFonts w:ascii="Times New Roman" w:hAnsi="Times New Roman" w:eastAsia="宋体" w:cs="Times New Roman"/>
                <w:color w:val="auto"/>
                <w:sz w:val="24"/>
                <w:szCs w:val="24"/>
                <w:lang w:val="en-US" w:eastAsia="zh-CN"/>
              </w:rPr>
              <w:t>Q</w:t>
            </w:r>
            <w:r>
              <w:rPr>
                <w:rFonts w:hint="eastAsia" w:cs="Times New Roman"/>
                <w:color w:val="auto"/>
                <w:sz w:val="24"/>
                <w:szCs w:val="24"/>
                <w:lang w:val="en-US" w:eastAsia="zh-CN"/>
              </w:rPr>
              <w:t>=</w:t>
            </w:r>
            <w:r>
              <w:rPr>
                <w:rFonts w:hint="eastAsia" w:ascii="Times New Roman" w:hAnsi="Times New Roman" w:eastAsia="宋体" w:cs="Times New Roman"/>
                <w:color w:val="auto"/>
                <w:lang w:val="en-US" w:eastAsia="zh-CN"/>
              </w:rPr>
              <w:t>0.</w:t>
            </w:r>
            <w:r>
              <w:rPr>
                <w:rFonts w:hint="eastAsia" w:cs="Times New Roman"/>
                <w:color w:val="auto"/>
                <w:lang w:val="en-US" w:eastAsia="zh-CN"/>
              </w:rPr>
              <w:t>6</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sz w:val="24"/>
                <w:szCs w:val="24"/>
                <w:lang w:val="en-US" w:eastAsia="zh-CN"/>
              </w:rPr>
              <w:t>＜1，因此该项目环境风险潜势为Ⅰ，</w:t>
            </w:r>
            <w:r>
              <w:rPr>
                <w:rFonts w:hint="eastAsia" w:ascii="Times New Roman" w:hAnsi="Times New Roman" w:eastAsia="宋体" w:cs="Times New Roman"/>
                <w:color w:val="auto"/>
                <w:sz w:val="24"/>
                <w:szCs w:val="24"/>
                <w:lang w:val="en-US" w:eastAsia="zh-CN"/>
              </w:rPr>
              <w:t>仅对环境风险进行简单分析。</w:t>
            </w:r>
          </w:p>
          <w:p w14:paraId="3418650F">
            <w:pPr>
              <w:spacing w:line="360" w:lineRule="auto"/>
              <w:ind w:firstLine="482" w:firstLineChars="200"/>
              <w:rPr>
                <w:rFonts w:hint="eastAsia"/>
                <w:b/>
                <w:bCs/>
                <w:color w:val="auto"/>
                <w:sz w:val="24"/>
                <w:szCs w:val="24"/>
              </w:rPr>
            </w:pPr>
            <w:r>
              <w:rPr>
                <w:rFonts w:hint="eastAsia"/>
                <w:b/>
                <w:bCs w:val="0"/>
                <w:color w:val="auto"/>
                <w:sz w:val="24"/>
                <w:szCs w:val="24"/>
              </w:rPr>
              <w:t>6.</w:t>
            </w:r>
            <w:r>
              <w:rPr>
                <w:rFonts w:hint="eastAsia"/>
                <w:b/>
                <w:bCs w:val="0"/>
                <w:color w:val="auto"/>
                <w:sz w:val="24"/>
                <w:szCs w:val="24"/>
                <w:lang w:val="en-US" w:eastAsia="zh-CN"/>
              </w:rPr>
              <w:t>4</w:t>
            </w:r>
            <w:r>
              <w:rPr>
                <w:rFonts w:hint="eastAsia"/>
                <w:b/>
                <w:bCs/>
                <w:color w:val="auto"/>
                <w:sz w:val="24"/>
                <w:szCs w:val="24"/>
              </w:rPr>
              <w:t>环境风险分析</w:t>
            </w:r>
          </w:p>
          <w:p w14:paraId="7CC4112C">
            <w:pPr>
              <w:spacing w:line="360" w:lineRule="auto"/>
              <w:ind w:firstLine="480" w:firstLineChars="200"/>
              <w:rPr>
                <w:rFonts w:hint="eastAsia"/>
                <w:color w:val="auto"/>
                <w:sz w:val="24"/>
                <w:szCs w:val="24"/>
              </w:rPr>
            </w:pPr>
            <w:r>
              <w:rPr>
                <w:rFonts w:hint="eastAsia"/>
                <w:color w:val="auto"/>
                <w:sz w:val="24"/>
                <w:szCs w:val="24"/>
              </w:rPr>
              <w:t>项目运营可能的风险事故见下表：</w:t>
            </w:r>
          </w:p>
          <w:p w14:paraId="0E7B8293">
            <w:pPr>
              <w:keepNext/>
              <w:keepLines/>
              <w:tabs>
                <w:tab w:val="left" w:pos="0"/>
                <w:tab w:val="left" w:pos="180"/>
                <w:tab w:val="left" w:pos="1418"/>
                <w:tab w:val="left" w:pos="2976"/>
              </w:tabs>
              <w:spacing w:line="360" w:lineRule="auto"/>
              <w:jc w:val="center"/>
              <w:outlineLvl w:val="7"/>
              <w:rPr>
                <w:b/>
                <w:bCs/>
                <w:color w:val="auto"/>
              </w:rPr>
            </w:pPr>
            <w:r>
              <w:rPr>
                <w:rFonts w:hint="eastAsia"/>
                <w:b/>
                <w:bCs/>
                <w:color w:val="auto"/>
              </w:rPr>
              <w:t>表4</w:t>
            </w:r>
            <w:r>
              <w:rPr>
                <w:b/>
                <w:bCs/>
                <w:color w:val="auto"/>
              </w:rPr>
              <w:t>-</w:t>
            </w:r>
            <w:r>
              <w:rPr>
                <w:rFonts w:hint="eastAsia"/>
                <w:b/>
                <w:bCs/>
                <w:color w:val="auto"/>
                <w:lang w:val="en-US" w:eastAsia="zh-CN"/>
              </w:rPr>
              <w:t xml:space="preserve">16 </w:t>
            </w:r>
            <w:r>
              <w:rPr>
                <w:b/>
                <w:bCs/>
                <w:color w:val="auto"/>
              </w:rPr>
              <w:t>项目存在的环境事故类型</w:t>
            </w:r>
          </w:p>
          <w:tbl>
            <w:tblPr>
              <w:tblStyle w:val="37"/>
              <w:tblW w:w="7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783"/>
              <w:gridCol w:w="1053"/>
              <w:gridCol w:w="1424"/>
              <w:gridCol w:w="2708"/>
              <w:gridCol w:w="1370"/>
            </w:tblGrid>
            <w:tr w14:paraId="243E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640" w:type="dxa"/>
                  <w:tcBorders>
                    <w:top w:val="single" w:color="auto" w:sz="4" w:space="0"/>
                    <w:left w:val="single" w:color="auto" w:sz="4" w:space="0"/>
                    <w:bottom w:val="single" w:color="auto" w:sz="4" w:space="0"/>
                    <w:right w:val="single" w:color="auto" w:sz="4" w:space="0"/>
                  </w:tcBorders>
                  <w:noWrap w:val="0"/>
                  <w:vAlign w:val="center"/>
                </w:tcPr>
                <w:p w14:paraId="57C0C3C5">
                  <w:pPr>
                    <w:jc w:val="center"/>
                    <w:rPr>
                      <w:color w:val="auto"/>
                    </w:rPr>
                  </w:pPr>
                  <w:r>
                    <w:rPr>
                      <w:color w:val="auto"/>
                    </w:rPr>
                    <w:t>系统名称</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2870D08D">
                  <w:pPr>
                    <w:jc w:val="center"/>
                    <w:rPr>
                      <w:color w:val="auto"/>
                    </w:rPr>
                  </w:pPr>
                  <w:r>
                    <w:rPr>
                      <w:color w:val="auto"/>
                    </w:rPr>
                    <w:t>危险单元</w:t>
                  </w:r>
                </w:p>
              </w:tc>
              <w:tc>
                <w:tcPr>
                  <w:tcW w:w="1053" w:type="dxa"/>
                  <w:tcBorders>
                    <w:top w:val="single" w:color="auto" w:sz="4" w:space="0"/>
                    <w:left w:val="single" w:color="auto" w:sz="4" w:space="0"/>
                    <w:bottom w:val="single" w:color="auto" w:sz="4" w:space="0"/>
                    <w:right w:val="single" w:color="auto" w:sz="4" w:space="0"/>
                  </w:tcBorders>
                  <w:noWrap w:val="0"/>
                  <w:vAlign w:val="center"/>
                </w:tcPr>
                <w:p w14:paraId="0403274F">
                  <w:pPr>
                    <w:jc w:val="center"/>
                    <w:rPr>
                      <w:color w:val="auto"/>
                    </w:rPr>
                  </w:pPr>
                  <w:r>
                    <w:rPr>
                      <w:color w:val="auto"/>
                    </w:rPr>
                    <w:t>主要危险物质</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57F89AF1">
                  <w:pPr>
                    <w:jc w:val="center"/>
                    <w:rPr>
                      <w:color w:val="auto"/>
                    </w:rPr>
                  </w:pPr>
                  <w:r>
                    <w:rPr>
                      <w:color w:val="auto"/>
                    </w:rPr>
                    <w:t>环境风险类型</w:t>
                  </w:r>
                </w:p>
              </w:tc>
              <w:tc>
                <w:tcPr>
                  <w:tcW w:w="2708" w:type="dxa"/>
                  <w:tcBorders>
                    <w:top w:val="single" w:color="auto" w:sz="4" w:space="0"/>
                    <w:left w:val="single" w:color="auto" w:sz="4" w:space="0"/>
                    <w:bottom w:val="single" w:color="auto" w:sz="4" w:space="0"/>
                    <w:right w:val="single" w:color="auto" w:sz="4" w:space="0"/>
                  </w:tcBorders>
                  <w:noWrap w:val="0"/>
                  <w:vAlign w:val="center"/>
                </w:tcPr>
                <w:p w14:paraId="08E03DCA">
                  <w:pPr>
                    <w:jc w:val="center"/>
                    <w:rPr>
                      <w:color w:val="auto"/>
                    </w:rPr>
                  </w:pPr>
                  <w:r>
                    <w:rPr>
                      <w:color w:val="auto"/>
                    </w:rPr>
                    <w:t>环境影响途径</w:t>
                  </w:r>
                </w:p>
              </w:tc>
              <w:tc>
                <w:tcPr>
                  <w:tcW w:w="1370" w:type="dxa"/>
                  <w:tcBorders>
                    <w:top w:val="single" w:color="auto" w:sz="4" w:space="0"/>
                    <w:left w:val="single" w:color="auto" w:sz="4" w:space="0"/>
                    <w:bottom w:val="single" w:color="auto" w:sz="4" w:space="0"/>
                    <w:right w:val="single" w:color="auto" w:sz="4" w:space="0"/>
                  </w:tcBorders>
                  <w:noWrap w:val="0"/>
                  <w:vAlign w:val="center"/>
                </w:tcPr>
                <w:p w14:paraId="181F83C1">
                  <w:pPr>
                    <w:jc w:val="center"/>
                    <w:rPr>
                      <w:color w:val="auto"/>
                    </w:rPr>
                  </w:pPr>
                  <w:r>
                    <w:rPr>
                      <w:color w:val="auto"/>
                    </w:rPr>
                    <w:t>可能受影响的环境敏感目标</w:t>
                  </w:r>
                </w:p>
              </w:tc>
            </w:tr>
            <w:tr w14:paraId="20D9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0" w:type="dxa"/>
                  <w:vMerge w:val="restart"/>
                  <w:tcBorders>
                    <w:top w:val="single" w:color="auto" w:sz="4" w:space="0"/>
                    <w:left w:val="single" w:color="auto" w:sz="4" w:space="0"/>
                    <w:right w:val="single" w:color="auto" w:sz="4" w:space="0"/>
                  </w:tcBorders>
                  <w:noWrap w:val="0"/>
                  <w:vAlign w:val="center"/>
                </w:tcPr>
                <w:p w14:paraId="7B256441">
                  <w:pPr>
                    <w:jc w:val="center"/>
                    <w:rPr>
                      <w:color w:val="auto"/>
                    </w:rPr>
                  </w:pPr>
                  <w:r>
                    <w:rPr>
                      <w:rFonts w:hint="eastAsia" w:cs="Times New Roman"/>
                      <w:color w:val="auto"/>
                      <w:highlight w:val="none"/>
                      <w:lang w:val="en-US" w:eastAsia="zh-CN"/>
                    </w:rPr>
                    <w:t>生产区、办公区</w:t>
                  </w:r>
                </w:p>
              </w:tc>
              <w:tc>
                <w:tcPr>
                  <w:tcW w:w="783" w:type="dxa"/>
                  <w:vMerge w:val="restart"/>
                  <w:tcBorders>
                    <w:top w:val="single" w:color="auto" w:sz="4" w:space="0"/>
                    <w:left w:val="single" w:color="auto" w:sz="4" w:space="0"/>
                    <w:right w:val="single" w:color="auto" w:sz="4" w:space="0"/>
                  </w:tcBorders>
                  <w:noWrap w:val="0"/>
                  <w:vAlign w:val="center"/>
                </w:tcPr>
                <w:p w14:paraId="248B65EE">
                  <w:pPr>
                    <w:jc w:val="center"/>
                    <w:rPr>
                      <w:rFonts w:hint="default" w:ascii="Calibri" w:hAnsi="Calibri" w:eastAsia="宋体" w:cs="宋体"/>
                      <w:color w:val="auto"/>
                      <w:kern w:val="2"/>
                      <w:sz w:val="21"/>
                      <w:szCs w:val="21"/>
                      <w:lang w:val="en-US" w:eastAsia="zh-CN" w:bidi="ar-SA"/>
                    </w:rPr>
                  </w:pPr>
                  <w:r>
                    <w:rPr>
                      <w:rFonts w:hint="eastAsia" w:cs="Times New Roman"/>
                      <w:color w:val="auto"/>
                      <w:highlight w:val="none"/>
                      <w:lang w:val="en-US" w:eastAsia="zh-CN"/>
                    </w:rPr>
                    <w:t>生产区、办公区</w:t>
                  </w:r>
                </w:p>
              </w:tc>
              <w:tc>
                <w:tcPr>
                  <w:tcW w:w="1053" w:type="dxa"/>
                  <w:tcBorders>
                    <w:top w:val="single" w:color="auto" w:sz="4" w:space="0"/>
                    <w:left w:val="single" w:color="auto" w:sz="4" w:space="0"/>
                    <w:bottom w:val="single" w:color="auto" w:sz="4" w:space="0"/>
                    <w:right w:val="single" w:color="auto" w:sz="4" w:space="0"/>
                  </w:tcBorders>
                  <w:noWrap w:val="0"/>
                  <w:vAlign w:val="center"/>
                </w:tcPr>
                <w:p w14:paraId="46568D75">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有毒</w:t>
                  </w:r>
                  <w:r>
                    <w:rPr>
                      <w:rFonts w:hint="eastAsia" w:ascii="Times New Roman" w:hAnsi="Times New Roman" w:eastAsia="宋体" w:cs="Times New Roman"/>
                      <w:color w:val="auto"/>
                      <w:highlight w:val="none"/>
                      <w:lang w:val="en-US" w:eastAsia="zh-CN"/>
                    </w:rPr>
                    <w:br w:type="textWrapping"/>
                  </w:r>
                  <w:r>
                    <w:rPr>
                      <w:rFonts w:hint="eastAsia" w:ascii="Times New Roman" w:hAnsi="Times New Roman" w:eastAsia="宋体" w:cs="Times New Roman"/>
                      <w:color w:val="auto"/>
                      <w:highlight w:val="none"/>
                      <w:lang w:val="en-US" w:eastAsia="zh-CN"/>
                    </w:rPr>
                    <w:t>气体</w:t>
                  </w:r>
                </w:p>
              </w:tc>
              <w:tc>
                <w:tcPr>
                  <w:tcW w:w="1424" w:type="dxa"/>
                  <w:vMerge w:val="restart"/>
                  <w:tcBorders>
                    <w:top w:val="single" w:color="auto" w:sz="4" w:space="0"/>
                    <w:left w:val="single" w:color="auto" w:sz="4" w:space="0"/>
                    <w:right w:val="single" w:color="auto" w:sz="4" w:space="0"/>
                  </w:tcBorders>
                  <w:noWrap w:val="0"/>
                  <w:vAlign w:val="center"/>
                </w:tcPr>
                <w:p w14:paraId="54A85C5E">
                  <w:pPr>
                    <w:jc w:val="center"/>
                    <w:rPr>
                      <w:rFonts w:hint="eastAsia" w:ascii="Calibri" w:hAnsi="Calibri" w:eastAsia="宋体" w:cs="宋体"/>
                      <w:color w:val="auto"/>
                      <w:kern w:val="2"/>
                      <w:sz w:val="21"/>
                      <w:szCs w:val="21"/>
                      <w:lang w:val="en-US" w:eastAsia="zh-CN" w:bidi="ar-SA"/>
                    </w:rPr>
                  </w:pPr>
                  <w:r>
                    <w:rPr>
                      <w:color w:val="auto"/>
                    </w:rPr>
                    <w:t>遇</w:t>
                  </w:r>
                  <w:r>
                    <w:rPr>
                      <w:rFonts w:hint="eastAsia"/>
                      <w:color w:val="auto"/>
                    </w:rPr>
                    <w:t>人员操作失误或可燃易燃物品遇明火发生火灾</w:t>
                  </w:r>
                </w:p>
              </w:tc>
              <w:tc>
                <w:tcPr>
                  <w:tcW w:w="2708" w:type="dxa"/>
                  <w:vMerge w:val="restart"/>
                  <w:tcBorders>
                    <w:top w:val="single" w:color="auto" w:sz="4" w:space="0"/>
                    <w:left w:val="single" w:color="auto" w:sz="4" w:space="0"/>
                    <w:right w:val="single" w:color="auto" w:sz="4" w:space="0"/>
                  </w:tcBorders>
                  <w:noWrap w:val="0"/>
                  <w:vAlign w:val="center"/>
                </w:tcPr>
                <w:p w14:paraId="1A5CE397">
                  <w:pPr>
                    <w:jc w:val="center"/>
                    <w:rPr>
                      <w:rFonts w:ascii="Calibri" w:hAnsi="Calibri" w:cs="宋体"/>
                      <w:color w:val="auto"/>
                      <w:kern w:val="2"/>
                      <w:sz w:val="21"/>
                      <w:szCs w:val="21"/>
                      <w:lang w:val="en-US" w:eastAsia="zh-CN" w:bidi="ar-SA"/>
                    </w:rPr>
                  </w:pPr>
                  <w:r>
                    <w:rPr>
                      <w:color w:val="auto"/>
                    </w:rPr>
                    <w:t>燃烧产生有毒有害气体扩散到大气中，对环境空气产生不利影响</w:t>
                  </w:r>
                  <w:r>
                    <w:rPr>
                      <w:rFonts w:hint="eastAsia"/>
                      <w:color w:val="auto"/>
                      <w:lang w:eastAsia="zh-CN"/>
                    </w:rPr>
                    <w:t>；</w:t>
                  </w:r>
                  <w:r>
                    <w:rPr>
                      <w:color w:val="auto"/>
                    </w:rPr>
                    <w:t>次生消防事故废水</w:t>
                  </w:r>
                </w:p>
              </w:tc>
              <w:tc>
                <w:tcPr>
                  <w:tcW w:w="1370" w:type="dxa"/>
                  <w:vMerge w:val="restart"/>
                  <w:tcBorders>
                    <w:top w:val="single" w:color="auto" w:sz="4" w:space="0"/>
                    <w:left w:val="single" w:color="auto" w:sz="4" w:space="0"/>
                    <w:right w:val="single" w:color="auto" w:sz="4" w:space="0"/>
                  </w:tcBorders>
                  <w:noWrap w:val="0"/>
                  <w:vAlign w:val="center"/>
                </w:tcPr>
                <w:p w14:paraId="0A842950">
                  <w:pPr>
                    <w:jc w:val="center"/>
                    <w:rPr>
                      <w:rFonts w:hint="eastAsia" w:ascii="Calibri" w:hAnsi="Calibri" w:cs="宋体"/>
                      <w:color w:val="auto"/>
                      <w:kern w:val="2"/>
                      <w:sz w:val="21"/>
                      <w:szCs w:val="21"/>
                      <w:lang w:val="en-US" w:eastAsia="zh-CN" w:bidi="ar-SA"/>
                    </w:rPr>
                  </w:pPr>
                  <w:r>
                    <w:rPr>
                      <w:color w:val="auto"/>
                    </w:rPr>
                    <w:t>区域地表水</w:t>
                  </w:r>
                  <w:r>
                    <w:rPr>
                      <w:rFonts w:hint="eastAsia"/>
                      <w:color w:val="auto"/>
                    </w:rPr>
                    <w:t>、</w:t>
                  </w:r>
                  <w:r>
                    <w:rPr>
                      <w:color w:val="auto"/>
                    </w:rPr>
                    <w:t>项目所在区域地下水、土壤</w:t>
                  </w:r>
                </w:p>
              </w:tc>
            </w:tr>
            <w:tr w14:paraId="47BC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0" w:type="dxa"/>
                  <w:vMerge w:val="continue"/>
                  <w:tcBorders>
                    <w:left w:val="single" w:color="auto" w:sz="4" w:space="0"/>
                    <w:right w:val="single" w:color="auto" w:sz="4" w:space="0"/>
                  </w:tcBorders>
                  <w:noWrap w:val="0"/>
                  <w:vAlign w:val="center"/>
                </w:tcPr>
                <w:p w14:paraId="020EFC38">
                  <w:pPr>
                    <w:jc w:val="center"/>
                    <w:rPr>
                      <w:color w:val="auto"/>
                    </w:rPr>
                  </w:pPr>
                </w:p>
              </w:tc>
              <w:tc>
                <w:tcPr>
                  <w:tcW w:w="783" w:type="dxa"/>
                  <w:vMerge w:val="continue"/>
                  <w:tcBorders>
                    <w:left w:val="single" w:color="auto" w:sz="4" w:space="0"/>
                    <w:bottom w:val="single" w:color="auto" w:sz="4" w:space="0"/>
                    <w:right w:val="single" w:color="auto" w:sz="4" w:space="0"/>
                  </w:tcBorders>
                  <w:noWrap w:val="0"/>
                  <w:vAlign w:val="center"/>
                </w:tcPr>
                <w:p w14:paraId="40A1D0F4">
                  <w:pPr>
                    <w:jc w:val="center"/>
                    <w:rPr>
                      <w:color w:val="auto"/>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14:paraId="385FBA0D">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消防</w:t>
                  </w:r>
                  <w:r>
                    <w:rPr>
                      <w:rFonts w:hint="eastAsia" w:ascii="Times New Roman" w:hAnsi="Times New Roman" w:eastAsia="宋体" w:cs="Times New Roman"/>
                      <w:color w:val="auto"/>
                      <w:highlight w:val="none"/>
                      <w:lang w:val="en-US" w:eastAsia="zh-CN"/>
                    </w:rPr>
                    <w:br w:type="textWrapping"/>
                  </w:r>
                  <w:r>
                    <w:rPr>
                      <w:rFonts w:hint="eastAsia" w:ascii="Times New Roman" w:hAnsi="Times New Roman" w:eastAsia="宋体" w:cs="Times New Roman"/>
                      <w:color w:val="auto"/>
                      <w:highlight w:val="none"/>
                      <w:lang w:val="en-US" w:eastAsia="zh-CN"/>
                    </w:rPr>
                    <w:t>废水</w:t>
                  </w:r>
                </w:p>
              </w:tc>
              <w:tc>
                <w:tcPr>
                  <w:tcW w:w="1424" w:type="dxa"/>
                  <w:vMerge w:val="continue"/>
                  <w:tcBorders>
                    <w:left w:val="single" w:color="auto" w:sz="4" w:space="0"/>
                    <w:bottom w:val="single" w:color="auto" w:sz="4" w:space="0"/>
                    <w:right w:val="single" w:color="auto" w:sz="4" w:space="0"/>
                  </w:tcBorders>
                  <w:noWrap w:val="0"/>
                  <w:vAlign w:val="center"/>
                </w:tcPr>
                <w:p w14:paraId="7CA6C9D3">
                  <w:pPr>
                    <w:jc w:val="center"/>
                    <w:rPr>
                      <w:rFonts w:hint="default" w:ascii="Calibri" w:hAnsi="Calibri" w:eastAsia="宋体" w:cs="宋体"/>
                      <w:color w:val="auto"/>
                      <w:kern w:val="2"/>
                      <w:sz w:val="21"/>
                      <w:szCs w:val="21"/>
                      <w:lang w:val="en-US" w:eastAsia="zh-CN" w:bidi="ar-SA"/>
                    </w:rPr>
                  </w:pPr>
                </w:p>
              </w:tc>
              <w:tc>
                <w:tcPr>
                  <w:tcW w:w="2708" w:type="dxa"/>
                  <w:vMerge w:val="continue"/>
                  <w:tcBorders>
                    <w:left w:val="single" w:color="auto" w:sz="4" w:space="0"/>
                    <w:bottom w:val="single" w:color="auto" w:sz="4" w:space="0"/>
                    <w:right w:val="single" w:color="auto" w:sz="4" w:space="0"/>
                  </w:tcBorders>
                  <w:noWrap w:val="0"/>
                  <w:vAlign w:val="center"/>
                </w:tcPr>
                <w:p w14:paraId="0E06D4C3">
                  <w:pPr>
                    <w:jc w:val="center"/>
                    <w:rPr>
                      <w:rFonts w:hint="default" w:ascii="Calibri" w:hAnsi="Calibri" w:eastAsia="宋体" w:cs="宋体"/>
                      <w:color w:val="auto"/>
                      <w:kern w:val="2"/>
                      <w:sz w:val="21"/>
                      <w:szCs w:val="21"/>
                      <w:lang w:val="en-US" w:eastAsia="zh-CN" w:bidi="ar-SA"/>
                    </w:rPr>
                  </w:pPr>
                </w:p>
              </w:tc>
              <w:tc>
                <w:tcPr>
                  <w:tcW w:w="1370" w:type="dxa"/>
                  <w:vMerge w:val="continue"/>
                  <w:tcBorders>
                    <w:left w:val="single" w:color="auto" w:sz="4" w:space="0"/>
                    <w:bottom w:val="single" w:color="auto" w:sz="4" w:space="0"/>
                    <w:right w:val="single" w:color="auto" w:sz="4" w:space="0"/>
                  </w:tcBorders>
                  <w:noWrap w:val="0"/>
                  <w:vAlign w:val="center"/>
                </w:tcPr>
                <w:p w14:paraId="5F83558A">
                  <w:pPr>
                    <w:jc w:val="center"/>
                    <w:rPr>
                      <w:rFonts w:hint="default" w:ascii="Calibri" w:hAnsi="Calibri" w:eastAsia="宋体" w:cs="宋体"/>
                      <w:color w:val="auto"/>
                      <w:kern w:val="2"/>
                      <w:sz w:val="21"/>
                      <w:szCs w:val="21"/>
                      <w:lang w:val="en-US" w:eastAsia="zh-CN" w:bidi="ar-SA"/>
                    </w:rPr>
                  </w:pPr>
                </w:p>
              </w:tc>
            </w:tr>
            <w:tr w14:paraId="59D0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640" w:type="dxa"/>
                  <w:tcBorders>
                    <w:top w:val="single" w:color="auto" w:sz="4" w:space="0"/>
                    <w:left w:val="single" w:color="auto" w:sz="4" w:space="0"/>
                    <w:bottom w:val="single" w:color="auto" w:sz="4" w:space="0"/>
                    <w:right w:val="single" w:color="auto" w:sz="4" w:space="0"/>
                  </w:tcBorders>
                  <w:noWrap w:val="0"/>
                  <w:vAlign w:val="center"/>
                </w:tcPr>
                <w:p w14:paraId="430A0CCB">
                  <w:pPr>
                    <w:jc w:val="center"/>
                    <w:rPr>
                      <w:color w:val="auto"/>
                    </w:rPr>
                  </w:pPr>
                  <w:r>
                    <w:rPr>
                      <w:color w:val="auto"/>
                    </w:rPr>
                    <w:t>储运设施</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52E56150">
                  <w:pPr>
                    <w:jc w:val="center"/>
                    <w:rPr>
                      <w:color w:val="auto"/>
                    </w:rPr>
                  </w:pPr>
                  <w:r>
                    <w:rPr>
                      <w:rFonts w:hint="eastAsia"/>
                      <w:color w:val="auto"/>
                      <w:lang w:val="en-US" w:eastAsia="zh-CN"/>
                    </w:rPr>
                    <w:t>化学品储库</w:t>
                  </w:r>
                </w:p>
              </w:tc>
              <w:tc>
                <w:tcPr>
                  <w:tcW w:w="1053" w:type="dxa"/>
                  <w:tcBorders>
                    <w:top w:val="single" w:color="auto" w:sz="4" w:space="0"/>
                    <w:left w:val="single" w:color="auto" w:sz="4" w:space="0"/>
                    <w:bottom w:val="single" w:color="auto" w:sz="4" w:space="0"/>
                    <w:right w:val="single" w:color="auto" w:sz="4" w:space="0"/>
                  </w:tcBorders>
                  <w:noWrap w:val="0"/>
                  <w:vAlign w:val="center"/>
                </w:tcPr>
                <w:p w14:paraId="0F107AF4">
                  <w:pPr>
                    <w:jc w:val="center"/>
                    <w:rPr>
                      <w:rFonts w:hint="default" w:eastAsia="宋体"/>
                      <w:color w:val="auto"/>
                      <w:lang w:val="en-US" w:eastAsia="zh-CN"/>
                    </w:rPr>
                  </w:pPr>
                  <w:r>
                    <w:rPr>
                      <w:rFonts w:hint="eastAsia"/>
                      <w:color w:val="auto"/>
                      <w:lang w:val="en-US" w:eastAsia="zh-CN"/>
                    </w:rPr>
                    <w:t>固硫剂</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22973D10">
                  <w:pPr>
                    <w:jc w:val="center"/>
                    <w:rPr>
                      <w:color w:val="auto"/>
                    </w:rPr>
                  </w:pPr>
                  <w:r>
                    <w:rPr>
                      <w:color w:val="auto"/>
                    </w:rPr>
                    <w:t>盛装容器破损导致泄漏，及遇火/高温燃烧</w:t>
                  </w:r>
                </w:p>
              </w:tc>
              <w:tc>
                <w:tcPr>
                  <w:tcW w:w="2708" w:type="dxa"/>
                  <w:tcBorders>
                    <w:top w:val="single" w:color="auto" w:sz="4" w:space="0"/>
                    <w:left w:val="single" w:color="auto" w:sz="4" w:space="0"/>
                    <w:bottom w:val="single" w:color="auto" w:sz="4" w:space="0"/>
                    <w:right w:val="single" w:color="auto" w:sz="4" w:space="0"/>
                  </w:tcBorders>
                  <w:noWrap w:val="0"/>
                  <w:vAlign w:val="center"/>
                </w:tcPr>
                <w:p w14:paraId="1D6E6795">
                  <w:pPr>
                    <w:jc w:val="center"/>
                    <w:rPr>
                      <w:color w:val="auto"/>
                    </w:rPr>
                  </w:pPr>
                  <w:r>
                    <w:rPr>
                      <w:color w:val="auto"/>
                    </w:rPr>
                    <w:t>泄漏可能造成对土壤及地下水环境产生不利影响。燃烧产生有毒有害气体扩散到大气中，对环境空气产生不利影响；次生消防事故废水</w:t>
                  </w:r>
                </w:p>
              </w:tc>
              <w:tc>
                <w:tcPr>
                  <w:tcW w:w="1370" w:type="dxa"/>
                  <w:tcBorders>
                    <w:top w:val="single" w:color="auto" w:sz="4" w:space="0"/>
                    <w:left w:val="single" w:color="auto" w:sz="4" w:space="0"/>
                    <w:bottom w:val="single" w:color="auto" w:sz="4" w:space="0"/>
                    <w:right w:val="single" w:color="auto" w:sz="4" w:space="0"/>
                  </w:tcBorders>
                  <w:noWrap w:val="0"/>
                  <w:vAlign w:val="center"/>
                </w:tcPr>
                <w:p w14:paraId="198B116B">
                  <w:pPr>
                    <w:jc w:val="center"/>
                    <w:rPr>
                      <w:color w:val="auto"/>
                    </w:rPr>
                  </w:pPr>
                  <w:r>
                    <w:rPr>
                      <w:color w:val="auto"/>
                    </w:rPr>
                    <w:t>区域地表水</w:t>
                  </w:r>
                  <w:r>
                    <w:rPr>
                      <w:rFonts w:hint="eastAsia"/>
                      <w:color w:val="auto"/>
                    </w:rPr>
                    <w:t>、</w:t>
                  </w:r>
                  <w:r>
                    <w:rPr>
                      <w:color w:val="auto"/>
                    </w:rPr>
                    <w:t>项目所在区域地下水、土壤</w:t>
                  </w:r>
                </w:p>
              </w:tc>
            </w:tr>
            <w:tr w14:paraId="4CF3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640" w:type="dxa"/>
                  <w:tcBorders>
                    <w:top w:val="single" w:color="auto" w:sz="4" w:space="0"/>
                    <w:left w:val="single" w:color="auto" w:sz="4" w:space="0"/>
                    <w:bottom w:val="single" w:color="auto" w:sz="4" w:space="0"/>
                    <w:right w:val="single" w:color="auto" w:sz="4" w:space="0"/>
                  </w:tcBorders>
                  <w:noWrap w:val="0"/>
                  <w:vAlign w:val="center"/>
                </w:tcPr>
                <w:p w14:paraId="4A5CABE2">
                  <w:pPr>
                    <w:jc w:val="center"/>
                    <w:rPr>
                      <w:rFonts w:hint="eastAsia" w:eastAsia="宋体"/>
                      <w:color w:val="auto"/>
                      <w:lang w:eastAsia="zh-CN"/>
                    </w:rPr>
                  </w:pPr>
                  <w:r>
                    <w:rPr>
                      <w:rFonts w:hint="eastAsia"/>
                      <w:color w:val="auto"/>
                      <w:lang w:eastAsia="zh-CN"/>
                    </w:rPr>
                    <w:t>环保设施</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0D9E5007">
                  <w:pPr>
                    <w:jc w:val="center"/>
                    <w:rPr>
                      <w:rFonts w:hint="eastAsia"/>
                      <w:color w:val="auto"/>
                      <w:lang w:val="en-US" w:eastAsia="zh-CN"/>
                    </w:rPr>
                  </w:pPr>
                  <w:r>
                    <w:rPr>
                      <w:rFonts w:hint="eastAsia"/>
                      <w:color w:val="auto"/>
                      <w:lang w:val="en-US" w:eastAsia="zh-CN"/>
                    </w:rPr>
                    <w:t>环保设施区域</w:t>
                  </w:r>
                </w:p>
              </w:tc>
              <w:tc>
                <w:tcPr>
                  <w:tcW w:w="1053" w:type="dxa"/>
                  <w:tcBorders>
                    <w:top w:val="single" w:color="auto" w:sz="4" w:space="0"/>
                    <w:left w:val="single" w:color="auto" w:sz="4" w:space="0"/>
                    <w:bottom w:val="single" w:color="auto" w:sz="4" w:space="0"/>
                    <w:right w:val="single" w:color="auto" w:sz="4" w:space="0"/>
                  </w:tcBorders>
                  <w:noWrap w:val="0"/>
                  <w:vAlign w:val="center"/>
                </w:tcPr>
                <w:p w14:paraId="6C293CFC">
                  <w:pPr>
                    <w:jc w:val="center"/>
                    <w:rPr>
                      <w:rFonts w:hint="eastAsia"/>
                      <w:color w:val="auto"/>
                      <w:lang w:val="en-US" w:eastAsia="zh-CN"/>
                    </w:rPr>
                  </w:pPr>
                  <w:r>
                    <w:rPr>
                      <w:rFonts w:hint="eastAsia"/>
                      <w:color w:val="auto"/>
                      <w:lang w:val="en-US" w:eastAsia="zh-CN"/>
                    </w:rPr>
                    <w:t>废气污染物</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365207FF">
                  <w:pPr>
                    <w:jc w:val="center"/>
                    <w:rPr>
                      <w:color w:val="auto"/>
                    </w:rPr>
                  </w:pPr>
                  <w:r>
                    <w:rPr>
                      <w:rFonts w:hint="eastAsia" w:ascii="Times New Roman" w:hAnsi="Times New Roman" w:eastAsia="宋体" w:cs="Times New Roman"/>
                      <w:color w:val="auto"/>
                      <w:kern w:val="0"/>
                      <w:sz w:val="21"/>
                      <w:szCs w:val="21"/>
                      <w:lang w:val="en-US" w:eastAsia="zh-CN" w:bidi="ar-SA"/>
                    </w:rPr>
                    <w:t>部分环保设施发生故障</w:t>
                  </w:r>
                </w:p>
              </w:tc>
              <w:tc>
                <w:tcPr>
                  <w:tcW w:w="2708" w:type="dxa"/>
                  <w:tcBorders>
                    <w:top w:val="single" w:color="auto" w:sz="4" w:space="0"/>
                    <w:left w:val="single" w:color="auto" w:sz="4" w:space="0"/>
                    <w:bottom w:val="single" w:color="auto" w:sz="4" w:space="0"/>
                    <w:right w:val="single" w:color="auto" w:sz="4" w:space="0"/>
                  </w:tcBorders>
                  <w:noWrap w:val="0"/>
                  <w:vAlign w:val="center"/>
                </w:tcPr>
                <w:p w14:paraId="0B39DC31">
                  <w:pPr>
                    <w:jc w:val="center"/>
                    <w:rPr>
                      <w:color w:val="auto"/>
                    </w:rPr>
                  </w:pPr>
                  <w:r>
                    <w:rPr>
                      <w:rFonts w:hint="eastAsia"/>
                      <w:color w:val="auto"/>
                    </w:rPr>
                    <w:t>废气处理设施发生故障废气超标排放</w:t>
                  </w:r>
                </w:p>
              </w:tc>
              <w:tc>
                <w:tcPr>
                  <w:tcW w:w="1370" w:type="dxa"/>
                  <w:tcBorders>
                    <w:top w:val="single" w:color="auto" w:sz="4" w:space="0"/>
                    <w:left w:val="single" w:color="auto" w:sz="4" w:space="0"/>
                    <w:bottom w:val="single" w:color="auto" w:sz="4" w:space="0"/>
                    <w:right w:val="single" w:color="auto" w:sz="4" w:space="0"/>
                  </w:tcBorders>
                  <w:noWrap w:val="0"/>
                  <w:vAlign w:val="center"/>
                </w:tcPr>
                <w:p w14:paraId="1858AF8B">
                  <w:pPr>
                    <w:jc w:val="center"/>
                    <w:rPr>
                      <w:color w:val="auto"/>
                    </w:rPr>
                  </w:pPr>
                  <w:r>
                    <w:rPr>
                      <w:rFonts w:hint="eastAsia" w:cs="宋体"/>
                      <w:color w:val="auto"/>
                      <w:lang w:val="en-US" w:eastAsia="zh-CN"/>
                    </w:rPr>
                    <w:t>大气环境</w:t>
                  </w:r>
                </w:p>
              </w:tc>
            </w:tr>
          </w:tbl>
          <w:p w14:paraId="4ABB30BA">
            <w:pPr>
              <w:spacing w:line="360" w:lineRule="auto"/>
              <w:ind w:firstLine="480" w:firstLineChars="200"/>
              <w:rPr>
                <w:rFonts w:hint="eastAsia"/>
                <w:color w:val="auto"/>
                <w:sz w:val="24"/>
                <w:szCs w:val="24"/>
              </w:rPr>
            </w:pPr>
          </w:p>
          <w:p w14:paraId="7F34AEEB">
            <w:pPr>
              <w:pStyle w:val="46"/>
              <w:rPr>
                <w:rFonts w:hint="eastAsia"/>
                <w:color w:val="auto"/>
              </w:rPr>
            </w:pPr>
            <w:r>
              <w:rPr>
                <w:rFonts w:hint="eastAsia"/>
                <w:b/>
                <w:bCs/>
                <w:color w:val="auto"/>
                <w:sz w:val="24"/>
                <w:szCs w:val="24"/>
                <w:lang w:val="en-US" w:eastAsia="zh-CN"/>
              </w:rPr>
              <w:t xml:space="preserve">6.5 </w:t>
            </w:r>
            <w:r>
              <w:rPr>
                <w:rFonts w:hint="eastAsia"/>
                <w:b/>
                <w:bCs/>
                <w:color w:val="auto"/>
                <w:sz w:val="24"/>
                <w:szCs w:val="24"/>
              </w:rPr>
              <w:t>环境风险防范措施</w:t>
            </w:r>
          </w:p>
          <w:p w14:paraId="63709923">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根据上文风险分析，提出相应的措施对策，目的在于确保系统运行的安全性，减少事故的发生，降低事故发生的概率。具体措施如下：</w:t>
            </w:r>
          </w:p>
          <w:p w14:paraId="4F020B2A">
            <w:pPr>
              <w:widowControl/>
              <w:spacing w:line="360" w:lineRule="auto"/>
              <w:ind w:firstLine="480" w:firstLineChars="200"/>
              <w:rPr>
                <w:color w:val="auto"/>
                <w:kern w:val="0"/>
                <w:sz w:val="24"/>
                <w:szCs w:val="24"/>
                <w:highlight w:val="none"/>
                <w:lang w:bidi="ar"/>
              </w:rPr>
            </w:pPr>
            <w:r>
              <w:rPr>
                <w:rFonts w:hint="eastAsia"/>
                <w:color w:val="auto"/>
                <w:sz w:val="24"/>
                <w:szCs w:val="24"/>
                <w:lang w:val="en-US" w:eastAsia="zh-CN"/>
              </w:rPr>
              <w:t>1、</w:t>
            </w:r>
            <w:r>
              <w:rPr>
                <w:rFonts w:hint="eastAsia"/>
                <w:color w:val="auto"/>
                <w:kern w:val="0"/>
                <w:sz w:val="24"/>
                <w:szCs w:val="24"/>
                <w:highlight w:val="none"/>
                <w:lang w:bidi="ar"/>
              </w:rPr>
              <w:t>火灾</w:t>
            </w:r>
            <w:r>
              <w:rPr>
                <w:rFonts w:hint="eastAsia"/>
                <w:color w:val="auto"/>
                <w:kern w:val="0"/>
                <w:sz w:val="24"/>
                <w:szCs w:val="24"/>
                <w:highlight w:val="none"/>
                <w:lang w:eastAsia="zh-CN" w:bidi="ar"/>
              </w:rPr>
              <w:t>伴生防范措施：</w:t>
            </w:r>
            <w:r>
              <w:rPr>
                <w:rFonts w:hint="eastAsia"/>
                <w:color w:val="auto"/>
                <w:kern w:val="0"/>
                <w:sz w:val="24"/>
                <w:szCs w:val="24"/>
                <w:highlight w:val="none"/>
                <w:lang w:bidi="ar"/>
              </w:rPr>
              <w:t>企业员工在厂区生产过程中不慎造成电气设备故障等</w:t>
            </w:r>
            <w:r>
              <w:rPr>
                <w:rFonts w:hint="eastAsia"/>
                <w:color w:val="auto"/>
                <w:kern w:val="0"/>
                <w:sz w:val="24"/>
                <w:szCs w:val="24"/>
                <w:highlight w:val="none"/>
                <w:lang w:eastAsia="zh-CN" w:bidi="ar"/>
              </w:rPr>
              <w:t>，</w:t>
            </w:r>
            <w:r>
              <w:rPr>
                <w:rFonts w:hint="eastAsia"/>
                <w:color w:val="auto"/>
                <w:kern w:val="0"/>
                <w:sz w:val="24"/>
                <w:szCs w:val="24"/>
                <w:highlight w:val="none"/>
                <w:lang w:bidi="ar"/>
              </w:rPr>
              <w:t>可能引起火灾</w:t>
            </w:r>
            <w:r>
              <w:rPr>
                <w:rFonts w:hint="eastAsia"/>
                <w:color w:val="auto"/>
                <w:kern w:val="0"/>
                <w:sz w:val="24"/>
                <w:szCs w:val="24"/>
                <w:highlight w:val="none"/>
                <w:lang w:eastAsia="zh-CN" w:bidi="ar"/>
              </w:rPr>
              <w:t>，</w:t>
            </w:r>
            <w:r>
              <w:rPr>
                <w:rFonts w:hint="eastAsia"/>
                <w:color w:val="auto"/>
                <w:kern w:val="0"/>
                <w:sz w:val="24"/>
                <w:szCs w:val="24"/>
                <w:highlight w:val="none"/>
                <w:lang w:bidi="ar"/>
              </w:rPr>
              <w:t>有时会发生火灾连片使大批设备烧毁。火灾是通过放出辐射热影响周围环境。如果辐射热的能量足够大</w:t>
            </w:r>
            <w:r>
              <w:rPr>
                <w:rFonts w:hint="eastAsia"/>
                <w:color w:val="auto"/>
                <w:kern w:val="0"/>
                <w:sz w:val="24"/>
                <w:szCs w:val="24"/>
                <w:highlight w:val="none"/>
                <w:lang w:eastAsia="zh-CN" w:bidi="ar"/>
              </w:rPr>
              <w:t>，</w:t>
            </w:r>
            <w:r>
              <w:rPr>
                <w:rFonts w:hint="eastAsia"/>
                <w:color w:val="auto"/>
                <w:kern w:val="0"/>
                <w:sz w:val="24"/>
                <w:szCs w:val="24"/>
                <w:highlight w:val="none"/>
                <w:lang w:bidi="ar"/>
              </w:rPr>
              <w:t>可引起其他可燃物燃烧。物质在燃烧过程中会产生大量浓烟和烟尘</w:t>
            </w:r>
            <w:r>
              <w:rPr>
                <w:rFonts w:hint="eastAsia"/>
                <w:color w:val="auto"/>
                <w:kern w:val="0"/>
                <w:sz w:val="24"/>
                <w:szCs w:val="24"/>
                <w:highlight w:val="none"/>
                <w:lang w:eastAsia="zh-CN" w:bidi="ar"/>
              </w:rPr>
              <w:t>，</w:t>
            </w:r>
            <w:r>
              <w:rPr>
                <w:rFonts w:hint="eastAsia"/>
                <w:color w:val="auto"/>
                <w:kern w:val="0"/>
                <w:sz w:val="24"/>
                <w:szCs w:val="24"/>
                <w:highlight w:val="none"/>
                <w:lang w:bidi="ar"/>
              </w:rPr>
              <w:t>其中含有大量的一氧化碳、二氧化碳及其他有毒气体</w:t>
            </w:r>
            <w:r>
              <w:rPr>
                <w:rFonts w:hint="eastAsia"/>
                <w:color w:val="auto"/>
                <w:kern w:val="0"/>
                <w:sz w:val="24"/>
                <w:szCs w:val="24"/>
                <w:highlight w:val="none"/>
                <w:lang w:eastAsia="zh-CN" w:bidi="ar"/>
              </w:rPr>
              <w:t>，</w:t>
            </w:r>
            <w:r>
              <w:rPr>
                <w:rFonts w:hint="eastAsia"/>
                <w:color w:val="auto"/>
                <w:kern w:val="0"/>
                <w:sz w:val="24"/>
                <w:szCs w:val="24"/>
                <w:highlight w:val="none"/>
                <w:lang w:bidi="ar"/>
              </w:rPr>
              <w:t>带来大气环境污染。</w:t>
            </w:r>
          </w:p>
          <w:p w14:paraId="20295984">
            <w:pPr>
              <w:widowControl/>
              <w:spacing w:line="360" w:lineRule="auto"/>
              <w:ind w:firstLine="480" w:firstLineChars="200"/>
              <w:rPr>
                <w:color w:val="auto"/>
                <w:kern w:val="0"/>
                <w:sz w:val="24"/>
                <w:szCs w:val="24"/>
                <w:highlight w:val="none"/>
                <w:lang w:bidi="ar"/>
              </w:rPr>
            </w:pPr>
            <w:r>
              <w:rPr>
                <w:rFonts w:hint="eastAsia"/>
                <w:color w:val="auto"/>
                <w:kern w:val="0"/>
                <w:sz w:val="24"/>
                <w:szCs w:val="24"/>
                <w:highlight w:val="none"/>
                <w:lang w:bidi="ar"/>
              </w:rPr>
              <w:t>①厂区内尤其是生产车间和办公室严禁吸烟。</w:t>
            </w:r>
          </w:p>
          <w:p w14:paraId="21E09B8A">
            <w:pPr>
              <w:widowControl/>
              <w:spacing w:line="360" w:lineRule="auto"/>
              <w:ind w:firstLine="480" w:firstLineChars="200"/>
              <w:rPr>
                <w:color w:val="auto"/>
                <w:kern w:val="0"/>
                <w:sz w:val="24"/>
                <w:szCs w:val="24"/>
                <w:highlight w:val="none"/>
                <w:lang w:bidi="ar"/>
              </w:rPr>
            </w:pPr>
            <w:r>
              <w:rPr>
                <w:rFonts w:hint="eastAsia"/>
                <w:color w:val="auto"/>
                <w:kern w:val="0"/>
                <w:sz w:val="24"/>
                <w:szCs w:val="24"/>
                <w:highlight w:val="none"/>
                <w:lang w:bidi="ar"/>
              </w:rPr>
              <w:t>②定期检查设备的运行状况</w:t>
            </w:r>
            <w:r>
              <w:rPr>
                <w:rFonts w:hint="eastAsia"/>
                <w:color w:val="auto"/>
                <w:kern w:val="0"/>
                <w:sz w:val="24"/>
                <w:szCs w:val="24"/>
                <w:highlight w:val="none"/>
                <w:lang w:eastAsia="zh-CN" w:bidi="ar"/>
              </w:rPr>
              <w:t>，</w:t>
            </w:r>
            <w:r>
              <w:rPr>
                <w:rFonts w:hint="eastAsia"/>
                <w:color w:val="auto"/>
                <w:kern w:val="0"/>
                <w:sz w:val="24"/>
                <w:szCs w:val="24"/>
                <w:highlight w:val="none"/>
                <w:lang w:bidi="ar"/>
              </w:rPr>
              <w:t>发现不良问题及时解决；同时注重加强安全教育</w:t>
            </w:r>
            <w:r>
              <w:rPr>
                <w:rFonts w:hint="eastAsia"/>
                <w:color w:val="auto"/>
                <w:kern w:val="0"/>
                <w:sz w:val="24"/>
                <w:szCs w:val="24"/>
                <w:highlight w:val="none"/>
                <w:lang w:eastAsia="zh-CN" w:bidi="ar"/>
              </w:rPr>
              <w:t>，</w:t>
            </w:r>
            <w:r>
              <w:rPr>
                <w:rFonts w:hint="eastAsia"/>
                <w:color w:val="auto"/>
                <w:kern w:val="0"/>
                <w:sz w:val="24"/>
                <w:szCs w:val="24"/>
                <w:highlight w:val="none"/>
                <w:lang w:bidi="ar"/>
              </w:rPr>
              <w:t xml:space="preserve">提高职工的安全意识和安全防范能力。 </w:t>
            </w:r>
          </w:p>
          <w:p w14:paraId="0C5CD01A">
            <w:pPr>
              <w:pStyle w:val="34"/>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color w:val="auto"/>
                <w:kern w:val="0"/>
                <w:sz w:val="24"/>
                <w:szCs w:val="24"/>
                <w:highlight w:val="none"/>
                <w:lang w:eastAsia="zh-CN" w:bidi="ar"/>
              </w:rPr>
            </w:pPr>
            <w:r>
              <w:rPr>
                <w:rFonts w:hint="eastAsia"/>
                <w:color w:val="auto"/>
                <w:kern w:val="0"/>
                <w:sz w:val="24"/>
                <w:szCs w:val="24"/>
                <w:highlight w:val="none"/>
                <w:lang w:bidi="ar"/>
              </w:rPr>
              <w:t>③按照相关规定设置逃生系统</w:t>
            </w:r>
            <w:r>
              <w:rPr>
                <w:rFonts w:hint="eastAsia"/>
                <w:color w:val="auto"/>
                <w:kern w:val="0"/>
                <w:sz w:val="24"/>
                <w:szCs w:val="24"/>
                <w:highlight w:val="none"/>
                <w:lang w:eastAsia="zh-CN" w:bidi="ar"/>
              </w:rPr>
              <w:t>，</w:t>
            </w:r>
            <w:r>
              <w:rPr>
                <w:rFonts w:hint="eastAsia"/>
                <w:color w:val="auto"/>
                <w:kern w:val="0"/>
                <w:sz w:val="24"/>
                <w:szCs w:val="24"/>
                <w:highlight w:val="none"/>
                <w:lang w:bidi="ar"/>
              </w:rPr>
              <w:t>设置足够并匹配的消防器材</w:t>
            </w:r>
            <w:r>
              <w:rPr>
                <w:rFonts w:hint="eastAsia"/>
                <w:color w:val="auto"/>
                <w:kern w:val="0"/>
                <w:sz w:val="24"/>
                <w:szCs w:val="24"/>
                <w:highlight w:val="none"/>
                <w:lang w:eastAsia="zh-CN" w:bidi="ar"/>
              </w:rPr>
              <w:t>。</w:t>
            </w:r>
          </w:p>
          <w:p w14:paraId="447F0D55">
            <w:pPr>
              <w:pStyle w:val="34"/>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2、</w:t>
            </w:r>
            <w:r>
              <w:rPr>
                <w:rFonts w:hint="eastAsia"/>
                <w:color w:val="auto"/>
                <w:lang w:val="en-US" w:eastAsia="zh-CN"/>
              </w:rPr>
              <w:t>化学品泄露防范措施：</w:t>
            </w:r>
            <w:r>
              <w:rPr>
                <w:rFonts w:hint="eastAsia"/>
                <w:color w:val="auto"/>
                <w:sz w:val="24"/>
                <w:szCs w:val="24"/>
                <w:lang w:val="en-US" w:eastAsia="zh-CN"/>
              </w:rPr>
              <w:t>尿素单独存放在专门的化学品储库内，库内应做好防腐、防渗、防漏、防雨、防火、防爆等措施；保持库内阴凉、干燥、通风良好，远离火源和热源；装卸、搬运时应轻装轻卸，注意自我的防护，购置防护物资及处置物资；要严格遵守有关贮存的安全规定，具体包括《仓库起火安全管理规则》、《建筑设计防火规范》等。</w:t>
            </w:r>
          </w:p>
          <w:p w14:paraId="56A49503">
            <w:pPr>
              <w:pStyle w:val="34"/>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3、废气事故风险防范措施</w:t>
            </w:r>
          </w:p>
          <w:p w14:paraId="639BCB43">
            <w:pPr>
              <w:widowControl/>
              <w:spacing w:line="360" w:lineRule="auto"/>
              <w:ind w:firstLine="480" w:firstLineChars="200"/>
              <w:rPr>
                <w:color w:val="auto"/>
                <w:kern w:val="0"/>
                <w:sz w:val="24"/>
                <w:szCs w:val="24"/>
                <w:highlight w:val="none"/>
                <w:lang w:bidi="ar"/>
              </w:rPr>
            </w:pPr>
            <w:r>
              <w:rPr>
                <w:rFonts w:hint="eastAsia"/>
                <w:color w:val="auto"/>
                <w:kern w:val="0"/>
                <w:sz w:val="24"/>
                <w:szCs w:val="24"/>
                <w:highlight w:val="none"/>
                <w:lang w:bidi="ar"/>
              </w:rPr>
              <w:t>厂区环保设施主要为袋式除尘设施装置</w:t>
            </w:r>
            <w:r>
              <w:rPr>
                <w:rFonts w:hint="eastAsia"/>
                <w:color w:val="auto"/>
                <w:kern w:val="0"/>
                <w:sz w:val="24"/>
                <w:szCs w:val="24"/>
                <w:highlight w:val="none"/>
                <w:lang w:eastAsia="zh-CN" w:bidi="ar"/>
              </w:rPr>
              <w:t>及石灰-石膏法脱硫+湿电除尘+SNCR脱硝</w:t>
            </w:r>
            <w:r>
              <w:rPr>
                <w:rFonts w:hint="eastAsia"/>
                <w:color w:val="auto"/>
                <w:kern w:val="0"/>
                <w:sz w:val="24"/>
                <w:szCs w:val="24"/>
                <w:highlight w:val="none"/>
                <w:lang w:bidi="ar"/>
              </w:rPr>
              <w:t>。生产运营过程中</w:t>
            </w:r>
            <w:r>
              <w:rPr>
                <w:rFonts w:hint="eastAsia"/>
                <w:color w:val="auto"/>
                <w:kern w:val="0"/>
                <w:sz w:val="24"/>
                <w:szCs w:val="24"/>
                <w:highlight w:val="none"/>
                <w:lang w:eastAsia="zh-CN" w:bidi="ar"/>
              </w:rPr>
              <w:t>，</w:t>
            </w:r>
            <w:r>
              <w:rPr>
                <w:rFonts w:hint="eastAsia"/>
                <w:color w:val="auto"/>
                <w:kern w:val="0"/>
                <w:sz w:val="24"/>
                <w:szCs w:val="24"/>
                <w:highlight w:val="none"/>
                <w:lang w:bidi="ar"/>
              </w:rPr>
              <w:t>因布袋损坏或其他环保设施发生故障导致废气污染物超标排放</w:t>
            </w:r>
            <w:r>
              <w:rPr>
                <w:rFonts w:hint="eastAsia"/>
                <w:color w:val="auto"/>
                <w:kern w:val="0"/>
                <w:sz w:val="24"/>
                <w:szCs w:val="24"/>
                <w:highlight w:val="none"/>
                <w:lang w:eastAsia="zh-CN" w:bidi="ar"/>
              </w:rPr>
              <w:t>，</w:t>
            </w:r>
            <w:r>
              <w:rPr>
                <w:rFonts w:hint="eastAsia"/>
                <w:color w:val="auto"/>
                <w:kern w:val="0"/>
                <w:sz w:val="24"/>
                <w:szCs w:val="24"/>
                <w:highlight w:val="none"/>
                <w:lang w:bidi="ar"/>
              </w:rPr>
              <w:t>少量</w:t>
            </w:r>
            <w:r>
              <w:rPr>
                <w:color w:val="auto"/>
                <w:kern w:val="0"/>
                <w:sz w:val="24"/>
                <w:szCs w:val="24"/>
                <w:highlight w:val="none"/>
                <w:lang w:bidi="ar"/>
              </w:rPr>
              <w:t>未处理</w:t>
            </w:r>
            <w:r>
              <w:rPr>
                <w:rFonts w:hint="eastAsia"/>
                <w:color w:val="auto"/>
                <w:kern w:val="0"/>
                <w:sz w:val="24"/>
                <w:szCs w:val="24"/>
                <w:highlight w:val="none"/>
                <w:lang w:bidi="ar"/>
              </w:rPr>
              <w:t>废</w:t>
            </w:r>
            <w:r>
              <w:rPr>
                <w:color w:val="auto"/>
                <w:kern w:val="0"/>
                <w:sz w:val="24"/>
                <w:szCs w:val="24"/>
                <w:highlight w:val="none"/>
                <w:lang w:bidi="ar"/>
              </w:rPr>
              <w:t>气直接进入大气环境</w:t>
            </w:r>
            <w:r>
              <w:rPr>
                <w:rFonts w:hint="eastAsia"/>
                <w:color w:val="auto"/>
                <w:kern w:val="0"/>
                <w:sz w:val="24"/>
                <w:szCs w:val="24"/>
                <w:highlight w:val="none"/>
                <w:lang w:eastAsia="zh-CN" w:bidi="ar"/>
              </w:rPr>
              <w:t>，</w:t>
            </w:r>
            <w:r>
              <w:rPr>
                <w:rFonts w:hint="eastAsia"/>
                <w:color w:val="auto"/>
                <w:kern w:val="0"/>
                <w:sz w:val="24"/>
                <w:szCs w:val="24"/>
                <w:highlight w:val="none"/>
                <w:lang w:bidi="ar"/>
              </w:rPr>
              <w:t>对大气环境造成污染。</w:t>
            </w:r>
          </w:p>
          <w:p w14:paraId="18F9F160">
            <w:pPr>
              <w:widowControl/>
              <w:spacing w:line="360" w:lineRule="auto"/>
              <w:ind w:firstLine="480" w:firstLineChars="200"/>
              <w:rPr>
                <w:color w:val="auto"/>
                <w:kern w:val="0"/>
                <w:sz w:val="24"/>
                <w:szCs w:val="24"/>
                <w:highlight w:val="none"/>
                <w:lang w:bidi="ar"/>
              </w:rPr>
            </w:pPr>
            <w:r>
              <w:rPr>
                <w:rFonts w:hint="eastAsia"/>
                <w:color w:val="auto"/>
                <w:kern w:val="0"/>
                <w:sz w:val="24"/>
                <w:szCs w:val="24"/>
                <w:highlight w:val="none"/>
                <w:lang w:bidi="ar"/>
              </w:rPr>
              <w:t>①</w:t>
            </w:r>
            <w:r>
              <w:rPr>
                <w:color w:val="auto"/>
                <w:kern w:val="0"/>
                <w:sz w:val="24"/>
                <w:szCs w:val="24"/>
                <w:highlight w:val="none"/>
                <w:lang w:bidi="ar"/>
              </w:rPr>
              <w:t>企业重视</w:t>
            </w:r>
            <w:r>
              <w:rPr>
                <w:rFonts w:hint="eastAsia"/>
                <w:color w:val="auto"/>
                <w:kern w:val="0"/>
                <w:sz w:val="24"/>
                <w:szCs w:val="24"/>
                <w:highlight w:val="none"/>
                <w:lang w:bidi="ar"/>
              </w:rPr>
              <w:t>袋式除尘装置</w:t>
            </w:r>
            <w:r>
              <w:rPr>
                <w:rFonts w:hint="eastAsia"/>
                <w:color w:val="auto"/>
                <w:kern w:val="0"/>
                <w:sz w:val="24"/>
                <w:szCs w:val="24"/>
                <w:highlight w:val="none"/>
                <w:lang w:eastAsia="zh-CN" w:bidi="ar"/>
              </w:rPr>
              <w:t>及石灰-石膏法脱硫+湿电除尘+SNCR脱硝</w:t>
            </w:r>
            <w:r>
              <w:rPr>
                <w:color w:val="auto"/>
                <w:kern w:val="0"/>
                <w:sz w:val="24"/>
                <w:szCs w:val="24"/>
                <w:highlight w:val="none"/>
                <w:lang w:bidi="ar"/>
              </w:rPr>
              <w:t>的日常管理</w:t>
            </w:r>
            <w:r>
              <w:rPr>
                <w:rFonts w:hint="eastAsia"/>
                <w:color w:val="auto"/>
                <w:kern w:val="0"/>
                <w:sz w:val="24"/>
                <w:szCs w:val="24"/>
                <w:highlight w:val="none"/>
                <w:lang w:eastAsia="zh-CN" w:bidi="ar"/>
              </w:rPr>
              <w:t>，</w:t>
            </w:r>
            <w:r>
              <w:rPr>
                <w:color w:val="auto"/>
                <w:kern w:val="0"/>
                <w:sz w:val="24"/>
                <w:szCs w:val="24"/>
                <w:highlight w:val="none"/>
                <w:lang w:bidi="ar"/>
              </w:rPr>
              <w:t>保证</w:t>
            </w:r>
            <w:r>
              <w:rPr>
                <w:rFonts w:hint="eastAsia"/>
                <w:color w:val="auto"/>
                <w:kern w:val="0"/>
                <w:sz w:val="24"/>
                <w:szCs w:val="24"/>
                <w:highlight w:val="none"/>
                <w:lang w:bidi="ar"/>
              </w:rPr>
              <w:t>其</w:t>
            </w:r>
            <w:r>
              <w:rPr>
                <w:color w:val="auto"/>
                <w:kern w:val="0"/>
                <w:sz w:val="24"/>
                <w:szCs w:val="24"/>
                <w:highlight w:val="none"/>
                <w:lang w:bidi="ar"/>
              </w:rPr>
              <w:t>设计的</w:t>
            </w:r>
            <w:r>
              <w:rPr>
                <w:rFonts w:hint="eastAsia"/>
                <w:color w:val="auto"/>
                <w:kern w:val="0"/>
                <w:sz w:val="24"/>
                <w:szCs w:val="24"/>
                <w:highlight w:val="none"/>
                <w:lang w:bidi="ar"/>
              </w:rPr>
              <w:t>处理</w:t>
            </w:r>
            <w:r>
              <w:rPr>
                <w:color w:val="auto"/>
                <w:kern w:val="0"/>
                <w:sz w:val="24"/>
                <w:szCs w:val="24"/>
                <w:highlight w:val="none"/>
                <w:lang w:bidi="ar"/>
              </w:rPr>
              <w:t>效率</w:t>
            </w:r>
            <w:r>
              <w:rPr>
                <w:rFonts w:hint="eastAsia"/>
                <w:color w:val="auto"/>
                <w:kern w:val="0"/>
                <w:sz w:val="24"/>
                <w:szCs w:val="24"/>
                <w:highlight w:val="none"/>
                <w:lang w:eastAsia="zh-CN" w:bidi="ar"/>
              </w:rPr>
              <w:t>，</w:t>
            </w:r>
            <w:r>
              <w:rPr>
                <w:color w:val="auto"/>
                <w:kern w:val="0"/>
                <w:sz w:val="24"/>
                <w:szCs w:val="24"/>
                <w:highlight w:val="none"/>
                <w:lang w:bidi="ar"/>
              </w:rPr>
              <w:t>避免其发生事故的可能。</w:t>
            </w:r>
          </w:p>
          <w:p w14:paraId="0F11D93C">
            <w:pPr>
              <w:widowControl/>
              <w:spacing w:line="360" w:lineRule="auto"/>
              <w:ind w:firstLine="480" w:firstLineChars="200"/>
              <w:rPr>
                <w:color w:val="auto"/>
                <w:kern w:val="0"/>
                <w:sz w:val="24"/>
                <w:szCs w:val="24"/>
                <w:highlight w:val="none"/>
                <w:lang w:bidi="ar"/>
              </w:rPr>
            </w:pPr>
            <w:r>
              <w:rPr>
                <w:rFonts w:hint="eastAsia"/>
                <w:color w:val="auto"/>
                <w:kern w:val="0"/>
                <w:sz w:val="24"/>
                <w:szCs w:val="24"/>
                <w:highlight w:val="none"/>
                <w:lang w:bidi="ar"/>
              </w:rPr>
              <w:t>②</w:t>
            </w:r>
            <w:r>
              <w:rPr>
                <w:color w:val="auto"/>
                <w:kern w:val="0"/>
                <w:sz w:val="24"/>
                <w:szCs w:val="24"/>
                <w:highlight w:val="none"/>
                <w:lang w:bidi="ar"/>
              </w:rPr>
              <w:t>加强人工观察</w:t>
            </w:r>
            <w:r>
              <w:rPr>
                <w:rFonts w:hint="eastAsia"/>
                <w:color w:val="auto"/>
                <w:kern w:val="0"/>
                <w:sz w:val="24"/>
                <w:szCs w:val="24"/>
                <w:highlight w:val="none"/>
                <w:lang w:eastAsia="zh-CN" w:bidi="ar"/>
              </w:rPr>
              <w:t>，</w:t>
            </w:r>
            <w:r>
              <w:rPr>
                <w:color w:val="auto"/>
                <w:kern w:val="0"/>
                <w:sz w:val="24"/>
                <w:szCs w:val="24"/>
                <w:highlight w:val="none"/>
                <w:lang w:bidi="ar"/>
              </w:rPr>
              <w:t>确保除尘器下灰系统能顺畅</w:t>
            </w:r>
            <w:r>
              <w:rPr>
                <w:rFonts w:hint="eastAsia"/>
                <w:color w:val="auto"/>
                <w:kern w:val="0"/>
                <w:sz w:val="24"/>
                <w:szCs w:val="24"/>
                <w:highlight w:val="none"/>
                <w:lang w:eastAsia="zh-CN" w:bidi="ar"/>
              </w:rPr>
              <w:t>，</w:t>
            </w:r>
            <w:r>
              <w:rPr>
                <w:color w:val="auto"/>
                <w:kern w:val="0"/>
                <w:sz w:val="24"/>
                <w:szCs w:val="24"/>
                <w:highlight w:val="none"/>
                <w:lang w:bidi="ar"/>
              </w:rPr>
              <w:t>防止由于大量灰积在灰斗中而导致的后续飞灰污染事故发生</w:t>
            </w:r>
            <w:r>
              <w:rPr>
                <w:rFonts w:hint="eastAsia"/>
                <w:color w:val="auto"/>
                <w:kern w:val="0"/>
                <w:sz w:val="24"/>
                <w:szCs w:val="24"/>
                <w:highlight w:val="none"/>
                <w:lang w:bidi="ar"/>
              </w:rPr>
              <w:t>。</w:t>
            </w:r>
          </w:p>
          <w:p w14:paraId="6C1301BD">
            <w:pPr>
              <w:pStyle w:val="34"/>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color w:val="auto"/>
                <w:sz w:val="24"/>
                <w:szCs w:val="24"/>
                <w:highlight w:val="none"/>
                <w:lang w:val="en-US" w:eastAsia="zh-CN"/>
              </w:rPr>
            </w:pPr>
            <w:r>
              <w:rPr>
                <w:rFonts w:hint="eastAsia"/>
                <w:color w:val="auto"/>
                <w:kern w:val="0"/>
                <w:sz w:val="24"/>
                <w:szCs w:val="24"/>
                <w:highlight w:val="none"/>
                <w:lang w:bidi="ar"/>
              </w:rPr>
              <w:t>③定期对环保设备进行检修并整理成册</w:t>
            </w:r>
            <w:r>
              <w:rPr>
                <w:rFonts w:hint="eastAsia" w:ascii="Times New Roman" w:hAnsi="Times New Roman"/>
                <w:color w:val="auto"/>
                <w:highlight w:val="none"/>
                <w:lang w:val="en-US" w:eastAsia="zh-CN"/>
              </w:rPr>
              <w:t>。</w:t>
            </w:r>
          </w:p>
          <w:p w14:paraId="6E2F7412">
            <w:pPr>
              <w:pStyle w:val="34"/>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4、</w:t>
            </w:r>
            <w:r>
              <w:rPr>
                <w:color w:val="auto"/>
                <w:sz w:val="24"/>
                <w:szCs w:val="24"/>
                <w:lang w:val="en-US" w:eastAsia="zh-CN"/>
              </w:rPr>
              <w:t>制定事故应急预案：为了有效地处理风险事故，应有切实可行的处置措施。项目风险事故应急措施包括设备器材、事故现场指挥、救护、通讯等系统的建立、现场应急措施 方案、事故危害监测队伍、现场撤离和善后措施方案等。项目建成后，公司应立即建立有完善的管理制度，内容涵盖生产、供应、销售、安全、环保各方面，通过完善的制度保障应急救援行动的有效启动和实施设立应急报警、通讯系统以及事故处置管理体系。明确职责，并落实到具体部门及负责人员。对事故现场管理以及事故处置全过程的监督，应由富有事故处置经验的人员或有关部门工作人员承担。</w:t>
            </w:r>
          </w:p>
          <w:p w14:paraId="19EC4935">
            <w:pPr>
              <w:pStyle w:val="34"/>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5、消防、火灾报警系统：根据《建筑设计防火规范》，车间消防耐火等级不低于三级，生产车间的火灾危险性为丙类，凡禁火区均设置明显标志牌；安全出口及安全疏散距离应符合《建筑设计防火规范》（GB 50016-2014）2018修订版要求；凡禁火区均设置明显标志牌；各种易燃易爆物料均储存在阴凉、通风处，远离火源；安放易发生爆炸设备的房间，不允许任何人员随便入内，操作全部在控制室进行。安全出口及安全疏散距离应符合《建筑设计防火规范》（GB 50016-2014）2018修订版的要求；消防水是独立的稳高压消防水管网，消防水管道沿装置及辅助生产设施周围布置，在管道上按照规范要求配置消火栓；火灾报警系统：全厂采用电话报警，报警至消防局。</w:t>
            </w:r>
          </w:p>
          <w:p w14:paraId="4F2A023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b/>
                <w:bCs/>
                <w:color w:val="auto"/>
                <w:sz w:val="24"/>
                <w:szCs w:val="24"/>
              </w:rPr>
            </w:pPr>
            <w:r>
              <w:rPr>
                <w:rFonts w:hint="eastAsia" w:ascii="宋体" w:hAnsi="宋体" w:eastAsia="宋体" w:cs="Times New Roman"/>
                <w:color w:val="auto"/>
                <w:sz w:val="24"/>
                <w:szCs w:val="24"/>
                <w:lang w:val="en-US" w:eastAsia="zh-CN"/>
              </w:rPr>
              <w:t>6、总图布置防范措施：在总平面布置中配套建设应急救援设施、救援通道、应急疏散避难所等防护设施。按《安全标志》规定设置有关的安全标志。</w:t>
            </w:r>
            <w:r>
              <w:rPr>
                <w:rFonts w:hint="eastAsia" w:ascii="宋体" w:hAnsi="宋体" w:eastAsia="宋体" w:cs="Times New Roman"/>
                <w:color w:val="auto"/>
                <w:sz w:val="24"/>
                <w:szCs w:val="24"/>
                <w:lang w:val="en-US" w:eastAsia="zh-CN"/>
              </w:rPr>
              <w:br w:type="textWrapping"/>
            </w:r>
            <w:r>
              <w:rPr>
                <w:rFonts w:hint="eastAsia" w:ascii="宋体" w:hAnsi="宋体" w:eastAsia="宋体" w:cs="Times New Roman"/>
                <w:color w:val="auto"/>
                <w:sz w:val="24"/>
                <w:szCs w:val="24"/>
                <w:lang w:val="en-US" w:eastAsia="zh-CN"/>
              </w:rPr>
              <w:t xml:space="preserve">    </w:t>
            </w:r>
            <w:r>
              <w:rPr>
                <w:rFonts w:hint="eastAsia"/>
                <w:b/>
                <w:bCs/>
                <w:color w:val="auto"/>
                <w:sz w:val="24"/>
                <w:szCs w:val="24"/>
                <w:lang w:val="en-US" w:eastAsia="zh-CN"/>
              </w:rPr>
              <w:t xml:space="preserve">6.6 </w:t>
            </w:r>
            <w:r>
              <w:rPr>
                <w:rFonts w:hint="eastAsia"/>
                <w:b/>
                <w:bCs/>
                <w:color w:val="auto"/>
                <w:sz w:val="24"/>
                <w:szCs w:val="24"/>
              </w:rPr>
              <w:t>结论</w:t>
            </w:r>
          </w:p>
          <w:p w14:paraId="1A1E462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color w:val="auto"/>
                <w:sz w:val="24"/>
                <w:szCs w:val="24"/>
              </w:rPr>
            </w:pPr>
            <w:r>
              <w:rPr>
                <w:rFonts w:hint="eastAsia"/>
                <w:color w:val="auto"/>
                <w:sz w:val="24"/>
                <w:szCs w:val="24"/>
              </w:rPr>
              <w:t>综上，项目不存在重大危险源，风险事故对外环境影响较小，项目落实环境风险防范措施和应急预案的基础上，其环境风险是可接受的。</w:t>
            </w:r>
          </w:p>
          <w:p w14:paraId="551D736D">
            <w:pPr>
              <w:adjustRightInd w:val="0"/>
              <w:snapToGrid w:val="0"/>
              <w:spacing w:before="120" w:beforeLines="50" w:line="360" w:lineRule="auto"/>
              <w:ind w:firstLine="482" w:firstLineChars="200"/>
              <w:jc w:val="left"/>
              <w:rPr>
                <w:rFonts w:hint="eastAsia" w:eastAsia="宋体"/>
                <w:color w:val="auto"/>
                <w:sz w:val="24"/>
                <w:lang w:val="en-US" w:eastAsia="zh-CN"/>
              </w:rPr>
            </w:pPr>
            <w:r>
              <w:rPr>
                <w:rFonts w:hint="eastAsia" w:ascii="Times New Roman" w:hAnsi="Times New Roman" w:eastAsia="宋体" w:cs="Times New Roman"/>
                <w:b/>
                <w:bCs/>
                <w:color w:val="auto"/>
                <w:sz w:val="24"/>
                <w:lang w:val="en-US" w:eastAsia="zh-CN"/>
              </w:rPr>
              <w:t>7 改造前后污染物排放</w:t>
            </w:r>
            <w:r>
              <w:rPr>
                <w:rFonts w:hint="eastAsia" w:cs="Times New Roman"/>
                <w:b/>
                <w:bCs/>
                <w:color w:val="auto"/>
                <w:sz w:val="24"/>
                <w:lang w:val="en-US" w:eastAsia="zh-CN"/>
              </w:rPr>
              <w:t>“</w:t>
            </w:r>
            <w:r>
              <w:rPr>
                <w:rFonts w:hint="eastAsia" w:ascii="Times New Roman" w:hAnsi="Times New Roman" w:eastAsia="宋体" w:cs="Times New Roman"/>
                <w:b/>
                <w:bCs/>
                <w:color w:val="auto"/>
                <w:sz w:val="24"/>
                <w:lang w:val="en-US" w:eastAsia="zh-CN"/>
              </w:rPr>
              <w:t>三本账</w:t>
            </w:r>
            <w:r>
              <w:rPr>
                <w:rFonts w:hint="eastAsia" w:cs="Times New Roman"/>
                <w:b/>
                <w:bCs/>
                <w:color w:val="auto"/>
                <w:sz w:val="24"/>
                <w:lang w:val="en-US" w:eastAsia="zh-CN"/>
              </w:rPr>
              <w:t>”</w:t>
            </w:r>
            <w:r>
              <w:rPr>
                <w:rFonts w:hint="eastAsia" w:ascii="Times New Roman" w:hAnsi="Times New Roman" w:eastAsia="宋体" w:cs="Times New Roman"/>
                <w:b/>
                <w:bCs/>
                <w:color w:val="auto"/>
                <w:sz w:val="24"/>
                <w:lang w:val="en-US" w:eastAsia="zh-CN"/>
              </w:rPr>
              <w:t>情况</w:t>
            </w:r>
            <w:r>
              <w:rPr>
                <w:color w:val="auto"/>
              </w:rPr>
              <w:br w:type="textWrapping"/>
            </w:r>
            <w:r>
              <w:rPr>
                <w:rFonts w:hint="eastAsia"/>
                <w:color w:val="auto"/>
                <w:szCs w:val="24"/>
                <w:lang w:val="en-US" w:eastAsia="zh-CN"/>
              </w:rPr>
              <w:t xml:space="preserve">    </w:t>
            </w:r>
            <w:r>
              <w:rPr>
                <w:rFonts w:hint="eastAsia" w:eastAsia="宋体"/>
                <w:color w:val="auto"/>
                <w:sz w:val="24"/>
                <w:lang w:val="en-US" w:eastAsia="zh-CN"/>
              </w:rPr>
              <w:t>本项目改扩建后</w:t>
            </w:r>
            <w:r>
              <w:rPr>
                <w:rFonts w:hint="eastAsia"/>
                <w:color w:val="auto"/>
                <w:sz w:val="24"/>
                <w:lang w:val="en-US" w:eastAsia="zh-CN"/>
              </w:rPr>
              <w:t>“</w:t>
            </w:r>
            <w:r>
              <w:rPr>
                <w:rFonts w:hint="eastAsia" w:eastAsia="宋体"/>
                <w:color w:val="auto"/>
                <w:sz w:val="24"/>
                <w:lang w:val="en-US" w:eastAsia="zh-CN"/>
              </w:rPr>
              <w:t>三本帐</w:t>
            </w:r>
            <w:r>
              <w:rPr>
                <w:rFonts w:hint="eastAsia"/>
                <w:color w:val="auto"/>
                <w:sz w:val="24"/>
                <w:lang w:val="en-US" w:eastAsia="zh-CN"/>
              </w:rPr>
              <w:t>”</w:t>
            </w:r>
            <w:r>
              <w:rPr>
                <w:rFonts w:hint="eastAsia" w:eastAsia="宋体"/>
                <w:color w:val="auto"/>
                <w:sz w:val="24"/>
                <w:lang w:val="en-US" w:eastAsia="zh-CN"/>
              </w:rPr>
              <w:t>见下表。</w:t>
            </w:r>
          </w:p>
          <w:p w14:paraId="088EAD3D">
            <w:pPr>
              <w:widowControl/>
              <w:numPr>
                <w:ilvl w:val="4"/>
                <w:numId w:val="0"/>
              </w:numPr>
              <w:adjustRightInd w:val="0"/>
              <w:snapToGrid w:val="0"/>
              <w:spacing w:before="120" w:beforeLines="50" w:line="360" w:lineRule="auto"/>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表</w:t>
            </w:r>
            <w:r>
              <w:rPr>
                <w:rFonts w:hint="eastAsia" w:cs="Times New Roman"/>
                <w:b/>
                <w:color w:val="auto"/>
                <w:sz w:val="21"/>
                <w:szCs w:val="21"/>
                <w:lang w:val="en-US" w:eastAsia="zh-CN"/>
              </w:rPr>
              <w:t>4</w:t>
            </w:r>
            <w:r>
              <w:rPr>
                <w:rFonts w:hint="eastAsia" w:ascii="Times New Roman" w:hAnsi="Times New Roman" w:eastAsia="宋体" w:cs="Times New Roman"/>
                <w:b/>
                <w:color w:val="auto"/>
                <w:sz w:val="21"/>
                <w:szCs w:val="21"/>
                <w:lang w:val="en-US" w:eastAsia="zh-CN"/>
              </w:rPr>
              <w:t>-1</w:t>
            </w:r>
            <w:r>
              <w:rPr>
                <w:rFonts w:hint="eastAsia" w:cs="Times New Roman"/>
                <w:b/>
                <w:color w:val="auto"/>
                <w:sz w:val="21"/>
                <w:szCs w:val="21"/>
                <w:lang w:val="en-US" w:eastAsia="zh-CN"/>
              </w:rPr>
              <w:t>7</w:t>
            </w:r>
            <w:r>
              <w:rPr>
                <w:rFonts w:hint="eastAsia" w:ascii="Times New Roman" w:hAnsi="Times New Roman" w:eastAsia="宋体" w:cs="Times New Roman"/>
                <w:b/>
                <w:color w:val="auto"/>
                <w:sz w:val="21"/>
                <w:szCs w:val="21"/>
                <w:lang w:val="en-US" w:eastAsia="zh-CN"/>
              </w:rPr>
              <w:t xml:space="preserve"> 项目改扩建后污染情况</w:t>
            </w:r>
          </w:p>
          <w:tbl>
            <w:tblPr>
              <w:tblStyle w:val="37"/>
              <w:tblW w:w="7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211"/>
              <w:gridCol w:w="939"/>
              <w:gridCol w:w="959"/>
              <w:gridCol w:w="756"/>
              <w:gridCol w:w="797"/>
              <w:gridCol w:w="833"/>
              <w:gridCol w:w="834"/>
              <w:gridCol w:w="1001"/>
            </w:tblGrid>
            <w:tr w14:paraId="0849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04" w:type="pct"/>
                  <w:vMerge w:val="restart"/>
                  <w:noWrap w:val="0"/>
                  <w:vAlign w:val="center"/>
                </w:tcPr>
                <w:p w14:paraId="1FAFB915">
                  <w:pPr>
                    <w:pStyle w:val="14"/>
                    <w:spacing w:after="0"/>
                    <w:ind w:left="0" w:leftChars="0"/>
                    <w:jc w:val="center"/>
                    <w:rPr>
                      <w:color w:val="auto"/>
                      <w:sz w:val="21"/>
                      <w:szCs w:val="21"/>
                      <w:lang w:val="en-US" w:eastAsia="zh-CN"/>
                    </w:rPr>
                  </w:pPr>
                  <w:r>
                    <w:rPr>
                      <w:color w:val="auto"/>
                      <w:sz w:val="21"/>
                      <w:szCs w:val="21"/>
                      <w:lang w:val="en-US" w:eastAsia="zh-CN"/>
                    </w:rPr>
                    <w:t>种类</w:t>
                  </w:r>
                </w:p>
              </w:tc>
              <w:tc>
                <w:tcPr>
                  <w:tcW w:w="759" w:type="pct"/>
                  <w:vMerge w:val="restart"/>
                  <w:noWrap w:val="0"/>
                  <w:vAlign w:val="center"/>
                </w:tcPr>
                <w:p w14:paraId="43AB6EAF">
                  <w:pPr>
                    <w:pStyle w:val="14"/>
                    <w:spacing w:after="0"/>
                    <w:ind w:left="0" w:leftChars="0"/>
                    <w:jc w:val="center"/>
                    <w:rPr>
                      <w:color w:val="auto"/>
                      <w:sz w:val="21"/>
                      <w:szCs w:val="21"/>
                      <w:lang w:val="en-US" w:eastAsia="zh-CN"/>
                    </w:rPr>
                  </w:pPr>
                  <w:r>
                    <w:rPr>
                      <w:color w:val="auto"/>
                      <w:sz w:val="21"/>
                      <w:szCs w:val="21"/>
                      <w:lang w:val="en-US" w:eastAsia="zh-CN"/>
                    </w:rPr>
                    <w:t>污染物名称</w:t>
                  </w:r>
                </w:p>
              </w:tc>
              <w:tc>
                <w:tcPr>
                  <w:tcW w:w="588" w:type="pct"/>
                  <w:vMerge w:val="restart"/>
                  <w:noWrap w:val="0"/>
                  <w:vAlign w:val="center"/>
                </w:tcPr>
                <w:p w14:paraId="52983A01">
                  <w:pPr>
                    <w:pStyle w:val="14"/>
                    <w:spacing w:after="0"/>
                    <w:ind w:left="0" w:leftChars="0"/>
                    <w:jc w:val="center"/>
                    <w:rPr>
                      <w:color w:val="auto"/>
                      <w:sz w:val="21"/>
                      <w:szCs w:val="21"/>
                      <w:lang w:val="en-US" w:eastAsia="zh-CN"/>
                    </w:rPr>
                  </w:pPr>
                  <w:r>
                    <w:rPr>
                      <w:color w:val="auto"/>
                      <w:sz w:val="21"/>
                      <w:szCs w:val="21"/>
                      <w:lang w:val="en-US" w:eastAsia="zh-CN"/>
                    </w:rPr>
                    <w:t>现有工程排放量</w:t>
                  </w:r>
                  <w:r>
                    <w:rPr>
                      <w:rFonts w:hint="eastAsia"/>
                      <w:color w:val="auto"/>
                      <w:sz w:val="21"/>
                      <w:szCs w:val="21"/>
                      <w:lang w:val="en-US" w:eastAsia="zh-CN"/>
                    </w:rPr>
                    <w:t>（t/a）</w:t>
                  </w:r>
                </w:p>
              </w:tc>
              <w:tc>
                <w:tcPr>
                  <w:tcW w:w="1574" w:type="pct"/>
                  <w:gridSpan w:val="3"/>
                  <w:noWrap w:val="0"/>
                  <w:vAlign w:val="center"/>
                </w:tcPr>
                <w:p w14:paraId="3F67AC30">
                  <w:pPr>
                    <w:pStyle w:val="14"/>
                    <w:spacing w:after="0"/>
                    <w:ind w:left="0" w:leftChars="0"/>
                    <w:jc w:val="center"/>
                    <w:rPr>
                      <w:color w:val="auto"/>
                      <w:sz w:val="21"/>
                      <w:szCs w:val="21"/>
                      <w:lang w:val="en-US" w:eastAsia="zh-CN"/>
                    </w:rPr>
                  </w:pPr>
                  <w:r>
                    <w:rPr>
                      <w:rFonts w:hint="eastAsia"/>
                      <w:color w:val="auto"/>
                      <w:sz w:val="21"/>
                      <w:szCs w:val="21"/>
                      <w:lang w:val="en-US" w:eastAsia="zh-CN"/>
                    </w:rPr>
                    <w:t>改</w:t>
                  </w:r>
                  <w:r>
                    <w:rPr>
                      <w:color w:val="auto"/>
                      <w:sz w:val="21"/>
                      <w:szCs w:val="21"/>
                      <w:lang w:val="en-US" w:eastAsia="zh-CN"/>
                    </w:rPr>
                    <w:t>扩建项目排放量</w:t>
                  </w:r>
                </w:p>
              </w:tc>
              <w:tc>
                <w:tcPr>
                  <w:tcW w:w="522" w:type="pct"/>
                  <w:vMerge w:val="restart"/>
                  <w:noWrap w:val="0"/>
                  <w:vAlign w:val="center"/>
                </w:tcPr>
                <w:p w14:paraId="1BF243DB">
                  <w:pPr>
                    <w:pStyle w:val="14"/>
                    <w:spacing w:after="0"/>
                    <w:ind w:left="0" w:leftChars="0"/>
                    <w:jc w:val="center"/>
                    <w:rPr>
                      <w:color w:val="auto"/>
                      <w:sz w:val="21"/>
                      <w:szCs w:val="21"/>
                      <w:lang w:val="en-US" w:eastAsia="zh-CN"/>
                    </w:rPr>
                  </w:pPr>
                  <w:r>
                    <w:rPr>
                      <w:rFonts w:ascii="宋体" w:hAnsi="宋体"/>
                      <w:color w:val="auto"/>
                      <w:sz w:val="21"/>
                      <w:szCs w:val="21"/>
                      <w:lang w:val="en-US" w:eastAsia="zh-CN"/>
                    </w:rPr>
                    <w:t>“以新带老”</w:t>
                  </w:r>
                  <w:r>
                    <w:rPr>
                      <w:color w:val="auto"/>
                      <w:sz w:val="21"/>
                      <w:szCs w:val="21"/>
                      <w:lang w:val="en-US" w:eastAsia="zh-CN"/>
                    </w:rPr>
                    <w:t>削减量</w:t>
                  </w:r>
                  <w:r>
                    <w:rPr>
                      <w:rFonts w:hint="eastAsia"/>
                      <w:color w:val="auto"/>
                      <w:sz w:val="21"/>
                      <w:szCs w:val="21"/>
                      <w:lang w:val="en-US" w:eastAsia="zh-CN"/>
                    </w:rPr>
                    <w:t>（t/a）</w:t>
                  </w:r>
                </w:p>
              </w:tc>
              <w:tc>
                <w:tcPr>
                  <w:tcW w:w="522" w:type="pct"/>
                  <w:vMerge w:val="restart"/>
                  <w:noWrap w:val="0"/>
                  <w:vAlign w:val="center"/>
                </w:tcPr>
                <w:p w14:paraId="0DAD3626">
                  <w:pPr>
                    <w:pStyle w:val="14"/>
                    <w:spacing w:after="0"/>
                    <w:ind w:left="0" w:leftChars="0"/>
                    <w:jc w:val="center"/>
                    <w:rPr>
                      <w:color w:val="auto"/>
                      <w:sz w:val="21"/>
                      <w:szCs w:val="21"/>
                      <w:lang w:val="en-US" w:eastAsia="zh-CN"/>
                    </w:rPr>
                  </w:pPr>
                  <w:r>
                    <w:rPr>
                      <w:color w:val="auto"/>
                      <w:sz w:val="21"/>
                      <w:szCs w:val="21"/>
                      <w:lang w:val="en-US" w:eastAsia="zh-CN"/>
                    </w:rPr>
                    <w:t>全厂总排放量</w:t>
                  </w:r>
                  <w:r>
                    <w:rPr>
                      <w:rFonts w:hint="eastAsia"/>
                      <w:color w:val="auto"/>
                      <w:sz w:val="21"/>
                      <w:szCs w:val="21"/>
                      <w:lang w:val="en-US" w:eastAsia="zh-CN"/>
                    </w:rPr>
                    <w:t>（t/a）</w:t>
                  </w:r>
                </w:p>
              </w:tc>
              <w:tc>
                <w:tcPr>
                  <w:tcW w:w="627" w:type="pct"/>
                  <w:vMerge w:val="restart"/>
                  <w:noWrap w:val="0"/>
                  <w:vAlign w:val="center"/>
                </w:tcPr>
                <w:p w14:paraId="7CF82C38">
                  <w:pPr>
                    <w:pStyle w:val="14"/>
                    <w:spacing w:after="0"/>
                    <w:ind w:left="0" w:leftChars="0"/>
                    <w:jc w:val="center"/>
                    <w:rPr>
                      <w:color w:val="auto"/>
                      <w:sz w:val="21"/>
                      <w:szCs w:val="21"/>
                      <w:lang w:val="en-US" w:eastAsia="zh-CN"/>
                    </w:rPr>
                  </w:pPr>
                  <w:r>
                    <w:rPr>
                      <w:color w:val="auto"/>
                      <w:sz w:val="21"/>
                      <w:szCs w:val="21"/>
                      <w:lang w:val="en-US" w:eastAsia="zh-CN"/>
                    </w:rPr>
                    <w:t>排放增减量</w:t>
                  </w:r>
                  <w:r>
                    <w:rPr>
                      <w:rFonts w:hint="eastAsia"/>
                      <w:color w:val="auto"/>
                      <w:sz w:val="21"/>
                      <w:szCs w:val="21"/>
                      <w:lang w:val="en-US" w:eastAsia="zh-CN"/>
                    </w:rPr>
                    <w:t>（t/a）</w:t>
                  </w:r>
                </w:p>
              </w:tc>
            </w:tr>
            <w:tr w14:paraId="0366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404" w:type="pct"/>
                  <w:vMerge w:val="continue"/>
                  <w:noWrap w:val="0"/>
                  <w:vAlign w:val="center"/>
                </w:tcPr>
                <w:p w14:paraId="34AA32C9">
                  <w:pPr>
                    <w:pStyle w:val="14"/>
                    <w:spacing w:after="0"/>
                    <w:ind w:left="0" w:leftChars="0"/>
                    <w:jc w:val="center"/>
                    <w:rPr>
                      <w:color w:val="auto"/>
                      <w:sz w:val="21"/>
                      <w:szCs w:val="21"/>
                      <w:lang w:val="en-US" w:eastAsia="zh-CN"/>
                    </w:rPr>
                  </w:pPr>
                </w:p>
              </w:tc>
              <w:tc>
                <w:tcPr>
                  <w:tcW w:w="759" w:type="pct"/>
                  <w:vMerge w:val="continue"/>
                  <w:noWrap w:val="0"/>
                  <w:vAlign w:val="center"/>
                </w:tcPr>
                <w:p w14:paraId="1F327BEF">
                  <w:pPr>
                    <w:pStyle w:val="14"/>
                    <w:spacing w:after="0"/>
                    <w:ind w:left="0" w:leftChars="0"/>
                    <w:jc w:val="center"/>
                    <w:rPr>
                      <w:color w:val="auto"/>
                      <w:sz w:val="21"/>
                      <w:szCs w:val="21"/>
                      <w:lang w:val="en-US" w:eastAsia="zh-CN"/>
                    </w:rPr>
                  </w:pPr>
                </w:p>
              </w:tc>
              <w:tc>
                <w:tcPr>
                  <w:tcW w:w="588" w:type="pct"/>
                  <w:vMerge w:val="continue"/>
                  <w:noWrap w:val="0"/>
                  <w:vAlign w:val="center"/>
                </w:tcPr>
                <w:p w14:paraId="564BC871">
                  <w:pPr>
                    <w:pStyle w:val="14"/>
                    <w:spacing w:after="0"/>
                    <w:ind w:left="0" w:leftChars="0"/>
                    <w:jc w:val="center"/>
                    <w:rPr>
                      <w:color w:val="auto"/>
                      <w:sz w:val="21"/>
                      <w:szCs w:val="21"/>
                      <w:lang w:val="en-US" w:eastAsia="zh-CN"/>
                    </w:rPr>
                  </w:pPr>
                </w:p>
              </w:tc>
              <w:tc>
                <w:tcPr>
                  <w:tcW w:w="601" w:type="pct"/>
                  <w:noWrap w:val="0"/>
                  <w:vAlign w:val="center"/>
                </w:tcPr>
                <w:p w14:paraId="19835E22">
                  <w:pPr>
                    <w:pStyle w:val="14"/>
                    <w:spacing w:after="0"/>
                    <w:ind w:left="0" w:leftChars="0"/>
                    <w:jc w:val="center"/>
                    <w:rPr>
                      <w:color w:val="auto"/>
                      <w:sz w:val="21"/>
                      <w:szCs w:val="21"/>
                      <w:lang w:val="en-US" w:eastAsia="zh-CN"/>
                    </w:rPr>
                  </w:pPr>
                  <w:r>
                    <w:rPr>
                      <w:color w:val="auto"/>
                      <w:sz w:val="21"/>
                      <w:szCs w:val="21"/>
                      <w:lang w:val="en-US" w:eastAsia="zh-CN"/>
                    </w:rPr>
                    <w:t>产生量</w:t>
                  </w:r>
                  <w:r>
                    <w:rPr>
                      <w:rFonts w:hint="eastAsia"/>
                      <w:color w:val="auto"/>
                      <w:sz w:val="21"/>
                      <w:szCs w:val="21"/>
                      <w:lang w:val="en-US" w:eastAsia="zh-CN"/>
                    </w:rPr>
                    <w:t>（t/a）</w:t>
                  </w:r>
                </w:p>
              </w:tc>
              <w:tc>
                <w:tcPr>
                  <w:tcW w:w="473" w:type="pct"/>
                  <w:noWrap w:val="0"/>
                  <w:vAlign w:val="center"/>
                </w:tcPr>
                <w:p w14:paraId="04ED2986">
                  <w:pPr>
                    <w:pStyle w:val="14"/>
                    <w:spacing w:after="0"/>
                    <w:ind w:left="0" w:leftChars="0"/>
                    <w:jc w:val="center"/>
                    <w:rPr>
                      <w:color w:val="auto"/>
                      <w:sz w:val="21"/>
                      <w:szCs w:val="21"/>
                      <w:lang w:val="en-US" w:eastAsia="zh-CN"/>
                    </w:rPr>
                  </w:pPr>
                  <w:r>
                    <w:rPr>
                      <w:color w:val="auto"/>
                      <w:sz w:val="21"/>
                      <w:szCs w:val="21"/>
                      <w:lang w:val="en-US" w:eastAsia="zh-CN"/>
                    </w:rPr>
                    <w:t>削减量</w:t>
                  </w:r>
                  <w:r>
                    <w:rPr>
                      <w:rFonts w:hint="eastAsia"/>
                      <w:color w:val="auto"/>
                      <w:sz w:val="21"/>
                      <w:szCs w:val="21"/>
                      <w:lang w:val="en-US" w:eastAsia="zh-CN"/>
                    </w:rPr>
                    <w:t>（t/a）</w:t>
                  </w:r>
                </w:p>
              </w:tc>
              <w:tc>
                <w:tcPr>
                  <w:tcW w:w="499" w:type="pct"/>
                  <w:noWrap w:val="0"/>
                  <w:vAlign w:val="center"/>
                </w:tcPr>
                <w:p w14:paraId="2DDD9ED1">
                  <w:pPr>
                    <w:pStyle w:val="14"/>
                    <w:spacing w:after="0"/>
                    <w:ind w:left="0" w:leftChars="0"/>
                    <w:jc w:val="center"/>
                    <w:rPr>
                      <w:color w:val="auto"/>
                      <w:sz w:val="21"/>
                      <w:szCs w:val="21"/>
                      <w:lang w:val="en-US" w:eastAsia="zh-CN"/>
                    </w:rPr>
                  </w:pPr>
                  <w:r>
                    <w:rPr>
                      <w:color w:val="auto"/>
                      <w:sz w:val="21"/>
                      <w:szCs w:val="21"/>
                      <w:lang w:val="en-US" w:eastAsia="zh-CN"/>
                    </w:rPr>
                    <w:t>排放量</w:t>
                  </w:r>
                </w:p>
              </w:tc>
              <w:tc>
                <w:tcPr>
                  <w:tcW w:w="522" w:type="pct"/>
                  <w:vMerge w:val="continue"/>
                  <w:noWrap w:val="0"/>
                  <w:vAlign w:val="center"/>
                </w:tcPr>
                <w:p w14:paraId="47D75910">
                  <w:pPr>
                    <w:pStyle w:val="14"/>
                    <w:spacing w:after="0"/>
                    <w:ind w:left="0" w:leftChars="0"/>
                    <w:jc w:val="center"/>
                    <w:rPr>
                      <w:color w:val="auto"/>
                      <w:sz w:val="21"/>
                      <w:szCs w:val="21"/>
                      <w:lang w:val="en-US" w:eastAsia="zh-CN"/>
                    </w:rPr>
                  </w:pPr>
                </w:p>
              </w:tc>
              <w:tc>
                <w:tcPr>
                  <w:tcW w:w="522" w:type="pct"/>
                  <w:vMerge w:val="continue"/>
                  <w:noWrap w:val="0"/>
                  <w:vAlign w:val="center"/>
                </w:tcPr>
                <w:p w14:paraId="188BE78A">
                  <w:pPr>
                    <w:pStyle w:val="14"/>
                    <w:spacing w:after="0"/>
                    <w:ind w:left="0" w:leftChars="0"/>
                    <w:jc w:val="center"/>
                    <w:rPr>
                      <w:color w:val="auto"/>
                      <w:sz w:val="21"/>
                      <w:szCs w:val="21"/>
                      <w:lang w:val="en-US" w:eastAsia="zh-CN"/>
                    </w:rPr>
                  </w:pPr>
                </w:p>
              </w:tc>
              <w:tc>
                <w:tcPr>
                  <w:tcW w:w="627" w:type="pct"/>
                  <w:vMerge w:val="continue"/>
                  <w:noWrap w:val="0"/>
                  <w:vAlign w:val="center"/>
                </w:tcPr>
                <w:p w14:paraId="1A070736">
                  <w:pPr>
                    <w:pStyle w:val="14"/>
                    <w:spacing w:after="0"/>
                    <w:ind w:left="0" w:leftChars="0"/>
                    <w:jc w:val="center"/>
                    <w:rPr>
                      <w:color w:val="auto"/>
                      <w:sz w:val="21"/>
                      <w:szCs w:val="21"/>
                      <w:lang w:val="en-US" w:eastAsia="zh-CN"/>
                    </w:rPr>
                  </w:pPr>
                </w:p>
              </w:tc>
            </w:tr>
            <w:tr w14:paraId="1DCC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04" w:type="pct"/>
                  <w:vMerge w:val="restart"/>
                  <w:noWrap w:val="0"/>
                  <w:vAlign w:val="center"/>
                </w:tcPr>
                <w:p w14:paraId="3EEFABC0">
                  <w:pPr>
                    <w:pStyle w:val="14"/>
                    <w:spacing w:after="0"/>
                    <w:ind w:left="0" w:leftChars="0"/>
                    <w:jc w:val="center"/>
                    <w:rPr>
                      <w:rFonts w:ascii="Times New Roman" w:hAnsi="Times New Roman" w:eastAsia="宋体" w:cs="Times New Roman"/>
                      <w:color w:val="auto"/>
                      <w:sz w:val="21"/>
                      <w:szCs w:val="21"/>
                      <w:lang w:val="en-US" w:eastAsia="zh-CN"/>
                    </w:rPr>
                  </w:pPr>
                  <w:r>
                    <w:rPr>
                      <w:rFonts w:ascii="Times New Roman" w:hAnsi="Times New Roman" w:eastAsia="宋体" w:cs="Times New Roman"/>
                      <w:color w:val="auto"/>
                      <w:sz w:val="21"/>
                      <w:szCs w:val="21"/>
                      <w:lang w:val="en-US" w:eastAsia="zh-CN"/>
                    </w:rPr>
                    <w:t>废气</w:t>
                  </w:r>
                </w:p>
              </w:tc>
              <w:tc>
                <w:tcPr>
                  <w:tcW w:w="759" w:type="pct"/>
                  <w:noWrap w:val="0"/>
                  <w:vAlign w:val="center"/>
                </w:tcPr>
                <w:p w14:paraId="3E0EEE9A">
                  <w:pPr>
                    <w:pStyle w:val="14"/>
                    <w:spacing w:after="0"/>
                    <w:ind w:left="0" w:left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颗粒物</w:t>
                  </w:r>
                </w:p>
              </w:tc>
              <w:tc>
                <w:tcPr>
                  <w:tcW w:w="588" w:type="pct"/>
                  <w:noWrap w:val="0"/>
                  <w:vAlign w:val="center"/>
                </w:tcPr>
                <w:p w14:paraId="0CE40B34">
                  <w:pPr>
                    <w:jc w:val="center"/>
                    <w:rPr>
                      <w:rFonts w:hint="default" w:ascii="Times New Roman" w:hAnsi="Times New Roman" w:eastAsia="宋体" w:cs="宋体"/>
                      <w:color w:val="auto"/>
                      <w:lang w:val="en-US" w:eastAsia="zh-CN"/>
                    </w:rPr>
                  </w:pPr>
                </w:p>
              </w:tc>
              <w:tc>
                <w:tcPr>
                  <w:tcW w:w="601" w:type="pct"/>
                  <w:noWrap w:val="0"/>
                  <w:vAlign w:val="center"/>
                </w:tcPr>
                <w:p w14:paraId="5B8737C6">
                  <w:pPr>
                    <w:jc w:val="center"/>
                    <w:rPr>
                      <w:rFonts w:hint="default" w:ascii="Times New Roman" w:hAnsi="Times New Roman" w:eastAsia="宋体" w:cs="宋体"/>
                      <w:color w:val="auto"/>
                      <w:lang w:val="en-US" w:eastAsia="zh-CN"/>
                    </w:rPr>
                  </w:pPr>
                </w:p>
              </w:tc>
              <w:tc>
                <w:tcPr>
                  <w:tcW w:w="473" w:type="pct"/>
                  <w:noWrap w:val="0"/>
                  <w:vAlign w:val="center"/>
                </w:tcPr>
                <w:p w14:paraId="4EA6DDE7">
                  <w:pPr>
                    <w:jc w:val="center"/>
                    <w:rPr>
                      <w:rFonts w:hint="default" w:ascii="Times New Roman" w:hAnsi="Times New Roman" w:eastAsia="宋体" w:cs="宋体"/>
                      <w:color w:val="auto"/>
                      <w:lang w:val="en-US" w:eastAsia="zh-CN"/>
                    </w:rPr>
                  </w:pPr>
                </w:p>
              </w:tc>
              <w:tc>
                <w:tcPr>
                  <w:tcW w:w="499" w:type="pct"/>
                  <w:noWrap w:val="0"/>
                  <w:vAlign w:val="center"/>
                </w:tcPr>
                <w:p w14:paraId="1BA0C179">
                  <w:pPr>
                    <w:jc w:val="center"/>
                    <w:rPr>
                      <w:rFonts w:hint="default" w:ascii="Times New Roman" w:hAnsi="Times New Roman" w:eastAsia="宋体" w:cs="宋体"/>
                      <w:color w:val="auto"/>
                      <w:lang w:val="en-US" w:eastAsia="zh-CN"/>
                    </w:rPr>
                  </w:pPr>
                </w:p>
              </w:tc>
              <w:tc>
                <w:tcPr>
                  <w:tcW w:w="522" w:type="pct"/>
                  <w:noWrap w:val="0"/>
                  <w:vAlign w:val="center"/>
                </w:tcPr>
                <w:p w14:paraId="2DDB9702">
                  <w:pPr>
                    <w:jc w:val="center"/>
                    <w:rPr>
                      <w:rFonts w:hint="default" w:ascii="Times New Roman" w:hAnsi="Times New Roman" w:eastAsia="宋体" w:cs="宋体"/>
                      <w:color w:val="auto"/>
                      <w:lang w:val="en-US" w:eastAsia="zh-CN"/>
                    </w:rPr>
                  </w:pPr>
                </w:p>
              </w:tc>
              <w:tc>
                <w:tcPr>
                  <w:tcW w:w="522" w:type="pct"/>
                  <w:noWrap w:val="0"/>
                  <w:vAlign w:val="center"/>
                </w:tcPr>
                <w:p w14:paraId="0AB9DB7E">
                  <w:pPr>
                    <w:jc w:val="center"/>
                    <w:rPr>
                      <w:rFonts w:hint="default" w:ascii="Times New Roman" w:hAnsi="Times New Roman" w:eastAsia="宋体" w:cs="宋体"/>
                      <w:color w:val="auto"/>
                      <w:lang w:val="en-US" w:eastAsia="zh-CN"/>
                    </w:rPr>
                  </w:pPr>
                </w:p>
              </w:tc>
              <w:tc>
                <w:tcPr>
                  <w:tcW w:w="627" w:type="pct"/>
                  <w:noWrap w:val="0"/>
                  <w:vAlign w:val="center"/>
                </w:tcPr>
                <w:p w14:paraId="7A464E9E">
                  <w:pPr>
                    <w:jc w:val="center"/>
                    <w:rPr>
                      <w:rFonts w:hint="default" w:ascii="Times New Roman" w:hAnsi="Times New Roman" w:eastAsia="宋体" w:cs="宋体"/>
                      <w:color w:val="auto"/>
                      <w:lang w:val="en-US" w:eastAsia="zh-CN"/>
                    </w:rPr>
                  </w:pPr>
                </w:p>
              </w:tc>
            </w:tr>
            <w:tr w14:paraId="1956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04" w:type="pct"/>
                  <w:vMerge w:val="continue"/>
                  <w:noWrap w:val="0"/>
                  <w:vAlign w:val="center"/>
                </w:tcPr>
                <w:p w14:paraId="694E2C4A">
                  <w:pPr>
                    <w:pStyle w:val="14"/>
                    <w:spacing w:after="0"/>
                    <w:ind w:left="0" w:leftChars="0"/>
                    <w:jc w:val="center"/>
                    <w:rPr>
                      <w:rFonts w:ascii="Times New Roman" w:hAnsi="Times New Roman" w:eastAsia="宋体" w:cs="Times New Roman"/>
                      <w:color w:val="auto"/>
                      <w:sz w:val="21"/>
                      <w:szCs w:val="21"/>
                      <w:lang w:val="en-US" w:eastAsia="zh-CN"/>
                    </w:rPr>
                  </w:pPr>
                </w:p>
              </w:tc>
              <w:tc>
                <w:tcPr>
                  <w:tcW w:w="759" w:type="pct"/>
                  <w:noWrap w:val="0"/>
                  <w:vAlign w:val="center"/>
                </w:tcPr>
                <w:p w14:paraId="5B86D988">
                  <w:pPr>
                    <w:pStyle w:val="14"/>
                    <w:spacing w:after="0"/>
                    <w:ind w:left="0" w:left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二氧化硫</w:t>
                  </w:r>
                </w:p>
              </w:tc>
              <w:tc>
                <w:tcPr>
                  <w:tcW w:w="588" w:type="pct"/>
                  <w:noWrap w:val="0"/>
                  <w:vAlign w:val="center"/>
                </w:tcPr>
                <w:p w14:paraId="2EDBE47D">
                  <w:pPr>
                    <w:jc w:val="center"/>
                    <w:rPr>
                      <w:rFonts w:hint="eastAsia" w:ascii="Times New Roman" w:hAnsi="Times New Roman" w:eastAsia="宋体" w:cs="宋体"/>
                      <w:color w:val="auto"/>
                      <w:lang w:val="en-US" w:eastAsia="zh-CN"/>
                    </w:rPr>
                  </w:pPr>
                </w:p>
              </w:tc>
              <w:tc>
                <w:tcPr>
                  <w:tcW w:w="601" w:type="pct"/>
                  <w:noWrap w:val="0"/>
                  <w:vAlign w:val="center"/>
                </w:tcPr>
                <w:p w14:paraId="32883474">
                  <w:pPr>
                    <w:jc w:val="center"/>
                    <w:rPr>
                      <w:rFonts w:hint="default" w:ascii="Times New Roman" w:hAnsi="Times New Roman" w:eastAsia="宋体" w:cs="宋体"/>
                      <w:color w:val="auto"/>
                      <w:lang w:val="en-US" w:eastAsia="zh-CN"/>
                    </w:rPr>
                  </w:pPr>
                </w:p>
              </w:tc>
              <w:tc>
                <w:tcPr>
                  <w:tcW w:w="473" w:type="pct"/>
                  <w:noWrap w:val="0"/>
                  <w:vAlign w:val="center"/>
                </w:tcPr>
                <w:p w14:paraId="7157FB93">
                  <w:pPr>
                    <w:jc w:val="center"/>
                    <w:rPr>
                      <w:rFonts w:hint="eastAsia" w:ascii="Times New Roman" w:hAnsi="Times New Roman" w:eastAsia="宋体" w:cs="宋体"/>
                      <w:color w:val="auto"/>
                      <w:lang w:val="en-US" w:eastAsia="zh-CN"/>
                    </w:rPr>
                  </w:pPr>
                </w:p>
              </w:tc>
              <w:tc>
                <w:tcPr>
                  <w:tcW w:w="499" w:type="pct"/>
                  <w:noWrap w:val="0"/>
                  <w:vAlign w:val="center"/>
                </w:tcPr>
                <w:p w14:paraId="0ACC7083">
                  <w:pPr>
                    <w:jc w:val="center"/>
                    <w:rPr>
                      <w:rFonts w:hint="default" w:ascii="Times New Roman" w:hAnsi="Times New Roman" w:eastAsia="宋体" w:cs="宋体"/>
                      <w:color w:val="auto"/>
                      <w:lang w:val="en-US" w:eastAsia="zh-CN"/>
                    </w:rPr>
                  </w:pPr>
                </w:p>
              </w:tc>
              <w:tc>
                <w:tcPr>
                  <w:tcW w:w="522" w:type="pct"/>
                  <w:noWrap w:val="0"/>
                  <w:vAlign w:val="center"/>
                </w:tcPr>
                <w:p w14:paraId="38D24CCD">
                  <w:pPr>
                    <w:jc w:val="center"/>
                    <w:rPr>
                      <w:rFonts w:hint="eastAsia" w:ascii="Times New Roman" w:hAnsi="Times New Roman" w:eastAsia="宋体" w:cs="宋体"/>
                      <w:color w:val="auto"/>
                      <w:lang w:val="en-US" w:eastAsia="zh-CN"/>
                    </w:rPr>
                  </w:pPr>
                </w:p>
              </w:tc>
              <w:tc>
                <w:tcPr>
                  <w:tcW w:w="522" w:type="pct"/>
                  <w:noWrap w:val="0"/>
                  <w:vAlign w:val="center"/>
                </w:tcPr>
                <w:p w14:paraId="4501AF40">
                  <w:pPr>
                    <w:jc w:val="center"/>
                    <w:rPr>
                      <w:rFonts w:hint="default" w:ascii="Times New Roman" w:hAnsi="Times New Roman" w:eastAsia="宋体" w:cs="宋体"/>
                      <w:color w:val="auto"/>
                      <w:lang w:val="en-US" w:eastAsia="zh-CN"/>
                    </w:rPr>
                  </w:pPr>
                </w:p>
              </w:tc>
              <w:tc>
                <w:tcPr>
                  <w:tcW w:w="627" w:type="pct"/>
                  <w:noWrap w:val="0"/>
                  <w:vAlign w:val="center"/>
                </w:tcPr>
                <w:p w14:paraId="500D5519">
                  <w:pPr>
                    <w:jc w:val="center"/>
                    <w:rPr>
                      <w:rFonts w:hint="default" w:ascii="Times New Roman" w:hAnsi="Times New Roman" w:eastAsia="宋体" w:cs="宋体"/>
                      <w:color w:val="auto"/>
                      <w:lang w:val="en-US" w:eastAsia="zh-CN"/>
                    </w:rPr>
                  </w:pPr>
                </w:p>
              </w:tc>
            </w:tr>
            <w:tr w14:paraId="5C98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04" w:type="pct"/>
                  <w:vMerge w:val="continue"/>
                  <w:noWrap w:val="0"/>
                  <w:vAlign w:val="center"/>
                </w:tcPr>
                <w:p w14:paraId="78E3FB62">
                  <w:pPr>
                    <w:pStyle w:val="14"/>
                    <w:spacing w:after="0"/>
                    <w:ind w:left="0" w:leftChars="0"/>
                    <w:jc w:val="center"/>
                    <w:rPr>
                      <w:rFonts w:ascii="Times New Roman" w:hAnsi="Times New Roman" w:eastAsia="宋体" w:cs="Times New Roman"/>
                      <w:color w:val="auto"/>
                      <w:sz w:val="21"/>
                      <w:szCs w:val="21"/>
                      <w:lang w:val="en-US" w:eastAsia="zh-CN"/>
                    </w:rPr>
                  </w:pPr>
                </w:p>
              </w:tc>
              <w:tc>
                <w:tcPr>
                  <w:tcW w:w="759" w:type="pct"/>
                  <w:noWrap w:val="0"/>
                  <w:vAlign w:val="center"/>
                </w:tcPr>
                <w:p w14:paraId="70B13A6A">
                  <w:pPr>
                    <w:pStyle w:val="14"/>
                    <w:spacing w:after="0"/>
                    <w:ind w:left="0" w:left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氮氧化物</w:t>
                  </w:r>
                </w:p>
              </w:tc>
              <w:tc>
                <w:tcPr>
                  <w:tcW w:w="588" w:type="pct"/>
                  <w:noWrap w:val="0"/>
                  <w:vAlign w:val="center"/>
                </w:tcPr>
                <w:p w14:paraId="2C1E6560">
                  <w:pPr>
                    <w:jc w:val="center"/>
                    <w:rPr>
                      <w:rFonts w:hint="eastAsia" w:ascii="Times New Roman" w:hAnsi="Times New Roman" w:eastAsia="宋体" w:cs="宋体"/>
                      <w:color w:val="auto"/>
                      <w:lang w:val="en-US" w:eastAsia="zh-CN"/>
                    </w:rPr>
                  </w:pPr>
                </w:p>
              </w:tc>
              <w:tc>
                <w:tcPr>
                  <w:tcW w:w="601" w:type="pct"/>
                  <w:noWrap w:val="0"/>
                  <w:vAlign w:val="center"/>
                </w:tcPr>
                <w:p w14:paraId="3AA57D39">
                  <w:pPr>
                    <w:jc w:val="center"/>
                    <w:rPr>
                      <w:rFonts w:hint="default" w:ascii="Times New Roman" w:hAnsi="Times New Roman" w:eastAsia="宋体" w:cs="宋体"/>
                      <w:color w:val="auto"/>
                      <w:lang w:val="en-US" w:eastAsia="zh-CN"/>
                    </w:rPr>
                  </w:pPr>
                </w:p>
              </w:tc>
              <w:tc>
                <w:tcPr>
                  <w:tcW w:w="473" w:type="pct"/>
                  <w:noWrap w:val="0"/>
                  <w:vAlign w:val="center"/>
                </w:tcPr>
                <w:p w14:paraId="532271AC">
                  <w:pPr>
                    <w:jc w:val="center"/>
                    <w:rPr>
                      <w:rFonts w:hint="eastAsia" w:ascii="Times New Roman" w:hAnsi="Times New Roman" w:eastAsia="宋体" w:cs="宋体"/>
                      <w:color w:val="auto"/>
                      <w:lang w:val="en-US" w:eastAsia="zh-CN"/>
                    </w:rPr>
                  </w:pPr>
                </w:p>
              </w:tc>
              <w:tc>
                <w:tcPr>
                  <w:tcW w:w="499" w:type="pct"/>
                  <w:noWrap w:val="0"/>
                  <w:vAlign w:val="center"/>
                </w:tcPr>
                <w:p w14:paraId="0F296207">
                  <w:pPr>
                    <w:jc w:val="center"/>
                    <w:rPr>
                      <w:rFonts w:hint="default" w:ascii="Times New Roman" w:hAnsi="Times New Roman" w:eastAsia="宋体" w:cs="宋体"/>
                      <w:color w:val="auto"/>
                      <w:lang w:val="en-US" w:eastAsia="zh-CN"/>
                    </w:rPr>
                  </w:pPr>
                </w:p>
              </w:tc>
              <w:tc>
                <w:tcPr>
                  <w:tcW w:w="522" w:type="pct"/>
                  <w:noWrap w:val="0"/>
                  <w:vAlign w:val="center"/>
                </w:tcPr>
                <w:p w14:paraId="4AF786C3">
                  <w:pPr>
                    <w:jc w:val="center"/>
                    <w:rPr>
                      <w:rFonts w:hint="eastAsia" w:ascii="Times New Roman" w:hAnsi="Times New Roman" w:eastAsia="宋体" w:cs="宋体"/>
                      <w:color w:val="auto"/>
                      <w:lang w:val="en-US" w:eastAsia="zh-CN"/>
                    </w:rPr>
                  </w:pPr>
                </w:p>
              </w:tc>
              <w:tc>
                <w:tcPr>
                  <w:tcW w:w="522" w:type="pct"/>
                  <w:noWrap w:val="0"/>
                  <w:vAlign w:val="center"/>
                </w:tcPr>
                <w:p w14:paraId="452D2451">
                  <w:pPr>
                    <w:jc w:val="center"/>
                    <w:rPr>
                      <w:rFonts w:hint="default" w:ascii="Times New Roman" w:hAnsi="Times New Roman" w:eastAsia="宋体" w:cs="宋体"/>
                      <w:color w:val="auto"/>
                      <w:lang w:val="en-US" w:eastAsia="zh-CN"/>
                    </w:rPr>
                  </w:pPr>
                </w:p>
              </w:tc>
              <w:tc>
                <w:tcPr>
                  <w:tcW w:w="627" w:type="pct"/>
                  <w:noWrap w:val="0"/>
                  <w:vAlign w:val="center"/>
                </w:tcPr>
                <w:p w14:paraId="355FC222">
                  <w:pPr>
                    <w:jc w:val="center"/>
                    <w:rPr>
                      <w:rFonts w:hint="default" w:ascii="Times New Roman" w:hAnsi="Times New Roman" w:eastAsia="宋体" w:cs="宋体"/>
                      <w:color w:val="auto"/>
                      <w:lang w:val="en-US" w:eastAsia="zh-CN"/>
                    </w:rPr>
                  </w:pPr>
                </w:p>
              </w:tc>
            </w:tr>
            <w:tr w14:paraId="5A66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04" w:type="pct"/>
                  <w:vMerge w:val="restart"/>
                  <w:noWrap w:val="0"/>
                  <w:vAlign w:val="center"/>
                </w:tcPr>
                <w:p w14:paraId="0C7B8480">
                  <w:pPr>
                    <w:pStyle w:val="14"/>
                    <w:spacing w:after="0"/>
                    <w:ind w:left="0" w:leftChars="0"/>
                    <w:jc w:val="center"/>
                    <w:rPr>
                      <w:color w:val="auto"/>
                      <w:sz w:val="21"/>
                      <w:szCs w:val="21"/>
                      <w:lang w:val="en-US" w:eastAsia="zh-CN"/>
                    </w:rPr>
                  </w:pPr>
                  <w:r>
                    <w:rPr>
                      <w:color w:val="auto"/>
                      <w:sz w:val="21"/>
                      <w:szCs w:val="21"/>
                      <w:lang w:val="en-US" w:eastAsia="zh-CN"/>
                    </w:rPr>
                    <w:t>废水</w:t>
                  </w:r>
                </w:p>
              </w:tc>
              <w:tc>
                <w:tcPr>
                  <w:tcW w:w="759" w:type="pct"/>
                  <w:noWrap w:val="0"/>
                  <w:vAlign w:val="center"/>
                </w:tcPr>
                <w:p w14:paraId="7ECB23C9">
                  <w:pPr>
                    <w:jc w:val="center"/>
                    <w:rPr>
                      <w:rFonts w:hint="eastAsia" w:eastAsia="宋体" w:cs="宋体"/>
                      <w:color w:val="auto"/>
                    </w:rPr>
                  </w:pPr>
                  <w:r>
                    <w:rPr>
                      <w:rFonts w:hint="eastAsia" w:eastAsia="宋体" w:cs="宋体"/>
                      <w:color w:val="auto"/>
                    </w:rPr>
                    <w:t>废水总量</w:t>
                  </w:r>
                </w:p>
              </w:tc>
              <w:tc>
                <w:tcPr>
                  <w:tcW w:w="588" w:type="pct"/>
                  <w:noWrap w:val="0"/>
                  <w:vAlign w:val="center"/>
                </w:tcPr>
                <w:p w14:paraId="536BF139">
                  <w:pPr>
                    <w:jc w:val="center"/>
                    <w:rPr>
                      <w:rFonts w:hint="default" w:ascii="Times New Roman" w:hAnsi="Times New Roman" w:eastAsia="宋体" w:cs="宋体"/>
                      <w:color w:val="auto"/>
                      <w:lang w:val="en-US" w:eastAsia="zh-CN"/>
                    </w:rPr>
                  </w:pPr>
                </w:p>
              </w:tc>
              <w:tc>
                <w:tcPr>
                  <w:tcW w:w="601" w:type="pct"/>
                  <w:noWrap w:val="0"/>
                  <w:vAlign w:val="center"/>
                </w:tcPr>
                <w:p w14:paraId="32D45311">
                  <w:pPr>
                    <w:jc w:val="center"/>
                    <w:rPr>
                      <w:rFonts w:hint="default" w:ascii="Times New Roman" w:hAnsi="Times New Roman" w:eastAsia="宋体" w:cs="宋体"/>
                      <w:color w:val="auto"/>
                      <w:lang w:val="en-US" w:eastAsia="zh-CN"/>
                    </w:rPr>
                  </w:pPr>
                </w:p>
              </w:tc>
              <w:tc>
                <w:tcPr>
                  <w:tcW w:w="473" w:type="pct"/>
                  <w:noWrap w:val="0"/>
                  <w:vAlign w:val="center"/>
                </w:tcPr>
                <w:p w14:paraId="18BAB93B">
                  <w:pPr>
                    <w:jc w:val="center"/>
                    <w:rPr>
                      <w:rFonts w:hint="eastAsia" w:ascii="Times New Roman" w:hAnsi="Times New Roman" w:eastAsia="宋体" w:cs="宋体"/>
                      <w:color w:val="auto"/>
                      <w:lang w:val="en-US" w:eastAsia="zh-CN"/>
                    </w:rPr>
                  </w:pPr>
                </w:p>
              </w:tc>
              <w:tc>
                <w:tcPr>
                  <w:tcW w:w="499" w:type="pct"/>
                  <w:noWrap w:val="0"/>
                  <w:vAlign w:val="center"/>
                </w:tcPr>
                <w:p w14:paraId="533AADB0">
                  <w:pPr>
                    <w:jc w:val="center"/>
                    <w:rPr>
                      <w:rFonts w:hint="default" w:ascii="Times New Roman" w:hAnsi="Times New Roman" w:eastAsia="宋体" w:cs="宋体"/>
                      <w:color w:val="auto"/>
                      <w:lang w:val="en-US" w:eastAsia="zh-CN"/>
                    </w:rPr>
                  </w:pPr>
                </w:p>
              </w:tc>
              <w:tc>
                <w:tcPr>
                  <w:tcW w:w="522" w:type="pct"/>
                  <w:noWrap w:val="0"/>
                  <w:vAlign w:val="center"/>
                </w:tcPr>
                <w:p w14:paraId="01B7B26F">
                  <w:pPr>
                    <w:jc w:val="center"/>
                    <w:rPr>
                      <w:rFonts w:hint="eastAsia" w:ascii="Times New Roman" w:hAnsi="Times New Roman" w:eastAsia="宋体" w:cs="宋体"/>
                      <w:color w:val="auto"/>
                      <w:lang w:eastAsia="zh-CN"/>
                    </w:rPr>
                  </w:pPr>
                </w:p>
              </w:tc>
              <w:tc>
                <w:tcPr>
                  <w:tcW w:w="522" w:type="pct"/>
                  <w:noWrap w:val="0"/>
                  <w:vAlign w:val="center"/>
                </w:tcPr>
                <w:p w14:paraId="5EBF7C1E">
                  <w:pPr>
                    <w:jc w:val="center"/>
                    <w:rPr>
                      <w:rFonts w:hint="eastAsia" w:ascii="Times New Roman" w:hAnsi="Times New Roman" w:eastAsia="宋体" w:cs="宋体"/>
                      <w:color w:val="auto"/>
                      <w:lang w:val="en-US" w:eastAsia="zh-CN"/>
                    </w:rPr>
                  </w:pPr>
                </w:p>
              </w:tc>
              <w:tc>
                <w:tcPr>
                  <w:tcW w:w="627" w:type="pct"/>
                  <w:noWrap w:val="0"/>
                  <w:vAlign w:val="center"/>
                </w:tcPr>
                <w:p w14:paraId="353B94D1">
                  <w:pPr>
                    <w:jc w:val="center"/>
                    <w:rPr>
                      <w:rFonts w:hint="default" w:ascii="Times New Roman" w:hAnsi="Times New Roman" w:eastAsia="宋体" w:cs="宋体"/>
                      <w:color w:val="auto"/>
                      <w:lang w:val="en-US" w:eastAsia="zh-CN"/>
                    </w:rPr>
                  </w:pPr>
                </w:p>
              </w:tc>
            </w:tr>
            <w:tr w14:paraId="7CE2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04" w:type="pct"/>
                  <w:vMerge w:val="continue"/>
                  <w:noWrap w:val="0"/>
                  <w:vAlign w:val="center"/>
                </w:tcPr>
                <w:p w14:paraId="12B2E5D2">
                  <w:pPr>
                    <w:pStyle w:val="14"/>
                    <w:spacing w:after="0"/>
                    <w:ind w:left="0" w:leftChars="0"/>
                    <w:jc w:val="center"/>
                    <w:rPr>
                      <w:color w:val="auto"/>
                      <w:sz w:val="21"/>
                      <w:szCs w:val="21"/>
                      <w:lang w:val="en-US" w:eastAsia="zh-CN"/>
                    </w:rPr>
                  </w:pPr>
                </w:p>
              </w:tc>
              <w:tc>
                <w:tcPr>
                  <w:tcW w:w="759" w:type="pct"/>
                  <w:noWrap w:val="0"/>
                  <w:vAlign w:val="center"/>
                </w:tcPr>
                <w:p w14:paraId="617FF81E">
                  <w:pPr>
                    <w:jc w:val="center"/>
                    <w:rPr>
                      <w:color w:val="auto"/>
                    </w:rPr>
                  </w:pPr>
                  <w:r>
                    <w:rPr>
                      <w:color w:val="auto"/>
                    </w:rPr>
                    <w:t>COD</w:t>
                  </w:r>
                </w:p>
              </w:tc>
              <w:tc>
                <w:tcPr>
                  <w:tcW w:w="588" w:type="pct"/>
                  <w:noWrap w:val="0"/>
                  <w:vAlign w:val="center"/>
                </w:tcPr>
                <w:p w14:paraId="0332D3D3">
                  <w:pPr>
                    <w:jc w:val="center"/>
                    <w:rPr>
                      <w:rFonts w:hint="default" w:ascii="Times New Roman" w:hAnsi="Times New Roman" w:eastAsia="宋体" w:cs="宋体"/>
                      <w:color w:val="auto"/>
                      <w:lang w:val="en-US" w:eastAsia="zh-CN"/>
                    </w:rPr>
                  </w:pPr>
                </w:p>
              </w:tc>
              <w:tc>
                <w:tcPr>
                  <w:tcW w:w="601" w:type="pct"/>
                  <w:noWrap w:val="0"/>
                  <w:vAlign w:val="center"/>
                </w:tcPr>
                <w:p w14:paraId="317D9A72">
                  <w:pPr>
                    <w:jc w:val="center"/>
                    <w:rPr>
                      <w:rFonts w:hint="default" w:ascii="Times New Roman" w:hAnsi="Times New Roman" w:eastAsia="宋体" w:cs="宋体"/>
                      <w:color w:val="auto"/>
                      <w:lang w:val="en-US" w:eastAsia="zh-CN"/>
                    </w:rPr>
                  </w:pPr>
                </w:p>
              </w:tc>
              <w:tc>
                <w:tcPr>
                  <w:tcW w:w="473" w:type="pct"/>
                  <w:noWrap w:val="0"/>
                  <w:vAlign w:val="center"/>
                </w:tcPr>
                <w:p w14:paraId="62A53C29">
                  <w:pPr>
                    <w:jc w:val="center"/>
                    <w:rPr>
                      <w:rFonts w:hint="default" w:ascii="Times New Roman" w:hAnsi="Times New Roman" w:eastAsia="宋体" w:cs="宋体"/>
                      <w:color w:val="auto"/>
                      <w:lang w:val="en-US" w:eastAsia="zh-CN"/>
                    </w:rPr>
                  </w:pPr>
                </w:p>
              </w:tc>
              <w:tc>
                <w:tcPr>
                  <w:tcW w:w="499" w:type="pct"/>
                  <w:noWrap w:val="0"/>
                  <w:vAlign w:val="center"/>
                </w:tcPr>
                <w:p w14:paraId="675BCAD4">
                  <w:pPr>
                    <w:jc w:val="center"/>
                    <w:rPr>
                      <w:rFonts w:hint="default" w:ascii="Times New Roman" w:hAnsi="Times New Roman" w:eastAsia="宋体" w:cs="宋体"/>
                      <w:color w:val="auto"/>
                      <w:lang w:val="en-US" w:eastAsia="zh-CN"/>
                    </w:rPr>
                  </w:pPr>
                </w:p>
              </w:tc>
              <w:tc>
                <w:tcPr>
                  <w:tcW w:w="522" w:type="pct"/>
                  <w:noWrap w:val="0"/>
                  <w:vAlign w:val="center"/>
                </w:tcPr>
                <w:p w14:paraId="043976CC">
                  <w:pPr>
                    <w:jc w:val="center"/>
                    <w:rPr>
                      <w:rFonts w:hint="eastAsia" w:ascii="Times New Roman" w:hAnsi="Times New Roman" w:eastAsia="宋体" w:cs="宋体"/>
                      <w:color w:val="auto"/>
                      <w:lang w:eastAsia="zh-CN"/>
                    </w:rPr>
                  </w:pPr>
                </w:p>
              </w:tc>
              <w:tc>
                <w:tcPr>
                  <w:tcW w:w="522" w:type="pct"/>
                  <w:noWrap w:val="0"/>
                  <w:vAlign w:val="center"/>
                </w:tcPr>
                <w:p w14:paraId="793901C1">
                  <w:pPr>
                    <w:jc w:val="center"/>
                    <w:rPr>
                      <w:rFonts w:hint="eastAsia" w:ascii="Times New Roman" w:hAnsi="Times New Roman" w:eastAsia="宋体" w:cs="宋体"/>
                      <w:color w:val="auto"/>
                      <w:lang w:val="en-US" w:eastAsia="zh-CN"/>
                    </w:rPr>
                  </w:pPr>
                </w:p>
              </w:tc>
              <w:tc>
                <w:tcPr>
                  <w:tcW w:w="627" w:type="pct"/>
                  <w:noWrap w:val="0"/>
                  <w:vAlign w:val="center"/>
                </w:tcPr>
                <w:p w14:paraId="12F880D0">
                  <w:pPr>
                    <w:jc w:val="center"/>
                    <w:rPr>
                      <w:rFonts w:hint="default" w:ascii="Times New Roman" w:hAnsi="Times New Roman" w:eastAsia="宋体" w:cs="宋体"/>
                      <w:color w:val="auto"/>
                      <w:lang w:val="en-US" w:eastAsia="zh-CN"/>
                    </w:rPr>
                  </w:pPr>
                </w:p>
              </w:tc>
            </w:tr>
            <w:tr w14:paraId="43A3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04" w:type="pct"/>
                  <w:vMerge w:val="continue"/>
                  <w:noWrap w:val="0"/>
                  <w:vAlign w:val="center"/>
                </w:tcPr>
                <w:p w14:paraId="3EF498A2">
                  <w:pPr>
                    <w:pStyle w:val="14"/>
                    <w:spacing w:after="0"/>
                    <w:ind w:left="0" w:leftChars="0"/>
                    <w:jc w:val="center"/>
                    <w:rPr>
                      <w:color w:val="auto"/>
                      <w:sz w:val="21"/>
                      <w:szCs w:val="21"/>
                      <w:lang w:val="en-US" w:eastAsia="zh-CN"/>
                    </w:rPr>
                  </w:pPr>
                </w:p>
              </w:tc>
              <w:tc>
                <w:tcPr>
                  <w:tcW w:w="759" w:type="pct"/>
                  <w:noWrap w:val="0"/>
                  <w:vAlign w:val="center"/>
                </w:tcPr>
                <w:p w14:paraId="1FB17AB0">
                  <w:pPr>
                    <w:jc w:val="center"/>
                    <w:rPr>
                      <w:rFonts w:ascii="Calibri" w:hAnsi="Calibri" w:cs="宋体"/>
                      <w:color w:val="auto"/>
                      <w:kern w:val="2"/>
                      <w:sz w:val="21"/>
                      <w:szCs w:val="21"/>
                      <w:lang w:val="en-US" w:eastAsia="zh-CN" w:bidi="ar-SA"/>
                    </w:rPr>
                  </w:pPr>
                  <w:r>
                    <w:rPr>
                      <w:color w:val="auto"/>
                    </w:rPr>
                    <w:t>NH</w:t>
                  </w:r>
                  <w:r>
                    <w:rPr>
                      <w:color w:val="auto"/>
                      <w:vertAlign w:val="subscript"/>
                    </w:rPr>
                    <w:t>3</w:t>
                  </w:r>
                  <w:r>
                    <w:rPr>
                      <w:color w:val="auto"/>
                    </w:rPr>
                    <w:t>-N</w:t>
                  </w:r>
                </w:p>
              </w:tc>
              <w:tc>
                <w:tcPr>
                  <w:tcW w:w="588" w:type="pct"/>
                  <w:noWrap w:val="0"/>
                  <w:vAlign w:val="center"/>
                </w:tcPr>
                <w:p w14:paraId="372683CD">
                  <w:pPr>
                    <w:jc w:val="center"/>
                    <w:rPr>
                      <w:rFonts w:hint="default" w:ascii="Times New Roman" w:hAnsi="Times New Roman" w:eastAsia="宋体" w:cs="宋体"/>
                      <w:color w:val="auto"/>
                      <w:lang w:val="en-US" w:eastAsia="zh-CN"/>
                    </w:rPr>
                  </w:pPr>
                </w:p>
              </w:tc>
              <w:tc>
                <w:tcPr>
                  <w:tcW w:w="601" w:type="pct"/>
                  <w:noWrap w:val="0"/>
                  <w:vAlign w:val="center"/>
                </w:tcPr>
                <w:p w14:paraId="202E20BC">
                  <w:pPr>
                    <w:jc w:val="center"/>
                    <w:rPr>
                      <w:rFonts w:hint="default" w:ascii="Times New Roman" w:hAnsi="Times New Roman" w:eastAsia="宋体" w:cs="宋体"/>
                      <w:color w:val="auto"/>
                      <w:lang w:val="en-US" w:eastAsia="zh-CN"/>
                    </w:rPr>
                  </w:pPr>
                </w:p>
              </w:tc>
              <w:tc>
                <w:tcPr>
                  <w:tcW w:w="473" w:type="pct"/>
                  <w:noWrap w:val="0"/>
                  <w:vAlign w:val="center"/>
                </w:tcPr>
                <w:p w14:paraId="4CC5D156">
                  <w:pPr>
                    <w:jc w:val="center"/>
                    <w:rPr>
                      <w:rFonts w:hint="default" w:ascii="Times New Roman" w:hAnsi="Times New Roman" w:eastAsia="宋体" w:cs="宋体"/>
                      <w:color w:val="auto"/>
                      <w:lang w:val="en-US" w:eastAsia="zh-CN"/>
                    </w:rPr>
                  </w:pPr>
                </w:p>
              </w:tc>
              <w:tc>
                <w:tcPr>
                  <w:tcW w:w="499" w:type="pct"/>
                  <w:noWrap w:val="0"/>
                  <w:vAlign w:val="center"/>
                </w:tcPr>
                <w:p w14:paraId="75DD237C">
                  <w:pPr>
                    <w:jc w:val="center"/>
                    <w:rPr>
                      <w:rFonts w:hint="default" w:ascii="Times New Roman" w:hAnsi="Times New Roman" w:eastAsia="宋体" w:cs="宋体"/>
                      <w:color w:val="auto"/>
                      <w:lang w:val="en-US" w:eastAsia="zh-CN"/>
                    </w:rPr>
                  </w:pPr>
                </w:p>
              </w:tc>
              <w:tc>
                <w:tcPr>
                  <w:tcW w:w="522" w:type="pct"/>
                  <w:noWrap w:val="0"/>
                  <w:vAlign w:val="center"/>
                </w:tcPr>
                <w:p w14:paraId="14E2EF53">
                  <w:pPr>
                    <w:jc w:val="center"/>
                    <w:rPr>
                      <w:rFonts w:hint="eastAsia" w:ascii="Times New Roman" w:hAnsi="Times New Roman" w:eastAsia="宋体" w:cs="宋体"/>
                      <w:color w:val="auto"/>
                      <w:lang w:val="en-US" w:eastAsia="zh-CN"/>
                    </w:rPr>
                  </w:pPr>
                </w:p>
              </w:tc>
              <w:tc>
                <w:tcPr>
                  <w:tcW w:w="522" w:type="pct"/>
                  <w:noWrap w:val="0"/>
                  <w:vAlign w:val="center"/>
                </w:tcPr>
                <w:p w14:paraId="5D6F8D9E">
                  <w:pPr>
                    <w:jc w:val="center"/>
                    <w:rPr>
                      <w:rFonts w:hint="default" w:ascii="Times New Roman" w:hAnsi="Times New Roman" w:eastAsia="宋体" w:cs="宋体"/>
                      <w:color w:val="auto"/>
                      <w:lang w:val="en-US" w:eastAsia="zh-CN"/>
                    </w:rPr>
                  </w:pPr>
                </w:p>
              </w:tc>
              <w:tc>
                <w:tcPr>
                  <w:tcW w:w="627" w:type="pct"/>
                  <w:noWrap w:val="0"/>
                  <w:vAlign w:val="center"/>
                </w:tcPr>
                <w:p w14:paraId="3ADA815F">
                  <w:pPr>
                    <w:jc w:val="center"/>
                    <w:rPr>
                      <w:rFonts w:hint="default" w:ascii="Times New Roman" w:hAnsi="Times New Roman" w:eastAsia="宋体" w:cs="宋体"/>
                      <w:color w:val="auto"/>
                      <w:lang w:val="en-US" w:eastAsia="zh-CN"/>
                    </w:rPr>
                  </w:pPr>
                </w:p>
              </w:tc>
            </w:tr>
            <w:tr w14:paraId="618C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04" w:type="pct"/>
                  <w:vMerge w:val="restart"/>
                  <w:noWrap w:val="0"/>
                  <w:vAlign w:val="center"/>
                </w:tcPr>
                <w:p w14:paraId="161B947D">
                  <w:pPr>
                    <w:pStyle w:val="14"/>
                    <w:spacing w:after="0"/>
                    <w:ind w:left="0" w:leftChars="0"/>
                    <w:jc w:val="center"/>
                    <w:rPr>
                      <w:color w:val="auto"/>
                      <w:sz w:val="21"/>
                      <w:szCs w:val="21"/>
                      <w:lang w:val="en-US" w:eastAsia="zh-CN"/>
                    </w:rPr>
                  </w:pPr>
                  <w:r>
                    <w:rPr>
                      <w:color w:val="auto"/>
                      <w:sz w:val="21"/>
                      <w:szCs w:val="21"/>
                      <w:lang w:val="en-US" w:eastAsia="zh-CN"/>
                    </w:rPr>
                    <w:t>固废</w:t>
                  </w:r>
                </w:p>
              </w:tc>
              <w:tc>
                <w:tcPr>
                  <w:tcW w:w="759" w:type="pct"/>
                  <w:noWrap w:val="0"/>
                  <w:vAlign w:val="center"/>
                </w:tcPr>
                <w:p w14:paraId="4B41598E">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ascii="Calibri" w:hAnsi="Calibri" w:eastAsia="宋体" w:cs="宋体"/>
                      <w:color w:val="auto"/>
                      <w:kern w:val="2"/>
                      <w:sz w:val="21"/>
                      <w:szCs w:val="21"/>
                      <w:lang w:val="en-US" w:eastAsia="zh-CN" w:bidi="ar-SA"/>
                    </w:rPr>
                  </w:pPr>
                  <w:r>
                    <w:rPr>
                      <w:rFonts w:hint="eastAsia" w:ascii="宋体" w:hAnsi="宋体" w:eastAsia="宋体" w:cs="Times New Roman"/>
                      <w:b w:val="0"/>
                      <w:bCs w:val="0"/>
                      <w:color w:val="auto"/>
                      <w:sz w:val="21"/>
                      <w:szCs w:val="21"/>
                      <w:highlight w:val="none"/>
                      <w:lang w:val="en-US" w:eastAsia="zh-CN"/>
                    </w:rPr>
                    <w:t>生活垃圾</w:t>
                  </w:r>
                </w:p>
              </w:tc>
              <w:tc>
                <w:tcPr>
                  <w:tcW w:w="588" w:type="pct"/>
                  <w:noWrap w:val="0"/>
                  <w:vAlign w:val="center"/>
                </w:tcPr>
                <w:p w14:paraId="5454F924">
                  <w:pPr>
                    <w:jc w:val="center"/>
                    <w:rPr>
                      <w:rFonts w:hint="default" w:ascii="Times New Roman" w:hAnsi="Times New Roman" w:eastAsia="宋体" w:cs="宋体"/>
                      <w:color w:val="auto"/>
                      <w:lang w:val="en-US" w:eastAsia="zh-CN"/>
                    </w:rPr>
                  </w:pPr>
                </w:p>
              </w:tc>
              <w:tc>
                <w:tcPr>
                  <w:tcW w:w="601" w:type="pct"/>
                  <w:noWrap w:val="0"/>
                  <w:vAlign w:val="center"/>
                </w:tcPr>
                <w:p w14:paraId="7655A0EB">
                  <w:pPr>
                    <w:jc w:val="center"/>
                    <w:rPr>
                      <w:rFonts w:hint="default" w:ascii="Times New Roman" w:hAnsi="Times New Roman" w:eastAsia="宋体" w:cs="宋体"/>
                      <w:color w:val="auto"/>
                      <w:lang w:val="en-US" w:eastAsia="zh-CN"/>
                    </w:rPr>
                  </w:pPr>
                </w:p>
              </w:tc>
              <w:tc>
                <w:tcPr>
                  <w:tcW w:w="473" w:type="pct"/>
                  <w:noWrap w:val="0"/>
                  <w:vAlign w:val="center"/>
                </w:tcPr>
                <w:p w14:paraId="6A4F0CBC">
                  <w:pPr>
                    <w:jc w:val="center"/>
                    <w:rPr>
                      <w:rFonts w:hint="eastAsia" w:ascii="Times New Roman" w:hAnsi="Times New Roman" w:eastAsia="宋体" w:cs="宋体"/>
                      <w:color w:val="auto"/>
                      <w:lang w:val="en-US" w:eastAsia="zh-CN"/>
                    </w:rPr>
                  </w:pPr>
                </w:p>
              </w:tc>
              <w:tc>
                <w:tcPr>
                  <w:tcW w:w="499" w:type="pct"/>
                  <w:noWrap w:val="0"/>
                  <w:vAlign w:val="center"/>
                </w:tcPr>
                <w:p w14:paraId="45FA9FBC">
                  <w:pPr>
                    <w:jc w:val="center"/>
                    <w:rPr>
                      <w:rFonts w:hint="default" w:ascii="Times New Roman" w:hAnsi="Times New Roman" w:eastAsia="宋体" w:cs="宋体"/>
                      <w:color w:val="auto"/>
                      <w:lang w:val="en-US" w:eastAsia="zh-CN"/>
                    </w:rPr>
                  </w:pPr>
                </w:p>
              </w:tc>
              <w:tc>
                <w:tcPr>
                  <w:tcW w:w="522" w:type="pct"/>
                  <w:noWrap w:val="0"/>
                  <w:vAlign w:val="center"/>
                </w:tcPr>
                <w:p w14:paraId="54E9FDC0">
                  <w:pPr>
                    <w:jc w:val="center"/>
                    <w:rPr>
                      <w:rFonts w:hint="default" w:ascii="Times New Roman" w:hAnsi="Times New Roman" w:eastAsia="宋体" w:cs="宋体"/>
                      <w:color w:val="auto"/>
                      <w:lang w:val="en-US" w:eastAsia="zh-CN"/>
                    </w:rPr>
                  </w:pPr>
                </w:p>
              </w:tc>
              <w:tc>
                <w:tcPr>
                  <w:tcW w:w="522" w:type="pct"/>
                  <w:noWrap w:val="0"/>
                  <w:vAlign w:val="center"/>
                </w:tcPr>
                <w:p w14:paraId="333255F1">
                  <w:pPr>
                    <w:jc w:val="center"/>
                    <w:rPr>
                      <w:rFonts w:hint="default" w:ascii="Times New Roman" w:hAnsi="Times New Roman" w:eastAsia="宋体" w:cs="宋体"/>
                      <w:color w:val="auto"/>
                      <w:lang w:val="en-US" w:eastAsia="zh-CN"/>
                    </w:rPr>
                  </w:pPr>
                </w:p>
              </w:tc>
              <w:tc>
                <w:tcPr>
                  <w:tcW w:w="627" w:type="pct"/>
                  <w:noWrap w:val="0"/>
                  <w:vAlign w:val="center"/>
                </w:tcPr>
                <w:p w14:paraId="1F05BD70">
                  <w:pPr>
                    <w:jc w:val="center"/>
                    <w:rPr>
                      <w:rFonts w:hint="default" w:ascii="Times New Roman" w:hAnsi="Times New Roman" w:eastAsia="宋体" w:cs="宋体"/>
                      <w:color w:val="auto"/>
                      <w:lang w:val="en-US" w:eastAsia="zh-CN"/>
                    </w:rPr>
                  </w:pPr>
                </w:p>
              </w:tc>
            </w:tr>
            <w:tr w14:paraId="6DB7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04" w:type="pct"/>
                  <w:vMerge w:val="continue"/>
                  <w:noWrap w:val="0"/>
                  <w:vAlign w:val="center"/>
                </w:tcPr>
                <w:p w14:paraId="5C2AC094">
                  <w:pPr>
                    <w:pStyle w:val="14"/>
                    <w:spacing w:after="0"/>
                    <w:ind w:left="0" w:leftChars="0"/>
                    <w:jc w:val="center"/>
                    <w:rPr>
                      <w:color w:val="auto"/>
                      <w:sz w:val="21"/>
                      <w:szCs w:val="21"/>
                      <w:lang w:val="en-US" w:eastAsia="zh-CN"/>
                    </w:rPr>
                  </w:pPr>
                </w:p>
              </w:tc>
              <w:tc>
                <w:tcPr>
                  <w:tcW w:w="759" w:type="pct"/>
                  <w:noWrap w:val="0"/>
                  <w:vAlign w:val="center"/>
                </w:tcPr>
                <w:p w14:paraId="633BD3C8">
                  <w:pPr>
                    <w:jc w:val="center"/>
                    <w:rPr>
                      <w:rFonts w:hint="eastAsia" w:ascii="Calibri" w:hAnsi="Calibri" w:eastAsia="宋体" w:cs="宋体"/>
                      <w:color w:val="auto"/>
                      <w:kern w:val="2"/>
                      <w:sz w:val="21"/>
                      <w:szCs w:val="21"/>
                      <w:lang w:val="en-US" w:eastAsia="zh-CN" w:bidi="ar-SA"/>
                    </w:rPr>
                  </w:pPr>
                  <w:r>
                    <w:rPr>
                      <w:rFonts w:hint="eastAsia" w:cs="宋体"/>
                      <w:color w:val="auto"/>
                      <w:lang w:eastAsia="zh-CN"/>
                    </w:rPr>
                    <w:t>废边角料</w:t>
                  </w:r>
                </w:p>
              </w:tc>
              <w:tc>
                <w:tcPr>
                  <w:tcW w:w="588" w:type="pct"/>
                  <w:noWrap w:val="0"/>
                  <w:vAlign w:val="center"/>
                </w:tcPr>
                <w:p w14:paraId="60B427B6">
                  <w:pPr>
                    <w:jc w:val="center"/>
                    <w:rPr>
                      <w:rFonts w:hint="default" w:ascii="Times New Roman" w:hAnsi="Times New Roman" w:eastAsia="宋体" w:cs="宋体"/>
                      <w:color w:val="auto"/>
                      <w:lang w:val="en-US" w:eastAsia="zh-CN"/>
                    </w:rPr>
                  </w:pPr>
                </w:p>
              </w:tc>
              <w:tc>
                <w:tcPr>
                  <w:tcW w:w="601" w:type="pct"/>
                  <w:noWrap w:val="0"/>
                  <w:vAlign w:val="center"/>
                </w:tcPr>
                <w:p w14:paraId="5FB3DC7F">
                  <w:pPr>
                    <w:jc w:val="center"/>
                    <w:rPr>
                      <w:rFonts w:hint="default" w:ascii="Times New Roman" w:hAnsi="Times New Roman" w:eastAsia="宋体" w:cs="宋体"/>
                      <w:color w:val="auto"/>
                      <w:lang w:val="en-US" w:eastAsia="zh-CN"/>
                    </w:rPr>
                  </w:pPr>
                </w:p>
              </w:tc>
              <w:tc>
                <w:tcPr>
                  <w:tcW w:w="473" w:type="pct"/>
                  <w:noWrap w:val="0"/>
                  <w:vAlign w:val="center"/>
                </w:tcPr>
                <w:p w14:paraId="43CC93CD">
                  <w:pPr>
                    <w:jc w:val="center"/>
                    <w:rPr>
                      <w:rFonts w:hint="default" w:ascii="Times New Roman" w:hAnsi="Times New Roman" w:eastAsia="宋体" w:cs="宋体"/>
                      <w:color w:val="auto"/>
                      <w:lang w:val="en-US" w:eastAsia="zh-CN"/>
                    </w:rPr>
                  </w:pPr>
                </w:p>
              </w:tc>
              <w:tc>
                <w:tcPr>
                  <w:tcW w:w="499" w:type="pct"/>
                  <w:noWrap w:val="0"/>
                  <w:vAlign w:val="center"/>
                </w:tcPr>
                <w:p w14:paraId="61C6E9C9">
                  <w:pPr>
                    <w:jc w:val="center"/>
                    <w:rPr>
                      <w:rFonts w:hint="default" w:ascii="Times New Roman" w:hAnsi="Times New Roman" w:eastAsia="宋体" w:cs="宋体"/>
                      <w:color w:val="auto"/>
                      <w:lang w:val="en-US" w:eastAsia="zh-CN"/>
                    </w:rPr>
                  </w:pPr>
                </w:p>
              </w:tc>
              <w:tc>
                <w:tcPr>
                  <w:tcW w:w="522" w:type="pct"/>
                  <w:noWrap w:val="0"/>
                  <w:vAlign w:val="center"/>
                </w:tcPr>
                <w:p w14:paraId="742FE0A7">
                  <w:pPr>
                    <w:jc w:val="center"/>
                    <w:rPr>
                      <w:rFonts w:hint="default" w:ascii="Times New Roman" w:hAnsi="Times New Roman" w:eastAsia="宋体" w:cs="宋体"/>
                      <w:color w:val="auto"/>
                      <w:lang w:val="en-US" w:eastAsia="zh-CN"/>
                    </w:rPr>
                  </w:pPr>
                </w:p>
              </w:tc>
              <w:tc>
                <w:tcPr>
                  <w:tcW w:w="522" w:type="pct"/>
                  <w:noWrap w:val="0"/>
                  <w:vAlign w:val="center"/>
                </w:tcPr>
                <w:p w14:paraId="373E01F3">
                  <w:pPr>
                    <w:jc w:val="center"/>
                    <w:rPr>
                      <w:rFonts w:hint="default" w:ascii="Times New Roman" w:hAnsi="Times New Roman" w:eastAsia="宋体" w:cs="宋体"/>
                      <w:color w:val="auto"/>
                      <w:lang w:val="en-US" w:eastAsia="zh-CN"/>
                    </w:rPr>
                  </w:pPr>
                </w:p>
              </w:tc>
              <w:tc>
                <w:tcPr>
                  <w:tcW w:w="627" w:type="pct"/>
                  <w:noWrap w:val="0"/>
                  <w:vAlign w:val="center"/>
                </w:tcPr>
                <w:p w14:paraId="5F99F6A5">
                  <w:pPr>
                    <w:jc w:val="center"/>
                    <w:rPr>
                      <w:rFonts w:hint="default" w:ascii="Times New Roman" w:hAnsi="Times New Roman" w:eastAsia="宋体" w:cs="宋体"/>
                      <w:color w:val="auto"/>
                      <w:lang w:val="en-US" w:eastAsia="zh-CN"/>
                    </w:rPr>
                  </w:pPr>
                </w:p>
              </w:tc>
            </w:tr>
            <w:tr w14:paraId="436E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04" w:type="pct"/>
                  <w:vMerge w:val="continue"/>
                  <w:noWrap w:val="0"/>
                  <w:vAlign w:val="center"/>
                </w:tcPr>
                <w:p w14:paraId="666D9B60">
                  <w:pPr>
                    <w:pStyle w:val="14"/>
                    <w:spacing w:after="0"/>
                    <w:ind w:left="0" w:leftChars="0"/>
                    <w:jc w:val="center"/>
                    <w:rPr>
                      <w:color w:val="auto"/>
                      <w:sz w:val="21"/>
                      <w:szCs w:val="21"/>
                      <w:lang w:val="en-US" w:eastAsia="zh-CN"/>
                    </w:rPr>
                  </w:pPr>
                </w:p>
              </w:tc>
              <w:tc>
                <w:tcPr>
                  <w:tcW w:w="759" w:type="pct"/>
                  <w:noWrap w:val="0"/>
                  <w:vAlign w:val="center"/>
                </w:tcPr>
                <w:p w14:paraId="03315045">
                  <w:pPr>
                    <w:jc w:val="center"/>
                    <w:rPr>
                      <w:rFonts w:hint="eastAsia" w:ascii="Calibri" w:hAnsi="Calibri" w:eastAsia="宋体" w:cs="宋体"/>
                      <w:color w:val="auto"/>
                      <w:kern w:val="2"/>
                      <w:sz w:val="21"/>
                      <w:szCs w:val="21"/>
                      <w:lang w:val="en-US" w:eastAsia="zh-CN" w:bidi="ar-SA"/>
                    </w:rPr>
                  </w:pPr>
                  <w:r>
                    <w:rPr>
                      <w:rFonts w:hint="eastAsia" w:ascii="Times New Roman" w:hAnsi="Times New Roman" w:eastAsia="宋体" w:cs="宋体"/>
                      <w:color w:val="auto"/>
                    </w:rPr>
                    <w:t>除尘器收集的粉尘</w:t>
                  </w:r>
                </w:p>
              </w:tc>
              <w:tc>
                <w:tcPr>
                  <w:tcW w:w="588" w:type="pct"/>
                  <w:noWrap w:val="0"/>
                  <w:vAlign w:val="center"/>
                </w:tcPr>
                <w:p w14:paraId="51E38D04">
                  <w:pPr>
                    <w:jc w:val="center"/>
                    <w:rPr>
                      <w:rFonts w:hint="default" w:ascii="Times New Roman" w:hAnsi="Times New Roman" w:eastAsia="宋体" w:cs="宋体"/>
                      <w:color w:val="auto"/>
                      <w:lang w:val="en-US" w:eastAsia="zh-CN"/>
                    </w:rPr>
                  </w:pPr>
                </w:p>
              </w:tc>
              <w:tc>
                <w:tcPr>
                  <w:tcW w:w="601" w:type="pct"/>
                  <w:noWrap w:val="0"/>
                  <w:vAlign w:val="center"/>
                </w:tcPr>
                <w:p w14:paraId="2E682797">
                  <w:pPr>
                    <w:jc w:val="center"/>
                    <w:rPr>
                      <w:rFonts w:hint="default" w:ascii="Times New Roman" w:hAnsi="Times New Roman" w:eastAsia="宋体" w:cs="宋体"/>
                      <w:color w:val="auto"/>
                      <w:lang w:val="en-US" w:eastAsia="zh-CN"/>
                    </w:rPr>
                  </w:pPr>
                </w:p>
              </w:tc>
              <w:tc>
                <w:tcPr>
                  <w:tcW w:w="473" w:type="pct"/>
                  <w:noWrap w:val="0"/>
                  <w:vAlign w:val="center"/>
                </w:tcPr>
                <w:p w14:paraId="78B98086">
                  <w:pPr>
                    <w:jc w:val="center"/>
                    <w:rPr>
                      <w:rFonts w:hint="eastAsia" w:ascii="Times New Roman" w:hAnsi="Times New Roman" w:eastAsia="宋体" w:cs="宋体"/>
                      <w:color w:val="auto"/>
                      <w:lang w:val="en-US" w:eastAsia="zh-CN"/>
                    </w:rPr>
                  </w:pPr>
                </w:p>
              </w:tc>
              <w:tc>
                <w:tcPr>
                  <w:tcW w:w="499" w:type="pct"/>
                  <w:noWrap w:val="0"/>
                  <w:vAlign w:val="center"/>
                </w:tcPr>
                <w:p w14:paraId="2EC30C38">
                  <w:pPr>
                    <w:jc w:val="center"/>
                    <w:rPr>
                      <w:rFonts w:hint="default" w:ascii="Times New Roman" w:hAnsi="Times New Roman" w:eastAsia="宋体" w:cs="宋体"/>
                      <w:color w:val="auto"/>
                      <w:lang w:val="en-US" w:eastAsia="zh-CN"/>
                    </w:rPr>
                  </w:pPr>
                </w:p>
              </w:tc>
              <w:tc>
                <w:tcPr>
                  <w:tcW w:w="522" w:type="pct"/>
                  <w:noWrap w:val="0"/>
                  <w:vAlign w:val="center"/>
                </w:tcPr>
                <w:p w14:paraId="5D47ACB2">
                  <w:pPr>
                    <w:jc w:val="center"/>
                    <w:rPr>
                      <w:rFonts w:hint="default" w:ascii="Times New Roman" w:hAnsi="Times New Roman" w:eastAsia="宋体" w:cs="宋体"/>
                      <w:color w:val="auto"/>
                      <w:lang w:val="en-US" w:eastAsia="zh-CN"/>
                    </w:rPr>
                  </w:pPr>
                </w:p>
              </w:tc>
              <w:tc>
                <w:tcPr>
                  <w:tcW w:w="522" w:type="pct"/>
                  <w:noWrap w:val="0"/>
                  <w:vAlign w:val="center"/>
                </w:tcPr>
                <w:p w14:paraId="64EAA8A7">
                  <w:pPr>
                    <w:jc w:val="center"/>
                    <w:rPr>
                      <w:rFonts w:hint="default" w:ascii="Times New Roman" w:hAnsi="Times New Roman" w:eastAsia="宋体" w:cs="宋体"/>
                      <w:color w:val="auto"/>
                      <w:lang w:val="en-US" w:eastAsia="zh-CN"/>
                    </w:rPr>
                  </w:pPr>
                </w:p>
              </w:tc>
              <w:tc>
                <w:tcPr>
                  <w:tcW w:w="627" w:type="pct"/>
                  <w:noWrap w:val="0"/>
                  <w:vAlign w:val="center"/>
                </w:tcPr>
                <w:p w14:paraId="6F0C0B3C">
                  <w:pPr>
                    <w:jc w:val="center"/>
                    <w:rPr>
                      <w:rFonts w:hint="default" w:ascii="Times New Roman" w:hAnsi="Times New Roman" w:eastAsia="宋体" w:cs="宋体"/>
                      <w:color w:val="auto"/>
                      <w:lang w:val="en-US" w:eastAsia="zh-CN"/>
                    </w:rPr>
                  </w:pPr>
                </w:p>
              </w:tc>
            </w:tr>
            <w:tr w14:paraId="70A4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4" w:type="pct"/>
                  <w:vMerge w:val="continue"/>
                  <w:noWrap w:val="0"/>
                  <w:vAlign w:val="center"/>
                </w:tcPr>
                <w:p w14:paraId="1BCA8F68">
                  <w:pPr>
                    <w:pStyle w:val="14"/>
                    <w:spacing w:after="0"/>
                    <w:ind w:left="0" w:leftChars="0"/>
                    <w:jc w:val="center"/>
                    <w:rPr>
                      <w:color w:val="auto"/>
                      <w:sz w:val="21"/>
                      <w:szCs w:val="21"/>
                      <w:lang w:val="en-US" w:eastAsia="zh-CN"/>
                    </w:rPr>
                  </w:pPr>
                </w:p>
              </w:tc>
              <w:tc>
                <w:tcPr>
                  <w:tcW w:w="759" w:type="pct"/>
                  <w:noWrap w:val="0"/>
                  <w:vAlign w:val="center"/>
                </w:tcPr>
                <w:p w14:paraId="485909AA">
                  <w:pPr>
                    <w:jc w:val="center"/>
                    <w:rPr>
                      <w:rFonts w:hint="eastAsia" w:ascii="Times New Roman" w:hAnsi="Times New Roman" w:eastAsia="宋体" w:cs="Times New Roman"/>
                      <w:color w:val="auto"/>
                      <w:kern w:val="0"/>
                      <w:sz w:val="21"/>
                      <w:szCs w:val="21"/>
                      <w:highlight w:val="none"/>
                      <w:lang w:val="en-US" w:eastAsia="zh-CN" w:bidi="ar-SA"/>
                    </w:rPr>
                  </w:pPr>
                  <w:r>
                    <w:rPr>
                      <w:rFonts w:hint="eastAsia" w:cs="宋体"/>
                      <w:color w:val="auto"/>
                      <w:lang w:eastAsia="zh-CN"/>
                    </w:rPr>
                    <w:t>脱硫脱硝废渣</w:t>
                  </w:r>
                </w:p>
              </w:tc>
              <w:tc>
                <w:tcPr>
                  <w:tcW w:w="588" w:type="pct"/>
                  <w:noWrap w:val="0"/>
                  <w:vAlign w:val="center"/>
                </w:tcPr>
                <w:p w14:paraId="56F75E4D">
                  <w:pPr>
                    <w:jc w:val="center"/>
                    <w:rPr>
                      <w:rFonts w:hint="default" w:ascii="Times New Roman" w:hAnsi="Times New Roman" w:eastAsia="宋体" w:cs="宋体"/>
                      <w:color w:val="auto"/>
                      <w:lang w:val="en-US" w:eastAsia="zh-CN"/>
                    </w:rPr>
                  </w:pPr>
                </w:p>
              </w:tc>
              <w:tc>
                <w:tcPr>
                  <w:tcW w:w="601" w:type="pct"/>
                  <w:noWrap w:val="0"/>
                  <w:vAlign w:val="center"/>
                </w:tcPr>
                <w:p w14:paraId="45A03314">
                  <w:pPr>
                    <w:jc w:val="center"/>
                    <w:rPr>
                      <w:rFonts w:hint="default" w:ascii="Times New Roman" w:hAnsi="Times New Roman" w:eastAsia="宋体" w:cs="宋体"/>
                      <w:color w:val="auto"/>
                      <w:lang w:val="en-US" w:eastAsia="zh-CN"/>
                    </w:rPr>
                  </w:pPr>
                </w:p>
              </w:tc>
              <w:tc>
                <w:tcPr>
                  <w:tcW w:w="473" w:type="pct"/>
                  <w:noWrap w:val="0"/>
                  <w:vAlign w:val="center"/>
                </w:tcPr>
                <w:p w14:paraId="18C42495">
                  <w:pPr>
                    <w:jc w:val="center"/>
                    <w:rPr>
                      <w:rFonts w:hint="default" w:ascii="Times New Roman" w:hAnsi="Times New Roman" w:eastAsia="宋体" w:cs="宋体"/>
                      <w:color w:val="auto"/>
                      <w:lang w:val="en-US" w:eastAsia="zh-CN"/>
                    </w:rPr>
                  </w:pPr>
                </w:p>
              </w:tc>
              <w:tc>
                <w:tcPr>
                  <w:tcW w:w="499" w:type="pct"/>
                  <w:noWrap w:val="0"/>
                  <w:vAlign w:val="center"/>
                </w:tcPr>
                <w:p w14:paraId="6A96DA59">
                  <w:pPr>
                    <w:jc w:val="center"/>
                    <w:rPr>
                      <w:rFonts w:hint="default" w:ascii="Times New Roman" w:hAnsi="Times New Roman" w:eastAsia="宋体" w:cs="宋体"/>
                      <w:color w:val="auto"/>
                      <w:lang w:val="en-US" w:eastAsia="zh-CN"/>
                    </w:rPr>
                  </w:pPr>
                </w:p>
              </w:tc>
              <w:tc>
                <w:tcPr>
                  <w:tcW w:w="522" w:type="pct"/>
                  <w:noWrap w:val="0"/>
                  <w:vAlign w:val="center"/>
                </w:tcPr>
                <w:p w14:paraId="27B79042">
                  <w:pPr>
                    <w:jc w:val="center"/>
                    <w:rPr>
                      <w:rFonts w:hint="eastAsia" w:ascii="Times New Roman" w:hAnsi="Times New Roman" w:eastAsia="宋体" w:cs="宋体"/>
                      <w:color w:val="auto"/>
                      <w:lang w:val="en-US" w:eastAsia="zh-CN"/>
                    </w:rPr>
                  </w:pPr>
                </w:p>
              </w:tc>
              <w:tc>
                <w:tcPr>
                  <w:tcW w:w="522" w:type="pct"/>
                  <w:noWrap w:val="0"/>
                  <w:vAlign w:val="center"/>
                </w:tcPr>
                <w:p w14:paraId="4BB129D3">
                  <w:pPr>
                    <w:jc w:val="center"/>
                    <w:rPr>
                      <w:rFonts w:hint="eastAsia" w:ascii="Times New Roman" w:hAnsi="Times New Roman" w:eastAsia="宋体" w:cs="宋体"/>
                      <w:color w:val="auto"/>
                      <w:lang w:val="en-US" w:eastAsia="zh-CN"/>
                    </w:rPr>
                  </w:pPr>
                </w:p>
              </w:tc>
              <w:tc>
                <w:tcPr>
                  <w:tcW w:w="627" w:type="pct"/>
                  <w:noWrap w:val="0"/>
                  <w:vAlign w:val="center"/>
                </w:tcPr>
                <w:p w14:paraId="0C699A86">
                  <w:pPr>
                    <w:jc w:val="center"/>
                    <w:rPr>
                      <w:rFonts w:hint="default" w:ascii="Times New Roman" w:hAnsi="Times New Roman" w:eastAsia="宋体" w:cs="宋体"/>
                      <w:color w:val="auto"/>
                      <w:lang w:val="en-US" w:eastAsia="zh-CN"/>
                    </w:rPr>
                  </w:pPr>
                </w:p>
              </w:tc>
            </w:tr>
            <w:tr w14:paraId="4E90E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04" w:type="pct"/>
                  <w:vMerge w:val="continue"/>
                  <w:noWrap w:val="0"/>
                  <w:vAlign w:val="center"/>
                </w:tcPr>
                <w:p w14:paraId="2AAED9EB">
                  <w:pPr>
                    <w:pStyle w:val="14"/>
                    <w:spacing w:after="0"/>
                    <w:ind w:left="0" w:leftChars="0"/>
                    <w:jc w:val="center"/>
                    <w:rPr>
                      <w:color w:val="auto"/>
                      <w:sz w:val="21"/>
                      <w:szCs w:val="21"/>
                      <w:lang w:val="en-US" w:eastAsia="zh-CN"/>
                    </w:rPr>
                  </w:pPr>
                </w:p>
              </w:tc>
              <w:tc>
                <w:tcPr>
                  <w:tcW w:w="759" w:type="pct"/>
                  <w:noWrap w:val="0"/>
                  <w:vAlign w:val="center"/>
                </w:tcPr>
                <w:p w14:paraId="502FEB3E">
                  <w:pPr>
                    <w:jc w:val="center"/>
                    <w:rPr>
                      <w:rFonts w:hint="eastAsia" w:ascii="Times New Roman" w:hAnsi="Times New Roman" w:cs="Times New Roman"/>
                      <w:color w:val="auto"/>
                      <w:kern w:val="0"/>
                      <w:sz w:val="21"/>
                      <w:szCs w:val="21"/>
                      <w:highlight w:val="none"/>
                      <w:lang w:val="en-US" w:eastAsia="zh-CN" w:bidi="ar-SA"/>
                    </w:rPr>
                  </w:pPr>
                  <w:r>
                    <w:rPr>
                      <w:rFonts w:hint="eastAsia" w:ascii="Times New Roman" w:hAnsi="Times New Roman" w:eastAsia="宋体" w:cs="宋体"/>
                      <w:color w:val="auto"/>
                      <w:lang w:eastAsia="zh-CN"/>
                    </w:rPr>
                    <w:t>不合格产品</w:t>
                  </w:r>
                </w:p>
              </w:tc>
              <w:tc>
                <w:tcPr>
                  <w:tcW w:w="588" w:type="pct"/>
                  <w:noWrap w:val="0"/>
                  <w:vAlign w:val="center"/>
                </w:tcPr>
                <w:p w14:paraId="7D167F3D">
                  <w:pPr>
                    <w:jc w:val="center"/>
                    <w:rPr>
                      <w:rFonts w:hint="default" w:ascii="Times New Roman" w:hAnsi="Times New Roman" w:eastAsia="宋体" w:cs="宋体"/>
                      <w:color w:val="auto"/>
                      <w:lang w:val="en-US" w:eastAsia="zh-CN"/>
                    </w:rPr>
                  </w:pPr>
                </w:p>
              </w:tc>
              <w:tc>
                <w:tcPr>
                  <w:tcW w:w="601" w:type="pct"/>
                  <w:noWrap w:val="0"/>
                  <w:vAlign w:val="center"/>
                </w:tcPr>
                <w:p w14:paraId="56C806F7">
                  <w:pPr>
                    <w:jc w:val="center"/>
                    <w:rPr>
                      <w:rFonts w:hint="default" w:ascii="Times New Roman" w:hAnsi="Times New Roman" w:eastAsia="宋体" w:cs="宋体"/>
                      <w:color w:val="auto"/>
                      <w:lang w:val="en-US" w:eastAsia="zh-CN"/>
                    </w:rPr>
                  </w:pPr>
                </w:p>
              </w:tc>
              <w:tc>
                <w:tcPr>
                  <w:tcW w:w="473" w:type="pct"/>
                  <w:noWrap w:val="0"/>
                  <w:vAlign w:val="center"/>
                </w:tcPr>
                <w:p w14:paraId="665F7F5B">
                  <w:pPr>
                    <w:jc w:val="center"/>
                    <w:rPr>
                      <w:rFonts w:hint="default" w:ascii="Times New Roman" w:hAnsi="Times New Roman" w:eastAsia="宋体" w:cs="宋体"/>
                      <w:color w:val="auto"/>
                      <w:lang w:val="en-US" w:eastAsia="zh-CN"/>
                    </w:rPr>
                  </w:pPr>
                </w:p>
              </w:tc>
              <w:tc>
                <w:tcPr>
                  <w:tcW w:w="499" w:type="pct"/>
                  <w:noWrap w:val="0"/>
                  <w:vAlign w:val="center"/>
                </w:tcPr>
                <w:p w14:paraId="5F966F31">
                  <w:pPr>
                    <w:jc w:val="center"/>
                    <w:rPr>
                      <w:rFonts w:hint="eastAsia" w:ascii="Times New Roman" w:hAnsi="Times New Roman" w:eastAsia="宋体" w:cs="宋体"/>
                      <w:color w:val="auto"/>
                      <w:lang w:val="en-US" w:eastAsia="zh-CN"/>
                    </w:rPr>
                  </w:pPr>
                </w:p>
              </w:tc>
              <w:tc>
                <w:tcPr>
                  <w:tcW w:w="522" w:type="pct"/>
                  <w:noWrap w:val="0"/>
                  <w:vAlign w:val="center"/>
                </w:tcPr>
                <w:p w14:paraId="18BE748D">
                  <w:pPr>
                    <w:jc w:val="center"/>
                    <w:rPr>
                      <w:rFonts w:hint="eastAsia" w:ascii="Times New Roman" w:hAnsi="Times New Roman" w:eastAsia="宋体" w:cs="宋体"/>
                      <w:color w:val="auto"/>
                      <w:lang w:val="en-US" w:eastAsia="zh-CN"/>
                    </w:rPr>
                  </w:pPr>
                </w:p>
              </w:tc>
              <w:tc>
                <w:tcPr>
                  <w:tcW w:w="522" w:type="pct"/>
                  <w:noWrap w:val="0"/>
                  <w:vAlign w:val="center"/>
                </w:tcPr>
                <w:p w14:paraId="37DE1086">
                  <w:pPr>
                    <w:jc w:val="center"/>
                    <w:rPr>
                      <w:rFonts w:hint="eastAsia" w:ascii="Times New Roman" w:hAnsi="Times New Roman" w:eastAsia="宋体" w:cs="宋体"/>
                      <w:color w:val="auto"/>
                      <w:lang w:val="en-US" w:eastAsia="zh-CN"/>
                    </w:rPr>
                  </w:pPr>
                </w:p>
              </w:tc>
              <w:tc>
                <w:tcPr>
                  <w:tcW w:w="627" w:type="pct"/>
                  <w:noWrap w:val="0"/>
                  <w:vAlign w:val="center"/>
                </w:tcPr>
                <w:p w14:paraId="7D943CE5">
                  <w:pPr>
                    <w:jc w:val="center"/>
                    <w:rPr>
                      <w:rFonts w:hint="default" w:ascii="Times New Roman" w:hAnsi="Times New Roman" w:eastAsia="宋体" w:cs="宋体"/>
                      <w:color w:val="auto"/>
                      <w:lang w:val="en-US" w:eastAsia="zh-CN"/>
                    </w:rPr>
                  </w:pPr>
                </w:p>
              </w:tc>
            </w:tr>
          </w:tbl>
          <w:p w14:paraId="34F324F7">
            <w:pPr>
              <w:widowControl/>
              <w:numPr>
                <w:ilvl w:val="4"/>
                <w:numId w:val="0"/>
              </w:numPr>
              <w:adjustRightInd w:val="0"/>
              <w:snapToGrid w:val="0"/>
              <w:spacing w:before="120" w:beforeLines="50" w:line="360" w:lineRule="auto"/>
              <w:jc w:val="center"/>
              <w:rPr>
                <w:rFonts w:hint="default" w:ascii="Times New Roman" w:hAnsi="Times New Roman" w:eastAsia="宋体" w:cs="Times New Roman"/>
                <w:b/>
                <w:color w:val="auto"/>
                <w:sz w:val="21"/>
                <w:szCs w:val="21"/>
                <w:lang w:val="en-US" w:eastAsia="zh-CN"/>
              </w:rPr>
            </w:pPr>
          </w:p>
          <w:p w14:paraId="393C1995">
            <w:pPr>
              <w:pStyle w:val="6"/>
              <w:spacing w:before="120" w:beforeLines="50" w:after="0" w:line="360" w:lineRule="auto"/>
              <w:ind w:firstLine="482" w:firstLineChars="200"/>
              <w:rPr>
                <w:rStyle w:val="84"/>
                <w:rFonts w:cs="Times New Roman"/>
                <w:b/>
                <w:bCs/>
                <w:color w:val="auto"/>
              </w:rPr>
            </w:pPr>
            <w:r>
              <w:rPr>
                <w:rStyle w:val="84"/>
                <w:rFonts w:hint="eastAsia" w:ascii="Times New Roman" w:hAnsi="Times New Roman" w:cs="Times New Roman"/>
                <w:b/>
                <w:bCs/>
                <w:color w:val="auto"/>
                <w:lang w:val="en-US"/>
              </w:rPr>
              <w:t xml:space="preserve">8 </w:t>
            </w:r>
            <w:r>
              <w:rPr>
                <w:rStyle w:val="84"/>
                <w:rFonts w:hint="eastAsia" w:cs="宋体"/>
                <w:b/>
                <w:bCs/>
                <w:color w:val="auto"/>
              </w:rPr>
              <w:t>环保投资</w:t>
            </w:r>
          </w:p>
          <w:p w14:paraId="12411355">
            <w:pPr>
              <w:spacing w:line="360" w:lineRule="auto"/>
              <w:ind w:firstLine="573"/>
              <w:rPr>
                <w:rFonts w:cs="宋体"/>
                <w:color w:val="auto"/>
                <w:sz w:val="24"/>
                <w:szCs w:val="24"/>
              </w:rPr>
            </w:pPr>
            <w:r>
              <w:rPr>
                <w:rFonts w:hint="eastAsia" w:cs="宋体"/>
                <w:color w:val="auto"/>
                <w:sz w:val="24"/>
                <w:szCs w:val="24"/>
              </w:rPr>
              <w:t>本项目环保投资约为</w:t>
            </w:r>
            <w:r>
              <w:rPr>
                <w:rFonts w:hint="eastAsia" w:cs="宋体"/>
                <w:color w:val="auto"/>
                <w:sz w:val="24"/>
                <w:szCs w:val="24"/>
                <w:lang w:val="en-US" w:eastAsia="zh-CN"/>
              </w:rPr>
              <w:t>95</w:t>
            </w:r>
            <w:r>
              <w:rPr>
                <w:rFonts w:hint="eastAsia" w:cs="宋体"/>
                <w:color w:val="auto"/>
                <w:sz w:val="24"/>
                <w:szCs w:val="24"/>
              </w:rPr>
              <w:t>万元</w:t>
            </w:r>
            <w:r>
              <w:rPr>
                <w:rFonts w:hint="eastAsia" w:cs="宋体"/>
                <w:color w:val="auto"/>
                <w:sz w:val="24"/>
                <w:szCs w:val="24"/>
                <w:lang w:eastAsia="zh-CN"/>
              </w:rPr>
              <w:t>，</w:t>
            </w:r>
            <w:r>
              <w:rPr>
                <w:rFonts w:hint="eastAsia" w:cs="宋体"/>
                <w:color w:val="auto"/>
                <w:sz w:val="24"/>
                <w:szCs w:val="24"/>
              </w:rPr>
              <w:t>占总投资</w:t>
            </w:r>
            <w:r>
              <w:rPr>
                <w:rFonts w:hint="eastAsia" w:ascii="宋体" w:hAnsi="宋体" w:cs="宋体"/>
                <w:color w:val="auto"/>
                <w:sz w:val="24"/>
                <w:szCs w:val="24"/>
                <w:lang w:val="en-US" w:eastAsia="zh-CN"/>
              </w:rPr>
              <w:t>970</w:t>
            </w:r>
            <w:r>
              <w:rPr>
                <w:rFonts w:hint="eastAsia" w:cs="宋体"/>
                <w:color w:val="auto"/>
                <w:sz w:val="24"/>
                <w:szCs w:val="24"/>
              </w:rPr>
              <w:t>万的</w:t>
            </w:r>
            <w:r>
              <w:rPr>
                <w:rFonts w:hint="eastAsia" w:cs="宋体"/>
                <w:color w:val="auto"/>
                <w:sz w:val="24"/>
                <w:szCs w:val="24"/>
                <w:lang w:val="en-US" w:eastAsia="zh-CN"/>
              </w:rPr>
              <w:t>9.794</w:t>
            </w:r>
            <w:r>
              <w:rPr>
                <w:rFonts w:hint="eastAsia" w:cs="宋体"/>
                <w:color w:val="auto"/>
                <w:sz w:val="24"/>
                <w:szCs w:val="24"/>
              </w:rPr>
              <w:t>%</w:t>
            </w:r>
            <w:r>
              <w:rPr>
                <w:rFonts w:hint="eastAsia" w:cs="宋体"/>
                <w:color w:val="auto"/>
                <w:sz w:val="24"/>
                <w:szCs w:val="24"/>
                <w:lang w:eastAsia="zh-CN"/>
              </w:rPr>
              <w:t>，</w:t>
            </w:r>
            <w:r>
              <w:rPr>
                <w:rFonts w:hint="eastAsia" w:cs="宋体"/>
                <w:color w:val="auto"/>
                <w:sz w:val="24"/>
                <w:szCs w:val="24"/>
              </w:rPr>
              <w:t>主要环保投资见下表。</w:t>
            </w:r>
          </w:p>
          <w:p w14:paraId="58105F23">
            <w:pPr>
              <w:spacing w:line="360" w:lineRule="auto"/>
              <w:ind w:firstLine="573"/>
              <w:rPr>
                <w:b/>
                <w:bCs/>
                <w:color w:val="auto"/>
                <w:sz w:val="22"/>
                <w:szCs w:val="22"/>
              </w:rPr>
            </w:pPr>
            <w:r>
              <w:rPr>
                <w:rFonts w:hint="eastAsia" w:cs="宋体"/>
                <w:color w:val="auto"/>
                <w:sz w:val="24"/>
                <w:szCs w:val="24"/>
              </w:rPr>
              <w:t xml:space="preserve">            </w:t>
            </w:r>
            <w:r>
              <w:rPr>
                <w:rFonts w:hint="eastAsia" w:cs="宋体"/>
                <w:b/>
                <w:bCs/>
                <w:color w:val="auto"/>
                <w:sz w:val="24"/>
                <w:szCs w:val="24"/>
              </w:rPr>
              <w:t xml:space="preserve"> </w:t>
            </w:r>
            <w:r>
              <w:rPr>
                <w:rFonts w:hint="eastAsia" w:cs="宋体"/>
                <w:b/>
                <w:bCs/>
                <w:color w:val="auto"/>
                <w:sz w:val="22"/>
                <w:szCs w:val="22"/>
              </w:rPr>
              <w:t>表</w:t>
            </w:r>
            <w:r>
              <w:rPr>
                <w:b/>
                <w:bCs/>
                <w:color w:val="auto"/>
                <w:sz w:val="22"/>
                <w:szCs w:val="22"/>
              </w:rPr>
              <w:t>4-1</w:t>
            </w:r>
            <w:r>
              <w:rPr>
                <w:rFonts w:hint="eastAsia"/>
                <w:b/>
                <w:bCs/>
                <w:color w:val="auto"/>
                <w:sz w:val="22"/>
                <w:szCs w:val="22"/>
                <w:lang w:val="en-US" w:eastAsia="zh-CN"/>
              </w:rPr>
              <w:t>8</w:t>
            </w:r>
            <w:r>
              <w:rPr>
                <w:b/>
                <w:bCs/>
                <w:color w:val="auto"/>
                <w:sz w:val="22"/>
                <w:szCs w:val="22"/>
              </w:rPr>
              <w:t xml:space="preserve">  </w:t>
            </w:r>
            <w:r>
              <w:rPr>
                <w:rFonts w:hint="eastAsia" w:cs="宋体"/>
                <w:b/>
                <w:bCs/>
                <w:color w:val="auto"/>
                <w:sz w:val="22"/>
                <w:szCs w:val="22"/>
              </w:rPr>
              <w:t>环保投资及</w:t>
            </w:r>
            <w:r>
              <w:rPr>
                <w:rFonts w:hint="eastAsia" w:cs="宋体"/>
                <w:b/>
                <w:bCs/>
                <w:color w:val="auto"/>
                <w:sz w:val="22"/>
                <w:szCs w:val="22"/>
                <w:lang w:eastAsia="zh-CN"/>
              </w:rPr>
              <w:t>“</w:t>
            </w:r>
            <w:r>
              <w:rPr>
                <w:rFonts w:hint="eastAsia" w:cs="宋体"/>
                <w:b/>
                <w:bCs/>
                <w:color w:val="auto"/>
                <w:sz w:val="22"/>
                <w:szCs w:val="22"/>
              </w:rPr>
              <w:t>三同时</w:t>
            </w:r>
            <w:r>
              <w:rPr>
                <w:rFonts w:hint="eastAsia" w:cs="宋体"/>
                <w:b/>
                <w:bCs/>
                <w:color w:val="auto"/>
                <w:sz w:val="22"/>
                <w:szCs w:val="22"/>
                <w:lang w:eastAsia="zh-CN"/>
              </w:rPr>
              <w:t>”</w:t>
            </w:r>
            <w:r>
              <w:rPr>
                <w:rFonts w:hint="eastAsia" w:cs="宋体"/>
                <w:b/>
                <w:bCs/>
                <w:color w:val="auto"/>
                <w:sz w:val="22"/>
                <w:szCs w:val="22"/>
              </w:rPr>
              <w:t>验收一览表</w:t>
            </w:r>
          </w:p>
          <w:tbl>
            <w:tblPr>
              <w:tblStyle w:val="37"/>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38"/>
              <w:gridCol w:w="2143"/>
              <w:gridCol w:w="2749"/>
              <w:gridCol w:w="867"/>
            </w:tblGrid>
            <w:tr w14:paraId="15B7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6668C457">
                  <w:pPr>
                    <w:jc w:val="center"/>
                    <w:rPr>
                      <w:color w:val="auto"/>
                      <w:sz w:val="22"/>
                      <w:szCs w:val="22"/>
                    </w:rPr>
                  </w:pPr>
                  <w:r>
                    <w:rPr>
                      <w:rFonts w:hint="eastAsia" w:cs="宋体"/>
                      <w:color w:val="auto"/>
                      <w:sz w:val="22"/>
                      <w:szCs w:val="22"/>
                    </w:rPr>
                    <w:t>项目</w:t>
                  </w:r>
                </w:p>
              </w:tc>
              <w:tc>
                <w:tcPr>
                  <w:tcW w:w="1638" w:type="dxa"/>
                  <w:tcBorders>
                    <w:top w:val="single" w:color="auto" w:sz="4" w:space="0"/>
                    <w:left w:val="single" w:color="auto" w:sz="4" w:space="0"/>
                    <w:bottom w:val="single" w:color="auto" w:sz="4" w:space="0"/>
                    <w:right w:val="single" w:color="auto" w:sz="4" w:space="0"/>
                  </w:tcBorders>
                  <w:vAlign w:val="center"/>
                </w:tcPr>
                <w:p w14:paraId="251FBDB8">
                  <w:pPr>
                    <w:jc w:val="center"/>
                    <w:rPr>
                      <w:color w:val="auto"/>
                      <w:sz w:val="22"/>
                      <w:szCs w:val="22"/>
                    </w:rPr>
                  </w:pPr>
                  <w:r>
                    <w:rPr>
                      <w:rFonts w:hint="eastAsia" w:cs="宋体"/>
                      <w:color w:val="auto"/>
                      <w:sz w:val="22"/>
                      <w:szCs w:val="22"/>
                    </w:rPr>
                    <w:t>污染源</w:t>
                  </w:r>
                </w:p>
              </w:tc>
              <w:tc>
                <w:tcPr>
                  <w:tcW w:w="2143" w:type="dxa"/>
                  <w:tcBorders>
                    <w:top w:val="single" w:color="auto" w:sz="4" w:space="0"/>
                    <w:left w:val="single" w:color="auto" w:sz="4" w:space="0"/>
                    <w:bottom w:val="single" w:color="auto" w:sz="4" w:space="0"/>
                    <w:right w:val="single" w:color="auto" w:sz="4" w:space="0"/>
                  </w:tcBorders>
                  <w:vAlign w:val="center"/>
                </w:tcPr>
                <w:p w14:paraId="4FF21634">
                  <w:pPr>
                    <w:jc w:val="center"/>
                    <w:rPr>
                      <w:color w:val="auto"/>
                      <w:sz w:val="22"/>
                      <w:szCs w:val="22"/>
                    </w:rPr>
                  </w:pPr>
                  <w:r>
                    <w:rPr>
                      <w:rFonts w:hint="eastAsia" w:cs="宋体"/>
                      <w:color w:val="auto"/>
                      <w:sz w:val="22"/>
                      <w:szCs w:val="22"/>
                    </w:rPr>
                    <w:t>主要污染防治措施</w:t>
                  </w:r>
                </w:p>
              </w:tc>
              <w:tc>
                <w:tcPr>
                  <w:tcW w:w="2749" w:type="dxa"/>
                  <w:tcBorders>
                    <w:top w:val="single" w:color="auto" w:sz="4" w:space="0"/>
                    <w:left w:val="single" w:color="auto" w:sz="4" w:space="0"/>
                    <w:bottom w:val="single" w:color="auto" w:sz="4" w:space="0"/>
                    <w:right w:val="single" w:color="auto" w:sz="4" w:space="0"/>
                  </w:tcBorders>
                  <w:vAlign w:val="center"/>
                </w:tcPr>
                <w:p w14:paraId="05C85587">
                  <w:pPr>
                    <w:jc w:val="center"/>
                    <w:rPr>
                      <w:color w:val="auto"/>
                      <w:sz w:val="22"/>
                      <w:szCs w:val="22"/>
                    </w:rPr>
                  </w:pPr>
                  <w:r>
                    <w:rPr>
                      <w:rFonts w:hint="eastAsia" w:cs="宋体"/>
                      <w:color w:val="auto"/>
                      <w:sz w:val="22"/>
                      <w:szCs w:val="22"/>
                    </w:rPr>
                    <w:t>所达标准</w:t>
                  </w:r>
                </w:p>
              </w:tc>
              <w:tc>
                <w:tcPr>
                  <w:tcW w:w="867" w:type="dxa"/>
                  <w:tcBorders>
                    <w:top w:val="single" w:color="auto" w:sz="4" w:space="0"/>
                    <w:left w:val="single" w:color="auto" w:sz="4" w:space="0"/>
                    <w:bottom w:val="single" w:color="auto" w:sz="4" w:space="0"/>
                    <w:right w:val="single" w:color="auto" w:sz="4" w:space="0"/>
                  </w:tcBorders>
                  <w:vAlign w:val="center"/>
                </w:tcPr>
                <w:p w14:paraId="04468B0C">
                  <w:pPr>
                    <w:jc w:val="center"/>
                    <w:rPr>
                      <w:color w:val="auto"/>
                      <w:sz w:val="22"/>
                      <w:szCs w:val="22"/>
                    </w:rPr>
                  </w:pPr>
                  <w:r>
                    <w:rPr>
                      <w:rFonts w:hint="eastAsia" w:cs="宋体"/>
                      <w:color w:val="auto"/>
                      <w:sz w:val="22"/>
                      <w:szCs w:val="22"/>
                    </w:rPr>
                    <w:t>投资</w:t>
                  </w:r>
                </w:p>
                <w:p w14:paraId="4B16057E">
                  <w:pPr>
                    <w:jc w:val="center"/>
                    <w:rPr>
                      <w:rFonts w:hint="eastAsia" w:eastAsia="宋体"/>
                      <w:color w:val="auto"/>
                      <w:sz w:val="22"/>
                      <w:szCs w:val="22"/>
                      <w:lang w:eastAsia="zh-CN"/>
                    </w:rPr>
                  </w:pPr>
                  <w:r>
                    <w:rPr>
                      <w:rFonts w:hint="eastAsia"/>
                      <w:color w:val="auto"/>
                      <w:sz w:val="22"/>
                      <w:szCs w:val="22"/>
                      <w:lang w:eastAsia="zh-CN"/>
                    </w:rPr>
                    <w:t>（</w:t>
                  </w:r>
                  <w:r>
                    <w:rPr>
                      <w:rFonts w:hint="eastAsia" w:cs="宋体"/>
                      <w:color w:val="auto"/>
                      <w:sz w:val="22"/>
                      <w:szCs w:val="22"/>
                    </w:rPr>
                    <w:t>万元</w:t>
                  </w:r>
                  <w:r>
                    <w:rPr>
                      <w:rFonts w:hint="eastAsia"/>
                      <w:color w:val="auto"/>
                      <w:sz w:val="22"/>
                      <w:szCs w:val="22"/>
                      <w:lang w:eastAsia="zh-CN"/>
                    </w:rPr>
                    <w:t>）</w:t>
                  </w:r>
                </w:p>
              </w:tc>
            </w:tr>
            <w:tr w14:paraId="015E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21" w:type="dxa"/>
                  <w:vMerge w:val="restart"/>
                  <w:tcBorders>
                    <w:top w:val="single" w:color="auto" w:sz="4" w:space="0"/>
                    <w:left w:val="single" w:color="auto" w:sz="4" w:space="0"/>
                    <w:right w:val="single" w:color="auto" w:sz="4" w:space="0"/>
                  </w:tcBorders>
                  <w:vAlign w:val="center"/>
                </w:tcPr>
                <w:p w14:paraId="75555AAA">
                  <w:pPr>
                    <w:jc w:val="center"/>
                    <w:rPr>
                      <w:color w:val="auto"/>
                      <w:sz w:val="22"/>
                      <w:szCs w:val="22"/>
                    </w:rPr>
                  </w:pPr>
                  <w:r>
                    <w:rPr>
                      <w:rFonts w:hint="eastAsia" w:cs="宋体"/>
                      <w:color w:val="auto"/>
                      <w:sz w:val="22"/>
                      <w:szCs w:val="22"/>
                    </w:rPr>
                    <w:t>废气</w:t>
                  </w:r>
                </w:p>
              </w:tc>
              <w:tc>
                <w:tcPr>
                  <w:tcW w:w="1638" w:type="dxa"/>
                  <w:tcBorders>
                    <w:top w:val="single" w:color="auto" w:sz="4" w:space="0"/>
                    <w:left w:val="single" w:color="auto" w:sz="4" w:space="0"/>
                    <w:bottom w:val="single" w:color="auto" w:sz="4" w:space="0"/>
                    <w:right w:val="single" w:color="auto" w:sz="4" w:space="0"/>
                  </w:tcBorders>
                  <w:vAlign w:val="center"/>
                </w:tcPr>
                <w:p w14:paraId="489CDABA">
                  <w:pPr>
                    <w:jc w:val="center"/>
                    <w:rPr>
                      <w:rFonts w:cs="宋体"/>
                      <w:color w:val="auto"/>
                      <w:sz w:val="22"/>
                      <w:szCs w:val="22"/>
                    </w:rPr>
                  </w:pPr>
                  <w:r>
                    <w:rPr>
                      <w:rFonts w:hint="eastAsia" w:ascii="Times New Roman" w:hAnsi="Times New Roman" w:eastAsia="宋体" w:cs="Times New Roman"/>
                      <w:color w:val="auto"/>
                      <w:lang w:val="en-US" w:eastAsia="zh-CN"/>
                    </w:rPr>
                    <w:t>输送、上料、破碎、筛分工序</w:t>
                  </w:r>
                </w:p>
              </w:tc>
              <w:tc>
                <w:tcPr>
                  <w:tcW w:w="2143" w:type="dxa"/>
                  <w:tcBorders>
                    <w:top w:val="single" w:color="auto" w:sz="4" w:space="0"/>
                    <w:left w:val="single" w:color="auto" w:sz="4" w:space="0"/>
                    <w:right w:val="single" w:color="auto" w:sz="4" w:space="0"/>
                  </w:tcBorders>
                  <w:vAlign w:val="center"/>
                </w:tcPr>
                <w:p w14:paraId="569934D5">
                  <w:pPr>
                    <w:jc w:val="center"/>
                    <w:rPr>
                      <w:rFonts w:hAnsi="宋体"/>
                      <w:color w:val="auto"/>
                      <w:sz w:val="22"/>
                      <w:szCs w:val="22"/>
                    </w:rPr>
                  </w:pPr>
                  <w:r>
                    <w:rPr>
                      <w:rFonts w:hint="eastAsia" w:hAnsi="宋体"/>
                      <w:color w:val="auto"/>
                      <w:sz w:val="22"/>
                      <w:szCs w:val="22"/>
                    </w:rPr>
                    <w:t>布袋除尘</w:t>
                  </w:r>
                  <w:r>
                    <w:rPr>
                      <w:rFonts w:hAnsi="宋体"/>
                      <w:color w:val="auto"/>
                      <w:sz w:val="22"/>
                      <w:szCs w:val="22"/>
                    </w:rPr>
                    <w:t>+15</w:t>
                  </w:r>
                  <w:r>
                    <w:rPr>
                      <w:rFonts w:hint="eastAsia" w:hAnsi="宋体" w:cs="宋体"/>
                      <w:color w:val="auto"/>
                      <w:sz w:val="22"/>
                      <w:szCs w:val="22"/>
                    </w:rPr>
                    <w:t>米高排气筒</w:t>
                  </w:r>
                </w:p>
              </w:tc>
              <w:tc>
                <w:tcPr>
                  <w:tcW w:w="2749" w:type="dxa"/>
                  <w:vMerge w:val="restart"/>
                  <w:tcBorders>
                    <w:top w:val="single" w:color="auto" w:sz="4" w:space="0"/>
                    <w:left w:val="single" w:color="auto" w:sz="4" w:space="0"/>
                    <w:right w:val="single" w:color="auto" w:sz="4" w:space="0"/>
                  </w:tcBorders>
                  <w:vAlign w:val="center"/>
                </w:tcPr>
                <w:p w14:paraId="0F9F5859">
                  <w:pPr>
                    <w:jc w:val="center"/>
                    <w:rPr>
                      <w:rFonts w:cs="宋体"/>
                      <w:color w:val="auto"/>
                      <w:sz w:val="22"/>
                      <w:szCs w:val="22"/>
                    </w:rPr>
                  </w:pPr>
                  <w:r>
                    <w:rPr>
                      <w:rFonts w:hint="eastAsia" w:ascii="Times New Roman" w:hAnsi="Times New Roman" w:eastAsia="宋体" w:cs="Times New Roman"/>
                      <w:color w:val="auto"/>
                      <w:lang w:val="en-US" w:eastAsia="zh-CN"/>
                    </w:rPr>
                    <w:t>《砖瓦工业大气污染物排放标准》（DB34/ 4362-2023）</w:t>
                  </w:r>
                </w:p>
              </w:tc>
              <w:tc>
                <w:tcPr>
                  <w:tcW w:w="867" w:type="dxa"/>
                  <w:vMerge w:val="restart"/>
                  <w:tcBorders>
                    <w:top w:val="single" w:color="auto" w:sz="4" w:space="0"/>
                    <w:left w:val="single" w:color="auto" w:sz="4" w:space="0"/>
                    <w:right w:val="single" w:color="auto" w:sz="4" w:space="0"/>
                  </w:tcBorders>
                  <w:vAlign w:val="center"/>
                </w:tcPr>
                <w:p w14:paraId="23940A62">
                  <w:pPr>
                    <w:jc w:val="center"/>
                    <w:rPr>
                      <w:rFonts w:hint="default" w:eastAsia="宋体"/>
                      <w:color w:val="auto"/>
                      <w:sz w:val="22"/>
                      <w:szCs w:val="22"/>
                      <w:lang w:val="en-US" w:eastAsia="zh-CN"/>
                    </w:rPr>
                  </w:pPr>
                  <w:r>
                    <w:rPr>
                      <w:rFonts w:hint="eastAsia"/>
                      <w:color w:val="auto"/>
                      <w:sz w:val="22"/>
                      <w:szCs w:val="22"/>
                      <w:lang w:val="en-US" w:eastAsia="zh-CN"/>
                    </w:rPr>
                    <w:t>50</w:t>
                  </w:r>
                </w:p>
              </w:tc>
            </w:tr>
            <w:tr w14:paraId="43BA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21" w:type="dxa"/>
                  <w:vMerge w:val="continue"/>
                  <w:tcBorders>
                    <w:left w:val="single" w:color="auto" w:sz="4" w:space="0"/>
                    <w:right w:val="single" w:color="auto" w:sz="4" w:space="0"/>
                  </w:tcBorders>
                  <w:vAlign w:val="center"/>
                </w:tcPr>
                <w:p w14:paraId="35935E52">
                  <w:pPr>
                    <w:jc w:val="center"/>
                    <w:rPr>
                      <w:rFonts w:cs="宋体"/>
                      <w:color w:val="auto"/>
                      <w:sz w:val="22"/>
                      <w:szCs w:val="22"/>
                    </w:rPr>
                  </w:pPr>
                </w:p>
              </w:tc>
              <w:tc>
                <w:tcPr>
                  <w:tcW w:w="1638" w:type="dxa"/>
                  <w:tcBorders>
                    <w:top w:val="single" w:color="auto" w:sz="4" w:space="0"/>
                    <w:left w:val="single" w:color="auto" w:sz="4" w:space="0"/>
                    <w:bottom w:val="single" w:color="auto" w:sz="4" w:space="0"/>
                    <w:right w:val="single" w:color="auto" w:sz="4" w:space="0"/>
                  </w:tcBorders>
                  <w:vAlign w:val="center"/>
                </w:tcPr>
                <w:p w14:paraId="04561A90">
                  <w:pPr>
                    <w:jc w:val="center"/>
                    <w:rPr>
                      <w:rFonts w:hint="eastAsia" w:eastAsia="宋体" w:cs="宋体"/>
                      <w:color w:val="auto"/>
                      <w:sz w:val="22"/>
                      <w:szCs w:val="22"/>
                      <w:lang w:eastAsia="zh-CN"/>
                    </w:rPr>
                  </w:pPr>
                  <w:r>
                    <w:rPr>
                      <w:rFonts w:hint="eastAsia" w:ascii="Times New Roman" w:hAnsi="Times New Roman" w:eastAsia="宋体" w:cs="Times New Roman"/>
                      <w:color w:val="auto"/>
                      <w:lang w:val="en-US" w:eastAsia="zh-CN"/>
                    </w:rPr>
                    <w:t>隧道窑焙烧工序</w:t>
                  </w:r>
                </w:p>
              </w:tc>
              <w:tc>
                <w:tcPr>
                  <w:tcW w:w="2143" w:type="dxa"/>
                  <w:tcBorders>
                    <w:top w:val="single" w:color="auto" w:sz="4" w:space="0"/>
                    <w:left w:val="single" w:color="auto" w:sz="4" w:space="0"/>
                    <w:right w:val="single" w:color="auto" w:sz="4" w:space="0"/>
                  </w:tcBorders>
                  <w:vAlign w:val="center"/>
                </w:tcPr>
                <w:p w14:paraId="6B2E205A">
                  <w:pPr>
                    <w:jc w:val="center"/>
                    <w:rPr>
                      <w:rFonts w:hAnsi="宋体"/>
                      <w:color w:val="auto"/>
                      <w:sz w:val="22"/>
                      <w:szCs w:val="22"/>
                    </w:rPr>
                  </w:pPr>
                  <w:r>
                    <w:rPr>
                      <w:rFonts w:hint="eastAsia" w:hAnsi="宋体"/>
                      <w:color w:val="auto"/>
                      <w:sz w:val="22"/>
                      <w:szCs w:val="22"/>
                      <w:highlight w:val="none"/>
                      <w:lang w:eastAsia="zh-CN"/>
                    </w:rPr>
                    <w:t>石灰-石膏法脱硫+湿电除尘+SNCR脱硝</w:t>
                  </w:r>
                  <w:r>
                    <w:rPr>
                      <w:rFonts w:hint="eastAsia" w:hAnsi="宋体"/>
                      <w:color w:val="auto"/>
                      <w:sz w:val="22"/>
                      <w:szCs w:val="22"/>
                      <w:lang w:val="en-US" w:eastAsia="zh-CN"/>
                    </w:rPr>
                    <w:t>+26</w:t>
                  </w:r>
                  <w:r>
                    <w:rPr>
                      <w:rFonts w:hint="eastAsia" w:hAnsi="宋体" w:cs="宋体"/>
                      <w:color w:val="auto"/>
                      <w:sz w:val="22"/>
                      <w:szCs w:val="22"/>
                    </w:rPr>
                    <w:t>米高排气筒</w:t>
                  </w:r>
                </w:p>
              </w:tc>
              <w:tc>
                <w:tcPr>
                  <w:tcW w:w="2749" w:type="dxa"/>
                  <w:vMerge w:val="continue"/>
                  <w:tcBorders>
                    <w:left w:val="single" w:color="auto" w:sz="4" w:space="0"/>
                    <w:right w:val="single" w:color="auto" w:sz="4" w:space="0"/>
                  </w:tcBorders>
                  <w:vAlign w:val="center"/>
                </w:tcPr>
                <w:p w14:paraId="28555181">
                  <w:pPr>
                    <w:jc w:val="center"/>
                    <w:rPr>
                      <w:rFonts w:cs="宋体"/>
                      <w:color w:val="auto"/>
                      <w:sz w:val="22"/>
                      <w:szCs w:val="22"/>
                    </w:rPr>
                  </w:pPr>
                </w:p>
              </w:tc>
              <w:tc>
                <w:tcPr>
                  <w:tcW w:w="867" w:type="dxa"/>
                  <w:vMerge w:val="continue"/>
                  <w:tcBorders>
                    <w:left w:val="single" w:color="auto" w:sz="4" w:space="0"/>
                    <w:right w:val="single" w:color="auto" w:sz="4" w:space="0"/>
                  </w:tcBorders>
                  <w:vAlign w:val="center"/>
                </w:tcPr>
                <w:p w14:paraId="69B625D8">
                  <w:pPr>
                    <w:jc w:val="center"/>
                    <w:rPr>
                      <w:color w:val="auto"/>
                      <w:sz w:val="22"/>
                      <w:szCs w:val="22"/>
                    </w:rPr>
                  </w:pPr>
                </w:p>
              </w:tc>
            </w:tr>
            <w:tr w14:paraId="156A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21" w:type="dxa"/>
                  <w:vMerge w:val="continue"/>
                  <w:tcBorders>
                    <w:left w:val="single" w:color="auto" w:sz="4" w:space="0"/>
                    <w:right w:val="single" w:color="auto" w:sz="4" w:space="0"/>
                  </w:tcBorders>
                  <w:vAlign w:val="center"/>
                </w:tcPr>
                <w:p w14:paraId="62F63246">
                  <w:pPr>
                    <w:jc w:val="center"/>
                    <w:rPr>
                      <w:rFonts w:cs="宋体"/>
                      <w:color w:val="auto"/>
                      <w:sz w:val="22"/>
                      <w:szCs w:val="22"/>
                    </w:rPr>
                  </w:pPr>
                </w:p>
              </w:tc>
              <w:tc>
                <w:tcPr>
                  <w:tcW w:w="1638" w:type="dxa"/>
                  <w:tcBorders>
                    <w:top w:val="single" w:color="auto" w:sz="4" w:space="0"/>
                    <w:left w:val="single" w:color="auto" w:sz="4" w:space="0"/>
                    <w:bottom w:val="single" w:color="auto" w:sz="4" w:space="0"/>
                    <w:right w:val="single" w:color="auto" w:sz="4" w:space="0"/>
                  </w:tcBorders>
                  <w:vAlign w:val="center"/>
                </w:tcPr>
                <w:p w14:paraId="19EA7945">
                  <w:pPr>
                    <w:jc w:val="center"/>
                    <w:rPr>
                      <w:rFonts w:hint="eastAsia" w:ascii="Times New Roman" w:hAnsi="Times New Roman" w:eastAsia="宋体" w:cs="Times New Roman"/>
                      <w:color w:val="auto"/>
                      <w:lang w:val="en-US" w:eastAsia="zh-CN"/>
                    </w:rPr>
                  </w:pPr>
                  <w:r>
                    <w:rPr>
                      <w:rFonts w:hint="eastAsia" w:cs="Times New Roman"/>
                      <w:color w:val="auto"/>
                      <w:lang w:val="en-US" w:eastAsia="zh-CN"/>
                    </w:rPr>
                    <w:t>物料库堆场</w:t>
                  </w:r>
                </w:p>
              </w:tc>
              <w:tc>
                <w:tcPr>
                  <w:tcW w:w="2143" w:type="dxa"/>
                  <w:tcBorders>
                    <w:top w:val="single" w:color="auto" w:sz="4" w:space="0"/>
                    <w:left w:val="single" w:color="auto" w:sz="4" w:space="0"/>
                    <w:right w:val="single" w:color="auto" w:sz="4" w:space="0"/>
                  </w:tcBorders>
                  <w:vAlign w:val="center"/>
                </w:tcPr>
                <w:p w14:paraId="427A6C7F">
                  <w:pPr>
                    <w:jc w:val="center"/>
                    <w:rPr>
                      <w:rFonts w:hint="eastAsia" w:hAnsi="宋体"/>
                      <w:color w:val="auto"/>
                      <w:sz w:val="22"/>
                      <w:szCs w:val="22"/>
                      <w:highlight w:val="none"/>
                      <w:lang w:eastAsia="zh-CN"/>
                    </w:rPr>
                  </w:pPr>
                  <w:r>
                    <w:rPr>
                      <w:rFonts w:hint="eastAsia"/>
                      <w:color w:val="auto"/>
                      <w:lang w:eastAsia="zh-CN"/>
                    </w:rPr>
                    <w:t>密闭</w:t>
                  </w:r>
                  <w:r>
                    <w:rPr>
                      <w:rFonts w:hint="eastAsia"/>
                      <w:color w:val="auto"/>
                      <w:lang w:val="en-US" w:eastAsia="zh-CN"/>
                    </w:rPr>
                    <w:t>+喷雾</w:t>
                  </w:r>
                </w:p>
              </w:tc>
              <w:tc>
                <w:tcPr>
                  <w:tcW w:w="2749" w:type="dxa"/>
                  <w:vMerge w:val="continue"/>
                  <w:tcBorders>
                    <w:left w:val="single" w:color="auto" w:sz="4" w:space="0"/>
                    <w:right w:val="single" w:color="auto" w:sz="4" w:space="0"/>
                  </w:tcBorders>
                  <w:vAlign w:val="center"/>
                </w:tcPr>
                <w:p w14:paraId="07764AB7">
                  <w:pPr>
                    <w:jc w:val="center"/>
                    <w:rPr>
                      <w:rFonts w:cs="宋体"/>
                      <w:color w:val="auto"/>
                      <w:sz w:val="22"/>
                      <w:szCs w:val="22"/>
                    </w:rPr>
                  </w:pPr>
                </w:p>
              </w:tc>
              <w:tc>
                <w:tcPr>
                  <w:tcW w:w="867" w:type="dxa"/>
                  <w:vMerge w:val="continue"/>
                  <w:tcBorders>
                    <w:left w:val="single" w:color="auto" w:sz="4" w:space="0"/>
                    <w:right w:val="single" w:color="auto" w:sz="4" w:space="0"/>
                  </w:tcBorders>
                  <w:vAlign w:val="center"/>
                </w:tcPr>
                <w:p w14:paraId="15AB8AE8">
                  <w:pPr>
                    <w:jc w:val="center"/>
                    <w:rPr>
                      <w:color w:val="auto"/>
                      <w:sz w:val="22"/>
                      <w:szCs w:val="22"/>
                    </w:rPr>
                  </w:pPr>
                </w:p>
              </w:tc>
            </w:tr>
            <w:tr w14:paraId="2CF4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21" w:type="dxa"/>
                  <w:vMerge w:val="continue"/>
                  <w:tcBorders>
                    <w:left w:val="single" w:color="auto" w:sz="4" w:space="0"/>
                    <w:right w:val="single" w:color="auto" w:sz="4" w:space="0"/>
                  </w:tcBorders>
                  <w:vAlign w:val="center"/>
                </w:tcPr>
                <w:p w14:paraId="2781A2C6">
                  <w:pPr>
                    <w:jc w:val="center"/>
                    <w:rPr>
                      <w:rFonts w:cs="宋体"/>
                      <w:color w:val="auto"/>
                      <w:sz w:val="22"/>
                      <w:szCs w:val="22"/>
                    </w:rPr>
                  </w:pPr>
                </w:p>
              </w:tc>
              <w:tc>
                <w:tcPr>
                  <w:tcW w:w="1638" w:type="dxa"/>
                  <w:tcBorders>
                    <w:top w:val="single" w:color="auto" w:sz="4" w:space="0"/>
                    <w:left w:val="single" w:color="auto" w:sz="4" w:space="0"/>
                    <w:bottom w:val="single" w:color="auto" w:sz="4" w:space="0"/>
                    <w:right w:val="single" w:color="auto" w:sz="4" w:space="0"/>
                  </w:tcBorders>
                  <w:vAlign w:val="center"/>
                </w:tcPr>
                <w:p w14:paraId="6E2FA0A2">
                  <w:pPr>
                    <w:jc w:val="center"/>
                    <w:rPr>
                      <w:rFonts w:hint="eastAsia" w:cs="Times New Roman"/>
                      <w:color w:val="auto"/>
                      <w:lang w:val="en-US" w:eastAsia="zh-CN"/>
                    </w:rPr>
                  </w:pPr>
                  <w:r>
                    <w:rPr>
                      <w:rFonts w:hint="eastAsia" w:cs="Times New Roman"/>
                      <w:color w:val="auto"/>
                      <w:lang w:val="en-US" w:eastAsia="zh-CN"/>
                    </w:rPr>
                    <w:t>污泥库</w:t>
                  </w:r>
                </w:p>
              </w:tc>
              <w:tc>
                <w:tcPr>
                  <w:tcW w:w="2143" w:type="dxa"/>
                  <w:tcBorders>
                    <w:top w:val="single" w:color="auto" w:sz="4" w:space="0"/>
                    <w:left w:val="single" w:color="auto" w:sz="4" w:space="0"/>
                    <w:right w:val="single" w:color="auto" w:sz="4" w:space="0"/>
                  </w:tcBorders>
                  <w:vAlign w:val="center"/>
                </w:tcPr>
                <w:p w14:paraId="49D89656">
                  <w:pPr>
                    <w:jc w:val="center"/>
                    <w:rPr>
                      <w:rFonts w:hint="eastAsia"/>
                      <w:color w:val="auto"/>
                      <w:lang w:eastAsia="zh-CN"/>
                    </w:rPr>
                  </w:pPr>
                  <w:r>
                    <w:rPr>
                      <w:rFonts w:hint="eastAsia" w:eastAsia="宋体"/>
                      <w:color w:val="auto"/>
                    </w:rPr>
                    <w:t>加强车间通风</w:t>
                  </w:r>
                </w:p>
              </w:tc>
              <w:tc>
                <w:tcPr>
                  <w:tcW w:w="2749" w:type="dxa"/>
                  <w:tcBorders>
                    <w:left w:val="single" w:color="auto" w:sz="4" w:space="0"/>
                    <w:right w:val="single" w:color="auto" w:sz="4" w:space="0"/>
                  </w:tcBorders>
                  <w:vAlign w:val="center"/>
                </w:tcPr>
                <w:p w14:paraId="43B9AED0">
                  <w:pPr>
                    <w:jc w:val="center"/>
                    <w:rPr>
                      <w:rFonts w:cs="宋体"/>
                      <w:b/>
                      <w:bCs/>
                      <w:color w:val="auto"/>
                      <w:sz w:val="22"/>
                      <w:szCs w:val="22"/>
                    </w:rPr>
                  </w:pPr>
                  <w:r>
                    <w:rPr>
                      <w:rFonts w:hint="eastAsia" w:ascii="宋体" w:hAnsi="宋体" w:cs="宋体"/>
                      <w:color w:val="auto"/>
                    </w:rPr>
                    <w:t>《恶臭污染物排放标准》（GB14554-93）</w:t>
                  </w:r>
                </w:p>
              </w:tc>
              <w:tc>
                <w:tcPr>
                  <w:tcW w:w="867" w:type="dxa"/>
                  <w:vMerge w:val="continue"/>
                  <w:tcBorders>
                    <w:left w:val="single" w:color="auto" w:sz="4" w:space="0"/>
                    <w:right w:val="single" w:color="auto" w:sz="4" w:space="0"/>
                  </w:tcBorders>
                  <w:vAlign w:val="center"/>
                </w:tcPr>
                <w:p w14:paraId="7AEC384B">
                  <w:pPr>
                    <w:jc w:val="center"/>
                    <w:rPr>
                      <w:color w:val="auto"/>
                      <w:sz w:val="22"/>
                      <w:szCs w:val="22"/>
                    </w:rPr>
                  </w:pPr>
                </w:p>
              </w:tc>
            </w:tr>
            <w:tr w14:paraId="5BD0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3A9558D7">
                  <w:pPr>
                    <w:jc w:val="center"/>
                    <w:rPr>
                      <w:color w:val="auto"/>
                      <w:sz w:val="22"/>
                      <w:szCs w:val="22"/>
                    </w:rPr>
                  </w:pPr>
                  <w:r>
                    <w:rPr>
                      <w:rFonts w:hint="eastAsia" w:cs="宋体"/>
                      <w:color w:val="auto"/>
                      <w:sz w:val="22"/>
                      <w:szCs w:val="22"/>
                    </w:rPr>
                    <w:t>废水</w:t>
                  </w:r>
                </w:p>
              </w:tc>
              <w:tc>
                <w:tcPr>
                  <w:tcW w:w="1638" w:type="dxa"/>
                  <w:tcBorders>
                    <w:top w:val="single" w:color="auto" w:sz="4" w:space="0"/>
                    <w:left w:val="single" w:color="auto" w:sz="4" w:space="0"/>
                    <w:bottom w:val="single" w:color="auto" w:sz="4" w:space="0"/>
                    <w:right w:val="single" w:color="auto" w:sz="4" w:space="0"/>
                  </w:tcBorders>
                  <w:vAlign w:val="center"/>
                </w:tcPr>
                <w:p w14:paraId="58067DE1">
                  <w:pPr>
                    <w:jc w:val="center"/>
                    <w:rPr>
                      <w:color w:val="auto"/>
                      <w:sz w:val="22"/>
                      <w:szCs w:val="22"/>
                    </w:rPr>
                  </w:pPr>
                  <w:r>
                    <w:rPr>
                      <w:rFonts w:hint="eastAsia" w:cs="宋体"/>
                      <w:color w:val="auto"/>
                      <w:sz w:val="22"/>
                      <w:szCs w:val="22"/>
                    </w:rPr>
                    <w:t>生活污水</w:t>
                  </w:r>
                </w:p>
              </w:tc>
              <w:tc>
                <w:tcPr>
                  <w:tcW w:w="2143" w:type="dxa"/>
                  <w:tcBorders>
                    <w:top w:val="single" w:color="auto" w:sz="4" w:space="0"/>
                    <w:left w:val="single" w:color="auto" w:sz="4" w:space="0"/>
                    <w:bottom w:val="single" w:color="auto" w:sz="4" w:space="0"/>
                    <w:right w:val="single" w:color="auto" w:sz="4" w:space="0"/>
                  </w:tcBorders>
                  <w:vAlign w:val="center"/>
                </w:tcPr>
                <w:p w14:paraId="79B3B562">
                  <w:pPr>
                    <w:jc w:val="center"/>
                    <w:rPr>
                      <w:rFonts w:hint="eastAsia" w:eastAsia="宋体"/>
                      <w:color w:val="auto"/>
                      <w:sz w:val="22"/>
                      <w:szCs w:val="22"/>
                      <w:lang w:eastAsia="zh-CN"/>
                    </w:rPr>
                  </w:pPr>
                  <w:r>
                    <w:rPr>
                      <w:rFonts w:hint="eastAsia" w:cs="宋体"/>
                      <w:color w:val="auto"/>
                      <w:sz w:val="22"/>
                      <w:szCs w:val="22"/>
                    </w:rPr>
                    <w:t>化粪池</w:t>
                  </w:r>
                  <w:r>
                    <w:rPr>
                      <w:rFonts w:hint="eastAsia" w:cs="宋体"/>
                      <w:color w:val="auto"/>
                      <w:sz w:val="22"/>
                      <w:szCs w:val="22"/>
                      <w:lang w:eastAsia="zh-CN"/>
                    </w:rPr>
                    <w:t>（依托现有）</w:t>
                  </w:r>
                </w:p>
              </w:tc>
              <w:tc>
                <w:tcPr>
                  <w:tcW w:w="2749" w:type="dxa"/>
                  <w:tcBorders>
                    <w:top w:val="single" w:color="auto" w:sz="4" w:space="0"/>
                    <w:left w:val="single" w:color="auto" w:sz="4" w:space="0"/>
                    <w:bottom w:val="single" w:color="auto" w:sz="4" w:space="0"/>
                    <w:right w:val="single" w:color="auto" w:sz="4" w:space="0"/>
                  </w:tcBorders>
                  <w:vAlign w:val="center"/>
                </w:tcPr>
                <w:p w14:paraId="7C00BF4A">
                  <w:pPr>
                    <w:jc w:val="center"/>
                    <w:rPr>
                      <w:color w:val="auto"/>
                      <w:sz w:val="22"/>
                      <w:szCs w:val="22"/>
                    </w:rPr>
                  </w:pPr>
                  <w:r>
                    <w:rPr>
                      <w:rFonts w:hint="eastAsia" w:cs="宋体"/>
                      <w:color w:val="auto"/>
                      <w:sz w:val="22"/>
                      <w:szCs w:val="22"/>
                    </w:rPr>
                    <w:t>/</w:t>
                  </w:r>
                </w:p>
              </w:tc>
              <w:tc>
                <w:tcPr>
                  <w:tcW w:w="867" w:type="dxa"/>
                  <w:tcBorders>
                    <w:top w:val="single" w:color="auto" w:sz="4" w:space="0"/>
                    <w:left w:val="single" w:color="auto" w:sz="4" w:space="0"/>
                    <w:bottom w:val="single" w:color="auto" w:sz="4" w:space="0"/>
                    <w:right w:val="single" w:color="auto" w:sz="4" w:space="0"/>
                  </w:tcBorders>
                  <w:vAlign w:val="center"/>
                </w:tcPr>
                <w:p w14:paraId="1BA3A1E3">
                  <w:pPr>
                    <w:jc w:val="center"/>
                    <w:rPr>
                      <w:rFonts w:hint="default" w:eastAsia="宋体"/>
                      <w:color w:val="auto"/>
                      <w:sz w:val="22"/>
                      <w:szCs w:val="22"/>
                      <w:lang w:val="en-US" w:eastAsia="zh-CN"/>
                    </w:rPr>
                  </w:pPr>
                  <w:r>
                    <w:rPr>
                      <w:rFonts w:hint="eastAsia"/>
                      <w:color w:val="auto"/>
                      <w:sz w:val="22"/>
                      <w:szCs w:val="22"/>
                      <w:lang w:val="en-US" w:eastAsia="zh-CN"/>
                    </w:rPr>
                    <w:t>0</w:t>
                  </w:r>
                </w:p>
              </w:tc>
            </w:tr>
            <w:tr w14:paraId="32B1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38AD7A46">
                  <w:pPr>
                    <w:jc w:val="center"/>
                    <w:rPr>
                      <w:color w:val="auto"/>
                      <w:sz w:val="22"/>
                      <w:szCs w:val="22"/>
                    </w:rPr>
                  </w:pPr>
                  <w:r>
                    <w:rPr>
                      <w:rFonts w:hint="eastAsia" w:cs="宋体"/>
                      <w:color w:val="auto"/>
                      <w:sz w:val="22"/>
                      <w:szCs w:val="22"/>
                    </w:rPr>
                    <w:t>噪声</w:t>
                  </w:r>
                </w:p>
              </w:tc>
              <w:tc>
                <w:tcPr>
                  <w:tcW w:w="1638" w:type="dxa"/>
                  <w:tcBorders>
                    <w:top w:val="single" w:color="auto" w:sz="4" w:space="0"/>
                    <w:left w:val="single" w:color="auto" w:sz="4" w:space="0"/>
                    <w:bottom w:val="single" w:color="auto" w:sz="4" w:space="0"/>
                    <w:right w:val="single" w:color="auto" w:sz="4" w:space="0"/>
                  </w:tcBorders>
                  <w:vAlign w:val="center"/>
                </w:tcPr>
                <w:p w14:paraId="633E73FE">
                  <w:pPr>
                    <w:jc w:val="center"/>
                    <w:rPr>
                      <w:color w:val="auto"/>
                      <w:sz w:val="22"/>
                      <w:szCs w:val="22"/>
                    </w:rPr>
                  </w:pPr>
                  <w:r>
                    <w:rPr>
                      <w:rFonts w:hint="eastAsia" w:cs="宋体"/>
                      <w:color w:val="auto"/>
                      <w:sz w:val="22"/>
                      <w:szCs w:val="22"/>
                    </w:rPr>
                    <w:t>主要产噪</w:t>
                  </w:r>
                </w:p>
                <w:p w14:paraId="60969EE9">
                  <w:pPr>
                    <w:jc w:val="center"/>
                    <w:rPr>
                      <w:color w:val="auto"/>
                      <w:sz w:val="22"/>
                      <w:szCs w:val="22"/>
                    </w:rPr>
                  </w:pPr>
                  <w:r>
                    <w:rPr>
                      <w:rFonts w:hint="eastAsia" w:cs="宋体"/>
                      <w:color w:val="auto"/>
                      <w:sz w:val="22"/>
                      <w:szCs w:val="22"/>
                    </w:rPr>
                    <w:t>设备</w:t>
                  </w:r>
                </w:p>
              </w:tc>
              <w:tc>
                <w:tcPr>
                  <w:tcW w:w="2143" w:type="dxa"/>
                  <w:tcBorders>
                    <w:top w:val="single" w:color="auto" w:sz="4" w:space="0"/>
                    <w:left w:val="single" w:color="auto" w:sz="4" w:space="0"/>
                    <w:bottom w:val="single" w:color="auto" w:sz="4" w:space="0"/>
                    <w:right w:val="single" w:color="auto" w:sz="4" w:space="0"/>
                  </w:tcBorders>
                  <w:vAlign w:val="center"/>
                </w:tcPr>
                <w:p w14:paraId="21CD58E9">
                  <w:pPr>
                    <w:jc w:val="center"/>
                    <w:rPr>
                      <w:color w:val="auto"/>
                      <w:sz w:val="22"/>
                      <w:szCs w:val="22"/>
                    </w:rPr>
                  </w:pPr>
                  <w:r>
                    <w:rPr>
                      <w:rFonts w:hint="eastAsia" w:cs="宋体"/>
                      <w:color w:val="auto"/>
                      <w:sz w:val="22"/>
                      <w:szCs w:val="22"/>
                    </w:rPr>
                    <w:t>合理布局、减振、消声、隔声、绿化等措施</w:t>
                  </w:r>
                </w:p>
              </w:tc>
              <w:tc>
                <w:tcPr>
                  <w:tcW w:w="2749" w:type="dxa"/>
                  <w:tcBorders>
                    <w:top w:val="single" w:color="auto" w:sz="4" w:space="0"/>
                    <w:left w:val="single" w:color="auto" w:sz="4" w:space="0"/>
                    <w:bottom w:val="single" w:color="auto" w:sz="4" w:space="0"/>
                    <w:right w:val="single" w:color="auto" w:sz="4" w:space="0"/>
                  </w:tcBorders>
                  <w:vAlign w:val="center"/>
                </w:tcPr>
                <w:p w14:paraId="50F6E62E">
                  <w:pPr>
                    <w:jc w:val="center"/>
                    <w:rPr>
                      <w:rFonts w:cs="宋体"/>
                      <w:color w:val="auto"/>
                      <w:sz w:val="22"/>
                      <w:szCs w:val="22"/>
                    </w:rPr>
                  </w:pPr>
                  <w:r>
                    <w:rPr>
                      <w:rFonts w:hint="eastAsia" w:cs="宋体"/>
                      <w:color w:val="auto"/>
                      <w:sz w:val="22"/>
                      <w:szCs w:val="22"/>
                    </w:rPr>
                    <w:t>《工业企业厂界环境噪声排放标准》（</w:t>
                  </w:r>
                  <w:r>
                    <w:rPr>
                      <w:color w:val="auto"/>
                      <w:sz w:val="22"/>
                      <w:szCs w:val="22"/>
                    </w:rPr>
                    <w:t>GB12348-2008</w:t>
                  </w:r>
                  <w:r>
                    <w:rPr>
                      <w:rFonts w:hint="eastAsia" w:cs="宋体"/>
                      <w:color w:val="auto"/>
                      <w:sz w:val="22"/>
                      <w:szCs w:val="22"/>
                    </w:rPr>
                    <w:t>）</w:t>
                  </w:r>
                </w:p>
                <w:p w14:paraId="5F43F400">
                  <w:pPr>
                    <w:jc w:val="center"/>
                    <w:rPr>
                      <w:color w:val="auto"/>
                      <w:sz w:val="22"/>
                      <w:szCs w:val="22"/>
                    </w:rPr>
                  </w:pPr>
                  <w:r>
                    <w:rPr>
                      <w:rFonts w:hint="eastAsia"/>
                      <w:color w:val="auto"/>
                      <w:sz w:val="22"/>
                      <w:szCs w:val="22"/>
                    </w:rPr>
                    <w:t>2</w:t>
                  </w:r>
                  <w:r>
                    <w:rPr>
                      <w:rFonts w:hint="eastAsia" w:cs="宋体"/>
                      <w:color w:val="auto"/>
                      <w:sz w:val="22"/>
                      <w:szCs w:val="22"/>
                    </w:rPr>
                    <w:t>类区标准</w:t>
                  </w:r>
                </w:p>
              </w:tc>
              <w:tc>
                <w:tcPr>
                  <w:tcW w:w="867" w:type="dxa"/>
                  <w:tcBorders>
                    <w:top w:val="single" w:color="auto" w:sz="4" w:space="0"/>
                    <w:left w:val="single" w:color="auto" w:sz="4" w:space="0"/>
                    <w:bottom w:val="single" w:color="auto" w:sz="4" w:space="0"/>
                    <w:right w:val="single" w:color="auto" w:sz="4" w:space="0"/>
                  </w:tcBorders>
                  <w:vAlign w:val="center"/>
                </w:tcPr>
                <w:p w14:paraId="19F75154">
                  <w:pPr>
                    <w:jc w:val="center"/>
                    <w:rPr>
                      <w:rFonts w:hint="default" w:eastAsia="宋体"/>
                      <w:color w:val="auto"/>
                      <w:sz w:val="22"/>
                      <w:szCs w:val="22"/>
                      <w:lang w:val="en-US" w:eastAsia="zh-CN"/>
                    </w:rPr>
                  </w:pPr>
                  <w:r>
                    <w:rPr>
                      <w:rFonts w:hint="eastAsia"/>
                      <w:color w:val="auto"/>
                      <w:sz w:val="22"/>
                      <w:szCs w:val="22"/>
                      <w:lang w:val="en-US" w:eastAsia="zh-CN"/>
                    </w:rPr>
                    <w:t>2</w:t>
                  </w:r>
                </w:p>
              </w:tc>
            </w:tr>
            <w:tr w14:paraId="2242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721" w:type="dxa"/>
                  <w:tcBorders>
                    <w:top w:val="single" w:color="auto" w:sz="4" w:space="0"/>
                    <w:left w:val="single" w:color="auto" w:sz="4" w:space="0"/>
                    <w:right w:val="single" w:color="auto" w:sz="4" w:space="0"/>
                  </w:tcBorders>
                  <w:vAlign w:val="center"/>
                </w:tcPr>
                <w:p w14:paraId="6339B0D8">
                  <w:pPr>
                    <w:jc w:val="center"/>
                    <w:rPr>
                      <w:color w:val="auto"/>
                      <w:sz w:val="22"/>
                      <w:szCs w:val="22"/>
                    </w:rPr>
                  </w:pPr>
                  <w:r>
                    <w:rPr>
                      <w:rFonts w:hint="eastAsia" w:cs="宋体"/>
                      <w:color w:val="auto"/>
                      <w:sz w:val="22"/>
                      <w:szCs w:val="22"/>
                    </w:rPr>
                    <w:t>固体</w:t>
                  </w:r>
                </w:p>
                <w:p w14:paraId="1F51C8E4">
                  <w:pPr>
                    <w:jc w:val="center"/>
                    <w:rPr>
                      <w:color w:val="auto"/>
                      <w:sz w:val="22"/>
                      <w:szCs w:val="22"/>
                    </w:rPr>
                  </w:pPr>
                  <w:r>
                    <w:rPr>
                      <w:rFonts w:hint="eastAsia" w:cs="宋体"/>
                      <w:color w:val="auto"/>
                      <w:sz w:val="22"/>
                      <w:szCs w:val="22"/>
                    </w:rPr>
                    <w:t>废物</w:t>
                  </w:r>
                </w:p>
              </w:tc>
              <w:tc>
                <w:tcPr>
                  <w:tcW w:w="1638" w:type="dxa"/>
                  <w:tcBorders>
                    <w:top w:val="single" w:color="auto" w:sz="4" w:space="0"/>
                    <w:left w:val="single" w:color="auto" w:sz="4" w:space="0"/>
                    <w:bottom w:val="single" w:color="auto" w:sz="4" w:space="0"/>
                    <w:right w:val="single" w:color="auto" w:sz="4" w:space="0"/>
                  </w:tcBorders>
                  <w:vAlign w:val="center"/>
                </w:tcPr>
                <w:p w14:paraId="677474F1">
                  <w:pPr>
                    <w:jc w:val="center"/>
                    <w:rPr>
                      <w:color w:val="auto"/>
                      <w:sz w:val="22"/>
                      <w:szCs w:val="22"/>
                    </w:rPr>
                  </w:pPr>
                  <w:r>
                    <w:rPr>
                      <w:rFonts w:hint="eastAsia" w:cs="宋体"/>
                      <w:color w:val="auto"/>
                      <w:sz w:val="22"/>
                      <w:szCs w:val="22"/>
                    </w:rPr>
                    <w:t>生活垃圾</w:t>
                  </w:r>
                </w:p>
              </w:tc>
              <w:tc>
                <w:tcPr>
                  <w:tcW w:w="2143" w:type="dxa"/>
                  <w:tcBorders>
                    <w:top w:val="single" w:color="auto" w:sz="4" w:space="0"/>
                    <w:left w:val="single" w:color="auto" w:sz="4" w:space="0"/>
                    <w:bottom w:val="single" w:color="auto" w:sz="4" w:space="0"/>
                    <w:right w:val="single" w:color="auto" w:sz="4" w:space="0"/>
                  </w:tcBorders>
                  <w:vAlign w:val="center"/>
                </w:tcPr>
                <w:p w14:paraId="06CB6164">
                  <w:pPr>
                    <w:jc w:val="center"/>
                    <w:rPr>
                      <w:color w:val="auto"/>
                      <w:sz w:val="22"/>
                      <w:szCs w:val="22"/>
                    </w:rPr>
                  </w:pPr>
                  <w:r>
                    <w:rPr>
                      <w:rFonts w:hint="eastAsia" w:cs="宋体"/>
                      <w:color w:val="auto"/>
                      <w:sz w:val="22"/>
                      <w:szCs w:val="22"/>
                    </w:rPr>
                    <w:t>垃圾桶</w:t>
                  </w:r>
                  <w:r>
                    <w:rPr>
                      <w:rFonts w:hint="eastAsia" w:cs="宋体"/>
                      <w:color w:val="auto"/>
                      <w:sz w:val="22"/>
                      <w:szCs w:val="22"/>
                      <w:lang w:eastAsia="zh-CN"/>
                    </w:rPr>
                    <w:t>，</w:t>
                  </w:r>
                  <w:r>
                    <w:rPr>
                      <w:rFonts w:hint="eastAsia" w:cs="宋体"/>
                      <w:color w:val="auto"/>
                      <w:sz w:val="22"/>
                      <w:szCs w:val="22"/>
                    </w:rPr>
                    <w:t>由环卫部门定期清运</w:t>
                  </w:r>
                </w:p>
              </w:tc>
              <w:tc>
                <w:tcPr>
                  <w:tcW w:w="2749" w:type="dxa"/>
                  <w:tcBorders>
                    <w:top w:val="single" w:color="auto" w:sz="4" w:space="0"/>
                    <w:left w:val="single" w:color="auto" w:sz="4" w:space="0"/>
                    <w:bottom w:val="single" w:color="auto" w:sz="4" w:space="0"/>
                    <w:right w:val="single" w:color="auto" w:sz="4" w:space="0"/>
                  </w:tcBorders>
                  <w:vAlign w:val="center"/>
                </w:tcPr>
                <w:p w14:paraId="2640A5FF">
                  <w:pPr>
                    <w:jc w:val="center"/>
                    <w:rPr>
                      <w:color w:val="auto"/>
                      <w:sz w:val="22"/>
                      <w:szCs w:val="22"/>
                    </w:rPr>
                  </w:pPr>
                  <w:r>
                    <w:rPr>
                      <w:color w:val="auto"/>
                      <w:sz w:val="22"/>
                      <w:szCs w:val="22"/>
                    </w:rPr>
                    <w:t>/</w:t>
                  </w:r>
                </w:p>
              </w:tc>
              <w:tc>
                <w:tcPr>
                  <w:tcW w:w="867" w:type="dxa"/>
                  <w:tcBorders>
                    <w:top w:val="single" w:color="auto" w:sz="4" w:space="0"/>
                    <w:left w:val="single" w:color="auto" w:sz="4" w:space="0"/>
                    <w:right w:val="single" w:color="auto" w:sz="4" w:space="0"/>
                  </w:tcBorders>
                  <w:vAlign w:val="center"/>
                </w:tcPr>
                <w:p w14:paraId="4A61540C">
                  <w:pPr>
                    <w:jc w:val="center"/>
                    <w:rPr>
                      <w:rFonts w:hint="eastAsia" w:eastAsia="宋体"/>
                      <w:color w:val="auto"/>
                      <w:sz w:val="22"/>
                      <w:szCs w:val="22"/>
                      <w:lang w:val="en-US" w:eastAsia="zh-CN"/>
                    </w:rPr>
                  </w:pPr>
                  <w:r>
                    <w:rPr>
                      <w:rFonts w:hint="eastAsia"/>
                      <w:color w:val="auto"/>
                      <w:sz w:val="22"/>
                      <w:szCs w:val="22"/>
                      <w:lang w:val="en-US" w:eastAsia="zh-CN"/>
                    </w:rPr>
                    <w:t>0</w:t>
                  </w:r>
                </w:p>
              </w:tc>
            </w:tr>
            <w:tr w14:paraId="5646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2359" w:type="dxa"/>
                  <w:gridSpan w:val="2"/>
                  <w:vMerge w:val="restart"/>
                  <w:tcBorders>
                    <w:top w:val="single" w:color="auto" w:sz="4" w:space="0"/>
                    <w:left w:val="single" w:color="auto" w:sz="4" w:space="0"/>
                    <w:right w:val="single" w:color="auto" w:sz="4" w:space="0"/>
                  </w:tcBorders>
                  <w:vAlign w:val="center"/>
                </w:tcPr>
                <w:p w14:paraId="6F29516E">
                  <w:pPr>
                    <w:jc w:val="center"/>
                    <w:rPr>
                      <w:color w:val="auto"/>
                      <w:sz w:val="22"/>
                      <w:szCs w:val="22"/>
                    </w:rPr>
                  </w:pPr>
                  <w:r>
                    <w:rPr>
                      <w:rFonts w:hint="eastAsia" w:cs="宋体"/>
                      <w:color w:val="auto"/>
                      <w:sz w:val="22"/>
                      <w:szCs w:val="22"/>
                    </w:rPr>
                    <w:t>地下水</w:t>
                  </w:r>
                </w:p>
              </w:tc>
              <w:tc>
                <w:tcPr>
                  <w:tcW w:w="4892" w:type="dxa"/>
                  <w:gridSpan w:val="2"/>
                  <w:tcBorders>
                    <w:top w:val="single" w:color="auto" w:sz="4" w:space="0"/>
                    <w:left w:val="single" w:color="auto" w:sz="4" w:space="0"/>
                    <w:bottom w:val="single" w:color="auto" w:sz="4" w:space="0"/>
                    <w:right w:val="single" w:color="auto" w:sz="4" w:space="0"/>
                  </w:tcBorders>
                  <w:vAlign w:val="center"/>
                </w:tcPr>
                <w:p w14:paraId="77741EAF">
                  <w:pPr>
                    <w:jc w:val="center"/>
                    <w:rPr>
                      <w:rFonts w:hint="eastAsia" w:eastAsia="宋体"/>
                      <w:color w:val="auto"/>
                      <w:sz w:val="22"/>
                      <w:szCs w:val="22"/>
                      <w:lang w:eastAsia="zh-CN"/>
                    </w:rPr>
                  </w:pPr>
                  <w:r>
                    <w:rPr>
                      <w:rFonts w:hint="eastAsia" w:cs="宋体"/>
                      <w:color w:val="auto"/>
                      <w:sz w:val="22"/>
                      <w:szCs w:val="22"/>
                    </w:rPr>
                    <w:t>重点污染防渗区</w:t>
                  </w:r>
                  <w:r>
                    <w:rPr>
                      <w:rFonts w:hint="eastAsia" w:cs="宋体"/>
                      <w:color w:val="auto"/>
                      <w:sz w:val="22"/>
                      <w:szCs w:val="22"/>
                      <w:lang w:eastAsia="zh-CN"/>
                    </w:rPr>
                    <w:t>：</w:t>
                  </w:r>
                  <w:r>
                    <w:rPr>
                      <w:rFonts w:hint="eastAsia" w:cs="宋体"/>
                      <w:color w:val="auto"/>
                      <w:sz w:val="22"/>
                      <w:szCs w:val="22"/>
                    </w:rPr>
                    <w:t>污水管线（依托现有）、化粪池（依托现有）、</w:t>
                  </w:r>
                  <w:r>
                    <w:rPr>
                      <w:rFonts w:hint="eastAsia" w:ascii="宋体" w:hAnsi="宋体" w:cs="宋体"/>
                      <w:color w:val="auto"/>
                      <w:sz w:val="24"/>
                      <w:szCs w:val="24"/>
                      <w:lang w:eastAsia="zh-CN"/>
                    </w:rPr>
                    <w:t>车辆冲洗平台沉淀池（依托现有）、</w:t>
                  </w:r>
                  <w:r>
                    <w:rPr>
                      <w:rFonts w:hint="eastAsia" w:cs="宋体"/>
                      <w:color w:val="auto"/>
                      <w:sz w:val="22"/>
                      <w:szCs w:val="22"/>
                    </w:rPr>
                    <w:t>化学品储库（新建）</w:t>
                  </w:r>
                </w:p>
              </w:tc>
              <w:tc>
                <w:tcPr>
                  <w:tcW w:w="867" w:type="dxa"/>
                  <w:vMerge w:val="restart"/>
                  <w:tcBorders>
                    <w:top w:val="single" w:color="auto" w:sz="4" w:space="0"/>
                    <w:left w:val="single" w:color="auto" w:sz="4" w:space="0"/>
                    <w:right w:val="single" w:color="auto" w:sz="4" w:space="0"/>
                  </w:tcBorders>
                  <w:vAlign w:val="center"/>
                </w:tcPr>
                <w:p w14:paraId="4D178445">
                  <w:pPr>
                    <w:jc w:val="center"/>
                    <w:rPr>
                      <w:rFonts w:hint="default" w:eastAsia="宋体"/>
                      <w:color w:val="auto"/>
                      <w:sz w:val="22"/>
                      <w:szCs w:val="22"/>
                      <w:lang w:val="en-US" w:eastAsia="zh-CN"/>
                    </w:rPr>
                  </w:pPr>
                  <w:r>
                    <w:rPr>
                      <w:rFonts w:hint="eastAsia"/>
                      <w:color w:val="auto"/>
                      <w:sz w:val="22"/>
                      <w:szCs w:val="22"/>
                      <w:lang w:val="en-US" w:eastAsia="zh-CN"/>
                    </w:rPr>
                    <w:t>25</w:t>
                  </w:r>
                </w:p>
              </w:tc>
            </w:tr>
            <w:tr w14:paraId="08D2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359" w:type="dxa"/>
                  <w:gridSpan w:val="2"/>
                  <w:vMerge w:val="continue"/>
                  <w:tcBorders>
                    <w:left w:val="single" w:color="auto" w:sz="4" w:space="0"/>
                    <w:right w:val="single" w:color="auto" w:sz="4" w:space="0"/>
                  </w:tcBorders>
                  <w:vAlign w:val="center"/>
                </w:tcPr>
                <w:p w14:paraId="56A30723">
                  <w:pPr>
                    <w:jc w:val="center"/>
                    <w:rPr>
                      <w:color w:val="auto"/>
                    </w:rPr>
                  </w:pPr>
                </w:p>
              </w:tc>
              <w:tc>
                <w:tcPr>
                  <w:tcW w:w="4892" w:type="dxa"/>
                  <w:gridSpan w:val="2"/>
                  <w:tcBorders>
                    <w:top w:val="single" w:color="auto" w:sz="4" w:space="0"/>
                    <w:left w:val="single" w:color="auto" w:sz="4" w:space="0"/>
                    <w:bottom w:val="single" w:color="auto" w:sz="4" w:space="0"/>
                    <w:right w:val="single" w:color="auto" w:sz="4" w:space="0"/>
                  </w:tcBorders>
                  <w:vAlign w:val="center"/>
                </w:tcPr>
                <w:p w14:paraId="49D72117">
                  <w:pPr>
                    <w:jc w:val="center"/>
                    <w:rPr>
                      <w:rFonts w:hint="eastAsia" w:cs="宋体"/>
                      <w:color w:val="auto"/>
                      <w:sz w:val="22"/>
                      <w:szCs w:val="22"/>
                    </w:rPr>
                  </w:pPr>
                  <w:r>
                    <w:rPr>
                      <w:rFonts w:hint="eastAsia" w:cs="宋体"/>
                      <w:color w:val="auto"/>
                      <w:sz w:val="22"/>
                      <w:szCs w:val="22"/>
                    </w:rPr>
                    <w:t>一般污染防渗区</w:t>
                  </w:r>
                  <w:r>
                    <w:rPr>
                      <w:rFonts w:hint="eastAsia" w:cs="宋体"/>
                      <w:color w:val="auto"/>
                      <w:sz w:val="22"/>
                      <w:szCs w:val="22"/>
                      <w:lang w:eastAsia="zh-CN"/>
                    </w:rPr>
                    <w:t>：各物料库</w:t>
                  </w:r>
                  <w:r>
                    <w:rPr>
                      <w:rFonts w:hint="eastAsia" w:cs="宋体"/>
                      <w:color w:val="auto"/>
                      <w:sz w:val="22"/>
                      <w:szCs w:val="22"/>
                    </w:rPr>
                    <w:t>及各车间（新增新建）</w:t>
                  </w:r>
                </w:p>
              </w:tc>
              <w:tc>
                <w:tcPr>
                  <w:tcW w:w="867" w:type="dxa"/>
                  <w:vMerge w:val="continue"/>
                  <w:tcBorders>
                    <w:left w:val="single" w:color="auto" w:sz="4" w:space="0"/>
                    <w:right w:val="single" w:color="auto" w:sz="4" w:space="0"/>
                  </w:tcBorders>
                  <w:vAlign w:val="center"/>
                </w:tcPr>
                <w:p w14:paraId="5D5F4AC4">
                  <w:pPr>
                    <w:jc w:val="center"/>
                    <w:rPr>
                      <w:rFonts w:hint="eastAsia" w:cs="宋体"/>
                      <w:color w:val="auto"/>
                      <w:sz w:val="22"/>
                      <w:szCs w:val="22"/>
                    </w:rPr>
                  </w:pPr>
                </w:p>
              </w:tc>
            </w:tr>
            <w:tr w14:paraId="5F88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359" w:type="dxa"/>
                  <w:gridSpan w:val="2"/>
                  <w:vMerge w:val="continue"/>
                  <w:tcBorders>
                    <w:left w:val="single" w:color="auto" w:sz="4" w:space="0"/>
                    <w:bottom w:val="single" w:color="auto" w:sz="4" w:space="0"/>
                    <w:right w:val="single" w:color="auto" w:sz="4" w:space="0"/>
                  </w:tcBorders>
                  <w:vAlign w:val="center"/>
                </w:tcPr>
                <w:p w14:paraId="5501A425">
                  <w:pPr>
                    <w:jc w:val="center"/>
                    <w:rPr>
                      <w:rFonts w:hint="eastAsia" w:cs="宋体"/>
                      <w:color w:val="auto"/>
                      <w:sz w:val="22"/>
                      <w:szCs w:val="22"/>
                    </w:rPr>
                  </w:pPr>
                </w:p>
              </w:tc>
              <w:tc>
                <w:tcPr>
                  <w:tcW w:w="4892" w:type="dxa"/>
                  <w:gridSpan w:val="2"/>
                  <w:tcBorders>
                    <w:top w:val="single" w:color="auto" w:sz="4" w:space="0"/>
                    <w:left w:val="single" w:color="auto" w:sz="4" w:space="0"/>
                    <w:bottom w:val="single" w:color="auto" w:sz="4" w:space="0"/>
                    <w:right w:val="single" w:color="auto" w:sz="4" w:space="0"/>
                  </w:tcBorders>
                  <w:vAlign w:val="center"/>
                </w:tcPr>
                <w:p w14:paraId="20A61984">
                  <w:pPr>
                    <w:jc w:val="center"/>
                    <w:rPr>
                      <w:rFonts w:hint="eastAsia" w:cs="宋体"/>
                      <w:color w:val="auto"/>
                      <w:sz w:val="22"/>
                      <w:szCs w:val="22"/>
                    </w:rPr>
                  </w:pPr>
                  <w:r>
                    <w:rPr>
                      <w:rFonts w:hint="eastAsia" w:cs="宋体"/>
                      <w:color w:val="auto"/>
                      <w:sz w:val="22"/>
                      <w:szCs w:val="22"/>
                    </w:rPr>
                    <w:t>简单防渗区</w:t>
                  </w:r>
                  <w:r>
                    <w:rPr>
                      <w:rFonts w:hint="eastAsia" w:cs="宋体"/>
                      <w:color w:val="auto"/>
                      <w:sz w:val="22"/>
                      <w:szCs w:val="22"/>
                      <w:lang w:eastAsia="zh-CN"/>
                    </w:rPr>
                    <w:t>：</w:t>
                  </w:r>
                  <w:r>
                    <w:rPr>
                      <w:rFonts w:hint="eastAsia" w:cs="宋体"/>
                      <w:color w:val="auto"/>
                      <w:sz w:val="22"/>
                      <w:szCs w:val="22"/>
                    </w:rPr>
                    <w:t>办公区及其他区域</w:t>
                  </w:r>
                </w:p>
              </w:tc>
              <w:tc>
                <w:tcPr>
                  <w:tcW w:w="867" w:type="dxa"/>
                  <w:vMerge w:val="continue"/>
                  <w:tcBorders>
                    <w:left w:val="single" w:color="auto" w:sz="4" w:space="0"/>
                    <w:bottom w:val="single" w:color="auto" w:sz="4" w:space="0"/>
                    <w:right w:val="single" w:color="auto" w:sz="4" w:space="0"/>
                  </w:tcBorders>
                  <w:vAlign w:val="center"/>
                </w:tcPr>
                <w:p w14:paraId="03C42A72">
                  <w:pPr>
                    <w:jc w:val="center"/>
                    <w:rPr>
                      <w:rFonts w:hint="eastAsia" w:cs="宋体"/>
                      <w:color w:val="auto"/>
                      <w:sz w:val="22"/>
                      <w:szCs w:val="22"/>
                    </w:rPr>
                  </w:pPr>
                </w:p>
              </w:tc>
            </w:tr>
            <w:tr w14:paraId="5786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359" w:type="dxa"/>
                  <w:gridSpan w:val="2"/>
                  <w:tcBorders>
                    <w:top w:val="single" w:color="auto" w:sz="4" w:space="0"/>
                    <w:left w:val="single" w:color="auto" w:sz="4" w:space="0"/>
                    <w:bottom w:val="single" w:color="auto" w:sz="4" w:space="0"/>
                    <w:right w:val="single" w:color="auto" w:sz="4" w:space="0"/>
                  </w:tcBorders>
                  <w:vAlign w:val="center"/>
                </w:tcPr>
                <w:p w14:paraId="341B0F22">
                  <w:pPr>
                    <w:jc w:val="center"/>
                    <w:rPr>
                      <w:color w:val="auto"/>
                      <w:sz w:val="22"/>
                      <w:szCs w:val="22"/>
                    </w:rPr>
                  </w:pPr>
                  <w:r>
                    <w:rPr>
                      <w:rFonts w:hint="eastAsia" w:cs="宋体"/>
                      <w:color w:val="auto"/>
                      <w:sz w:val="22"/>
                      <w:szCs w:val="22"/>
                    </w:rPr>
                    <w:t>环境风险防范措施</w:t>
                  </w:r>
                </w:p>
              </w:tc>
              <w:tc>
                <w:tcPr>
                  <w:tcW w:w="4892" w:type="dxa"/>
                  <w:gridSpan w:val="2"/>
                  <w:tcBorders>
                    <w:top w:val="single" w:color="auto" w:sz="4" w:space="0"/>
                    <w:left w:val="single" w:color="auto" w:sz="4" w:space="0"/>
                    <w:bottom w:val="single" w:color="auto" w:sz="4" w:space="0"/>
                    <w:right w:val="single" w:color="auto" w:sz="4" w:space="0"/>
                  </w:tcBorders>
                  <w:vAlign w:val="center"/>
                </w:tcPr>
                <w:p w14:paraId="69683CF7">
                  <w:pPr>
                    <w:jc w:val="center"/>
                    <w:rPr>
                      <w:color w:val="auto"/>
                      <w:sz w:val="22"/>
                      <w:szCs w:val="22"/>
                    </w:rPr>
                  </w:pPr>
                  <w:r>
                    <w:rPr>
                      <w:rFonts w:hint="eastAsia" w:cs="宋体"/>
                      <w:color w:val="auto"/>
                      <w:sz w:val="22"/>
                      <w:szCs w:val="22"/>
                    </w:rPr>
                    <w:t>突发环境事件风险应急预案</w:t>
                  </w:r>
                  <w:r>
                    <w:rPr>
                      <w:rFonts w:hint="eastAsia" w:cs="宋体"/>
                      <w:color w:val="auto"/>
                      <w:sz w:val="22"/>
                      <w:szCs w:val="22"/>
                      <w:lang w:eastAsia="zh-CN"/>
                    </w:rPr>
                    <w:t>，</w:t>
                  </w:r>
                  <w:r>
                    <w:rPr>
                      <w:rFonts w:hint="eastAsia" w:cs="宋体"/>
                      <w:color w:val="auto"/>
                      <w:sz w:val="22"/>
                      <w:szCs w:val="22"/>
                    </w:rPr>
                    <w:t>并报当地环保主管部门备案、配应急物资、安装消防器材。</w:t>
                  </w:r>
                </w:p>
              </w:tc>
              <w:tc>
                <w:tcPr>
                  <w:tcW w:w="867" w:type="dxa"/>
                  <w:tcBorders>
                    <w:top w:val="single" w:color="auto" w:sz="4" w:space="0"/>
                    <w:left w:val="single" w:color="auto" w:sz="4" w:space="0"/>
                    <w:bottom w:val="single" w:color="auto" w:sz="4" w:space="0"/>
                    <w:right w:val="single" w:color="auto" w:sz="4" w:space="0"/>
                  </w:tcBorders>
                  <w:vAlign w:val="center"/>
                </w:tcPr>
                <w:p w14:paraId="7E25DB0F">
                  <w:pPr>
                    <w:jc w:val="center"/>
                    <w:rPr>
                      <w:color w:val="auto"/>
                      <w:sz w:val="22"/>
                      <w:szCs w:val="22"/>
                    </w:rPr>
                  </w:pPr>
                  <w:r>
                    <w:rPr>
                      <w:rFonts w:hint="eastAsia"/>
                      <w:color w:val="auto"/>
                      <w:sz w:val="22"/>
                      <w:szCs w:val="22"/>
                      <w:lang w:val="en-US" w:eastAsia="zh-CN"/>
                    </w:rPr>
                    <w:t>1</w:t>
                  </w:r>
                  <w:r>
                    <w:rPr>
                      <w:rFonts w:hint="eastAsia"/>
                      <w:color w:val="auto"/>
                      <w:sz w:val="22"/>
                      <w:szCs w:val="22"/>
                    </w:rPr>
                    <w:t>8</w:t>
                  </w:r>
                </w:p>
              </w:tc>
            </w:tr>
            <w:tr w14:paraId="212A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251" w:type="dxa"/>
                  <w:gridSpan w:val="4"/>
                  <w:tcBorders>
                    <w:top w:val="single" w:color="auto" w:sz="4" w:space="0"/>
                    <w:left w:val="single" w:color="auto" w:sz="4" w:space="0"/>
                    <w:bottom w:val="single" w:color="auto" w:sz="4" w:space="0"/>
                    <w:right w:val="single" w:color="auto" w:sz="4" w:space="0"/>
                  </w:tcBorders>
                  <w:vAlign w:val="center"/>
                </w:tcPr>
                <w:p w14:paraId="4EC55840">
                  <w:pPr>
                    <w:jc w:val="center"/>
                    <w:rPr>
                      <w:color w:val="auto"/>
                      <w:sz w:val="22"/>
                      <w:szCs w:val="22"/>
                    </w:rPr>
                  </w:pPr>
                  <w:r>
                    <w:rPr>
                      <w:rFonts w:hint="eastAsia" w:cs="宋体"/>
                      <w:color w:val="auto"/>
                      <w:sz w:val="22"/>
                      <w:szCs w:val="22"/>
                    </w:rPr>
                    <w:t>合计</w:t>
                  </w:r>
                </w:p>
              </w:tc>
              <w:tc>
                <w:tcPr>
                  <w:tcW w:w="867" w:type="dxa"/>
                  <w:tcBorders>
                    <w:top w:val="single" w:color="auto" w:sz="4" w:space="0"/>
                    <w:left w:val="single" w:color="auto" w:sz="4" w:space="0"/>
                    <w:bottom w:val="single" w:color="auto" w:sz="4" w:space="0"/>
                    <w:right w:val="single" w:color="auto" w:sz="4" w:space="0"/>
                  </w:tcBorders>
                  <w:vAlign w:val="center"/>
                </w:tcPr>
                <w:p w14:paraId="3EBFFF04">
                  <w:pPr>
                    <w:jc w:val="center"/>
                    <w:rPr>
                      <w:rFonts w:hint="default" w:eastAsia="宋体"/>
                      <w:color w:val="auto"/>
                      <w:sz w:val="22"/>
                      <w:szCs w:val="22"/>
                      <w:lang w:val="en-US" w:eastAsia="zh-CN"/>
                    </w:rPr>
                  </w:pPr>
                  <w:r>
                    <w:rPr>
                      <w:rFonts w:hint="eastAsia"/>
                      <w:color w:val="auto"/>
                      <w:sz w:val="22"/>
                      <w:szCs w:val="22"/>
                      <w:lang w:val="en-US" w:eastAsia="zh-CN"/>
                    </w:rPr>
                    <w:t>95</w:t>
                  </w:r>
                </w:p>
              </w:tc>
            </w:tr>
          </w:tbl>
          <w:p w14:paraId="064F8E19">
            <w:pPr>
              <w:pStyle w:val="6"/>
              <w:spacing w:before="240" w:beforeLines="100" w:after="0" w:line="360" w:lineRule="auto"/>
              <w:rPr>
                <w:rStyle w:val="84"/>
                <w:rFonts w:cs="Times New Roman"/>
                <w:b/>
                <w:bCs/>
                <w:color w:val="auto"/>
              </w:rPr>
            </w:pPr>
            <w:r>
              <w:rPr>
                <w:rStyle w:val="84"/>
                <w:rFonts w:hint="eastAsia" w:ascii="Times New Roman" w:hAnsi="Times New Roman" w:cs="Times New Roman"/>
                <w:b w:val="0"/>
                <w:bCs w:val="0"/>
                <w:color w:val="auto"/>
              </w:rPr>
              <w:t xml:space="preserve">   </w:t>
            </w:r>
            <w:r>
              <w:rPr>
                <w:rStyle w:val="84"/>
                <w:rFonts w:hint="eastAsia" w:ascii="Times New Roman" w:hAnsi="Times New Roman" w:cs="Times New Roman"/>
                <w:b/>
                <w:bCs/>
                <w:color w:val="auto"/>
              </w:rPr>
              <w:t xml:space="preserve"> </w:t>
            </w:r>
            <w:r>
              <w:rPr>
                <w:rStyle w:val="84"/>
                <w:rFonts w:hint="eastAsia" w:ascii="Times New Roman" w:hAnsi="Times New Roman" w:cs="Times New Roman"/>
                <w:b/>
                <w:bCs/>
                <w:color w:val="auto"/>
                <w:lang w:val="en-US"/>
              </w:rPr>
              <w:t xml:space="preserve">9 </w:t>
            </w:r>
            <w:r>
              <w:rPr>
                <w:rStyle w:val="84"/>
                <w:rFonts w:hint="eastAsia" w:cs="宋体"/>
                <w:b/>
                <w:bCs/>
                <w:color w:val="auto"/>
              </w:rPr>
              <w:t>排污许可</w:t>
            </w:r>
          </w:p>
          <w:p w14:paraId="1E5F75A5">
            <w:pPr>
              <w:adjustRightInd w:val="0"/>
              <w:snapToGrid w:val="0"/>
              <w:spacing w:line="360" w:lineRule="auto"/>
              <w:ind w:firstLine="480" w:firstLineChars="200"/>
              <w:rPr>
                <w:rFonts w:hint="eastAsia" w:ascii="Times New Roman" w:hAnsi="Times New Roman" w:eastAsia="宋体" w:cs="宋体"/>
                <w:b w:val="0"/>
                <w:bCs w:val="0"/>
                <w:color w:val="auto"/>
                <w:sz w:val="24"/>
                <w:szCs w:val="24"/>
                <w:lang w:eastAsia="zh-CN"/>
              </w:rPr>
            </w:pPr>
            <w:r>
              <w:rPr>
                <w:rFonts w:hint="eastAsia" w:ascii="Times New Roman" w:hAnsi="Times New Roman" w:cs="宋体"/>
                <w:b w:val="0"/>
                <w:bCs w:val="0"/>
                <w:color w:val="auto"/>
                <w:sz w:val="24"/>
                <w:szCs w:val="24"/>
              </w:rPr>
              <w:t>根据安徽省生态环境厅文件2021年1月30号《安徽省生态环境厅关于统筹做好固定污染源排污许可日常监管工作的通知》（皖环发（2021） 7号）文件内容：二、主要任务——第（七）条积极探索排污许可与环评制度的联动试点中——属于现行《固定污染源排污许可分类管理名录》内重点管理和简化管理的行业</w:t>
            </w:r>
            <w:r>
              <w:rPr>
                <w:rFonts w:hint="eastAsia" w:cs="宋体"/>
                <w:b w:val="0"/>
                <w:bCs w:val="0"/>
                <w:color w:val="auto"/>
                <w:sz w:val="24"/>
                <w:szCs w:val="24"/>
                <w:lang w:eastAsia="zh-CN"/>
              </w:rPr>
              <w:t>，</w:t>
            </w:r>
            <w:r>
              <w:rPr>
                <w:rFonts w:hint="eastAsia" w:ascii="Times New Roman" w:hAnsi="Times New Roman" w:cs="宋体"/>
                <w:b w:val="0"/>
                <w:bCs w:val="0"/>
                <w:color w:val="auto"/>
                <w:sz w:val="24"/>
                <w:szCs w:val="24"/>
              </w:rPr>
              <w:t>建设单位在组织编制建设项目环境影响报告书（表）时</w:t>
            </w:r>
            <w:r>
              <w:rPr>
                <w:rFonts w:hint="eastAsia" w:cs="宋体"/>
                <w:b w:val="0"/>
                <w:bCs w:val="0"/>
                <w:color w:val="auto"/>
                <w:sz w:val="24"/>
                <w:szCs w:val="24"/>
                <w:lang w:eastAsia="zh-CN"/>
              </w:rPr>
              <w:t>，</w:t>
            </w:r>
            <w:r>
              <w:rPr>
                <w:rFonts w:hint="eastAsia" w:ascii="Times New Roman" w:hAnsi="Times New Roman" w:cs="宋体"/>
                <w:b w:val="0"/>
                <w:bCs w:val="0"/>
                <w:color w:val="auto"/>
                <w:sz w:val="24"/>
                <w:szCs w:val="24"/>
              </w:rPr>
              <w:t>可结合相应行业排污许可证申请与核发技术规范</w:t>
            </w:r>
            <w:r>
              <w:rPr>
                <w:rFonts w:hint="eastAsia" w:cs="宋体"/>
                <w:b w:val="0"/>
                <w:bCs w:val="0"/>
                <w:color w:val="auto"/>
                <w:sz w:val="24"/>
                <w:szCs w:val="24"/>
                <w:lang w:eastAsia="zh-CN"/>
              </w:rPr>
              <w:t>，</w:t>
            </w:r>
            <w:r>
              <w:rPr>
                <w:rFonts w:hint="eastAsia" w:ascii="Times New Roman" w:hAnsi="Times New Roman" w:cs="宋体"/>
                <w:b w:val="0"/>
                <w:bCs w:val="0"/>
                <w:color w:val="auto"/>
                <w:sz w:val="24"/>
                <w:szCs w:val="24"/>
              </w:rPr>
              <w:t>在环评文件中一并明确</w:t>
            </w:r>
            <w:r>
              <w:rPr>
                <w:rFonts w:hint="eastAsia" w:cs="宋体"/>
                <w:b w:val="0"/>
                <w:bCs w:val="0"/>
                <w:color w:val="auto"/>
                <w:sz w:val="24"/>
                <w:szCs w:val="24"/>
                <w:lang w:eastAsia="zh-CN"/>
              </w:rPr>
              <w:t>“</w:t>
            </w:r>
            <w:r>
              <w:rPr>
                <w:rFonts w:hint="eastAsia" w:ascii="Times New Roman" w:hAnsi="Times New Roman" w:cs="宋体"/>
                <w:b w:val="0"/>
                <w:bCs w:val="0"/>
                <w:color w:val="auto"/>
                <w:sz w:val="24"/>
                <w:szCs w:val="24"/>
              </w:rPr>
              <w:t>建设项目环境影响评价与排污许可联动内容</w:t>
            </w:r>
            <w:r>
              <w:rPr>
                <w:rFonts w:hint="eastAsia" w:cs="宋体"/>
                <w:b w:val="0"/>
                <w:bCs w:val="0"/>
                <w:color w:val="auto"/>
                <w:sz w:val="24"/>
                <w:szCs w:val="24"/>
                <w:lang w:eastAsia="zh-CN"/>
              </w:rPr>
              <w:t>”</w:t>
            </w:r>
            <w:r>
              <w:rPr>
                <w:rFonts w:hint="eastAsia" w:ascii="Times New Roman" w:hAnsi="Times New Roman" w:cs="宋体"/>
                <w:b w:val="0"/>
                <w:bCs w:val="0"/>
                <w:color w:val="auto"/>
                <w:sz w:val="24"/>
                <w:szCs w:val="24"/>
              </w:rPr>
              <w:t>和《建设项目排污许可申请与填报信息表》</w:t>
            </w:r>
            <w:r>
              <w:rPr>
                <w:rFonts w:hint="eastAsia" w:cs="宋体"/>
                <w:b w:val="0"/>
                <w:bCs w:val="0"/>
                <w:color w:val="auto"/>
                <w:sz w:val="24"/>
                <w:szCs w:val="24"/>
                <w:lang w:eastAsia="zh-CN"/>
              </w:rPr>
              <w:t>，</w:t>
            </w:r>
            <w:r>
              <w:rPr>
                <w:rFonts w:hint="eastAsia" w:ascii="Times New Roman" w:hAnsi="Times New Roman" w:cs="宋体"/>
                <w:b w:val="0"/>
                <w:bCs w:val="0"/>
                <w:color w:val="auto"/>
                <w:sz w:val="24"/>
                <w:szCs w:val="24"/>
              </w:rPr>
              <w:t>生态环境部门在环评文件受理和审批过程中同步审核</w:t>
            </w:r>
            <w:r>
              <w:rPr>
                <w:rFonts w:hint="eastAsia" w:cs="宋体"/>
                <w:b w:val="0"/>
                <w:bCs w:val="0"/>
                <w:color w:val="auto"/>
                <w:sz w:val="24"/>
                <w:szCs w:val="24"/>
                <w:lang w:eastAsia="zh-CN"/>
              </w:rPr>
              <w:t>。</w:t>
            </w:r>
          </w:p>
          <w:p w14:paraId="469DC15F">
            <w:pPr>
              <w:adjustRightInd w:val="0"/>
              <w:snapToGrid w:val="0"/>
              <w:spacing w:line="360" w:lineRule="auto"/>
              <w:ind w:firstLine="480" w:firstLineChars="200"/>
              <w:rPr>
                <w:rFonts w:hint="eastAsia" w:ascii="Times New Roman" w:hAnsi="Times New Roman" w:cs="宋体"/>
                <w:b w:val="0"/>
                <w:bCs w:val="0"/>
                <w:color w:val="auto"/>
                <w:sz w:val="24"/>
                <w:szCs w:val="24"/>
              </w:rPr>
            </w:pPr>
            <w:r>
              <w:rPr>
                <w:rFonts w:hint="eastAsia" w:ascii="Times New Roman" w:hAnsi="Times New Roman" w:cs="宋体"/>
                <w:b w:val="0"/>
                <w:bCs w:val="0"/>
                <w:color w:val="auto"/>
                <w:sz w:val="24"/>
                <w:szCs w:val="24"/>
              </w:rPr>
              <w:t>项目属于《固定污染源排污许可分类管理名录》（2019年版）中二十</w:t>
            </w:r>
            <w:r>
              <w:rPr>
                <w:rFonts w:hint="eastAsia" w:cs="宋体"/>
                <w:b w:val="0"/>
                <w:bCs w:val="0"/>
                <w:color w:val="auto"/>
                <w:sz w:val="24"/>
                <w:szCs w:val="24"/>
                <w:lang w:eastAsia="zh-CN"/>
              </w:rPr>
              <w:t>五</w:t>
            </w:r>
            <w:r>
              <w:rPr>
                <w:rFonts w:hint="eastAsia" w:ascii="Times New Roman" w:hAnsi="Times New Roman" w:cs="宋体"/>
                <w:b w:val="0"/>
                <w:bCs w:val="0"/>
                <w:color w:val="auto"/>
                <w:sz w:val="24"/>
                <w:szCs w:val="24"/>
              </w:rPr>
              <w:t>、</w:t>
            </w:r>
            <w:r>
              <w:rPr>
                <w:rFonts w:hint="eastAsia" w:cs="宋体"/>
                <w:b w:val="0"/>
                <w:bCs w:val="0"/>
                <w:color w:val="auto"/>
                <w:sz w:val="24"/>
                <w:szCs w:val="24"/>
                <w:lang w:eastAsia="zh-CN"/>
              </w:rPr>
              <w:t>非金属矿物制品业</w:t>
            </w:r>
            <w:r>
              <w:rPr>
                <w:rFonts w:hint="eastAsia" w:cs="宋体"/>
                <w:b w:val="0"/>
                <w:bCs w:val="0"/>
                <w:color w:val="auto"/>
                <w:sz w:val="24"/>
                <w:szCs w:val="24"/>
                <w:lang w:val="en-US" w:eastAsia="zh-CN"/>
              </w:rPr>
              <w:t xml:space="preserve"> 30 64.砖瓦、石材等建筑材料制造303 中的“粘土砖瓦及建筑砌块制造3031（以煤或煤矸石为燃料的烧结砖瓦）”</w:t>
            </w:r>
            <w:r>
              <w:rPr>
                <w:rFonts w:hint="eastAsia" w:cs="宋体"/>
                <w:b w:val="0"/>
                <w:bCs w:val="0"/>
                <w:color w:val="auto"/>
                <w:sz w:val="24"/>
                <w:szCs w:val="24"/>
                <w:lang w:eastAsia="zh-CN"/>
              </w:rPr>
              <w:t>，</w:t>
            </w:r>
            <w:r>
              <w:rPr>
                <w:rFonts w:hint="eastAsia" w:ascii="Times New Roman" w:hAnsi="Times New Roman" w:cs="宋体"/>
                <w:b w:val="0"/>
                <w:bCs w:val="0"/>
                <w:color w:val="auto"/>
                <w:sz w:val="24"/>
                <w:szCs w:val="24"/>
              </w:rPr>
              <w:t>属于</w:t>
            </w:r>
            <w:r>
              <w:rPr>
                <w:rFonts w:hint="eastAsia" w:cs="宋体"/>
                <w:b w:val="0"/>
                <w:bCs w:val="0"/>
                <w:color w:val="auto"/>
                <w:sz w:val="24"/>
                <w:szCs w:val="24"/>
                <w:lang w:eastAsia="zh-CN"/>
              </w:rPr>
              <w:t>重点</w:t>
            </w:r>
            <w:r>
              <w:rPr>
                <w:rFonts w:hint="eastAsia" w:ascii="Times New Roman" w:hAnsi="Times New Roman" w:cs="宋体"/>
                <w:b w:val="0"/>
                <w:bCs w:val="0"/>
                <w:color w:val="auto"/>
                <w:sz w:val="24"/>
                <w:szCs w:val="24"/>
              </w:rPr>
              <w:t>管理</w:t>
            </w:r>
            <w:r>
              <w:rPr>
                <w:rFonts w:hint="eastAsia" w:cs="宋体"/>
                <w:b w:val="0"/>
                <w:bCs w:val="0"/>
                <w:color w:val="auto"/>
                <w:sz w:val="24"/>
                <w:szCs w:val="24"/>
                <w:lang w:eastAsia="zh-CN"/>
              </w:rPr>
              <w:t>，</w:t>
            </w:r>
            <w:r>
              <w:rPr>
                <w:rFonts w:hint="eastAsia" w:ascii="Times New Roman" w:hAnsi="Times New Roman" w:cs="宋体"/>
                <w:b w:val="0"/>
                <w:bCs w:val="0"/>
                <w:color w:val="auto"/>
                <w:sz w:val="24"/>
                <w:szCs w:val="24"/>
              </w:rPr>
              <w:t>需填报环评与排污许可联动内容</w:t>
            </w:r>
            <w:r>
              <w:rPr>
                <w:rFonts w:hint="eastAsia" w:cs="宋体"/>
                <w:b w:val="0"/>
                <w:bCs w:val="0"/>
                <w:color w:val="auto"/>
                <w:sz w:val="24"/>
                <w:szCs w:val="24"/>
                <w:lang w:eastAsia="zh-CN"/>
              </w:rPr>
              <w:t>，具体见下表</w:t>
            </w:r>
            <w:r>
              <w:rPr>
                <w:rFonts w:hint="eastAsia" w:ascii="Times New Roman" w:hAnsi="Times New Roman" w:cs="宋体"/>
                <w:b w:val="0"/>
                <w:bCs w:val="0"/>
                <w:color w:val="auto"/>
                <w:sz w:val="24"/>
                <w:szCs w:val="24"/>
              </w:rPr>
              <w:t>。</w:t>
            </w:r>
          </w:p>
          <w:p w14:paraId="65BFAFD7">
            <w:pPr>
              <w:keepNext/>
              <w:keepLines/>
              <w:tabs>
                <w:tab w:val="left" w:pos="0"/>
                <w:tab w:val="left" w:pos="180"/>
                <w:tab w:val="left" w:pos="1418"/>
                <w:tab w:val="left" w:pos="2976"/>
              </w:tabs>
              <w:spacing w:line="360" w:lineRule="auto"/>
              <w:ind w:left="180"/>
              <w:jc w:val="center"/>
              <w:outlineLvl w:val="7"/>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表4</w:t>
            </w:r>
            <w:r>
              <w:rPr>
                <w:rFonts w:hint="default" w:ascii="Times New Roman" w:hAnsi="Times New Roman" w:eastAsia="宋体" w:cs="Times New Roman"/>
                <w:b/>
                <w:bCs/>
                <w:color w:val="auto"/>
                <w:sz w:val="21"/>
                <w:szCs w:val="21"/>
                <w:lang w:val="en-US" w:eastAsia="zh-CN"/>
              </w:rPr>
              <w:t>-</w:t>
            </w:r>
            <w:r>
              <w:rPr>
                <w:rFonts w:hint="eastAsia" w:cs="Times New Roman"/>
                <w:b/>
                <w:bCs/>
                <w:color w:val="auto"/>
                <w:sz w:val="21"/>
                <w:szCs w:val="21"/>
                <w:lang w:val="en-US" w:eastAsia="zh-CN"/>
              </w:rPr>
              <w:t>19</w:t>
            </w:r>
            <w:r>
              <w:rPr>
                <w:rFonts w:hint="default" w:ascii="Times New Roman" w:hAnsi="Times New Roman" w:eastAsia="宋体" w:cs="Times New Roman"/>
                <w:b/>
                <w:bCs/>
                <w:color w:val="auto"/>
                <w:sz w:val="21"/>
                <w:szCs w:val="21"/>
              </w:rPr>
              <w:t xml:space="preserve">  企业排污许可管理类别归类表</w:t>
            </w:r>
          </w:p>
          <w:tbl>
            <w:tblPr>
              <w:tblStyle w:val="37"/>
              <w:tblW w:w="8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00"/>
              <w:gridCol w:w="929"/>
              <w:gridCol w:w="1496"/>
              <w:gridCol w:w="2341"/>
              <w:gridCol w:w="1067"/>
              <w:gridCol w:w="828"/>
            </w:tblGrid>
            <w:tr w14:paraId="74F4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07" w:type="pct"/>
                  <w:tcBorders>
                    <w:top w:val="single" w:color="auto" w:sz="4" w:space="0"/>
                    <w:left w:val="single" w:color="auto" w:sz="4" w:space="0"/>
                    <w:bottom w:val="single" w:color="auto" w:sz="4" w:space="0"/>
                    <w:right w:val="single" w:color="auto" w:sz="4" w:space="0"/>
                  </w:tcBorders>
                  <w:noWrap w:val="0"/>
                  <w:vAlign w:val="center"/>
                </w:tcPr>
                <w:p w14:paraId="37F8FB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558" w:type="pct"/>
                  <w:tcBorders>
                    <w:top w:val="single" w:color="auto" w:sz="4" w:space="0"/>
                    <w:left w:val="single" w:color="auto" w:sz="4" w:space="0"/>
                    <w:bottom w:val="single" w:color="auto" w:sz="4" w:space="0"/>
                    <w:right w:val="single" w:color="auto" w:sz="4" w:space="0"/>
                  </w:tcBorders>
                  <w:noWrap w:val="0"/>
                  <w:vAlign w:val="center"/>
                </w:tcPr>
                <w:p w14:paraId="4A2CBE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行业类别</w:t>
                  </w:r>
                </w:p>
              </w:tc>
              <w:tc>
                <w:tcPr>
                  <w:tcW w:w="576" w:type="pct"/>
                  <w:tcBorders>
                    <w:top w:val="single" w:color="auto" w:sz="4" w:space="0"/>
                    <w:left w:val="single" w:color="auto" w:sz="4" w:space="0"/>
                    <w:bottom w:val="single" w:color="auto" w:sz="4" w:space="0"/>
                    <w:right w:val="single" w:color="auto" w:sz="4" w:space="0"/>
                  </w:tcBorders>
                  <w:noWrap w:val="0"/>
                  <w:vAlign w:val="center"/>
                </w:tcPr>
                <w:p w14:paraId="191701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本项目行业类别</w:t>
                  </w:r>
                </w:p>
              </w:tc>
              <w:tc>
                <w:tcPr>
                  <w:tcW w:w="928" w:type="pct"/>
                  <w:tcBorders>
                    <w:top w:val="single" w:color="auto" w:sz="4" w:space="0"/>
                    <w:left w:val="single" w:color="auto" w:sz="4" w:space="0"/>
                    <w:bottom w:val="single" w:color="auto" w:sz="4" w:space="0"/>
                    <w:right w:val="single" w:color="auto" w:sz="4" w:space="0"/>
                  </w:tcBorders>
                  <w:noWrap w:val="0"/>
                  <w:vAlign w:val="center"/>
                </w:tcPr>
                <w:p w14:paraId="3CBDFE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重点管理</w:t>
                  </w:r>
                </w:p>
              </w:tc>
              <w:tc>
                <w:tcPr>
                  <w:tcW w:w="1452" w:type="pct"/>
                  <w:tcBorders>
                    <w:top w:val="single" w:color="auto" w:sz="4" w:space="0"/>
                    <w:left w:val="single" w:color="auto" w:sz="4" w:space="0"/>
                    <w:bottom w:val="single" w:color="auto" w:sz="4" w:space="0"/>
                    <w:right w:val="single" w:color="auto" w:sz="4" w:space="0"/>
                  </w:tcBorders>
                  <w:noWrap w:val="0"/>
                  <w:vAlign w:val="center"/>
                </w:tcPr>
                <w:p w14:paraId="4FB73C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简化管理</w:t>
                  </w:r>
                </w:p>
              </w:tc>
              <w:tc>
                <w:tcPr>
                  <w:tcW w:w="662" w:type="pct"/>
                  <w:tcBorders>
                    <w:top w:val="single" w:color="auto" w:sz="4" w:space="0"/>
                    <w:left w:val="single" w:color="auto" w:sz="4" w:space="0"/>
                    <w:bottom w:val="single" w:color="auto" w:sz="4" w:space="0"/>
                    <w:right w:val="single" w:color="auto" w:sz="4" w:space="0"/>
                  </w:tcBorders>
                  <w:noWrap w:val="0"/>
                  <w:vAlign w:val="center"/>
                </w:tcPr>
                <w:p w14:paraId="44BBC4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登记管理</w:t>
                  </w:r>
                </w:p>
              </w:tc>
              <w:tc>
                <w:tcPr>
                  <w:tcW w:w="513" w:type="pct"/>
                  <w:tcBorders>
                    <w:top w:val="single" w:color="auto" w:sz="4" w:space="0"/>
                    <w:left w:val="single" w:color="auto" w:sz="4" w:space="0"/>
                    <w:bottom w:val="single" w:color="auto" w:sz="4" w:space="0"/>
                    <w:right w:val="single" w:color="auto" w:sz="4" w:space="0"/>
                  </w:tcBorders>
                  <w:noWrap w:val="0"/>
                  <w:vAlign w:val="center"/>
                </w:tcPr>
                <w:p w14:paraId="299981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本项目类别</w:t>
                  </w:r>
                </w:p>
              </w:tc>
            </w:tr>
            <w:tr w14:paraId="558C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213FAD6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宋体" w:hAnsi="宋体" w:eastAsia="宋体" w:cs="宋体"/>
                      <w:b w:val="0"/>
                      <w:bCs w:val="0"/>
                      <w:color w:val="auto"/>
                      <w:kern w:val="0"/>
                      <w:sz w:val="21"/>
                      <w:szCs w:val="21"/>
                      <w:lang w:val="en-US" w:eastAsia="zh-CN" w:bidi="ar"/>
                    </w:rPr>
                    <w:t>二十五、非金属矿物制品业 30</w:t>
                  </w:r>
                </w:p>
              </w:tc>
            </w:tr>
            <w:tr w14:paraId="2341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307" w:type="pct"/>
                  <w:tcBorders>
                    <w:top w:val="single" w:color="auto" w:sz="4" w:space="0"/>
                    <w:left w:val="single" w:color="auto" w:sz="4" w:space="0"/>
                    <w:bottom w:val="single" w:color="auto" w:sz="4" w:space="0"/>
                    <w:right w:val="single" w:color="auto" w:sz="4" w:space="0"/>
                  </w:tcBorders>
                  <w:noWrap w:val="0"/>
                  <w:vAlign w:val="center"/>
                </w:tcPr>
                <w:p w14:paraId="210C9DB3">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64</w:t>
                  </w:r>
                </w:p>
              </w:tc>
              <w:tc>
                <w:tcPr>
                  <w:tcW w:w="558" w:type="pct"/>
                  <w:tcBorders>
                    <w:top w:val="single" w:color="auto" w:sz="4" w:space="0"/>
                    <w:left w:val="single" w:color="auto" w:sz="4" w:space="0"/>
                    <w:bottom w:val="single" w:color="auto" w:sz="4" w:space="0"/>
                    <w:right w:val="single" w:color="auto" w:sz="4" w:space="0"/>
                  </w:tcBorders>
                  <w:noWrap w:val="0"/>
                  <w:vAlign w:val="center"/>
                </w:tcPr>
                <w:p w14:paraId="6AE6380C">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砖瓦、石材等建筑材料制造 303</w:t>
                  </w:r>
                </w:p>
              </w:tc>
              <w:tc>
                <w:tcPr>
                  <w:tcW w:w="576" w:type="pct"/>
                  <w:tcBorders>
                    <w:top w:val="single" w:color="auto" w:sz="4" w:space="0"/>
                    <w:left w:val="single" w:color="auto" w:sz="4" w:space="0"/>
                    <w:right w:val="single" w:color="auto" w:sz="4" w:space="0"/>
                  </w:tcBorders>
                  <w:noWrap w:val="0"/>
                  <w:vAlign w:val="center"/>
                </w:tcPr>
                <w:p w14:paraId="74A00793">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砖瓦、石材等建筑材料制造 303</w:t>
                  </w:r>
                </w:p>
              </w:tc>
              <w:tc>
                <w:tcPr>
                  <w:tcW w:w="928" w:type="pct"/>
                  <w:tcBorders>
                    <w:top w:val="single" w:color="auto" w:sz="4" w:space="0"/>
                    <w:left w:val="single" w:color="auto" w:sz="4" w:space="0"/>
                    <w:bottom w:val="single" w:color="auto" w:sz="4" w:space="0"/>
                    <w:right w:val="single" w:color="auto" w:sz="4" w:space="0"/>
                  </w:tcBorders>
                  <w:noWrap w:val="0"/>
                  <w:vAlign w:val="center"/>
                </w:tcPr>
                <w:p w14:paraId="3B495994">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粘土砖瓦及建筑砌块制造 3031（以</w:t>
                  </w:r>
                </w:p>
                <w:p w14:paraId="2B0F9C8E">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imes New Roman" w:hAnsi="Times New Roman" w:eastAsia="宋体" w:cs="Times New Roman"/>
                      <w:color w:val="auto"/>
                      <w:sz w:val="21"/>
                      <w:szCs w:val="21"/>
                      <w:lang w:eastAsia="zh-CN"/>
                    </w:rPr>
                  </w:pPr>
                  <w:r>
                    <w:rPr>
                      <w:rFonts w:hint="eastAsia" w:ascii="宋体" w:hAnsi="宋体" w:eastAsia="宋体" w:cs="宋体"/>
                      <w:color w:val="auto"/>
                      <w:kern w:val="0"/>
                      <w:sz w:val="21"/>
                      <w:szCs w:val="21"/>
                      <w:lang w:val="en-US" w:eastAsia="zh-CN" w:bidi="ar"/>
                    </w:rPr>
                    <w:t>煤或者煤矸石为燃料的烧结砖瓦）</w:t>
                  </w:r>
                </w:p>
              </w:tc>
              <w:tc>
                <w:tcPr>
                  <w:tcW w:w="1452" w:type="pct"/>
                  <w:tcBorders>
                    <w:top w:val="single" w:color="auto" w:sz="4" w:space="0"/>
                    <w:left w:val="single" w:color="auto" w:sz="4" w:space="0"/>
                    <w:bottom w:val="single" w:color="auto" w:sz="4" w:space="0"/>
                    <w:right w:val="single" w:color="auto" w:sz="4" w:space="0"/>
                  </w:tcBorders>
                  <w:noWrap w:val="0"/>
                  <w:vAlign w:val="center"/>
                </w:tcPr>
                <w:p w14:paraId="2520BCE3">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粘土砖瓦及建筑砌块制造 3031（除以煤或者煤矸石为燃料的烧结砖瓦以外的），建筑用石加工 3032，防水建筑材料制造 3033，隔热和隔音</w:t>
                  </w:r>
                </w:p>
                <w:p w14:paraId="57121A6C">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rPr>
                  </w:pPr>
                  <w:r>
                    <w:rPr>
                      <w:rFonts w:hint="eastAsia" w:ascii="宋体" w:hAnsi="宋体" w:eastAsia="宋体" w:cs="宋体"/>
                      <w:color w:val="auto"/>
                      <w:kern w:val="0"/>
                      <w:sz w:val="21"/>
                      <w:szCs w:val="21"/>
                      <w:lang w:val="en-US" w:eastAsia="zh-CN" w:bidi="ar"/>
                    </w:rPr>
                    <w:t>材料制造 3034，其他建筑材料制造3039，以上均不含仅切割加工的</w:t>
                  </w:r>
                </w:p>
              </w:tc>
              <w:tc>
                <w:tcPr>
                  <w:tcW w:w="662" w:type="pct"/>
                  <w:tcBorders>
                    <w:top w:val="single" w:color="auto" w:sz="4" w:space="0"/>
                    <w:left w:val="single" w:color="auto" w:sz="4" w:space="0"/>
                    <w:bottom w:val="single" w:color="auto" w:sz="4" w:space="0"/>
                    <w:right w:val="single" w:color="auto" w:sz="4" w:space="0"/>
                  </w:tcBorders>
                  <w:noWrap w:val="0"/>
                  <w:vAlign w:val="center"/>
                </w:tcPr>
                <w:p w14:paraId="4ED4C08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宋体" w:hAnsi="宋体" w:eastAsia="宋体" w:cs="宋体"/>
                      <w:color w:val="auto"/>
                      <w:kern w:val="0"/>
                      <w:sz w:val="21"/>
                      <w:szCs w:val="21"/>
                      <w:lang w:val="en-US" w:eastAsia="zh-CN" w:bidi="ar"/>
                    </w:rPr>
                    <w:t>仅切割加工的</w:t>
                  </w:r>
                </w:p>
              </w:tc>
              <w:tc>
                <w:tcPr>
                  <w:tcW w:w="513" w:type="pct"/>
                  <w:tcBorders>
                    <w:top w:val="single" w:color="auto" w:sz="4" w:space="0"/>
                    <w:left w:val="single" w:color="auto" w:sz="4" w:space="0"/>
                    <w:bottom w:val="single" w:color="auto" w:sz="4" w:space="0"/>
                    <w:right w:val="single" w:color="auto" w:sz="4" w:space="0"/>
                  </w:tcBorders>
                  <w:noWrap w:val="0"/>
                  <w:vAlign w:val="center"/>
                </w:tcPr>
                <w:p w14:paraId="031688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重点管理</w:t>
                  </w:r>
                </w:p>
              </w:tc>
            </w:tr>
          </w:tbl>
          <w:p w14:paraId="00DAF993">
            <w:pPr>
              <w:pStyle w:val="69"/>
              <w:keepNext w:val="0"/>
              <w:keepLines w:val="0"/>
              <w:pageBreakBefore w:val="0"/>
              <w:widowControl w:val="0"/>
              <w:kinsoku/>
              <w:wordWrap/>
              <w:overflowPunct/>
              <w:topLinePunct w:val="0"/>
              <w:autoSpaceDE/>
              <w:autoSpaceDN/>
              <w:bidi w:val="0"/>
              <w:adjustRightInd w:val="0"/>
              <w:snapToGrid w:val="0"/>
              <w:spacing w:before="313" w:beforeLines="100" w:line="360" w:lineRule="auto"/>
              <w:textAlignment w:val="auto"/>
              <w:rPr>
                <w:rFonts w:ascii="宋体"/>
                <w:b/>
                <w:bCs/>
                <w:color w:val="auto"/>
                <w:kern w:val="0"/>
                <w:sz w:val="28"/>
                <w:szCs w:val="28"/>
                <w:vertAlign w:val="baseline"/>
              </w:rPr>
            </w:pPr>
            <w:r>
              <w:rPr>
                <w:rFonts w:hint="default" w:ascii="Times New Roman" w:hAnsi="Times New Roman" w:eastAsia="宋体" w:cs="Times New Roman"/>
                <w:color w:val="auto"/>
                <w:kern w:val="0"/>
                <w:sz w:val="24"/>
                <w:szCs w:val="24"/>
                <w:lang w:val="en-US" w:eastAsia="zh-CN"/>
              </w:rPr>
              <w:t>根据以上分析，项目为</w:t>
            </w:r>
            <w:r>
              <w:rPr>
                <w:rFonts w:hint="eastAsia" w:eastAsia="宋体" w:cs="Times New Roman"/>
                <w:color w:val="auto"/>
                <w:kern w:val="0"/>
                <w:sz w:val="24"/>
                <w:szCs w:val="24"/>
                <w:lang w:val="en-US" w:eastAsia="zh-CN"/>
              </w:rPr>
              <w:t>重点管理</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sz w:val="24"/>
                <w:szCs w:val="24"/>
                <w:lang w:val="en-US" w:eastAsia="zh-CN"/>
              </w:rPr>
              <w:t>项目环境影响评价内容与排污许可联动内容详见附件</w:t>
            </w:r>
            <w:r>
              <w:rPr>
                <w:rFonts w:hint="default" w:ascii="Times New Roman" w:hAnsi="Times New Roman" w:eastAsia="宋体" w:cs="Times New Roman"/>
                <w:color w:val="auto"/>
                <w:kern w:val="0"/>
                <w:sz w:val="24"/>
                <w:szCs w:val="24"/>
              </w:rPr>
              <w:t>。</w:t>
            </w:r>
            <w:r>
              <w:rPr>
                <w:rFonts w:hint="eastAsia" w:ascii="Times New Roman" w:hAnsi="Times New Roman" w:cs="宋体"/>
                <w:b w:val="0"/>
                <w:bCs w:val="0"/>
                <w:color w:val="auto"/>
                <w:sz w:val="24"/>
                <w:szCs w:val="24"/>
              </w:rPr>
              <w:br w:type="textWrapping"/>
            </w:r>
          </w:p>
        </w:tc>
      </w:tr>
    </w:tbl>
    <w:p w14:paraId="6879B893">
      <w:pPr>
        <w:adjustRightInd w:val="0"/>
        <w:snapToGrid w:val="0"/>
        <w:spacing w:line="360" w:lineRule="auto"/>
        <w:rPr>
          <w:rFonts w:ascii="宋体"/>
          <w:b/>
          <w:bCs/>
          <w:color w:val="auto"/>
          <w:kern w:val="0"/>
          <w:sz w:val="28"/>
          <w:szCs w:val="28"/>
        </w:rPr>
        <w:sectPr>
          <w:pgSz w:w="11907" w:h="16840"/>
          <w:pgMar w:top="1701" w:right="1531" w:bottom="1134" w:left="1531" w:header="851" w:footer="851" w:gutter="0"/>
          <w:cols w:space="720" w:num="1"/>
          <w:docGrid w:linePitch="312" w:charSpace="0"/>
        </w:sectPr>
      </w:pPr>
    </w:p>
    <w:p w14:paraId="5D152B14">
      <w:pPr>
        <w:pStyle w:val="34"/>
        <w:jc w:val="center"/>
        <w:outlineLvl w:val="0"/>
        <w:rPr>
          <w:rFonts w:ascii="黑体" w:hAnsi="黑体" w:eastAsia="黑体" w:cs="Times New Roman"/>
          <w:snapToGrid w:val="0"/>
          <w:color w:val="auto"/>
          <w:sz w:val="30"/>
          <w:szCs w:val="30"/>
        </w:rPr>
      </w:pPr>
      <w:r>
        <w:rPr>
          <w:rFonts w:hint="eastAsia" w:ascii="黑体" w:hAnsi="黑体" w:eastAsia="黑体" w:cs="黑体"/>
          <w:snapToGrid w:val="0"/>
          <w:color w:val="auto"/>
          <w:sz w:val="30"/>
          <w:szCs w:val="30"/>
        </w:rPr>
        <w:t>五、</w:t>
      </w:r>
      <w:bookmarkStart w:id="4" w:name="_Hlk54167917"/>
      <w:r>
        <w:rPr>
          <w:rFonts w:hint="eastAsia" w:ascii="黑体" w:hAnsi="黑体" w:eastAsia="黑体" w:cs="黑体"/>
          <w:snapToGrid w:val="0"/>
          <w:color w:val="auto"/>
          <w:sz w:val="30"/>
          <w:szCs w:val="30"/>
        </w:rPr>
        <w:t>环境保护措施监督检查清单</w:t>
      </w:r>
      <w:bookmarkEnd w:id="4"/>
    </w:p>
    <w:tbl>
      <w:tblPr>
        <w:tblStyle w:val="37"/>
        <w:tblW w:w="91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835"/>
        <w:gridCol w:w="1445"/>
        <w:gridCol w:w="1968"/>
        <w:gridCol w:w="2673"/>
      </w:tblGrid>
      <w:tr w14:paraId="142D50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277" w:type="dxa"/>
            <w:tcBorders>
              <w:top w:val="single" w:color="auto" w:sz="8" w:space="0"/>
              <w:tl2br w:val="single" w:color="auto" w:sz="4" w:space="0"/>
            </w:tcBorders>
          </w:tcPr>
          <w:p w14:paraId="6F277C4C">
            <w:pPr>
              <w:adjustRightInd w:val="0"/>
              <w:snapToGrid w:val="0"/>
              <w:ind w:firstLine="480" w:firstLineChars="200"/>
              <w:rPr>
                <w:rFonts w:ascii="宋体"/>
                <w:color w:val="auto"/>
                <w:sz w:val="24"/>
                <w:szCs w:val="24"/>
              </w:rPr>
            </w:pPr>
            <w:r>
              <w:rPr>
                <w:rFonts w:hint="eastAsia" w:ascii="宋体" w:hAnsi="宋体" w:cs="宋体"/>
                <w:color w:val="auto"/>
                <w:sz w:val="24"/>
                <w:szCs w:val="24"/>
              </w:rPr>
              <w:t>内容</w:t>
            </w:r>
          </w:p>
          <w:p w14:paraId="1D8E11FE">
            <w:pPr>
              <w:adjustRightInd w:val="0"/>
              <w:snapToGrid w:val="0"/>
              <w:spacing w:before="120" w:beforeLines="50"/>
              <w:rPr>
                <w:rFonts w:ascii="宋体"/>
                <w:color w:val="auto"/>
                <w:sz w:val="24"/>
                <w:szCs w:val="24"/>
              </w:rPr>
            </w:pPr>
            <w:r>
              <w:rPr>
                <w:rFonts w:hint="eastAsia" w:ascii="宋体" w:hAnsi="宋体" w:cs="宋体"/>
                <w:color w:val="auto"/>
                <w:sz w:val="24"/>
                <w:szCs w:val="24"/>
              </w:rPr>
              <w:t>要素</w:t>
            </w:r>
          </w:p>
        </w:tc>
        <w:tc>
          <w:tcPr>
            <w:tcW w:w="1835" w:type="dxa"/>
            <w:tcBorders>
              <w:top w:val="single" w:color="auto" w:sz="8" w:space="0"/>
            </w:tcBorders>
            <w:vAlign w:val="center"/>
          </w:tcPr>
          <w:p w14:paraId="675F2ECB">
            <w:pPr>
              <w:adjustRightInd w:val="0"/>
              <w:snapToGrid w:val="0"/>
              <w:jc w:val="center"/>
              <w:rPr>
                <w:rFonts w:ascii="宋体"/>
                <w:color w:val="auto"/>
                <w:sz w:val="24"/>
                <w:szCs w:val="24"/>
              </w:rPr>
            </w:pPr>
            <w:r>
              <w:rPr>
                <w:rFonts w:hint="eastAsia" w:ascii="宋体" w:hAnsi="宋体" w:cs="宋体"/>
                <w:color w:val="auto"/>
                <w:sz w:val="24"/>
                <w:szCs w:val="24"/>
              </w:rPr>
              <w:t>排放口</w:t>
            </w:r>
            <w:r>
              <w:rPr>
                <w:rFonts w:hint="eastAsia" w:ascii="宋体" w:hAnsi="宋体" w:cs="宋体"/>
                <w:color w:val="auto"/>
                <w:sz w:val="24"/>
                <w:szCs w:val="24"/>
                <w:lang w:eastAsia="zh-CN"/>
              </w:rPr>
              <w:t>（</w:t>
            </w:r>
            <w:r>
              <w:rPr>
                <w:rFonts w:hint="eastAsia" w:ascii="宋体" w:hAnsi="宋体" w:cs="宋体"/>
                <w:color w:val="auto"/>
                <w:sz w:val="24"/>
                <w:szCs w:val="24"/>
              </w:rPr>
              <w:t>编号、名称</w:t>
            </w:r>
            <w:r>
              <w:rPr>
                <w:rFonts w:hint="eastAsia" w:ascii="宋体" w:hAnsi="宋体" w:cs="宋体"/>
                <w:color w:val="auto"/>
                <w:sz w:val="24"/>
                <w:szCs w:val="24"/>
                <w:lang w:eastAsia="zh-CN"/>
              </w:rPr>
              <w:t>）</w:t>
            </w:r>
            <w:r>
              <w:rPr>
                <w:rFonts w:ascii="宋体" w:hAnsi="宋体" w:cs="宋体"/>
                <w:color w:val="auto"/>
                <w:sz w:val="24"/>
                <w:szCs w:val="24"/>
              </w:rPr>
              <w:t>/</w:t>
            </w:r>
            <w:r>
              <w:rPr>
                <w:rFonts w:hint="eastAsia" w:ascii="宋体" w:hAnsi="宋体" w:cs="宋体"/>
                <w:color w:val="auto"/>
                <w:sz w:val="24"/>
                <w:szCs w:val="24"/>
              </w:rPr>
              <w:t>污染源</w:t>
            </w:r>
          </w:p>
        </w:tc>
        <w:tc>
          <w:tcPr>
            <w:tcW w:w="1445" w:type="dxa"/>
            <w:tcBorders>
              <w:top w:val="single" w:color="auto" w:sz="8" w:space="0"/>
            </w:tcBorders>
            <w:vAlign w:val="center"/>
          </w:tcPr>
          <w:p w14:paraId="3970930B">
            <w:pPr>
              <w:adjustRightInd w:val="0"/>
              <w:snapToGrid w:val="0"/>
              <w:jc w:val="center"/>
              <w:rPr>
                <w:rFonts w:ascii="宋体"/>
                <w:color w:val="auto"/>
                <w:sz w:val="24"/>
                <w:szCs w:val="24"/>
              </w:rPr>
            </w:pPr>
            <w:r>
              <w:rPr>
                <w:rFonts w:hint="eastAsia" w:ascii="宋体" w:hAnsi="宋体" w:cs="宋体"/>
                <w:color w:val="auto"/>
                <w:sz w:val="24"/>
                <w:szCs w:val="24"/>
              </w:rPr>
              <w:t>污染物项目</w:t>
            </w:r>
          </w:p>
        </w:tc>
        <w:tc>
          <w:tcPr>
            <w:tcW w:w="1968" w:type="dxa"/>
            <w:tcBorders>
              <w:top w:val="single" w:color="auto" w:sz="8" w:space="0"/>
            </w:tcBorders>
            <w:vAlign w:val="center"/>
          </w:tcPr>
          <w:p w14:paraId="1431B430">
            <w:pPr>
              <w:adjustRightInd w:val="0"/>
              <w:snapToGrid w:val="0"/>
              <w:jc w:val="center"/>
              <w:rPr>
                <w:rFonts w:ascii="宋体"/>
                <w:color w:val="auto"/>
                <w:sz w:val="24"/>
                <w:szCs w:val="24"/>
              </w:rPr>
            </w:pPr>
            <w:r>
              <w:rPr>
                <w:rFonts w:hint="eastAsia" w:ascii="宋体" w:hAnsi="宋体" w:cs="宋体"/>
                <w:color w:val="auto"/>
                <w:sz w:val="24"/>
                <w:szCs w:val="24"/>
              </w:rPr>
              <w:t>环境保护措施</w:t>
            </w:r>
          </w:p>
        </w:tc>
        <w:tc>
          <w:tcPr>
            <w:tcW w:w="2673" w:type="dxa"/>
            <w:tcBorders>
              <w:top w:val="single" w:color="auto" w:sz="8" w:space="0"/>
            </w:tcBorders>
            <w:vAlign w:val="center"/>
          </w:tcPr>
          <w:p w14:paraId="38C87664">
            <w:pPr>
              <w:adjustRightInd w:val="0"/>
              <w:snapToGrid w:val="0"/>
              <w:jc w:val="center"/>
              <w:rPr>
                <w:rFonts w:ascii="宋体"/>
                <w:color w:val="auto"/>
                <w:sz w:val="24"/>
                <w:szCs w:val="24"/>
              </w:rPr>
            </w:pPr>
            <w:r>
              <w:rPr>
                <w:rFonts w:hint="eastAsia" w:ascii="宋体" w:hAnsi="宋体" w:cs="宋体"/>
                <w:color w:val="auto"/>
                <w:sz w:val="24"/>
                <w:szCs w:val="24"/>
              </w:rPr>
              <w:t>执行标准</w:t>
            </w:r>
          </w:p>
        </w:tc>
      </w:tr>
      <w:tr w14:paraId="08879B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277" w:type="dxa"/>
            <w:vMerge w:val="restart"/>
            <w:vAlign w:val="center"/>
          </w:tcPr>
          <w:p w14:paraId="71D1C917">
            <w:pPr>
              <w:adjustRightInd w:val="0"/>
              <w:snapToGrid w:val="0"/>
              <w:jc w:val="center"/>
              <w:rPr>
                <w:rFonts w:ascii="宋体"/>
                <w:color w:val="auto"/>
                <w:sz w:val="24"/>
                <w:szCs w:val="24"/>
              </w:rPr>
            </w:pPr>
            <w:r>
              <w:rPr>
                <w:rFonts w:hint="eastAsia" w:ascii="宋体" w:hAnsi="宋体" w:cs="宋体"/>
                <w:color w:val="auto"/>
                <w:sz w:val="24"/>
                <w:szCs w:val="24"/>
              </w:rPr>
              <w:t>大气环境</w:t>
            </w:r>
          </w:p>
        </w:tc>
        <w:tc>
          <w:tcPr>
            <w:tcW w:w="1835" w:type="dxa"/>
            <w:vAlign w:val="center"/>
          </w:tcPr>
          <w:p w14:paraId="2A127716">
            <w:pPr>
              <w:adjustRightInd w:val="0"/>
              <w:snapToGrid w:val="0"/>
              <w:jc w:val="center"/>
              <w:rPr>
                <w:rFonts w:ascii="宋体" w:hAnsi="宋体" w:cs="宋体"/>
                <w:color w:val="auto"/>
                <w:sz w:val="24"/>
                <w:szCs w:val="24"/>
              </w:rPr>
            </w:pPr>
            <w:r>
              <w:rPr>
                <w:rFonts w:ascii="宋体" w:hAnsi="宋体" w:cs="宋体"/>
                <w:color w:val="auto"/>
                <w:sz w:val="24"/>
                <w:szCs w:val="24"/>
              </w:rPr>
              <w:t xml:space="preserve">DA001 </w:t>
            </w:r>
            <w:r>
              <w:rPr>
                <w:rFonts w:hint="eastAsia" w:ascii="宋体" w:hAnsi="宋体" w:cs="宋体"/>
                <w:color w:val="auto"/>
                <w:sz w:val="24"/>
                <w:szCs w:val="24"/>
              </w:rPr>
              <w:t>输送、上料、破碎、筛分工序</w:t>
            </w:r>
          </w:p>
        </w:tc>
        <w:tc>
          <w:tcPr>
            <w:tcW w:w="1445" w:type="dxa"/>
            <w:vAlign w:val="center"/>
          </w:tcPr>
          <w:p w14:paraId="3FA95C26">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颗粒物</w:t>
            </w:r>
          </w:p>
        </w:tc>
        <w:tc>
          <w:tcPr>
            <w:tcW w:w="1968" w:type="dxa"/>
            <w:vAlign w:val="center"/>
          </w:tcPr>
          <w:p w14:paraId="6D61259F">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布袋除尘器+15米高排气筒</w:t>
            </w:r>
          </w:p>
        </w:tc>
        <w:tc>
          <w:tcPr>
            <w:tcW w:w="2673" w:type="dxa"/>
            <w:vMerge w:val="restart"/>
            <w:vAlign w:val="center"/>
          </w:tcPr>
          <w:p w14:paraId="2D3D4CDC">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《砖瓦工业大气污染物排放标准》（DB34/ 4362-2023）</w:t>
            </w:r>
          </w:p>
        </w:tc>
      </w:tr>
      <w:tr w14:paraId="4292F5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77" w:type="dxa"/>
            <w:vMerge w:val="continue"/>
            <w:vAlign w:val="center"/>
          </w:tcPr>
          <w:p w14:paraId="10C5236A">
            <w:pPr>
              <w:adjustRightInd w:val="0"/>
              <w:snapToGrid w:val="0"/>
              <w:jc w:val="center"/>
              <w:rPr>
                <w:rFonts w:ascii="宋体" w:hAnsi="宋体" w:cs="宋体"/>
                <w:color w:val="auto"/>
                <w:sz w:val="24"/>
                <w:szCs w:val="24"/>
              </w:rPr>
            </w:pPr>
          </w:p>
        </w:tc>
        <w:tc>
          <w:tcPr>
            <w:tcW w:w="1835" w:type="dxa"/>
            <w:vMerge w:val="restart"/>
            <w:vAlign w:val="center"/>
          </w:tcPr>
          <w:p w14:paraId="37336459">
            <w:pPr>
              <w:adjustRightInd w:val="0"/>
              <w:snapToGrid w:val="0"/>
              <w:jc w:val="center"/>
              <w:rPr>
                <w:rFonts w:hint="eastAsia" w:ascii="宋体" w:hAnsi="宋体" w:eastAsia="宋体" w:cs="宋体"/>
                <w:color w:val="auto"/>
                <w:sz w:val="24"/>
                <w:szCs w:val="24"/>
                <w:lang w:eastAsia="zh-CN"/>
              </w:rPr>
            </w:pPr>
            <w:r>
              <w:rPr>
                <w:rFonts w:ascii="宋体" w:hAnsi="宋体" w:cs="宋体"/>
                <w:color w:val="auto"/>
                <w:sz w:val="24"/>
                <w:szCs w:val="24"/>
              </w:rPr>
              <w:t>DA00</w:t>
            </w:r>
            <w:r>
              <w:rPr>
                <w:rFonts w:hint="eastAsia" w:ascii="宋体" w:hAnsi="宋体" w:cs="宋体"/>
                <w:color w:val="auto"/>
                <w:sz w:val="24"/>
                <w:szCs w:val="24"/>
              </w:rPr>
              <w:t>2</w:t>
            </w:r>
            <w:r>
              <w:rPr>
                <w:rFonts w:ascii="宋体" w:hAnsi="宋体" w:cs="宋体"/>
                <w:color w:val="auto"/>
                <w:sz w:val="24"/>
                <w:szCs w:val="24"/>
              </w:rPr>
              <w:t xml:space="preserve"> </w:t>
            </w:r>
            <w:r>
              <w:rPr>
                <w:rFonts w:hint="eastAsia" w:ascii="宋体" w:hAnsi="宋体" w:cs="宋体"/>
                <w:color w:val="auto"/>
                <w:sz w:val="24"/>
                <w:szCs w:val="24"/>
              </w:rPr>
              <w:t>隧道窑焙烧工序</w:t>
            </w:r>
          </w:p>
        </w:tc>
        <w:tc>
          <w:tcPr>
            <w:tcW w:w="1445" w:type="dxa"/>
            <w:vAlign w:val="center"/>
          </w:tcPr>
          <w:p w14:paraId="7CF2BD6C">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颗粒物</w:t>
            </w:r>
          </w:p>
        </w:tc>
        <w:tc>
          <w:tcPr>
            <w:tcW w:w="1968" w:type="dxa"/>
            <w:vMerge w:val="restart"/>
            <w:vAlign w:val="center"/>
          </w:tcPr>
          <w:p w14:paraId="1CB9BC91">
            <w:pPr>
              <w:adjustRightInd w:val="0"/>
              <w:snapToGrid w:val="0"/>
              <w:jc w:val="center"/>
              <w:rPr>
                <w:rFonts w:ascii="宋体" w:hAnsi="宋体" w:cs="宋体"/>
                <w:color w:val="auto"/>
                <w:sz w:val="24"/>
                <w:szCs w:val="24"/>
              </w:rPr>
            </w:pPr>
            <w:r>
              <w:rPr>
                <w:rFonts w:hint="eastAsia" w:ascii="宋体" w:hAnsi="宋体" w:cs="宋体"/>
                <w:color w:val="auto"/>
                <w:sz w:val="24"/>
                <w:szCs w:val="24"/>
                <w:highlight w:val="none"/>
                <w:lang w:eastAsia="zh-CN"/>
              </w:rPr>
              <w:t>石灰-石膏法脱硫+湿电除尘+SNCR脱硝</w:t>
            </w:r>
            <w:r>
              <w:rPr>
                <w:rFonts w:ascii="宋体" w:hAnsi="宋体" w:cs="宋体"/>
                <w:color w:val="auto"/>
                <w:sz w:val="24"/>
                <w:szCs w:val="24"/>
                <w:highlight w:val="none"/>
              </w:rPr>
              <w:t>+</w:t>
            </w:r>
            <w:r>
              <w:rPr>
                <w:rFonts w:hint="eastAsia" w:ascii="宋体" w:hAnsi="宋体" w:cs="宋体"/>
                <w:color w:val="auto"/>
                <w:sz w:val="24"/>
                <w:szCs w:val="24"/>
                <w:lang w:val="en-US" w:eastAsia="zh-CN"/>
              </w:rPr>
              <w:t>26</w:t>
            </w:r>
            <w:r>
              <w:rPr>
                <w:rFonts w:hint="eastAsia" w:ascii="宋体" w:hAnsi="宋体" w:cs="宋体"/>
                <w:color w:val="auto"/>
                <w:sz w:val="24"/>
                <w:szCs w:val="24"/>
              </w:rPr>
              <w:t>米高排气筒</w:t>
            </w:r>
          </w:p>
        </w:tc>
        <w:tc>
          <w:tcPr>
            <w:tcW w:w="2673" w:type="dxa"/>
            <w:vMerge w:val="continue"/>
            <w:vAlign w:val="center"/>
          </w:tcPr>
          <w:p w14:paraId="043048AE">
            <w:pPr>
              <w:adjustRightInd w:val="0"/>
              <w:snapToGrid w:val="0"/>
              <w:jc w:val="center"/>
              <w:rPr>
                <w:rFonts w:ascii="宋体" w:hAnsi="宋体" w:cs="宋体"/>
                <w:color w:val="auto"/>
                <w:sz w:val="24"/>
                <w:szCs w:val="24"/>
              </w:rPr>
            </w:pPr>
          </w:p>
        </w:tc>
      </w:tr>
      <w:tr w14:paraId="7E2441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77" w:type="dxa"/>
            <w:vMerge w:val="continue"/>
            <w:vAlign w:val="center"/>
          </w:tcPr>
          <w:p w14:paraId="01D3106C">
            <w:pPr>
              <w:adjustRightInd w:val="0"/>
              <w:snapToGrid w:val="0"/>
              <w:jc w:val="center"/>
              <w:rPr>
                <w:color w:val="auto"/>
              </w:rPr>
            </w:pPr>
          </w:p>
        </w:tc>
        <w:tc>
          <w:tcPr>
            <w:tcW w:w="1835" w:type="dxa"/>
            <w:vMerge w:val="continue"/>
            <w:vAlign w:val="center"/>
          </w:tcPr>
          <w:p w14:paraId="1B8344C8">
            <w:pPr>
              <w:adjustRightInd w:val="0"/>
              <w:snapToGrid w:val="0"/>
              <w:jc w:val="center"/>
              <w:rPr>
                <w:color w:val="auto"/>
              </w:rPr>
            </w:pPr>
          </w:p>
        </w:tc>
        <w:tc>
          <w:tcPr>
            <w:tcW w:w="1445" w:type="dxa"/>
            <w:vAlign w:val="center"/>
          </w:tcPr>
          <w:p w14:paraId="59413DC4">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二氧化硫</w:t>
            </w:r>
          </w:p>
        </w:tc>
        <w:tc>
          <w:tcPr>
            <w:tcW w:w="1968" w:type="dxa"/>
            <w:vMerge w:val="continue"/>
            <w:vAlign w:val="center"/>
          </w:tcPr>
          <w:p w14:paraId="506AA81A">
            <w:pPr>
              <w:adjustRightInd w:val="0"/>
              <w:snapToGrid w:val="0"/>
              <w:jc w:val="center"/>
              <w:rPr>
                <w:rFonts w:hint="eastAsia" w:ascii="宋体" w:hAnsi="宋体" w:cs="宋体"/>
                <w:color w:val="auto"/>
                <w:sz w:val="24"/>
                <w:szCs w:val="24"/>
              </w:rPr>
            </w:pPr>
          </w:p>
        </w:tc>
        <w:tc>
          <w:tcPr>
            <w:tcW w:w="2673" w:type="dxa"/>
            <w:vMerge w:val="continue"/>
            <w:vAlign w:val="center"/>
          </w:tcPr>
          <w:p w14:paraId="39A3C901">
            <w:pPr>
              <w:adjustRightInd w:val="0"/>
              <w:snapToGrid w:val="0"/>
              <w:jc w:val="center"/>
              <w:rPr>
                <w:rFonts w:hint="eastAsia" w:ascii="宋体" w:hAnsi="宋体" w:cs="宋体"/>
                <w:color w:val="auto"/>
                <w:sz w:val="24"/>
                <w:szCs w:val="24"/>
              </w:rPr>
            </w:pPr>
          </w:p>
        </w:tc>
      </w:tr>
      <w:tr w14:paraId="63A9C3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77" w:type="dxa"/>
            <w:vMerge w:val="continue"/>
            <w:vAlign w:val="center"/>
          </w:tcPr>
          <w:p w14:paraId="46FD0547">
            <w:pPr>
              <w:adjustRightInd w:val="0"/>
              <w:snapToGrid w:val="0"/>
              <w:jc w:val="center"/>
              <w:rPr>
                <w:rFonts w:hint="eastAsia" w:ascii="宋体" w:hAnsi="宋体" w:cs="宋体"/>
                <w:color w:val="auto"/>
                <w:sz w:val="24"/>
                <w:szCs w:val="24"/>
              </w:rPr>
            </w:pPr>
          </w:p>
        </w:tc>
        <w:tc>
          <w:tcPr>
            <w:tcW w:w="1835" w:type="dxa"/>
            <w:vMerge w:val="continue"/>
            <w:vAlign w:val="center"/>
          </w:tcPr>
          <w:p w14:paraId="7463B54A">
            <w:pPr>
              <w:adjustRightInd w:val="0"/>
              <w:snapToGrid w:val="0"/>
              <w:jc w:val="center"/>
              <w:rPr>
                <w:rFonts w:hint="eastAsia" w:ascii="宋体" w:hAnsi="宋体" w:cs="宋体"/>
                <w:color w:val="auto"/>
                <w:sz w:val="24"/>
                <w:szCs w:val="24"/>
              </w:rPr>
            </w:pPr>
          </w:p>
        </w:tc>
        <w:tc>
          <w:tcPr>
            <w:tcW w:w="1445" w:type="dxa"/>
            <w:vAlign w:val="center"/>
          </w:tcPr>
          <w:p w14:paraId="56B6D6EA">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氮氧化物</w:t>
            </w:r>
          </w:p>
        </w:tc>
        <w:tc>
          <w:tcPr>
            <w:tcW w:w="1968" w:type="dxa"/>
            <w:vMerge w:val="continue"/>
            <w:vAlign w:val="center"/>
          </w:tcPr>
          <w:p w14:paraId="6DABCA2D">
            <w:pPr>
              <w:adjustRightInd w:val="0"/>
              <w:snapToGrid w:val="0"/>
              <w:jc w:val="center"/>
              <w:rPr>
                <w:rFonts w:hint="eastAsia" w:ascii="宋体" w:hAnsi="宋体" w:cs="宋体"/>
                <w:color w:val="auto"/>
                <w:sz w:val="24"/>
                <w:szCs w:val="24"/>
              </w:rPr>
            </w:pPr>
          </w:p>
        </w:tc>
        <w:tc>
          <w:tcPr>
            <w:tcW w:w="2673" w:type="dxa"/>
            <w:vMerge w:val="continue"/>
            <w:vAlign w:val="center"/>
          </w:tcPr>
          <w:p w14:paraId="142515DD">
            <w:pPr>
              <w:adjustRightInd w:val="0"/>
              <w:snapToGrid w:val="0"/>
              <w:jc w:val="center"/>
              <w:rPr>
                <w:rFonts w:hint="eastAsia" w:ascii="宋体" w:hAnsi="宋体" w:cs="宋体"/>
                <w:color w:val="auto"/>
                <w:sz w:val="24"/>
                <w:szCs w:val="24"/>
              </w:rPr>
            </w:pPr>
          </w:p>
        </w:tc>
      </w:tr>
      <w:tr w14:paraId="4C809C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77" w:type="dxa"/>
            <w:vMerge w:val="continue"/>
            <w:vAlign w:val="center"/>
          </w:tcPr>
          <w:p w14:paraId="0A704849">
            <w:pPr>
              <w:adjustRightInd w:val="0"/>
              <w:snapToGrid w:val="0"/>
              <w:jc w:val="center"/>
              <w:rPr>
                <w:rFonts w:hint="eastAsia" w:ascii="宋体" w:hAnsi="宋体" w:cs="宋体"/>
                <w:color w:val="auto"/>
                <w:sz w:val="24"/>
                <w:szCs w:val="24"/>
              </w:rPr>
            </w:pPr>
          </w:p>
        </w:tc>
        <w:tc>
          <w:tcPr>
            <w:tcW w:w="1835" w:type="dxa"/>
            <w:vMerge w:val="continue"/>
            <w:vAlign w:val="center"/>
          </w:tcPr>
          <w:p w14:paraId="4F7C8BC5">
            <w:pPr>
              <w:adjustRightInd w:val="0"/>
              <w:snapToGrid w:val="0"/>
              <w:jc w:val="center"/>
              <w:rPr>
                <w:rFonts w:hint="eastAsia" w:ascii="宋体" w:hAnsi="宋体" w:cs="宋体"/>
                <w:color w:val="auto"/>
                <w:sz w:val="24"/>
                <w:szCs w:val="24"/>
              </w:rPr>
            </w:pPr>
          </w:p>
        </w:tc>
        <w:tc>
          <w:tcPr>
            <w:tcW w:w="1445" w:type="dxa"/>
            <w:vAlign w:val="center"/>
          </w:tcPr>
          <w:p w14:paraId="3301008A">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氟化物</w:t>
            </w:r>
          </w:p>
        </w:tc>
        <w:tc>
          <w:tcPr>
            <w:tcW w:w="1968" w:type="dxa"/>
            <w:vMerge w:val="continue"/>
            <w:vAlign w:val="center"/>
          </w:tcPr>
          <w:p w14:paraId="031F6B7F">
            <w:pPr>
              <w:adjustRightInd w:val="0"/>
              <w:snapToGrid w:val="0"/>
              <w:jc w:val="center"/>
              <w:rPr>
                <w:rFonts w:hint="eastAsia" w:ascii="宋体" w:hAnsi="宋体" w:cs="宋体"/>
                <w:color w:val="auto"/>
                <w:sz w:val="24"/>
                <w:szCs w:val="24"/>
              </w:rPr>
            </w:pPr>
          </w:p>
        </w:tc>
        <w:tc>
          <w:tcPr>
            <w:tcW w:w="2673" w:type="dxa"/>
            <w:vMerge w:val="continue"/>
            <w:vAlign w:val="center"/>
          </w:tcPr>
          <w:p w14:paraId="67A1893B">
            <w:pPr>
              <w:adjustRightInd w:val="0"/>
              <w:snapToGrid w:val="0"/>
              <w:jc w:val="center"/>
              <w:rPr>
                <w:rFonts w:hint="eastAsia" w:ascii="宋体" w:hAnsi="宋体" w:cs="宋体"/>
                <w:color w:val="auto"/>
                <w:sz w:val="24"/>
                <w:szCs w:val="24"/>
              </w:rPr>
            </w:pPr>
          </w:p>
        </w:tc>
      </w:tr>
      <w:tr w14:paraId="424490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77" w:type="dxa"/>
            <w:vMerge w:val="continue"/>
            <w:vAlign w:val="center"/>
          </w:tcPr>
          <w:p w14:paraId="61035099">
            <w:pPr>
              <w:adjustRightInd w:val="0"/>
              <w:snapToGrid w:val="0"/>
              <w:jc w:val="center"/>
              <w:rPr>
                <w:rFonts w:ascii="宋体" w:hAnsi="宋体" w:cs="宋体"/>
                <w:color w:val="auto"/>
                <w:sz w:val="24"/>
                <w:szCs w:val="24"/>
              </w:rPr>
            </w:pPr>
          </w:p>
        </w:tc>
        <w:tc>
          <w:tcPr>
            <w:tcW w:w="1835" w:type="dxa"/>
            <w:vMerge w:val="restart"/>
            <w:vAlign w:val="center"/>
          </w:tcPr>
          <w:p w14:paraId="3BE97EAF">
            <w:pPr>
              <w:adjustRightInd w:val="0"/>
              <w:snapToGrid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厂界无组织</w:t>
            </w:r>
          </w:p>
        </w:tc>
        <w:tc>
          <w:tcPr>
            <w:tcW w:w="1445" w:type="dxa"/>
            <w:vAlign w:val="center"/>
          </w:tcPr>
          <w:p w14:paraId="2942FE4E">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颗粒物</w:t>
            </w:r>
          </w:p>
        </w:tc>
        <w:tc>
          <w:tcPr>
            <w:tcW w:w="1968" w:type="dxa"/>
            <w:vMerge w:val="restart"/>
            <w:vAlign w:val="center"/>
          </w:tcPr>
          <w:p w14:paraId="370CDD76">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道路硬化、洒水抑尘、设置洗车平台等</w:t>
            </w:r>
          </w:p>
        </w:tc>
        <w:tc>
          <w:tcPr>
            <w:tcW w:w="2673" w:type="dxa"/>
            <w:vMerge w:val="restart"/>
            <w:vAlign w:val="center"/>
          </w:tcPr>
          <w:p w14:paraId="10969E1B">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《砖瓦工业大气污染物排放标准》（DB34/ 4362-2023）</w:t>
            </w:r>
          </w:p>
        </w:tc>
      </w:tr>
      <w:tr w14:paraId="689E39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77" w:type="dxa"/>
            <w:vMerge w:val="continue"/>
            <w:vAlign w:val="center"/>
          </w:tcPr>
          <w:p w14:paraId="589824E1">
            <w:pPr>
              <w:adjustRightInd w:val="0"/>
              <w:snapToGrid w:val="0"/>
              <w:jc w:val="center"/>
              <w:rPr>
                <w:color w:val="auto"/>
              </w:rPr>
            </w:pPr>
          </w:p>
        </w:tc>
        <w:tc>
          <w:tcPr>
            <w:tcW w:w="1835" w:type="dxa"/>
            <w:vMerge w:val="continue"/>
            <w:vAlign w:val="center"/>
          </w:tcPr>
          <w:p w14:paraId="0EAD4AEF">
            <w:pPr>
              <w:adjustRightInd w:val="0"/>
              <w:snapToGrid w:val="0"/>
              <w:jc w:val="center"/>
              <w:rPr>
                <w:color w:val="auto"/>
              </w:rPr>
            </w:pPr>
          </w:p>
        </w:tc>
        <w:tc>
          <w:tcPr>
            <w:tcW w:w="1445" w:type="dxa"/>
            <w:vAlign w:val="center"/>
          </w:tcPr>
          <w:p w14:paraId="1C639BD9">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二氧化硫</w:t>
            </w:r>
          </w:p>
        </w:tc>
        <w:tc>
          <w:tcPr>
            <w:tcW w:w="1968" w:type="dxa"/>
            <w:vMerge w:val="continue"/>
            <w:vAlign w:val="center"/>
          </w:tcPr>
          <w:p w14:paraId="10AE7EFB">
            <w:pPr>
              <w:adjustRightInd w:val="0"/>
              <w:snapToGrid w:val="0"/>
              <w:jc w:val="center"/>
              <w:rPr>
                <w:rFonts w:hint="eastAsia" w:ascii="宋体" w:hAnsi="宋体" w:eastAsia="宋体" w:cs="宋体"/>
                <w:color w:val="auto"/>
                <w:sz w:val="24"/>
                <w:szCs w:val="24"/>
                <w:lang w:val="en-US" w:eastAsia="zh-CN"/>
              </w:rPr>
            </w:pPr>
          </w:p>
        </w:tc>
        <w:tc>
          <w:tcPr>
            <w:tcW w:w="2673" w:type="dxa"/>
            <w:vMerge w:val="continue"/>
            <w:vAlign w:val="center"/>
          </w:tcPr>
          <w:p w14:paraId="229304DE">
            <w:pPr>
              <w:adjustRightInd w:val="0"/>
              <w:snapToGrid w:val="0"/>
              <w:jc w:val="center"/>
              <w:rPr>
                <w:rFonts w:hint="eastAsia" w:ascii="宋体" w:hAnsi="宋体" w:eastAsia="宋体" w:cs="宋体"/>
                <w:color w:val="auto"/>
                <w:sz w:val="24"/>
                <w:szCs w:val="24"/>
                <w:lang w:val="en-US" w:eastAsia="zh-CN"/>
              </w:rPr>
            </w:pPr>
          </w:p>
        </w:tc>
      </w:tr>
      <w:tr w14:paraId="339958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7" w:type="dxa"/>
            <w:vMerge w:val="continue"/>
            <w:vAlign w:val="center"/>
          </w:tcPr>
          <w:p w14:paraId="69DA306F">
            <w:pPr>
              <w:adjustRightInd w:val="0"/>
              <w:snapToGrid w:val="0"/>
              <w:jc w:val="center"/>
              <w:rPr>
                <w:rFonts w:hint="eastAsia" w:ascii="宋体" w:hAnsi="宋体" w:eastAsia="宋体" w:cs="宋体"/>
                <w:color w:val="auto"/>
                <w:sz w:val="24"/>
                <w:szCs w:val="24"/>
                <w:lang w:val="en-US" w:eastAsia="zh-CN"/>
              </w:rPr>
            </w:pPr>
          </w:p>
        </w:tc>
        <w:tc>
          <w:tcPr>
            <w:tcW w:w="1835" w:type="dxa"/>
            <w:vMerge w:val="continue"/>
            <w:vAlign w:val="center"/>
          </w:tcPr>
          <w:p w14:paraId="27ED5809">
            <w:pPr>
              <w:adjustRightInd w:val="0"/>
              <w:snapToGrid w:val="0"/>
              <w:jc w:val="center"/>
              <w:rPr>
                <w:rFonts w:hint="eastAsia" w:ascii="宋体" w:hAnsi="宋体" w:eastAsia="宋体" w:cs="宋体"/>
                <w:color w:val="auto"/>
                <w:sz w:val="24"/>
                <w:szCs w:val="24"/>
                <w:lang w:val="en-US" w:eastAsia="zh-CN"/>
              </w:rPr>
            </w:pPr>
          </w:p>
        </w:tc>
        <w:tc>
          <w:tcPr>
            <w:tcW w:w="1445" w:type="dxa"/>
            <w:vAlign w:val="center"/>
          </w:tcPr>
          <w:p w14:paraId="7D6B6758">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氮氧化物</w:t>
            </w:r>
          </w:p>
        </w:tc>
        <w:tc>
          <w:tcPr>
            <w:tcW w:w="1968" w:type="dxa"/>
            <w:vMerge w:val="continue"/>
            <w:vAlign w:val="center"/>
          </w:tcPr>
          <w:p w14:paraId="09AD3FA8">
            <w:pPr>
              <w:adjustRightInd w:val="0"/>
              <w:snapToGrid w:val="0"/>
              <w:jc w:val="center"/>
              <w:rPr>
                <w:rFonts w:hint="eastAsia" w:ascii="宋体" w:hAnsi="宋体" w:eastAsia="宋体" w:cs="宋体"/>
                <w:color w:val="auto"/>
                <w:sz w:val="24"/>
                <w:szCs w:val="24"/>
                <w:lang w:val="en-US" w:eastAsia="zh-CN"/>
              </w:rPr>
            </w:pPr>
          </w:p>
        </w:tc>
        <w:tc>
          <w:tcPr>
            <w:tcW w:w="2673" w:type="dxa"/>
            <w:vMerge w:val="continue"/>
            <w:vAlign w:val="center"/>
          </w:tcPr>
          <w:p w14:paraId="68839228">
            <w:pPr>
              <w:adjustRightInd w:val="0"/>
              <w:snapToGrid w:val="0"/>
              <w:jc w:val="center"/>
              <w:rPr>
                <w:rFonts w:hint="eastAsia" w:ascii="宋体" w:hAnsi="宋体" w:eastAsia="宋体" w:cs="宋体"/>
                <w:color w:val="auto"/>
                <w:sz w:val="24"/>
                <w:szCs w:val="24"/>
                <w:lang w:val="en-US" w:eastAsia="zh-CN"/>
              </w:rPr>
            </w:pPr>
          </w:p>
        </w:tc>
      </w:tr>
      <w:tr w14:paraId="0FE709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77" w:type="dxa"/>
            <w:vMerge w:val="continue"/>
            <w:vAlign w:val="center"/>
          </w:tcPr>
          <w:p w14:paraId="36F6C303">
            <w:pPr>
              <w:adjustRightInd w:val="0"/>
              <w:snapToGrid w:val="0"/>
              <w:jc w:val="center"/>
              <w:rPr>
                <w:rFonts w:hint="eastAsia" w:ascii="宋体" w:hAnsi="宋体" w:eastAsia="宋体" w:cs="宋体"/>
                <w:color w:val="auto"/>
                <w:sz w:val="24"/>
                <w:szCs w:val="24"/>
                <w:lang w:val="en-US" w:eastAsia="zh-CN"/>
              </w:rPr>
            </w:pPr>
          </w:p>
        </w:tc>
        <w:tc>
          <w:tcPr>
            <w:tcW w:w="1835" w:type="dxa"/>
            <w:vMerge w:val="continue"/>
            <w:vAlign w:val="center"/>
          </w:tcPr>
          <w:p w14:paraId="195D5B5B">
            <w:pPr>
              <w:adjustRightInd w:val="0"/>
              <w:snapToGrid w:val="0"/>
              <w:jc w:val="center"/>
              <w:rPr>
                <w:rFonts w:hint="eastAsia" w:ascii="宋体" w:hAnsi="宋体" w:eastAsia="宋体" w:cs="宋体"/>
                <w:color w:val="auto"/>
                <w:sz w:val="24"/>
                <w:szCs w:val="24"/>
                <w:lang w:val="en-US" w:eastAsia="zh-CN"/>
              </w:rPr>
            </w:pPr>
          </w:p>
        </w:tc>
        <w:tc>
          <w:tcPr>
            <w:tcW w:w="1445" w:type="dxa"/>
            <w:vAlign w:val="center"/>
          </w:tcPr>
          <w:p w14:paraId="0E1D79EA">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氟化物</w:t>
            </w:r>
          </w:p>
        </w:tc>
        <w:tc>
          <w:tcPr>
            <w:tcW w:w="1968" w:type="dxa"/>
            <w:vMerge w:val="continue"/>
            <w:vAlign w:val="center"/>
          </w:tcPr>
          <w:p w14:paraId="0972F3FA">
            <w:pPr>
              <w:adjustRightInd w:val="0"/>
              <w:snapToGrid w:val="0"/>
              <w:jc w:val="center"/>
              <w:rPr>
                <w:rFonts w:hint="eastAsia" w:ascii="宋体" w:hAnsi="宋体" w:eastAsia="宋体" w:cs="宋体"/>
                <w:color w:val="auto"/>
                <w:sz w:val="24"/>
                <w:szCs w:val="24"/>
                <w:lang w:val="en-US" w:eastAsia="zh-CN"/>
              </w:rPr>
            </w:pPr>
          </w:p>
        </w:tc>
        <w:tc>
          <w:tcPr>
            <w:tcW w:w="2673" w:type="dxa"/>
            <w:vMerge w:val="continue"/>
            <w:vAlign w:val="center"/>
          </w:tcPr>
          <w:p w14:paraId="67594ED5">
            <w:pPr>
              <w:adjustRightInd w:val="0"/>
              <w:snapToGrid w:val="0"/>
              <w:jc w:val="center"/>
              <w:rPr>
                <w:rFonts w:hint="eastAsia" w:ascii="宋体" w:hAnsi="宋体" w:eastAsia="宋体" w:cs="宋体"/>
                <w:color w:val="auto"/>
                <w:sz w:val="24"/>
                <w:szCs w:val="24"/>
                <w:lang w:val="en-US" w:eastAsia="zh-CN"/>
              </w:rPr>
            </w:pPr>
          </w:p>
        </w:tc>
      </w:tr>
      <w:tr w14:paraId="33B067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77" w:type="dxa"/>
            <w:vMerge w:val="continue"/>
            <w:vAlign w:val="center"/>
          </w:tcPr>
          <w:p w14:paraId="3F7F952B">
            <w:pPr>
              <w:adjustRightInd w:val="0"/>
              <w:snapToGrid w:val="0"/>
              <w:jc w:val="center"/>
              <w:rPr>
                <w:rFonts w:hint="eastAsia" w:ascii="宋体" w:hAnsi="宋体" w:eastAsia="宋体" w:cs="宋体"/>
                <w:color w:val="auto"/>
                <w:sz w:val="24"/>
                <w:szCs w:val="24"/>
                <w:lang w:val="en-US" w:eastAsia="zh-CN"/>
              </w:rPr>
            </w:pPr>
          </w:p>
        </w:tc>
        <w:tc>
          <w:tcPr>
            <w:tcW w:w="1835" w:type="dxa"/>
            <w:vMerge w:val="continue"/>
            <w:vAlign w:val="center"/>
          </w:tcPr>
          <w:p w14:paraId="43FC35C2">
            <w:pPr>
              <w:adjustRightInd w:val="0"/>
              <w:snapToGrid w:val="0"/>
              <w:jc w:val="center"/>
              <w:rPr>
                <w:rFonts w:hint="eastAsia" w:ascii="宋体" w:hAnsi="宋体" w:eastAsia="宋体" w:cs="宋体"/>
                <w:color w:val="auto"/>
                <w:sz w:val="24"/>
                <w:szCs w:val="24"/>
                <w:lang w:val="en-US" w:eastAsia="zh-CN"/>
              </w:rPr>
            </w:pPr>
          </w:p>
        </w:tc>
        <w:tc>
          <w:tcPr>
            <w:tcW w:w="1445" w:type="dxa"/>
            <w:vAlign w:val="center"/>
          </w:tcPr>
          <w:p w14:paraId="7897934B">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氨</w:t>
            </w:r>
          </w:p>
        </w:tc>
        <w:tc>
          <w:tcPr>
            <w:tcW w:w="1968" w:type="dxa"/>
            <w:vMerge w:val="restart"/>
            <w:vAlign w:val="center"/>
          </w:tcPr>
          <w:p w14:paraId="67529E3D">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加强车间通风</w:t>
            </w:r>
          </w:p>
        </w:tc>
        <w:tc>
          <w:tcPr>
            <w:tcW w:w="2673" w:type="dxa"/>
            <w:vMerge w:val="restart"/>
            <w:vAlign w:val="center"/>
          </w:tcPr>
          <w:p w14:paraId="11C21EAF">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《恶臭污染物排放标准》（GB14554-93）</w:t>
            </w:r>
          </w:p>
        </w:tc>
      </w:tr>
      <w:tr w14:paraId="27EEB3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77" w:type="dxa"/>
            <w:vMerge w:val="continue"/>
            <w:vAlign w:val="center"/>
          </w:tcPr>
          <w:p w14:paraId="6CD1FFAD">
            <w:pPr>
              <w:adjustRightInd w:val="0"/>
              <w:snapToGrid w:val="0"/>
              <w:jc w:val="center"/>
              <w:rPr>
                <w:rFonts w:hint="eastAsia" w:ascii="宋体" w:hAnsi="宋体" w:eastAsia="宋体" w:cs="宋体"/>
                <w:color w:val="auto"/>
                <w:sz w:val="24"/>
                <w:szCs w:val="24"/>
                <w:lang w:val="en-US" w:eastAsia="zh-CN"/>
              </w:rPr>
            </w:pPr>
          </w:p>
        </w:tc>
        <w:tc>
          <w:tcPr>
            <w:tcW w:w="1835" w:type="dxa"/>
            <w:vMerge w:val="continue"/>
            <w:vAlign w:val="center"/>
          </w:tcPr>
          <w:p w14:paraId="5BF2E1B5">
            <w:pPr>
              <w:adjustRightInd w:val="0"/>
              <w:snapToGrid w:val="0"/>
              <w:jc w:val="center"/>
              <w:rPr>
                <w:rFonts w:hint="eastAsia" w:ascii="宋体" w:hAnsi="宋体" w:eastAsia="宋体" w:cs="宋体"/>
                <w:color w:val="auto"/>
                <w:sz w:val="24"/>
                <w:szCs w:val="24"/>
                <w:lang w:val="en-US" w:eastAsia="zh-CN"/>
              </w:rPr>
            </w:pPr>
          </w:p>
        </w:tc>
        <w:tc>
          <w:tcPr>
            <w:tcW w:w="1445" w:type="dxa"/>
            <w:vAlign w:val="center"/>
          </w:tcPr>
          <w:p w14:paraId="16A11E8A">
            <w:pPr>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硫化氢</w:t>
            </w:r>
          </w:p>
        </w:tc>
        <w:tc>
          <w:tcPr>
            <w:tcW w:w="1968" w:type="dxa"/>
            <w:vMerge w:val="continue"/>
            <w:vAlign w:val="center"/>
          </w:tcPr>
          <w:p w14:paraId="589CEB86">
            <w:pPr>
              <w:adjustRightInd w:val="0"/>
              <w:snapToGrid w:val="0"/>
              <w:jc w:val="center"/>
              <w:rPr>
                <w:rFonts w:hint="eastAsia" w:ascii="宋体" w:hAnsi="宋体" w:eastAsia="宋体" w:cs="宋体"/>
                <w:color w:val="auto"/>
                <w:sz w:val="24"/>
                <w:szCs w:val="24"/>
                <w:lang w:val="en-US" w:eastAsia="zh-CN"/>
              </w:rPr>
            </w:pPr>
          </w:p>
        </w:tc>
        <w:tc>
          <w:tcPr>
            <w:tcW w:w="2673" w:type="dxa"/>
            <w:vMerge w:val="continue"/>
            <w:vAlign w:val="center"/>
          </w:tcPr>
          <w:p w14:paraId="6790B3C2">
            <w:pPr>
              <w:adjustRightInd w:val="0"/>
              <w:snapToGrid w:val="0"/>
              <w:jc w:val="center"/>
              <w:rPr>
                <w:rFonts w:hint="eastAsia" w:ascii="宋体" w:hAnsi="宋体" w:eastAsia="宋体" w:cs="宋体"/>
                <w:color w:val="auto"/>
                <w:sz w:val="24"/>
                <w:szCs w:val="24"/>
                <w:lang w:val="en-US" w:eastAsia="zh-CN"/>
              </w:rPr>
            </w:pPr>
          </w:p>
        </w:tc>
      </w:tr>
      <w:tr w14:paraId="6FF679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77" w:type="dxa"/>
            <w:vMerge w:val="restart"/>
            <w:vAlign w:val="center"/>
          </w:tcPr>
          <w:p w14:paraId="3659CBD2">
            <w:pPr>
              <w:adjustRightInd w:val="0"/>
              <w:snapToGrid w:val="0"/>
              <w:jc w:val="center"/>
              <w:rPr>
                <w:rFonts w:ascii="宋体"/>
                <w:color w:val="auto"/>
                <w:sz w:val="24"/>
                <w:szCs w:val="24"/>
              </w:rPr>
            </w:pPr>
            <w:r>
              <w:rPr>
                <w:rFonts w:hint="eastAsia" w:ascii="宋体" w:hAnsi="宋体" w:cs="宋体"/>
                <w:color w:val="auto"/>
                <w:sz w:val="24"/>
                <w:szCs w:val="24"/>
              </w:rPr>
              <w:t>地表水环境</w:t>
            </w:r>
          </w:p>
        </w:tc>
        <w:tc>
          <w:tcPr>
            <w:tcW w:w="1835" w:type="dxa"/>
            <w:vAlign w:val="center"/>
          </w:tcPr>
          <w:p w14:paraId="421BF151">
            <w:pPr>
              <w:adjustRightInd w:val="0"/>
              <w:snapToGrid w:val="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车辆冲洗废水</w:t>
            </w:r>
          </w:p>
        </w:tc>
        <w:tc>
          <w:tcPr>
            <w:tcW w:w="1445" w:type="dxa"/>
            <w:vAlign w:val="center"/>
          </w:tcPr>
          <w:p w14:paraId="047B2244">
            <w:pPr>
              <w:adjustRightInd w:val="0"/>
              <w:snapToGrid w:val="0"/>
              <w:jc w:val="center"/>
              <w:rPr>
                <w:rFonts w:ascii="宋体" w:hAnsi="宋体" w:cs="宋体"/>
                <w:color w:val="auto"/>
                <w:sz w:val="24"/>
                <w:szCs w:val="24"/>
              </w:rPr>
            </w:pPr>
            <w:r>
              <w:rPr>
                <w:rFonts w:ascii="宋体" w:hAnsi="宋体" w:cs="宋体"/>
                <w:color w:val="auto"/>
                <w:sz w:val="24"/>
                <w:szCs w:val="24"/>
              </w:rPr>
              <w:t>SS</w:t>
            </w:r>
          </w:p>
        </w:tc>
        <w:tc>
          <w:tcPr>
            <w:tcW w:w="1968" w:type="dxa"/>
            <w:vAlign w:val="center"/>
          </w:tcPr>
          <w:p w14:paraId="3B18CBA6">
            <w:pPr>
              <w:adjustRightInd w:val="0"/>
              <w:snapToGrid w:val="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经沉淀池处理后回用于车辆冲洗</w:t>
            </w:r>
          </w:p>
        </w:tc>
        <w:tc>
          <w:tcPr>
            <w:tcW w:w="2673" w:type="dxa"/>
            <w:vAlign w:val="center"/>
          </w:tcPr>
          <w:p w14:paraId="3146CB7F">
            <w:pPr>
              <w:adjustRightInd w:val="0"/>
              <w:snapToGrid w:val="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r>
      <w:tr w14:paraId="2D8846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1277" w:type="dxa"/>
            <w:vMerge w:val="continue"/>
            <w:vAlign w:val="center"/>
          </w:tcPr>
          <w:p w14:paraId="7B0EF95A">
            <w:pPr>
              <w:adjustRightInd w:val="0"/>
              <w:snapToGrid w:val="0"/>
              <w:jc w:val="center"/>
              <w:rPr>
                <w:rFonts w:ascii="宋体"/>
                <w:color w:val="auto"/>
                <w:sz w:val="24"/>
                <w:szCs w:val="24"/>
              </w:rPr>
            </w:pPr>
          </w:p>
        </w:tc>
        <w:tc>
          <w:tcPr>
            <w:tcW w:w="1835" w:type="dxa"/>
            <w:vAlign w:val="center"/>
          </w:tcPr>
          <w:p w14:paraId="33AB7720">
            <w:pPr>
              <w:adjustRightInd w:val="0"/>
              <w:snapToGrid w:val="0"/>
              <w:jc w:val="center"/>
              <w:rPr>
                <w:rFonts w:ascii="宋体"/>
                <w:color w:val="auto"/>
                <w:sz w:val="24"/>
                <w:szCs w:val="24"/>
              </w:rPr>
            </w:pPr>
            <w:r>
              <w:rPr>
                <w:rFonts w:hint="eastAsia" w:ascii="宋体" w:hAnsi="宋体" w:cs="宋体"/>
                <w:color w:val="auto"/>
                <w:sz w:val="24"/>
                <w:szCs w:val="24"/>
              </w:rPr>
              <w:t>生活污水</w:t>
            </w:r>
          </w:p>
        </w:tc>
        <w:tc>
          <w:tcPr>
            <w:tcW w:w="1445" w:type="dxa"/>
            <w:vAlign w:val="center"/>
          </w:tcPr>
          <w:p w14:paraId="6C94FB48">
            <w:pPr>
              <w:adjustRightInd w:val="0"/>
              <w:snapToGrid w:val="0"/>
              <w:jc w:val="center"/>
              <w:rPr>
                <w:rFonts w:ascii="宋体"/>
                <w:color w:val="auto"/>
                <w:sz w:val="24"/>
                <w:szCs w:val="24"/>
              </w:rPr>
            </w:pPr>
            <w:r>
              <w:rPr>
                <w:rFonts w:ascii="宋体" w:hAnsi="宋体" w:cs="宋体"/>
                <w:color w:val="auto"/>
                <w:sz w:val="24"/>
                <w:szCs w:val="24"/>
              </w:rPr>
              <w:t>COD</w:t>
            </w:r>
            <w:r>
              <w:rPr>
                <w:rFonts w:hint="eastAsia" w:ascii="宋体" w:hAnsi="宋体" w:cs="宋体"/>
                <w:color w:val="auto"/>
                <w:sz w:val="24"/>
                <w:szCs w:val="24"/>
              </w:rPr>
              <w:t>、</w:t>
            </w:r>
            <w:r>
              <w:rPr>
                <w:rFonts w:ascii="宋体" w:hAnsi="宋体" w:cs="宋体"/>
                <w:color w:val="auto"/>
                <w:sz w:val="24"/>
                <w:szCs w:val="24"/>
              </w:rPr>
              <w:t>SS</w:t>
            </w:r>
            <w:r>
              <w:rPr>
                <w:rFonts w:hint="eastAsia" w:ascii="宋体" w:hAnsi="宋体" w:cs="宋体"/>
                <w:color w:val="auto"/>
                <w:sz w:val="24"/>
                <w:szCs w:val="24"/>
              </w:rPr>
              <w:t>、氨氮、</w:t>
            </w:r>
            <w:r>
              <w:rPr>
                <w:rFonts w:ascii="宋体" w:hAnsi="宋体" w:cs="宋体"/>
                <w:color w:val="auto"/>
                <w:sz w:val="24"/>
                <w:szCs w:val="24"/>
              </w:rPr>
              <w:t>BOD5</w:t>
            </w:r>
          </w:p>
        </w:tc>
        <w:tc>
          <w:tcPr>
            <w:tcW w:w="1968" w:type="dxa"/>
            <w:vAlign w:val="center"/>
          </w:tcPr>
          <w:p w14:paraId="28F3620E">
            <w:pPr>
              <w:adjustRightInd w:val="0"/>
              <w:snapToGrid w:val="0"/>
              <w:jc w:val="center"/>
              <w:rPr>
                <w:rFonts w:ascii="宋体"/>
                <w:color w:val="auto"/>
                <w:sz w:val="24"/>
                <w:szCs w:val="24"/>
              </w:rPr>
            </w:pPr>
            <w:r>
              <w:rPr>
                <w:rFonts w:hint="eastAsia" w:ascii="宋体" w:hAnsi="宋体" w:cs="宋体"/>
                <w:color w:val="auto"/>
                <w:sz w:val="24"/>
                <w:szCs w:val="24"/>
              </w:rPr>
              <w:t>经化粪池处理后由专业单位进行定期清掏</w:t>
            </w:r>
            <w:r>
              <w:rPr>
                <w:rFonts w:hint="eastAsia" w:ascii="宋体" w:hAnsi="宋体" w:cs="宋体"/>
                <w:color w:val="auto"/>
                <w:sz w:val="24"/>
                <w:szCs w:val="24"/>
                <w:lang w:eastAsia="zh-CN"/>
              </w:rPr>
              <w:t>，</w:t>
            </w:r>
            <w:r>
              <w:rPr>
                <w:rFonts w:hint="eastAsia" w:ascii="宋体" w:hAnsi="宋体" w:cs="宋体"/>
                <w:color w:val="auto"/>
                <w:sz w:val="24"/>
                <w:szCs w:val="24"/>
              </w:rPr>
              <w:t>不外排</w:t>
            </w:r>
          </w:p>
        </w:tc>
        <w:tc>
          <w:tcPr>
            <w:tcW w:w="2673" w:type="dxa"/>
            <w:vAlign w:val="center"/>
          </w:tcPr>
          <w:p w14:paraId="0E22E2C5">
            <w:pPr>
              <w:adjustRightInd w:val="0"/>
              <w:snapToGrid w:val="0"/>
              <w:jc w:val="center"/>
              <w:rPr>
                <w:rFonts w:ascii="宋体"/>
                <w:color w:val="auto"/>
                <w:sz w:val="24"/>
                <w:szCs w:val="24"/>
              </w:rPr>
            </w:pPr>
            <w:r>
              <w:rPr>
                <w:rFonts w:hint="eastAsia" w:ascii="宋体" w:hAnsi="宋体" w:cs="宋体"/>
                <w:color w:val="auto"/>
                <w:sz w:val="24"/>
                <w:szCs w:val="24"/>
              </w:rPr>
              <w:t>/</w:t>
            </w:r>
          </w:p>
        </w:tc>
      </w:tr>
      <w:tr w14:paraId="20209C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1277" w:type="dxa"/>
            <w:vAlign w:val="center"/>
          </w:tcPr>
          <w:p w14:paraId="68FA33A5">
            <w:pPr>
              <w:adjustRightInd w:val="0"/>
              <w:snapToGrid w:val="0"/>
              <w:jc w:val="center"/>
              <w:rPr>
                <w:rFonts w:ascii="宋体"/>
                <w:color w:val="auto"/>
                <w:sz w:val="24"/>
                <w:szCs w:val="24"/>
              </w:rPr>
            </w:pPr>
            <w:r>
              <w:rPr>
                <w:rFonts w:hint="eastAsia" w:ascii="宋体" w:hAnsi="宋体" w:cs="宋体"/>
                <w:color w:val="auto"/>
                <w:sz w:val="24"/>
                <w:szCs w:val="24"/>
              </w:rPr>
              <w:t>声环境</w:t>
            </w:r>
          </w:p>
        </w:tc>
        <w:tc>
          <w:tcPr>
            <w:tcW w:w="1835" w:type="dxa"/>
            <w:vAlign w:val="center"/>
          </w:tcPr>
          <w:p w14:paraId="4DAD56DC">
            <w:pPr>
              <w:adjustRightInd w:val="0"/>
              <w:snapToGrid w:val="0"/>
              <w:jc w:val="center"/>
              <w:rPr>
                <w:rFonts w:ascii="宋体"/>
                <w:color w:val="auto"/>
                <w:sz w:val="24"/>
                <w:szCs w:val="24"/>
              </w:rPr>
            </w:pPr>
            <w:r>
              <w:rPr>
                <w:rFonts w:hint="eastAsia" w:ascii="宋体" w:hAnsi="宋体" w:cs="宋体"/>
                <w:color w:val="auto"/>
                <w:sz w:val="24"/>
                <w:szCs w:val="24"/>
              </w:rPr>
              <w:t>高噪声设备</w:t>
            </w:r>
          </w:p>
        </w:tc>
        <w:tc>
          <w:tcPr>
            <w:tcW w:w="1445" w:type="dxa"/>
            <w:vAlign w:val="center"/>
          </w:tcPr>
          <w:p w14:paraId="173E1F77">
            <w:pPr>
              <w:adjustRightInd w:val="0"/>
              <w:snapToGrid w:val="0"/>
              <w:jc w:val="center"/>
              <w:rPr>
                <w:rFonts w:ascii="宋体"/>
                <w:color w:val="auto"/>
                <w:sz w:val="24"/>
                <w:szCs w:val="24"/>
              </w:rPr>
            </w:pPr>
            <w:r>
              <w:rPr>
                <w:rFonts w:hint="eastAsia" w:ascii="宋体" w:hAnsi="宋体" w:cs="宋体"/>
                <w:color w:val="auto"/>
                <w:sz w:val="24"/>
                <w:szCs w:val="24"/>
              </w:rPr>
              <w:t>等效噪声级</w:t>
            </w:r>
          </w:p>
        </w:tc>
        <w:tc>
          <w:tcPr>
            <w:tcW w:w="1968" w:type="dxa"/>
            <w:vAlign w:val="center"/>
          </w:tcPr>
          <w:p w14:paraId="03429608">
            <w:pPr>
              <w:adjustRightInd w:val="0"/>
              <w:snapToGrid w:val="0"/>
              <w:jc w:val="center"/>
              <w:rPr>
                <w:rFonts w:ascii="宋体"/>
                <w:color w:val="auto"/>
                <w:sz w:val="24"/>
                <w:szCs w:val="24"/>
              </w:rPr>
            </w:pPr>
            <w:r>
              <w:rPr>
                <w:rFonts w:hint="eastAsia" w:ascii="宋体" w:hAnsi="宋体" w:cs="宋体"/>
                <w:color w:val="auto"/>
                <w:sz w:val="24"/>
                <w:szCs w:val="24"/>
              </w:rPr>
              <w:t>合理布局、减振、消声、隔声、</w:t>
            </w:r>
          </w:p>
          <w:p w14:paraId="56111332">
            <w:pPr>
              <w:adjustRightInd w:val="0"/>
              <w:snapToGrid w:val="0"/>
              <w:jc w:val="center"/>
              <w:rPr>
                <w:rFonts w:ascii="宋体"/>
                <w:color w:val="auto"/>
                <w:sz w:val="24"/>
                <w:szCs w:val="24"/>
              </w:rPr>
            </w:pPr>
            <w:r>
              <w:rPr>
                <w:rFonts w:hint="eastAsia" w:ascii="宋体" w:hAnsi="宋体" w:cs="宋体"/>
                <w:color w:val="auto"/>
                <w:sz w:val="24"/>
                <w:szCs w:val="24"/>
              </w:rPr>
              <w:t>绿化等措施等。</w:t>
            </w:r>
          </w:p>
        </w:tc>
        <w:tc>
          <w:tcPr>
            <w:tcW w:w="2673" w:type="dxa"/>
            <w:vAlign w:val="center"/>
          </w:tcPr>
          <w:p w14:paraId="1CAB3964">
            <w:pPr>
              <w:adjustRightInd w:val="0"/>
              <w:snapToGrid w:val="0"/>
              <w:jc w:val="center"/>
              <w:rPr>
                <w:rFonts w:ascii="宋体"/>
                <w:color w:val="auto"/>
                <w:sz w:val="24"/>
                <w:szCs w:val="24"/>
              </w:rPr>
            </w:pPr>
            <w:r>
              <w:rPr>
                <w:rFonts w:hint="eastAsia" w:ascii="宋体" w:hAnsi="宋体" w:cs="宋体"/>
                <w:color w:val="auto"/>
                <w:sz w:val="24"/>
                <w:szCs w:val="24"/>
              </w:rPr>
              <w:t>《工业企业厂界环境噪声排放标准》（</w:t>
            </w:r>
            <w:r>
              <w:rPr>
                <w:rFonts w:ascii="宋体" w:hAnsi="宋体" w:cs="宋体"/>
                <w:color w:val="auto"/>
                <w:sz w:val="24"/>
                <w:szCs w:val="24"/>
              </w:rPr>
              <w:t>GB12348-2008</w:t>
            </w:r>
            <w:r>
              <w:rPr>
                <w:rFonts w:hint="eastAsia" w:ascii="宋体" w:hAnsi="宋体" w:cs="宋体"/>
                <w:color w:val="auto"/>
                <w:sz w:val="24"/>
                <w:szCs w:val="24"/>
              </w:rPr>
              <w:t>）中2类区</w:t>
            </w:r>
          </w:p>
        </w:tc>
      </w:tr>
      <w:tr w14:paraId="3979BF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77" w:type="dxa"/>
            <w:vAlign w:val="center"/>
          </w:tcPr>
          <w:p w14:paraId="1F5466B8">
            <w:pPr>
              <w:adjustRightInd w:val="0"/>
              <w:snapToGrid w:val="0"/>
              <w:jc w:val="center"/>
              <w:rPr>
                <w:rFonts w:ascii="宋体"/>
                <w:color w:val="auto"/>
                <w:sz w:val="24"/>
                <w:szCs w:val="24"/>
              </w:rPr>
            </w:pPr>
            <w:r>
              <w:rPr>
                <w:rFonts w:hint="eastAsia" w:ascii="宋体" w:hAnsi="宋体" w:cs="宋体"/>
                <w:color w:val="auto"/>
                <w:sz w:val="24"/>
                <w:szCs w:val="24"/>
              </w:rPr>
              <w:t>电磁辐射</w:t>
            </w:r>
          </w:p>
        </w:tc>
        <w:tc>
          <w:tcPr>
            <w:tcW w:w="1835" w:type="dxa"/>
            <w:vAlign w:val="center"/>
          </w:tcPr>
          <w:p w14:paraId="14AC655E">
            <w:pPr>
              <w:adjustRightInd w:val="0"/>
              <w:snapToGrid w:val="0"/>
              <w:jc w:val="center"/>
              <w:rPr>
                <w:rFonts w:ascii="宋体"/>
                <w:color w:val="auto"/>
                <w:sz w:val="24"/>
                <w:szCs w:val="24"/>
              </w:rPr>
            </w:pPr>
            <w:r>
              <w:rPr>
                <w:rFonts w:ascii="宋体" w:hAnsi="宋体" w:cs="宋体"/>
                <w:color w:val="auto"/>
                <w:sz w:val="24"/>
                <w:szCs w:val="24"/>
              </w:rPr>
              <w:t>/</w:t>
            </w:r>
          </w:p>
        </w:tc>
        <w:tc>
          <w:tcPr>
            <w:tcW w:w="1445" w:type="dxa"/>
            <w:vAlign w:val="center"/>
          </w:tcPr>
          <w:p w14:paraId="7E6EFF70">
            <w:pPr>
              <w:adjustRightInd w:val="0"/>
              <w:snapToGrid w:val="0"/>
              <w:jc w:val="center"/>
              <w:rPr>
                <w:rFonts w:ascii="宋体"/>
                <w:color w:val="auto"/>
                <w:sz w:val="24"/>
                <w:szCs w:val="24"/>
              </w:rPr>
            </w:pPr>
            <w:r>
              <w:rPr>
                <w:rFonts w:ascii="宋体" w:hAnsi="宋体" w:cs="宋体"/>
                <w:color w:val="auto"/>
                <w:sz w:val="24"/>
                <w:szCs w:val="24"/>
              </w:rPr>
              <w:t>/</w:t>
            </w:r>
          </w:p>
        </w:tc>
        <w:tc>
          <w:tcPr>
            <w:tcW w:w="1968" w:type="dxa"/>
            <w:vAlign w:val="center"/>
          </w:tcPr>
          <w:p w14:paraId="35592BF1">
            <w:pPr>
              <w:adjustRightInd w:val="0"/>
              <w:snapToGrid w:val="0"/>
              <w:jc w:val="center"/>
              <w:rPr>
                <w:rFonts w:ascii="宋体"/>
                <w:color w:val="auto"/>
                <w:sz w:val="24"/>
                <w:szCs w:val="24"/>
              </w:rPr>
            </w:pPr>
            <w:r>
              <w:rPr>
                <w:rFonts w:ascii="宋体" w:hAnsi="宋体" w:cs="宋体"/>
                <w:color w:val="auto"/>
                <w:sz w:val="24"/>
                <w:szCs w:val="24"/>
              </w:rPr>
              <w:t>/</w:t>
            </w:r>
          </w:p>
        </w:tc>
        <w:tc>
          <w:tcPr>
            <w:tcW w:w="2673" w:type="dxa"/>
            <w:vAlign w:val="center"/>
          </w:tcPr>
          <w:p w14:paraId="0485B478">
            <w:pPr>
              <w:adjustRightInd w:val="0"/>
              <w:snapToGrid w:val="0"/>
              <w:jc w:val="center"/>
              <w:rPr>
                <w:rFonts w:ascii="宋体"/>
                <w:color w:val="auto"/>
                <w:sz w:val="24"/>
                <w:szCs w:val="24"/>
              </w:rPr>
            </w:pPr>
            <w:r>
              <w:rPr>
                <w:rFonts w:ascii="宋体" w:hAnsi="宋体" w:cs="宋体"/>
                <w:color w:val="auto"/>
                <w:sz w:val="24"/>
                <w:szCs w:val="24"/>
              </w:rPr>
              <w:t>/</w:t>
            </w:r>
          </w:p>
        </w:tc>
      </w:tr>
      <w:tr w14:paraId="35125A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277" w:type="dxa"/>
            <w:vAlign w:val="center"/>
          </w:tcPr>
          <w:p w14:paraId="48FD9902">
            <w:pPr>
              <w:adjustRightInd w:val="0"/>
              <w:snapToGrid w:val="0"/>
              <w:jc w:val="center"/>
              <w:rPr>
                <w:rFonts w:ascii="宋体"/>
                <w:color w:val="auto"/>
                <w:sz w:val="24"/>
                <w:szCs w:val="24"/>
              </w:rPr>
            </w:pPr>
            <w:r>
              <w:rPr>
                <w:rFonts w:hint="eastAsia" w:ascii="宋体" w:hAnsi="宋体" w:cs="宋体"/>
                <w:color w:val="auto"/>
                <w:sz w:val="24"/>
                <w:szCs w:val="24"/>
              </w:rPr>
              <w:t>固体废物</w:t>
            </w:r>
          </w:p>
        </w:tc>
        <w:tc>
          <w:tcPr>
            <w:tcW w:w="7921" w:type="dxa"/>
            <w:gridSpan w:val="4"/>
            <w:vAlign w:val="center"/>
          </w:tcPr>
          <w:p w14:paraId="4C490432">
            <w:pPr>
              <w:adjustRightInd w:val="0"/>
              <w:snapToGrid w:val="0"/>
              <w:ind w:firstLine="480" w:firstLineChars="200"/>
              <w:jc w:val="left"/>
              <w:rPr>
                <w:rFonts w:ascii="宋体"/>
                <w:color w:val="auto"/>
                <w:sz w:val="24"/>
                <w:szCs w:val="24"/>
              </w:rPr>
            </w:pPr>
            <w:r>
              <w:rPr>
                <w:rFonts w:hint="eastAsia" w:ascii="宋体" w:hAnsi="宋体" w:cs="宋体"/>
                <w:color w:val="auto"/>
                <w:sz w:val="24"/>
                <w:szCs w:val="24"/>
                <w:lang w:val="en-US" w:eastAsia="zh-CN"/>
              </w:rPr>
              <w:t>废边角料、</w:t>
            </w:r>
            <w:r>
              <w:rPr>
                <w:rFonts w:hint="eastAsia" w:ascii="宋体" w:hAnsi="宋体" w:cs="宋体"/>
                <w:color w:val="auto"/>
                <w:sz w:val="24"/>
                <w:szCs w:val="24"/>
              </w:rPr>
              <w:t>除尘器收集的粉尘</w:t>
            </w:r>
            <w:r>
              <w:rPr>
                <w:rFonts w:hint="eastAsia" w:ascii="宋体" w:hAnsi="宋体" w:cs="宋体"/>
                <w:color w:val="auto"/>
                <w:sz w:val="24"/>
                <w:szCs w:val="24"/>
                <w:lang w:eastAsia="zh-CN"/>
              </w:rPr>
              <w:t>、</w:t>
            </w:r>
            <w:r>
              <w:rPr>
                <w:rFonts w:hint="eastAsia" w:ascii="宋体" w:hAnsi="宋体" w:cs="宋体"/>
                <w:color w:val="auto"/>
                <w:sz w:val="24"/>
                <w:szCs w:val="24"/>
              </w:rPr>
              <w:t>不合格产品收集后回用于生产</w:t>
            </w:r>
            <w:r>
              <w:rPr>
                <w:rFonts w:hint="eastAsia" w:ascii="宋体" w:hAnsi="宋体" w:cs="宋体"/>
                <w:color w:val="auto"/>
                <w:sz w:val="24"/>
                <w:szCs w:val="24"/>
                <w:lang w:val="en-US" w:eastAsia="zh-CN"/>
              </w:rPr>
              <w:t>；</w:t>
            </w:r>
            <w:r>
              <w:rPr>
                <w:rFonts w:hint="eastAsia" w:ascii="宋体" w:hAnsi="宋体" w:cs="宋体"/>
                <w:color w:val="auto"/>
                <w:sz w:val="24"/>
                <w:szCs w:val="24"/>
                <w:lang w:eastAsia="zh-CN"/>
              </w:rPr>
              <w:t>脱硫脱硝废渣</w:t>
            </w:r>
            <w:r>
              <w:rPr>
                <w:rFonts w:hint="eastAsia" w:ascii="宋体" w:hAnsi="宋体" w:cs="宋体"/>
                <w:color w:val="auto"/>
                <w:sz w:val="24"/>
                <w:szCs w:val="24"/>
                <w:lang w:val="en-US" w:eastAsia="zh-CN"/>
              </w:rPr>
              <w:t>收集后外售</w:t>
            </w:r>
            <w:r>
              <w:rPr>
                <w:rFonts w:hint="eastAsia" w:ascii="宋体" w:hAnsi="宋体" w:cs="宋体"/>
                <w:color w:val="auto"/>
                <w:sz w:val="24"/>
                <w:szCs w:val="24"/>
              </w:rPr>
              <w:t>；生活垃圾由环卫部门定期清运。</w:t>
            </w:r>
          </w:p>
        </w:tc>
      </w:tr>
      <w:tr w14:paraId="43DF2A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77" w:type="dxa"/>
            <w:vMerge w:val="restart"/>
            <w:vAlign w:val="center"/>
          </w:tcPr>
          <w:p w14:paraId="21A64EBE">
            <w:pPr>
              <w:adjustRightInd w:val="0"/>
              <w:snapToGrid w:val="0"/>
              <w:jc w:val="center"/>
              <w:rPr>
                <w:rFonts w:ascii="宋体"/>
                <w:color w:val="auto"/>
                <w:sz w:val="24"/>
                <w:szCs w:val="24"/>
              </w:rPr>
            </w:pPr>
            <w:r>
              <w:rPr>
                <w:rFonts w:hint="eastAsia" w:ascii="宋体" w:hAnsi="宋体" w:cs="宋体"/>
                <w:color w:val="auto"/>
                <w:sz w:val="24"/>
                <w:szCs w:val="24"/>
              </w:rPr>
              <w:t>土壤及地下水污染防治措施</w:t>
            </w:r>
          </w:p>
        </w:tc>
        <w:tc>
          <w:tcPr>
            <w:tcW w:w="7921" w:type="dxa"/>
            <w:gridSpan w:val="4"/>
            <w:vAlign w:val="center"/>
          </w:tcPr>
          <w:p w14:paraId="019C923F">
            <w:pPr>
              <w:adjustRightInd w:val="0"/>
              <w:snapToGrid w:val="0"/>
              <w:ind w:firstLine="480" w:firstLineChars="200"/>
              <w:jc w:val="left"/>
              <w:rPr>
                <w:rFonts w:ascii="宋体"/>
                <w:color w:val="auto"/>
                <w:sz w:val="24"/>
                <w:szCs w:val="24"/>
              </w:rPr>
            </w:pPr>
            <w:r>
              <w:rPr>
                <w:rFonts w:hint="eastAsia" w:ascii="宋体" w:hAnsi="宋体" w:eastAsia="宋体" w:cs="宋体"/>
                <w:color w:val="auto"/>
                <w:sz w:val="24"/>
                <w:szCs w:val="24"/>
                <w:lang w:val="en-US" w:eastAsia="zh-CN"/>
              </w:rPr>
              <w:t>分区防控措施：</w:t>
            </w:r>
            <w:r>
              <w:rPr>
                <w:rFonts w:hint="eastAsia" w:ascii="宋体" w:hAnsi="宋体" w:cs="宋体"/>
                <w:color w:val="auto"/>
                <w:sz w:val="24"/>
                <w:szCs w:val="24"/>
                <w:lang w:val="en-US" w:eastAsia="zh-CN"/>
              </w:rPr>
              <w:t>办公区及</w:t>
            </w:r>
            <w:r>
              <w:rPr>
                <w:rFonts w:hint="eastAsia" w:ascii="宋体" w:hAnsi="宋体" w:eastAsia="宋体" w:cs="宋体"/>
                <w:color w:val="auto"/>
                <w:sz w:val="24"/>
                <w:szCs w:val="24"/>
                <w:lang w:val="en-US" w:eastAsia="zh-CN"/>
              </w:rPr>
              <w:t>其他区域设置为简单防渗区；</w:t>
            </w:r>
            <w:r>
              <w:rPr>
                <w:rFonts w:hint="eastAsia" w:ascii="宋体" w:hAnsi="宋体" w:cs="宋体"/>
                <w:color w:val="auto"/>
                <w:sz w:val="24"/>
                <w:szCs w:val="24"/>
                <w:lang w:val="en-US" w:eastAsia="zh-CN"/>
              </w:rPr>
              <w:t>各</w:t>
            </w:r>
            <w:r>
              <w:rPr>
                <w:rFonts w:hint="eastAsia" w:ascii="宋体" w:hAnsi="宋体" w:cs="宋体"/>
                <w:color w:val="auto"/>
                <w:sz w:val="24"/>
                <w:szCs w:val="24"/>
                <w:lang w:eastAsia="zh-CN"/>
              </w:rPr>
              <w:t>物料库</w:t>
            </w:r>
            <w:r>
              <w:rPr>
                <w:rFonts w:hint="eastAsia" w:ascii="宋体" w:hAnsi="宋体" w:cs="宋体"/>
                <w:color w:val="auto"/>
                <w:sz w:val="24"/>
                <w:szCs w:val="24"/>
              </w:rPr>
              <w:t>及各车间（新增新建）</w:t>
            </w:r>
            <w:r>
              <w:rPr>
                <w:rFonts w:hint="eastAsia" w:ascii="宋体" w:hAnsi="宋体" w:eastAsia="宋体" w:cs="宋体"/>
                <w:color w:val="auto"/>
                <w:sz w:val="24"/>
                <w:szCs w:val="24"/>
                <w:lang w:val="en-US" w:eastAsia="zh-CN"/>
              </w:rPr>
              <w:t>设置为一般防渗区；</w:t>
            </w:r>
            <w:r>
              <w:rPr>
                <w:rFonts w:hint="eastAsia" w:ascii="宋体" w:hAnsi="宋体" w:cs="宋体"/>
                <w:color w:val="auto"/>
                <w:sz w:val="24"/>
                <w:szCs w:val="24"/>
              </w:rPr>
              <w:t>污水管线（依托现有）、化粪池（依托现有）、</w:t>
            </w:r>
            <w:r>
              <w:rPr>
                <w:rFonts w:hint="eastAsia" w:ascii="宋体" w:hAnsi="宋体" w:cs="宋体"/>
                <w:color w:val="auto"/>
                <w:sz w:val="24"/>
                <w:szCs w:val="24"/>
                <w:lang w:eastAsia="zh-CN"/>
              </w:rPr>
              <w:t>车辆冲洗平台沉淀池（依托现有）、</w:t>
            </w:r>
            <w:r>
              <w:rPr>
                <w:rFonts w:hint="eastAsia" w:ascii="宋体" w:hAnsi="宋体" w:cs="宋体"/>
                <w:color w:val="auto"/>
                <w:sz w:val="24"/>
                <w:szCs w:val="24"/>
              </w:rPr>
              <w:t>化学品储库（新建）</w:t>
            </w:r>
            <w:r>
              <w:rPr>
                <w:rFonts w:hint="eastAsia" w:ascii="宋体" w:hAnsi="宋体" w:eastAsia="宋体" w:cs="宋体"/>
                <w:color w:val="auto"/>
                <w:sz w:val="24"/>
                <w:szCs w:val="24"/>
                <w:lang w:val="en-US" w:eastAsia="zh-CN"/>
              </w:rPr>
              <w:t>设置为重点防渗区。</w:t>
            </w:r>
          </w:p>
        </w:tc>
      </w:tr>
      <w:tr w14:paraId="3929B4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1277" w:type="dxa"/>
            <w:vMerge w:val="continue"/>
            <w:vAlign w:val="center"/>
          </w:tcPr>
          <w:p w14:paraId="0D3A8776">
            <w:pPr>
              <w:adjustRightInd w:val="0"/>
              <w:snapToGrid w:val="0"/>
              <w:ind w:firstLine="420" w:firstLineChars="200"/>
              <w:jc w:val="left"/>
              <w:rPr>
                <w:color w:val="auto"/>
              </w:rPr>
            </w:pPr>
          </w:p>
        </w:tc>
        <w:tc>
          <w:tcPr>
            <w:tcW w:w="7921" w:type="dxa"/>
            <w:gridSpan w:val="4"/>
            <w:vAlign w:val="center"/>
          </w:tcPr>
          <w:p w14:paraId="16C9DFC1">
            <w:pPr>
              <w:adjustRightInd w:val="0"/>
              <w:snapToGrid w:val="0"/>
              <w:ind w:firstLine="480" w:firstLineChars="200"/>
              <w:jc w:val="left"/>
              <w:rPr>
                <w:rFonts w:hint="eastAsia" w:ascii="宋体" w:hAnsi="宋体" w:cs="宋体"/>
                <w:color w:val="auto"/>
                <w:sz w:val="24"/>
                <w:szCs w:val="24"/>
              </w:rPr>
            </w:pPr>
            <w:r>
              <w:rPr>
                <w:rFonts w:hint="eastAsia" w:ascii="宋体" w:hAnsi="宋体" w:eastAsia="宋体" w:cs="宋体"/>
                <w:color w:val="auto"/>
                <w:sz w:val="24"/>
                <w:szCs w:val="24"/>
                <w:lang w:val="en-US" w:eastAsia="zh-CN"/>
              </w:rPr>
              <w:t>简单防渗区采取地面硬化；一般防渗区采用双层复合防渗结构</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基础防渗层为至少1.5米厚粘土层（渗透系数≤10</w:t>
            </w:r>
            <w:r>
              <w:rPr>
                <w:rFonts w:hint="eastAsia" w:ascii="宋体" w:hAnsi="宋体" w:eastAsia="宋体" w:cs="宋体"/>
                <w:color w:val="auto"/>
                <w:sz w:val="24"/>
                <w:szCs w:val="24"/>
                <w:vertAlign w:val="superscript"/>
                <w:lang w:val="en-US" w:eastAsia="zh-CN"/>
              </w:rPr>
              <w:t>-7</w:t>
            </w:r>
            <w:r>
              <w:rPr>
                <w:rFonts w:hint="eastAsia" w:ascii="宋体" w:hAnsi="宋体" w:eastAsia="宋体" w:cs="宋体"/>
                <w:color w:val="auto"/>
                <w:sz w:val="24"/>
                <w:szCs w:val="24"/>
                <w:lang w:val="en-US" w:eastAsia="zh-CN"/>
              </w:rPr>
              <w:t>cm/s）；重点防渗区可采用</w:t>
            </w:r>
            <w:r>
              <w:rPr>
                <w:rFonts w:hint="eastAsia" w:ascii="宋体" w:hAnsi="宋体" w:cs="宋体"/>
                <w:color w:val="auto"/>
                <w:sz w:val="24"/>
                <w:szCs w:val="24"/>
                <w:lang w:val="en-US" w:eastAsia="zh-CN"/>
              </w:rPr>
              <w:t>性能应不低于2m厚渗透系数≤1.0×10</w:t>
            </w:r>
            <w:r>
              <w:rPr>
                <w:rFonts w:hint="eastAsia" w:ascii="宋体" w:hAnsi="宋体" w:cs="宋体"/>
                <w:color w:val="auto"/>
                <w:sz w:val="24"/>
                <w:szCs w:val="24"/>
                <w:vertAlign w:val="superscript"/>
                <w:lang w:val="en-US" w:eastAsia="zh-CN"/>
              </w:rPr>
              <w:t>-10</w:t>
            </w:r>
            <w:r>
              <w:rPr>
                <w:rFonts w:hint="eastAsia" w:ascii="宋体" w:hAnsi="宋体" w:cs="宋体"/>
                <w:color w:val="auto"/>
                <w:sz w:val="24"/>
                <w:szCs w:val="24"/>
                <w:lang w:val="en-US" w:eastAsia="zh-CN"/>
              </w:rPr>
              <w:t>cm/s的天然材料防渗结构或厚度不低于1.5mm的土工膜+厚度不低于100mm的抗渗混凝土（渗透系数≤1.0×10</w:t>
            </w:r>
            <w:r>
              <w:rPr>
                <w:rFonts w:hint="eastAsia" w:ascii="宋体" w:hAnsi="宋体" w:cs="宋体"/>
                <w:color w:val="auto"/>
                <w:sz w:val="24"/>
                <w:szCs w:val="24"/>
                <w:vertAlign w:val="superscript"/>
                <w:lang w:val="en-US" w:eastAsia="zh-CN"/>
              </w:rPr>
              <w:t>-10</w:t>
            </w:r>
            <w:r>
              <w:rPr>
                <w:rFonts w:hint="eastAsia" w:ascii="宋体" w:hAnsi="宋体" w:cs="宋体"/>
                <w:color w:val="auto"/>
                <w:sz w:val="24"/>
                <w:szCs w:val="24"/>
                <w:lang w:val="en-US" w:eastAsia="zh-CN"/>
              </w:rPr>
              <w:t>cm/s）</w:t>
            </w:r>
          </w:p>
        </w:tc>
      </w:tr>
      <w:tr w14:paraId="1454CA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77" w:type="dxa"/>
            <w:vAlign w:val="center"/>
          </w:tcPr>
          <w:p w14:paraId="65CB7936">
            <w:pPr>
              <w:adjustRightInd w:val="0"/>
              <w:snapToGrid w:val="0"/>
              <w:jc w:val="center"/>
              <w:rPr>
                <w:rFonts w:ascii="宋体"/>
                <w:color w:val="auto"/>
                <w:sz w:val="24"/>
                <w:szCs w:val="24"/>
              </w:rPr>
            </w:pPr>
            <w:r>
              <w:rPr>
                <w:rFonts w:hint="eastAsia" w:ascii="宋体" w:hAnsi="宋体" w:cs="宋体"/>
                <w:color w:val="auto"/>
                <w:sz w:val="24"/>
                <w:szCs w:val="24"/>
              </w:rPr>
              <w:t>生态保护措施</w:t>
            </w:r>
          </w:p>
        </w:tc>
        <w:tc>
          <w:tcPr>
            <w:tcW w:w="7921" w:type="dxa"/>
            <w:gridSpan w:val="4"/>
            <w:vAlign w:val="center"/>
          </w:tcPr>
          <w:p w14:paraId="75DCD9D9">
            <w:pPr>
              <w:adjustRightInd w:val="0"/>
              <w:snapToGrid w:val="0"/>
              <w:jc w:val="center"/>
              <w:rPr>
                <w:rFonts w:ascii="宋体"/>
                <w:color w:val="auto"/>
                <w:sz w:val="24"/>
                <w:szCs w:val="24"/>
              </w:rPr>
            </w:pPr>
            <w:r>
              <w:rPr>
                <w:rFonts w:ascii="宋体" w:hAnsi="宋体" w:cs="宋体"/>
                <w:color w:val="auto"/>
                <w:sz w:val="24"/>
                <w:szCs w:val="24"/>
              </w:rPr>
              <w:t>/</w:t>
            </w:r>
          </w:p>
        </w:tc>
      </w:tr>
      <w:tr w14:paraId="4DA38D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1277" w:type="dxa"/>
            <w:vAlign w:val="center"/>
          </w:tcPr>
          <w:p w14:paraId="163D5EC2">
            <w:pPr>
              <w:adjustRightInd w:val="0"/>
              <w:snapToGrid w:val="0"/>
              <w:jc w:val="center"/>
              <w:rPr>
                <w:rFonts w:ascii="宋体"/>
                <w:color w:val="auto"/>
                <w:sz w:val="24"/>
                <w:szCs w:val="24"/>
              </w:rPr>
            </w:pPr>
            <w:r>
              <w:rPr>
                <w:rFonts w:hint="eastAsia" w:ascii="宋体" w:hAnsi="宋体" w:cs="宋体"/>
                <w:color w:val="auto"/>
                <w:sz w:val="24"/>
                <w:szCs w:val="24"/>
              </w:rPr>
              <w:t>环境风险</w:t>
            </w:r>
          </w:p>
          <w:p w14:paraId="32926EC0">
            <w:pPr>
              <w:adjustRightInd w:val="0"/>
              <w:snapToGrid w:val="0"/>
              <w:jc w:val="center"/>
              <w:rPr>
                <w:rFonts w:ascii="宋体"/>
                <w:color w:val="auto"/>
                <w:sz w:val="24"/>
                <w:szCs w:val="24"/>
              </w:rPr>
            </w:pPr>
            <w:r>
              <w:rPr>
                <w:rFonts w:hint="eastAsia" w:ascii="宋体" w:hAnsi="宋体" w:cs="宋体"/>
                <w:color w:val="auto"/>
                <w:sz w:val="24"/>
                <w:szCs w:val="24"/>
              </w:rPr>
              <w:t>防范措施</w:t>
            </w:r>
          </w:p>
        </w:tc>
        <w:tc>
          <w:tcPr>
            <w:tcW w:w="7921" w:type="dxa"/>
            <w:gridSpan w:val="4"/>
            <w:vAlign w:val="center"/>
          </w:tcPr>
          <w:p w14:paraId="5D04DB00">
            <w:pPr>
              <w:adjustRightInd w:val="0"/>
              <w:snapToGrid w:val="0"/>
              <w:jc w:val="both"/>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cs="宋体"/>
                <w:color w:val="auto"/>
                <w:sz w:val="24"/>
                <w:szCs w:val="24"/>
              </w:rPr>
              <w:t>项目建成后建立安全巡视制度</w:t>
            </w:r>
            <w:r>
              <w:rPr>
                <w:rFonts w:hint="eastAsia" w:ascii="宋体" w:hAnsi="宋体" w:cs="宋体"/>
                <w:color w:val="auto"/>
                <w:sz w:val="24"/>
                <w:szCs w:val="24"/>
                <w:lang w:eastAsia="zh-CN"/>
              </w:rPr>
              <w:t>，</w:t>
            </w:r>
            <w:r>
              <w:rPr>
                <w:rFonts w:hint="eastAsia" w:ascii="宋体" w:hAnsi="宋体" w:cs="宋体"/>
                <w:color w:val="auto"/>
                <w:sz w:val="24"/>
                <w:szCs w:val="24"/>
              </w:rPr>
              <w:t>制定安全规章</w:t>
            </w:r>
            <w:r>
              <w:rPr>
                <w:rFonts w:hint="eastAsia" w:ascii="宋体" w:hAnsi="宋体" w:cs="宋体"/>
                <w:color w:val="auto"/>
                <w:sz w:val="24"/>
                <w:szCs w:val="24"/>
                <w:lang w:eastAsia="zh-CN"/>
              </w:rPr>
              <w:t>，</w:t>
            </w:r>
            <w:r>
              <w:rPr>
                <w:rFonts w:hint="eastAsia" w:ascii="宋体" w:hAnsi="宋体" w:cs="宋体"/>
                <w:color w:val="auto"/>
                <w:sz w:val="24"/>
                <w:szCs w:val="24"/>
              </w:rPr>
              <w:t>设置安全警示。</w:t>
            </w:r>
          </w:p>
          <w:p w14:paraId="70AE3F03">
            <w:pPr>
              <w:adjustRightInd w:val="0"/>
              <w:snapToGrid w:val="0"/>
              <w:jc w:val="lef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cs="宋体"/>
                <w:color w:val="auto"/>
                <w:sz w:val="24"/>
                <w:szCs w:val="24"/>
              </w:rPr>
              <w:t>在厂区配置消防直通电话</w:t>
            </w:r>
            <w:r>
              <w:rPr>
                <w:rFonts w:hint="eastAsia" w:ascii="宋体" w:hAnsi="宋体" w:cs="宋体"/>
                <w:color w:val="auto"/>
                <w:sz w:val="24"/>
                <w:szCs w:val="24"/>
                <w:lang w:eastAsia="zh-CN"/>
              </w:rPr>
              <w:t>，</w:t>
            </w:r>
            <w:r>
              <w:rPr>
                <w:rFonts w:hint="eastAsia" w:ascii="宋体" w:hAnsi="宋体" w:cs="宋体"/>
                <w:color w:val="auto"/>
                <w:sz w:val="24"/>
                <w:szCs w:val="24"/>
              </w:rPr>
              <w:t>严格按</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《建筑设计防火规范》</w:t>
            </w:r>
            <w:r>
              <w:rPr>
                <w:rFonts w:hint="eastAsia" w:ascii="宋体" w:hAnsi="宋体" w:cs="宋体"/>
                <w:color w:val="auto"/>
                <w:sz w:val="24"/>
                <w:szCs w:val="24"/>
                <w:lang w:eastAsia="zh-CN"/>
              </w:rPr>
              <w:t>（</w:t>
            </w:r>
            <w:r>
              <w:rPr>
                <w:rFonts w:hint="eastAsia" w:ascii="宋体" w:hAnsi="宋体" w:cs="宋体"/>
                <w:color w:val="auto"/>
                <w:sz w:val="24"/>
                <w:szCs w:val="24"/>
              </w:rPr>
              <w:t>GB50016-2014</w:t>
            </w:r>
            <w:r>
              <w:rPr>
                <w:rFonts w:hint="eastAsia" w:ascii="宋体" w:hAnsi="宋体" w:cs="宋体"/>
                <w:color w:val="auto"/>
                <w:sz w:val="24"/>
                <w:szCs w:val="24"/>
                <w:lang w:eastAsia="zh-CN"/>
              </w:rPr>
              <w:t>）</w:t>
            </w:r>
            <w:r>
              <w:rPr>
                <w:rFonts w:hint="eastAsia" w:ascii="宋体" w:hAnsi="宋体" w:cs="宋体"/>
                <w:color w:val="auto"/>
                <w:sz w:val="24"/>
                <w:szCs w:val="24"/>
              </w:rPr>
              <w:t>设置消火栓</w:t>
            </w:r>
            <w:r>
              <w:rPr>
                <w:rFonts w:hint="eastAsia" w:ascii="宋体" w:hAnsi="宋体" w:cs="宋体"/>
                <w:color w:val="auto"/>
                <w:sz w:val="24"/>
                <w:szCs w:val="24"/>
                <w:lang w:eastAsia="zh-CN"/>
              </w:rPr>
              <w:t>。</w:t>
            </w:r>
          </w:p>
          <w:p w14:paraId="3C69443E">
            <w:pPr>
              <w:adjustRightInd w:val="0"/>
              <w:snapToGrid w:val="0"/>
              <w:jc w:val="left"/>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hint="eastAsia" w:ascii="宋体" w:hAnsi="宋体" w:cs="宋体"/>
                <w:color w:val="auto"/>
                <w:sz w:val="24"/>
                <w:szCs w:val="24"/>
              </w:rPr>
              <w:t>设消防、火灾报警系统；编制应急预案</w:t>
            </w:r>
            <w:r>
              <w:rPr>
                <w:rFonts w:hint="eastAsia" w:ascii="宋体" w:hAnsi="宋体" w:cs="宋体"/>
                <w:color w:val="auto"/>
                <w:sz w:val="24"/>
                <w:szCs w:val="24"/>
                <w:lang w:eastAsia="zh-CN"/>
              </w:rPr>
              <w:t>并备案。</w:t>
            </w:r>
          </w:p>
        </w:tc>
      </w:tr>
      <w:tr w14:paraId="6565C0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1277" w:type="dxa"/>
            <w:tcBorders>
              <w:bottom w:val="single" w:color="auto" w:sz="8" w:space="0"/>
            </w:tcBorders>
            <w:vAlign w:val="center"/>
          </w:tcPr>
          <w:p w14:paraId="5A7FEBF9">
            <w:pPr>
              <w:adjustRightInd w:val="0"/>
              <w:snapToGrid w:val="0"/>
              <w:jc w:val="center"/>
              <w:rPr>
                <w:rFonts w:ascii="宋体"/>
                <w:color w:val="auto"/>
                <w:sz w:val="24"/>
                <w:szCs w:val="24"/>
              </w:rPr>
            </w:pPr>
            <w:r>
              <w:rPr>
                <w:rFonts w:hint="eastAsia" w:ascii="宋体" w:hAnsi="宋体" w:cs="宋体"/>
                <w:color w:val="auto"/>
                <w:sz w:val="24"/>
                <w:szCs w:val="24"/>
              </w:rPr>
              <w:t>其他环境管理要求</w:t>
            </w:r>
          </w:p>
        </w:tc>
        <w:tc>
          <w:tcPr>
            <w:tcW w:w="7921" w:type="dxa"/>
            <w:gridSpan w:val="4"/>
            <w:tcBorders>
              <w:bottom w:val="single" w:color="auto" w:sz="8" w:space="0"/>
            </w:tcBorders>
            <w:vAlign w:val="center"/>
          </w:tcPr>
          <w:p w14:paraId="33CF2508">
            <w:pPr>
              <w:keepNext/>
              <w:keepLines/>
              <w:tabs>
                <w:tab w:val="left" w:pos="0"/>
              </w:tabs>
              <w:spacing w:line="360" w:lineRule="exact"/>
              <w:ind w:left="0" w:leftChars="0" w:firstLine="480" w:firstLineChars="200"/>
              <w:jc w:val="left"/>
              <w:outlineLvl w:val="4"/>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1、成立环境管理机构</w:t>
            </w:r>
            <w:r>
              <w:rPr>
                <w:rFonts w:hint="eastAsia" w:cs="Times New Roman"/>
                <w:b w:val="0"/>
                <w:bCs w:val="0"/>
                <w:color w:val="auto"/>
                <w:sz w:val="24"/>
                <w:szCs w:val="24"/>
                <w:lang w:eastAsia="zh-CN"/>
              </w:rPr>
              <w:t>，</w:t>
            </w:r>
            <w:r>
              <w:rPr>
                <w:rFonts w:ascii="Times New Roman" w:hAnsi="Times New Roman" w:cs="Times New Roman"/>
                <w:b w:val="0"/>
                <w:bCs w:val="0"/>
                <w:color w:val="auto"/>
                <w:sz w:val="24"/>
                <w:szCs w:val="24"/>
              </w:rPr>
              <w:t>工作职责包括：</w:t>
            </w:r>
          </w:p>
          <w:p w14:paraId="5C2FBF7A">
            <w:pPr>
              <w:widowControl/>
              <w:numPr>
                <w:ilvl w:val="0"/>
                <w:numId w:val="9"/>
              </w:numPr>
              <w:snapToGrid w:val="0"/>
              <w:spacing w:line="3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贯彻执行环境保护政策、法规及环境保护标准</w:t>
            </w:r>
            <w:r>
              <w:rPr>
                <w:rFonts w:hint="eastAsia" w:cs="Times New Roman"/>
                <w:color w:val="auto"/>
                <w:kern w:val="0"/>
                <w:sz w:val="24"/>
                <w:szCs w:val="24"/>
                <w:lang w:eastAsia="zh-CN"/>
              </w:rPr>
              <w:t>，</w:t>
            </w:r>
            <w:r>
              <w:rPr>
                <w:rFonts w:ascii="Times New Roman" w:hAnsi="Times New Roman" w:cs="Times New Roman"/>
                <w:color w:val="auto"/>
                <w:kern w:val="0"/>
                <w:sz w:val="24"/>
                <w:szCs w:val="24"/>
              </w:rPr>
              <w:t>制定本项目的环境管理办法；</w:t>
            </w:r>
          </w:p>
          <w:p w14:paraId="639E9166">
            <w:pPr>
              <w:widowControl/>
              <w:numPr>
                <w:ilvl w:val="0"/>
                <w:numId w:val="9"/>
              </w:numPr>
              <w:snapToGrid w:val="0"/>
              <w:spacing w:line="3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建立健全企业的环境管理制度</w:t>
            </w:r>
            <w:r>
              <w:rPr>
                <w:rFonts w:hint="eastAsia" w:cs="Times New Roman"/>
                <w:color w:val="auto"/>
                <w:kern w:val="0"/>
                <w:sz w:val="24"/>
                <w:szCs w:val="24"/>
                <w:lang w:eastAsia="zh-CN"/>
              </w:rPr>
              <w:t>，</w:t>
            </w:r>
            <w:r>
              <w:rPr>
                <w:rFonts w:ascii="Times New Roman" w:hAnsi="Times New Roman" w:cs="Times New Roman"/>
                <w:color w:val="auto"/>
                <w:kern w:val="0"/>
                <w:sz w:val="24"/>
                <w:szCs w:val="24"/>
              </w:rPr>
              <w:t>并实施检查和监督工作；</w:t>
            </w:r>
          </w:p>
          <w:p w14:paraId="32B18058">
            <w:pPr>
              <w:widowControl/>
              <w:numPr>
                <w:ilvl w:val="0"/>
                <w:numId w:val="9"/>
              </w:numPr>
              <w:snapToGrid w:val="0"/>
              <w:spacing w:line="3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编制并组织实施环境保护规划和计划</w:t>
            </w:r>
            <w:r>
              <w:rPr>
                <w:rFonts w:hint="eastAsia" w:cs="Times New Roman"/>
                <w:color w:val="auto"/>
                <w:kern w:val="0"/>
                <w:sz w:val="24"/>
                <w:szCs w:val="24"/>
                <w:lang w:eastAsia="zh-CN"/>
              </w:rPr>
              <w:t>，</w:t>
            </w:r>
            <w:r>
              <w:rPr>
                <w:rFonts w:ascii="Times New Roman" w:hAnsi="Times New Roman" w:cs="Times New Roman"/>
                <w:color w:val="auto"/>
                <w:kern w:val="0"/>
                <w:sz w:val="24"/>
                <w:szCs w:val="24"/>
              </w:rPr>
              <w:t>完成环境保护责任目标；</w:t>
            </w:r>
          </w:p>
          <w:p w14:paraId="57E86080">
            <w:pPr>
              <w:widowControl/>
              <w:numPr>
                <w:ilvl w:val="0"/>
                <w:numId w:val="9"/>
              </w:numPr>
              <w:snapToGrid w:val="0"/>
              <w:spacing w:line="3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领导并组织企业环境监测工作；</w:t>
            </w:r>
          </w:p>
          <w:p w14:paraId="3D8EAA91">
            <w:pPr>
              <w:widowControl/>
              <w:numPr>
                <w:ilvl w:val="0"/>
                <w:numId w:val="9"/>
              </w:numPr>
              <w:snapToGrid w:val="0"/>
              <w:spacing w:line="3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监督检查本项目各个环保设施的运行和环境管理措施的实施</w:t>
            </w:r>
            <w:r>
              <w:rPr>
                <w:rFonts w:hint="eastAsia" w:cs="Times New Roman"/>
                <w:color w:val="auto"/>
                <w:kern w:val="0"/>
                <w:sz w:val="24"/>
                <w:szCs w:val="24"/>
                <w:lang w:eastAsia="zh-CN"/>
              </w:rPr>
              <w:t>，</w:t>
            </w:r>
            <w:r>
              <w:rPr>
                <w:rFonts w:ascii="Times New Roman" w:hAnsi="Times New Roman" w:cs="Times New Roman"/>
                <w:color w:val="auto"/>
                <w:kern w:val="0"/>
                <w:sz w:val="24"/>
                <w:szCs w:val="24"/>
              </w:rPr>
              <w:t>并提出改善环境的建议和对策；</w:t>
            </w:r>
          </w:p>
          <w:p w14:paraId="7963EC98">
            <w:pPr>
              <w:widowControl/>
              <w:numPr>
                <w:ilvl w:val="0"/>
                <w:numId w:val="9"/>
              </w:numPr>
              <w:snapToGrid w:val="0"/>
              <w:spacing w:line="3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负责本项目职工的环保教育工作</w:t>
            </w:r>
            <w:r>
              <w:rPr>
                <w:rFonts w:hint="eastAsia" w:cs="Times New Roman"/>
                <w:color w:val="auto"/>
                <w:kern w:val="0"/>
                <w:sz w:val="24"/>
                <w:szCs w:val="24"/>
                <w:lang w:eastAsia="zh-CN"/>
              </w:rPr>
              <w:t>，</w:t>
            </w:r>
            <w:r>
              <w:rPr>
                <w:rFonts w:ascii="Times New Roman" w:hAnsi="Times New Roman" w:cs="Times New Roman"/>
                <w:color w:val="auto"/>
                <w:kern w:val="0"/>
                <w:sz w:val="24"/>
                <w:szCs w:val="24"/>
              </w:rPr>
              <w:t>以提高职工的环保意识；</w:t>
            </w:r>
          </w:p>
          <w:p w14:paraId="1DB26EB9">
            <w:pPr>
              <w:widowControl/>
              <w:numPr>
                <w:ilvl w:val="0"/>
                <w:numId w:val="9"/>
              </w:numPr>
              <w:snapToGrid w:val="0"/>
              <w:spacing w:line="3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接受省、市</w:t>
            </w:r>
            <w:r>
              <w:rPr>
                <w:rFonts w:hint="eastAsia" w:cs="Times New Roman"/>
                <w:color w:val="auto"/>
                <w:kern w:val="0"/>
                <w:sz w:val="24"/>
                <w:szCs w:val="24"/>
                <w:lang w:eastAsia="zh-CN"/>
              </w:rPr>
              <w:t>、县</w:t>
            </w:r>
            <w:r>
              <w:rPr>
                <w:rFonts w:ascii="Times New Roman" w:hAnsi="Times New Roman" w:cs="Times New Roman"/>
                <w:color w:val="auto"/>
                <w:kern w:val="0"/>
                <w:sz w:val="24"/>
                <w:szCs w:val="24"/>
              </w:rPr>
              <w:t>各级环保部门的检查、监督</w:t>
            </w:r>
            <w:r>
              <w:rPr>
                <w:rFonts w:hint="eastAsia" w:cs="Times New Roman"/>
                <w:color w:val="auto"/>
                <w:kern w:val="0"/>
                <w:sz w:val="24"/>
                <w:szCs w:val="24"/>
                <w:lang w:eastAsia="zh-CN"/>
              </w:rPr>
              <w:t>，</w:t>
            </w:r>
            <w:r>
              <w:rPr>
                <w:rFonts w:ascii="Times New Roman" w:hAnsi="Times New Roman" w:cs="Times New Roman"/>
                <w:color w:val="auto"/>
                <w:kern w:val="0"/>
                <w:sz w:val="24"/>
                <w:szCs w:val="24"/>
              </w:rPr>
              <w:t>按要求上报各项环保报表</w:t>
            </w:r>
            <w:r>
              <w:rPr>
                <w:rFonts w:hint="eastAsia" w:cs="Times New Roman"/>
                <w:color w:val="auto"/>
                <w:kern w:val="0"/>
                <w:sz w:val="24"/>
                <w:szCs w:val="24"/>
                <w:lang w:eastAsia="zh-CN"/>
              </w:rPr>
              <w:t>，</w:t>
            </w:r>
            <w:r>
              <w:rPr>
                <w:rFonts w:ascii="Times New Roman" w:hAnsi="Times New Roman" w:cs="Times New Roman"/>
                <w:color w:val="auto"/>
                <w:kern w:val="0"/>
                <w:sz w:val="24"/>
                <w:szCs w:val="24"/>
              </w:rPr>
              <w:t>并定期向上级主管部门汇报本项目的环保工作情况；</w:t>
            </w:r>
          </w:p>
          <w:p w14:paraId="0561C9DF">
            <w:pPr>
              <w:widowControl/>
              <w:numPr>
                <w:ilvl w:val="0"/>
                <w:numId w:val="9"/>
              </w:numPr>
              <w:snapToGrid w:val="0"/>
              <w:spacing w:line="3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组织调查污染事故及污染纠纷案件</w:t>
            </w:r>
            <w:r>
              <w:rPr>
                <w:rFonts w:hint="eastAsia" w:cs="Times New Roman"/>
                <w:color w:val="auto"/>
                <w:kern w:val="0"/>
                <w:sz w:val="24"/>
                <w:szCs w:val="24"/>
                <w:lang w:eastAsia="zh-CN"/>
              </w:rPr>
              <w:t>，</w:t>
            </w:r>
            <w:r>
              <w:rPr>
                <w:rFonts w:ascii="Times New Roman" w:hAnsi="Times New Roman" w:cs="Times New Roman"/>
                <w:color w:val="auto"/>
                <w:kern w:val="0"/>
                <w:sz w:val="24"/>
                <w:szCs w:val="24"/>
              </w:rPr>
              <w:t>并提出具体处理意见；</w:t>
            </w:r>
          </w:p>
          <w:p w14:paraId="664DB25C">
            <w:pPr>
              <w:widowControl/>
              <w:numPr>
                <w:ilvl w:val="0"/>
                <w:numId w:val="9"/>
              </w:numPr>
              <w:snapToGrid w:val="0"/>
              <w:spacing w:line="3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负责对企业环保设施的运行情况进行监督、检查与考核；</w:t>
            </w:r>
          </w:p>
          <w:p w14:paraId="42E54DB7">
            <w:pPr>
              <w:widowControl/>
              <w:numPr>
                <w:ilvl w:val="0"/>
                <w:numId w:val="9"/>
              </w:numPr>
              <w:snapToGrid w:val="0"/>
              <w:spacing w:line="3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负责所有污染源的日常管理</w:t>
            </w:r>
            <w:r>
              <w:rPr>
                <w:rFonts w:hint="eastAsia" w:cs="Times New Roman"/>
                <w:color w:val="auto"/>
                <w:kern w:val="0"/>
                <w:sz w:val="24"/>
                <w:szCs w:val="24"/>
                <w:lang w:eastAsia="zh-CN"/>
              </w:rPr>
              <w:t>，</w:t>
            </w:r>
            <w:r>
              <w:rPr>
                <w:rFonts w:ascii="Times New Roman" w:hAnsi="Times New Roman" w:cs="Times New Roman"/>
                <w:color w:val="auto"/>
                <w:kern w:val="0"/>
                <w:sz w:val="24"/>
                <w:szCs w:val="24"/>
              </w:rPr>
              <w:t>掌握污染源排放情况</w:t>
            </w:r>
            <w:r>
              <w:rPr>
                <w:rFonts w:hint="eastAsia" w:cs="Times New Roman"/>
                <w:color w:val="auto"/>
                <w:kern w:val="0"/>
                <w:sz w:val="24"/>
                <w:szCs w:val="24"/>
                <w:lang w:eastAsia="zh-CN"/>
              </w:rPr>
              <w:t>，</w:t>
            </w:r>
            <w:r>
              <w:rPr>
                <w:rFonts w:ascii="Times New Roman" w:hAnsi="Times New Roman" w:cs="Times New Roman"/>
                <w:color w:val="auto"/>
                <w:kern w:val="0"/>
                <w:sz w:val="24"/>
                <w:szCs w:val="24"/>
              </w:rPr>
              <w:t>有效控制</w:t>
            </w:r>
            <w:r>
              <w:rPr>
                <w:rFonts w:hint="eastAsia" w:cs="Times New Roman"/>
                <w:color w:val="auto"/>
                <w:kern w:val="0"/>
                <w:sz w:val="24"/>
                <w:szCs w:val="24"/>
                <w:lang w:eastAsia="zh-CN"/>
              </w:rPr>
              <w:t>“</w:t>
            </w:r>
            <w:r>
              <w:rPr>
                <w:rFonts w:ascii="Times New Roman" w:hAnsi="Times New Roman" w:cs="Times New Roman"/>
                <w:color w:val="auto"/>
                <w:kern w:val="0"/>
                <w:sz w:val="24"/>
                <w:szCs w:val="24"/>
              </w:rPr>
              <w:t>三废</w:t>
            </w:r>
            <w:r>
              <w:rPr>
                <w:rFonts w:hint="eastAsia" w:cs="Times New Roman"/>
                <w:color w:val="auto"/>
                <w:kern w:val="0"/>
                <w:sz w:val="24"/>
                <w:szCs w:val="24"/>
                <w:lang w:eastAsia="zh-CN"/>
              </w:rPr>
              <w:t>”</w:t>
            </w:r>
            <w:r>
              <w:rPr>
                <w:rFonts w:ascii="Times New Roman" w:hAnsi="Times New Roman" w:cs="Times New Roman"/>
                <w:color w:val="auto"/>
                <w:kern w:val="0"/>
                <w:sz w:val="24"/>
                <w:szCs w:val="24"/>
              </w:rPr>
              <w:t>排放量；</w:t>
            </w:r>
          </w:p>
          <w:p w14:paraId="06C84DC7">
            <w:pPr>
              <w:widowControl/>
              <w:numPr>
                <w:ilvl w:val="0"/>
                <w:numId w:val="9"/>
              </w:numPr>
              <w:snapToGrid w:val="0"/>
              <w:spacing w:line="3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负责企业环境统计工作</w:t>
            </w:r>
            <w:r>
              <w:rPr>
                <w:rFonts w:hint="eastAsia" w:cs="Times New Roman"/>
                <w:color w:val="auto"/>
                <w:kern w:val="0"/>
                <w:sz w:val="24"/>
                <w:szCs w:val="24"/>
                <w:lang w:eastAsia="zh-CN"/>
              </w:rPr>
              <w:t>，</w:t>
            </w:r>
            <w:r>
              <w:rPr>
                <w:rFonts w:ascii="Times New Roman" w:hAnsi="Times New Roman" w:cs="Times New Roman"/>
                <w:color w:val="auto"/>
                <w:kern w:val="0"/>
                <w:sz w:val="24"/>
                <w:szCs w:val="24"/>
              </w:rPr>
              <w:t>并根据统计数据对环境质量进行定时定量分析；负责企业的</w:t>
            </w:r>
            <w:r>
              <w:rPr>
                <w:rFonts w:hint="eastAsia" w:cs="Times New Roman"/>
                <w:color w:val="auto"/>
                <w:kern w:val="0"/>
                <w:sz w:val="24"/>
                <w:szCs w:val="24"/>
                <w:lang w:eastAsia="zh-CN"/>
              </w:rPr>
              <w:t>“</w:t>
            </w:r>
            <w:r>
              <w:rPr>
                <w:rFonts w:ascii="Times New Roman" w:hAnsi="Times New Roman" w:cs="Times New Roman"/>
                <w:color w:val="auto"/>
                <w:kern w:val="0"/>
                <w:sz w:val="24"/>
                <w:szCs w:val="24"/>
              </w:rPr>
              <w:t>三废</w:t>
            </w:r>
            <w:r>
              <w:rPr>
                <w:rFonts w:hint="eastAsia" w:cs="Times New Roman"/>
                <w:color w:val="auto"/>
                <w:kern w:val="0"/>
                <w:sz w:val="24"/>
                <w:szCs w:val="24"/>
                <w:lang w:eastAsia="zh-CN"/>
              </w:rPr>
              <w:t>”</w:t>
            </w:r>
            <w:r>
              <w:rPr>
                <w:rFonts w:ascii="Times New Roman" w:hAnsi="Times New Roman" w:cs="Times New Roman"/>
                <w:color w:val="auto"/>
                <w:kern w:val="0"/>
                <w:sz w:val="24"/>
                <w:szCs w:val="24"/>
              </w:rPr>
              <w:t>治理及日常管理与环保技术开发利用。</w:t>
            </w:r>
          </w:p>
          <w:p w14:paraId="3D97AA6F">
            <w:pPr>
              <w:keepNext/>
              <w:keepLines/>
              <w:tabs>
                <w:tab w:val="left" w:pos="0"/>
              </w:tabs>
              <w:spacing w:line="360" w:lineRule="exact"/>
              <w:ind w:left="0" w:leftChars="0" w:firstLine="480" w:firstLineChars="200"/>
              <w:jc w:val="left"/>
              <w:outlineLvl w:val="4"/>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2、制定环境管理制度</w:t>
            </w:r>
            <w:r>
              <w:rPr>
                <w:rFonts w:hint="eastAsia" w:cs="Times New Roman"/>
                <w:b w:val="0"/>
                <w:bCs w:val="0"/>
                <w:color w:val="auto"/>
                <w:sz w:val="24"/>
                <w:szCs w:val="24"/>
                <w:lang w:eastAsia="zh-CN"/>
              </w:rPr>
              <w:t>，</w:t>
            </w:r>
            <w:r>
              <w:rPr>
                <w:rFonts w:ascii="Times New Roman" w:hAnsi="Times New Roman" w:cs="Times New Roman"/>
                <w:b w:val="0"/>
                <w:bCs w:val="0"/>
                <w:color w:val="auto"/>
                <w:sz w:val="24"/>
                <w:szCs w:val="24"/>
              </w:rPr>
              <w:t>主要制度包括：</w:t>
            </w:r>
          </w:p>
          <w:p w14:paraId="33B9E5A6">
            <w:pPr>
              <w:pStyle w:val="139"/>
              <w:numPr>
                <w:ilvl w:val="0"/>
                <w:numId w:val="10"/>
              </w:numPr>
              <w:spacing w:line="360" w:lineRule="exact"/>
              <w:ind w:firstLine="420"/>
              <w:rPr>
                <w:b w:val="0"/>
                <w:bCs w:val="0"/>
                <w:color w:val="auto"/>
                <w:sz w:val="24"/>
                <w:szCs w:val="24"/>
              </w:rPr>
            </w:pPr>
            <w:r>
              <w:rPr>
                <w:b w:val="0"/>
                <w:bCs w:val="0"/>
                <w:color w:val="auto"/>
                <w:sz w:val="24"/>
                <w:szCs w:val="24"/>
              </w:rPr>
              <w:t>环境保护职责管理条例</w:t>
            </w:r>
            <w:r>
              <w:rPr>
                <w:rFonts w:hint="eastAsia"/>
                <w:b w:val="0"/>
                <w:bCs w:val="0"/>
                <w:color w:val="auto"/>
                <w:sz w:val="24"/>
                <w:szCs w:val="24"/>
              </w:rPr>
              <w:t>；</w:t>
            </w:r>
          </w:p>
          <w:p w14:paraId="5A4ED50A">
            <w:pPr>
              <w:pStyle w:val="139"/>
              <w:numPr>
                <w:ilvl w:val="0"/>
                <w:numId w:val="10"/>
              </w:numPr>
              <w:spacing w:line="360" w:lineRule="exact"/>
              <w:ind w:firstLine="420"/>
              <w:rPr>
                <w:b w:val="0"/>
                <w:bCs w:val="0"/>
                <w:color w:val="auto"/>
                <w:sz w:val="24"/>
                <w:szCs w:val="24"/>
              </w:rPr>
            </w:pPr>
            <w:r>
              <w:rPr>
                <w:b w:val="0"/>
                <w:bCs w:val="0"/>
                <w:color w:val="auto"/>
                <w:sz w:val="24"/>
                <w:szCs w:val="24"/>
              </w:rPr>
              <w:t>处理装置日常运行管理制度</w:t>
            </w:r>
            <w:r>
              <w:rPr>
                <w:rFonts w:hint="eastAsia"/>
                <w:b w:val="0"/>
                <w:bCs w:val="0"/>
                <w:color w:val="auto"/>
                <w:sz w:val="24"/>
                <w:szCs w:val="24"/>
              </w:rPr>
              <w:t>；</w:t>
            </w:r>
          </w:p>
          <w:p w14:paraId="601B4A63">
            <w:pPr>
              <w:pStyle w:val="139"/>
              <w:numPr>
                <w:ilvl w:val="0"/>
                <w:numId w:val="10"/>
              </w:numPr>
              <w:spacing w:line="360" w:lineRule="exact"/>
              <w:ind w:firstLine="420"/>
              <w:rPr>
                <w:b w:val="0"/>
                <w:bCs w:val="0"/>
                <w:color w:val="auto"/>
                <w:sz w:val="24"/>
                <w:szCs w:val="24"/>
              </w:rPr>
            </w:pPr>
            <w:r>
              <w:rPr>
                <w:b w:val="0"/>
                <w:bCs w:val="0"/>
                <w:color w:val="auto"/>
                <w:sz w:val="24"/>
                <w:szCs w:val="24"/>
              </w:rPr>
              <w:t>污染物管理制度</w:t>
            </w:r>
            <w:r>
              <w:rPr>
                <w:rFonts w:hint="eastAsia"/>
                <w:b w:val="0"/>
                <w:bCs w:val="0"/>
                <w:color w:val="auto"/>
                <w:sz w:val="24"/>
                <w:szCs w:val="24"/>
              </w:rPr>
              <w:t>；</w:t>
            </w:r>
          </w:p>
          <w:p w14:paraId="37D6485D">
            <w:pPr>
              <w:pStyle w:val="139"/>
              <w:numPr>
                <w:ilvl w:val="0"/>
                <w:numId w:val="10"/>
              </w:numPr>
              <w:spacing w:line="360" w:lineRule="exact"/>
              <w:ind w:firstLine="420"/>
              <w:rPr>
                <w:b w:val="0"/>
                <w:bCs w:val="0"/>
                <w:color w:val="auto"/>
                <w:sz w:val="24"/>
                <w:szCs w:val="24"/>
              </w:rPr>
            </w:pPr>
            <w:r>
              <w:rPr>
                <w:b w:val="0"/>
                <w:bCs w:val="0"/>
                <w:color w:val="auto"/>
                <w:sz w:val="24"/>
                <w:szCs w:val="24"/>
              </w:rPr>
              <w:t>建立台账制度</w:t>
            </w:r>
            <w:r>
              <w:rPr>
                <w:rFonts w:hint="eastAsia"/>
                <w:b w:val="0"/>
                <w:bCs w:val="0"/>
                <w:color w:val="auto"/>
                <w:sz w:val="24"/>
                <w:szCs w:val="24"/>
              </w:rPr>
              <w:t>；</w:t>
            </w:r>
          </w:p>
          <w:p w14:paraId="433C7C65">
            <w:pPr>
              <w:pStyle w:val="139"/>
              <w:numPr>
                <w:ilvl w:val="0"/>
                <w:numId w:val="10"/>
              </w:numPr>
              <w:spacing w:line="360" w:lineRule="exact"/>
              <w:ind w:firstLine="420"/>
              <w:rPr>
                <w:b w:val="0"/>
                <w:bCs w:val="0"/>
                <w:color w:val="auto"/>
                <w:sz w:val="24"/>
                <w:szCs w:val="24"/>
              </w:rPr>
            </w:pPr>
            <w:r>
              <w:rPr>
                <w:b w:val="0"/>
                <w:bCs w:val="0"/>
                <w:color w:val="auto"/>
                <w:sz w:val="24"/>
                <w:szCs w:val="24"/>
              </w:rPr>
              <w:t>排污许可制度</w:t>
            </w:r>
            <w:r>
              <w:rPr>
                <w:rFonts w:hint="eastAsia"/>
                <w:b w:val="0"/>
                <w:bCs w:val="0"/>
                <w:color w:val="auto"/>
                <w:sz w:val="24"/>
                <w:szCs w:val="24"/>
              </w:rPr>
              <w:t>；</w:t>
            </w:r>
          </w:p>
          <w:p w14:paraId="43AD4E91">
            <w:pPr>
              <w:spacing w:line="360" w:lineRule="exact"/>
              <w:ind w:firstLine="42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发生实际排污行为之前依据《固定污染源排污许可分类管理名录（2019年版）》申领排污许可</w:t>
            </w:r>
            <w:r>
              <w:rPr>
                <w:rFonts w:hint="eastAsia" w:ascii="Times New Roman" w:hAnsi="Times New Roman" w:cs="Times New Roman"/>
                <w:b w:val="0"/>
                <w:bCs w:val="0"/>
                <w:color w:val="auto"/>
                <w:sz w:val="24"/>
                <w:szCs w:val="24"/>
              </w:rPr>
              <w:t>；</w:t>
            </w:r>
          </w:p>
          <w:p w14:paraId="7859F5F5">
            <w:pPr>
              <w:pStyle w:val="139"/>
              <w:numPr>
                <w:ilvl w:val="0"/>
                <w:numId w:val="10"/>
              </w:numPr>
              <w:spacing w:line="360" w:lineRule="exact"/>
              <w:ind w:firstLine="420"/>
              <w:rPr>
                <w:b w:val="0"/>
                <w:bCs w:val="0"/>
                <w:color w:val="auto"/>
                <w:sz w:val="24"/>
                <w:szCs w:val="24"/>
              </w:rPr>
            </w:pPr>
            <w:r>
              <w:rPr>
                <w:b w:val="0"/>
                <w:bCs w:val="0"/>
                <w:color w:val="auto"/>
                <w:sz w:val="24"/>
                <w:szCs w:val="24"/>
              </w:rPr>
              <w:t>排污情况报告制度</w:t>
            </w:r>
            <w:r>
              <w:rPr>
                <w:rFonts w:hint="eastAsia"/>
                <w:b w:val="0"/>
                <w:bCs w:val="0"/>
                <w:color w:val="auto"/>
                <w:sz w:val="24"/>
                <w:szCs w:val="24"/>
              </w:rPr>
              <w:t>；</w:t>
            </w:r>
          </w:p>
          <w:p w14:paraId="537DA58F">
            <w:pPr>
              <w:pStyle w:val="139"/>
              <w:numPr>
                <w:ilvl w:val="0"/>
                <w:numId w:val="10"/>
              </w:numPr>
              <w:spacing w:line="360" w:lineRule="exact"/>
              <w:ind w:firstLine="420"/>
              <w:rPr>
                <w:b w:val="0"/>
                <w:bCs w:val="0"/>
                <w:color w:val="auto"/>
                <w:sz w:val="24"/>
                <w:szCs w:val="24"/>
              </w:rPr>
            </w:pPr>
            <w:r>
              <w:rPr>
                <w:b w:val="0"/>
                <w:bCs w:val="0"/>
                <w:color w:val="auto"/>
                <w:sz w:val="24"/>
                <w:szCs w:val="24"/>
              </w:rPr>
              <w:t>污染事故处理制度</w:t>
            </w:r>
            <w:r>
              <w:rPr>
                <w:rFonts w:hint="eastAsia"/>
                <w:b w:val="0"/>
                <w:bCs w:val="0"/>
                <w:color w:val="auto"/>
                <w:sz w:val="24"/>
                <w:szCs w:val="24"/>
              </w:rPr>
              <w:t>；</w:t>
            </w:r>
          </w:p>
          <w:p w14:paraId="76FCE918">
            <w:pPr>
              <w:pStyle w:val="139"/>
              <w:numPr>
                <w:ilvl w:val="0"/>
                <w:numId w:val="10"/>
              </w:numPr>
              <w:spacing w:line="360" w:lineRule="exact"/>
              <w:ind w:firstLine="420"/>
              <w:rPr>
                <w:b w:val="0"/>
                <w:bCs w:val="0"/>
                <w:color w:val="auto"/>
                <w:sz w:val="24"/>
                <w:szCs w:val="24"/>
              </w:rPr>
            </w:pPr>
            <w:r>
              <w:rPr>
                <w:b w:val="0"/>
                <w:bCs w:val="0"/>
                <w:color w:val="auto"/>
                <w:sz w:val="24"/>
                <w:szCs w:val="24"/>
              </w:rPr>
              <w:t>信息公开制度（如实向社会公开其主要污染物的名称、排放方式、排放浓度和总量、超标排放情况</w:t>
            </w:r>
            <w:r>
              <w:rPr>
                <w:rFonts w:hint="eastAsia"/>
                <w:b w:val="0"/>
                <w:bCs w:val="0"/>
                <w:color w:val="auto"/>
                <w:sz w:val="24"/>
                <w:szCs w:val="24"/>
                <w:lang w:eastAsia="zh-CN"/>
              </w:rPr>
              <w:t>，</w:t>
            </w:r>
            <w:r>
              <w:rPr>
                <w:b w:val="0"/>
                <w:bCs w:val="0"/>
                <w:color w:val="auto"/>
                <w:sz w:val="24"/>
                <w:szCs w:val="24"/>
              </w:rPr>
              <w:t>以及防治污染设施的建设和运行情况</w:t>
            </w:r>
            <w:r>
              <w:rPr>
                <w:rFonts w:hint="eastAsia"/>
                <w:b w:val="0"/>
                <w:bCs w:val="0"/>
                <w:color w:val="auto"/>
                <w:sz w:val="24"/>
                <w:szCs w:val="24"/>
                <w:lang w:eastAsia="zh-CN"/>
              </w:rPr>
              <w:t>，</w:t>
            </w:r>
            <w:r>
              <w:rPr>
                <w:b w:val="0"/>
                <w:bCs w:val="0"/>
                <w:color w:val="auto"/>
                <w:sz w:val="24"/>
                <w:szCs w:val="24"/>
              </w:rPr>
              <w:t>接受社会监督）</w:t>
            </w:r>
            <w:r>
              <w:rPr>
                <w:rFonts w:hint="eastAsia"/>
                <w:b w:val="0"/>
                <w:bCs w:val="0"/>
                <w:color w:val="auto"/>
                <w:sz w:val="24"/>
                <w:szCs w:val="24"/>
              </w:rPr>
              <w:t>；</w:t>
            </w:r>
          </w:p>
          <w:p w14:paraId="6065353F">
            <w:pPr>
              <w:pStyle w:val="139"/>
              <w:numPr>
                <w:ilvl w:val="0"/>
                <w:numId w:val="10"/>
              </w:numPr>
              <w:spacing w:line="360" w:lineRule="exact"/>
              <w:ind w:firstLine="420"/>
              <w:rPr>
                <w:b w:val="0"/>
                <w:bCs w:val="0"/>
                <w:color w:val="auto"/>
                <w:sz w:val="24"/>
                <w:szCs w:val="24"/>
              </w:rPr>
            </w:pPr>
            <w:r>
              <w:rPr>
                <w:b w:val="0"/>
                <w:bCs w:val="0"/>
                <w:color w:val="auto"/>
                <w:sz w:val="24"/>
                <w:szCs w:val="24"/>
              </w:rPr>
              <w:t>环保教育制度</w:t>
            </w:r>
            <w:r>
              <w:rPr>
                <w:rFonts w:hint="eastAsia"/>
                <w:b w:val="0"/>
                <w:bCs w:val="0"/>
                <w:color w:val="auto"/>
                <w:sz w:val="24"/>
                <w:szCs w:val="24"/>
              </w:rPr>
              <w:t>；</w:t>
            </w:r>
          </w:p>
          <w:p w14:paraId="565490E0">
            <w:pPr>
              <w:pStyle w:val="139"/>
              <w:numPr>
                <w:ilvl w:val="0"/>
                <w:numId w:val="10"/>
              </w:numPr>
              <w:spacing w:line="360" w:lineRule="exact"/>
              <w:ind w:firstLine="420"/>
              <w:rPr>
                <w:b w:val="0"/>
                <w:bCs w:val="0"/>
                <w:color w:val="auto"/>
                <w:sz w:val="24"/>
                <w:szCs w:val="24"/>
              </w:rPr>
            </w:pPr>
            <w:r>
              <w:rPr>
                <w:b w:val="0"/>
                <w:bCs w:val="0"/>
                <w:color w:val="auto"/>
                <w:sz w:val="24"/>
                <w:szCs w:val="24"/>
              </w:rPr>
              <w:t>各项环境保护设施和措施的建设、运行及维护费用保障计划</w:t>
            </w:r>
            <w:r>
              <w:rPr>
                <w:rFonts w:hint="eastAsia"/>
                <w:b w:val="0"/>
                <w:bCs w:val="0"/>
                <w:color w:val="auto"/>
                <w:sz w:val="24"/>
                <w:szCs w:val="24"/>
              </w:rPr>
              <w:t>。</w:t>
            </w:r>
          </w:p>
          <w:p w14:paraId="3FF2C4D1">
            <w:pPr>
              <w:keepNext/>
              <w:keepLines/>
              <w:tabs>
                <w:tab w:val="left" w:pos="0"/>
              </w:tabs>
              <w:spacing w:line="360" w:lineRule="exact"/>
              <w:ind w:firstLine="480" w:firstLineChars="200"/>
              <w:jc w:val="left"/>
              <w:outlineLvl w:val="4"/>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3、开展自行监测</w:t>
            </w:r>
          </w:p>
          <w:p w14:paraId="37F8644F">
            <w:pPr>
              <w:pStyle w:val="139"/>
              <w:spacing w:line="360" w:lineRule="exact"/>
              <w:ind w:firstLine="420"/>
              <w:rPr>
                <w:b w:val="0"/>
                <w:bCs w:val="0"/>
                <w:color w:val="auto"/>
                <w:sz w:val="24"/>
                <w:szCs w:val="24"/>
              </w:rPr>
            </w:pPr>
            <w:r>
              <w:rPr>
                <w:rFonts w:hint="eastAsia"/>
                <w:b w:val="0"/>
                <w:bCs w:val="0"/>
                <w:color w:val="auto"/>
                <w:sz w:val="24"/>
                <w:szCs w:val="24"/>
                <w:lang w:eastAsia="zh-CN"/>
              </w:rPr>
              <w:t>应</w:t>
            </w:r>
            <w:r>
              <w:rPr>
                <w:b w:val="0"/>
                <w:bCs w:val="0"/>
                <w:color w:val="auto"/>
                <w:sz w:val="24"/>
                <w:szCs w:val="24"/>
              </w:rPr>
              <w:t>结合</w:t>
            </w:r>
            <w:r>
              <w:rPr>
                <w:rFonts w:hint="eastAsia"/>
                <w:b w:val="0"/>
                <w:bCs w:val="0"/>
                <w:color w:val="auto"/>
                <w:sz w:val="24"/>
                <w:szCs w:val="24"/>
                <w:lang w:eastAsia="zh-CN"/>
              </w:rPr>
              <w:t>“四</w:t>
            </w:r>
            <w:r>
              <w:rPr>
                <w:b w:val="0"/>
                <w:bCs w:val="0"/>
                <w:color w:val="auto"/>
                <w:sz w:val="24"/>
                <w:szCs w:val="24"/>
              </w:rPr>
              <w:t>、主要环境影响和保护措施</w:t>
            </w:r>
            <w:r>
              <w:rPr>
                <w:rFonts w:hint="eastAsia"/>
                <w:b w:val="0"/>
                <w:bCs w:val="0"/>
                <w:color w:val="auto"/>
                <w:sz w:val="24"/>
                <w:szCs w:val="24"/>
                <w:lang w:eastAsia="zh-CN"/>
              </w:rPr>
              <w:t>”</w:t>
            </w:r>
            <w:r>
              <w:rPr>
                <w:b w:val="0"/>
                <w:bCs w:val="0"/>
                <w:color w:val="auto"/>
                <w:sz w:val="24"/>
                <w:szCs w:val="24"/>
              </w:rPr>
              <w:t>章节中各要素的自行监测方案开展相应监测工作。</w:t>
            </w:r>
          </w:p>
          <w:p w14:paraId="16D477B5">
            <w:pPr>
              <w:keepNext/>
              <w:keepLines/>
              <w:tabs>
                <w:tab w:val="left" w:pos="0"/>
              </w:tabs>
              <w:spacing w:line="360" w:lineRule="exact"/>
              <w:ind w:left="0" w:leftChars="0" w:firstLine="480" w:firstLineChars="200"/>
              <w:jc w:val="left"/>
              <w:outlineLvl w:val="4"/>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4、排污口规范化设置</w:t>
            </w:r>
          </w:p>
          <w:p w14:paraId="5A1A1153">
            <w:pPr>
              <w:pStyle w:val="139"/>
              <w:spacing w:line="360" w:lineRule="exact"/>
              <w:ind w:firstLine="420"/>
              <w:rPr>
                <w:b w:val="0"/>
                <w:bCs w:val="0"/>
                <w:color w:val="auto"/>
                <w:sz w:val="24"/>
                <w:szCs w:val="24"/>
              </w:rPr>
            </w:pPr>
            <w:r>
              <w:rPr>
                <w:b w:val="0"/>
                <w:bCs w:val="0"/>
                <w:color w:val="auto"/>
                <w:sz w:val="24"/>
                <w:szCs w:val="24"/>
              </w:rPr>
              <w:t>根据国家标准《环境保护图形标志—排放口（源）》和国家环保总局《排污口规范化整治要求（试行）》的技术要求</w:t>
            </w:r>
            <w:r>
              <w:rPr>
                <w:rFonts w:hint="eastAsia"/>
                <w:b w:val="0"/>
                <w:bCs w:val="0"/>
                <w:color w:val="auto"/>
                <w:sz w:val="24"/>
                <w:szCs w:val="24"/>
                <w:lang w:eastAsia="zh-CN"/>
              </w:rPr>
              <w:t>，</w:t>
            </w:r>
            <w:r>
              <w:rPr>
                <w:b w:val="0"/>
                <w:bCs w:val="0"/>
                <w:color w:val="auto"/>
                <w:sz w:val="24"/>
                <w:szCs w:val="24"/>
              </w:rPr>
              <w:t>企业所有排放口</w:t>
            </w:r>
            <w:r>
              <w:rPr>
                <w:rFonts w:hint="eastAsia"/>
                <w:b w:val="0"/>
                <w:bCs w:val="0"/>
                <w:color w:val="auto"/>
                <w:sz w:val="24"/>
                <w:szCs w:val="24"/>
                <w:lang w:eastAsia="zh-CN"/>
              </w:rPr>
              <w:t>，</w:t>
            </w:r>
            <w:r>
              <w:rPr>
                <w:b w:val="0"/>
                <w:bCs w:val="0"/>
                <w:color w:val="auto"/>
                <w:sz w:val="24"/>
                <w:szCs w:val="24"/>
              </w:rPr>
              <w:t>包括水、气、声、固体废物</w:t>
            </w:r>
            <w:r>
              <w:rPr>
                <w:rFonts w:hint="eastAsia"/>
                <w:b w:val="0"/>
                <w:bCs w:val="0"/>
                <w:color w:val="auto"/>
                <w:sz w:val="24"/>
                <w:szCs w:val="24"/>
                <w:lang w:eastAsia="zh-CN"/>
              </w:rPr>
              <w:t>，</w:t>
            </w:r>
            <w:r>
              <w:rPr>
                <w:b w:val="0"/>
                <w:bCs w:val="0"/>
                <w:color w:val="auto"/>
                <w:sz w:val="24"/>
                <w:szCs w:val="24"/>
              </w:rPr>
              <w:t>必须按照</w:t>
            </w:r>
            <w:r>
              <w:rPr>
                <w:rFonts w:hint="eastAsia"/>
                <w:b w:val="0"/>
                <w:bCs w:val="0"/>
                <w:color w:val="auto"/>
                <w:sz w:val="24"/>
                <w:szCs w:val="24"/>
                <w:lang w:eastAsia="zh-CN"/>
              </w:rPr>
              <w:t>“</w:t>
            </w:r>
            <w:r>
              <w:rPr>
                <w:b w:val="0"/>
                <w:bCs w:val="0"/>
                <w:color w:val="auto"/>
                <w:sz w:val="24"/>
                <w:szCs w:val="24"/>
              </w:rPr>
              <w:t>便于计量监测、便于日常现场监督检查</w:t>
            </w:r>
            <w:r>
              <w:rPr>
                <w:rFonts w:hint="eastAsia"/>
                <w:b w:val="0"/>
                <w:bCs w:val="0"/>
                <w:color w:val="auto"/>
                <w:sz w:val="24"/>
                <w:szCs w:val="24"/>
                <w:lang w:eastAsia="zh-CN"/>
              </w:rPr>
              <w:t>”</w:t>
            </w:r>
            <w:r>
              <w:rPr>
                <w:b w:val="0"/>
                <w:bCs w:val="0"/>
                <w:color w:val="auto"/>
                <w:sz w:val="24"/>
                <w:szCs w:val="24"/>
              </w:rPr>
              <w:t>的原则和规范化要求</w:t>
            </w:r>
            <w:r>
              <w:rPr>
                <w:rFonts w:hint="eastAsia"/>
                <w:b w:val="0"/>
                <w:bCs w:val="0"/>
                <w:color w:val="auto"/>
                <w:sz w:val="24"/>
                <w:szCs w:val="24"/>
                <w:lang w:eastAsia="zh-CN"/>
              </w:rPr>
              <w:t>，</w:t>
            </w:r>
            <w:r>
              <w:rPr>
                <w:b w:val="0"/>
                <w:bCs w:val="0"/>
                <w:color w:val="auto"/>
                <w:sz w:val="24"/>
                <w:szCs w:val="24"/>
              </w:rPr>
              <w:t>设置与之相适应的环境保护图形标志牌。</w:t>
            </w:r>
          </w:p>
          <w:p w14:paraId="12D45AB7">
            <w:pPr>
              <w:pStyle w:val="139"/>
              <w:spacing w:line="360" w:lineRule="exact"/>
              <w:ind w:firstLine="420"/>
              <w:rPr>
                <w:b w:val="0"/>
                <w:bCs w:val="0"/>
                <w:color w:val="auto"/>
                <w:sz w:val="24"/>
                <w:szCs w:val="24"/>
              </w:rPr>
            </w:pPr>
            <w:r>
              <w:rPr>
                <w:b w:val="0"/>
                <w:bCs w:val="0"/>
                <w:color w:val="auto"/>
                <w:sz w:val="24"/>
                <w:szCs w:val="24"/>
              </w:rPr>
              <w:t>污染物排放口（源）和固体废物贮存、处置场</w:t>
            </w:r>
            <w:r>
              <w:rPr>
                <w:rFonts w:hint="eastAsia"/>
                <w:b w:val="0"/>
                <w:bCs w:val="0"/>
                <w:color w:val="auto"/>
                <w:sz w:val="24"/>
                <w:szCs w:val="24"/>
                <w:lang w:eastAsia="zh-CN"/>
              </w:rPr>
              <w:t>，</w:t>
            </w:r>
            <w:r>
              <w:rPr>
                <w:b w:val="0"/>
                <w:bCs w:val="0"/>
                <w:color w:val="auto"/>
                <w:sz w:val="24"/>
                <w:szCs w:val="24"/>
              </w:rPr>
              <w:t>必须实行规范化整治</w:t>
            </w:r>
            <w:r>
              <w:rPr>
                <w:rFonts w:hint="eastAsia"/>
                <w:b w:val="0"/>
                <w:bCs w:val="0"/>
                <w:color w:val="auto"/>
                <w:sz w:val="24"/>
                <w:szCs w:val="24"/>
                <w:lang w:eastAsia="zh-CN"/>
              </w:rPr>
              <w:t>，</w:t>
            </w:r>
            <w:r>
              <w:rPr>
                <w:b w:val="0"/>
                <w:bCs w:val="0"/>
                <w:color w:val="auto"/>
                <w:sz w:val="24"/>
                <w:szCs w:val="24"/>
              </w:rPr>
              <w:t>按照国家标准《环境保护图形标志》（GB15562.1-1995）（GB15562.2-1995）的规定</w:t>
            </w:r>
            <w:r>
              <w:rPr>
                <w:rFonts w:hint="eastAsia"/>
                <w:b w:val="0"/>
                <w:bCs w:val="0"/>
                <w:color w:val="auto"/>
                <w:sz w:val="24"/>
                <w:szCs w:val="24"/>
                <w:lang w:eastAsia="zh-CN"/>
              </w:rPr>
              <w:t>，</w:t>
            </w:r>
            <w:r>
              <w:rPr>
                <w:b w:val="0"/>
                <w:bCs w:val="0"/>
                <w:color w:val="auto"/>
                <w:sz w:val="24"/>
                <w:szCs w:val="24"/>
              </w:rPr>
              <w:t>设置与之相适应的环境保护图形标志牌。一般污染物排污口（源）</w:t>
            </w:r>
            <w:r>
              <w:rPr>
                <w:rFonts w:hint="eastAsia"/>
                <w:b w:val="0"/>
                <w:bCs w:val="0"/>
                <w:color w:val="auto"/>
                <w:sz w:val="24"/>
                <w:szCs w:val="24"/>
                <w:lang w:eastAsia="zh-CN"/>
              </w:rPr>
              <w:t>，</w:t>
            </w:r>
            <w:r>
              <w:rPr>
                <w:b w:val="0"/>
                <w:bCs w:val="0"/>
                <w:color w:val="auto"/>
                <w:sz w:val="24"/>
                <w:szCs w:val="24"/>
              </w:rPr>
              <w:t>设置提示式标志牌</w:t>
            </w:r>
            <w:r>
              <w:rPr>
                <w:rFonts w:hint="eastAsia"/>
                <w:b w:val="0"/>
                <w:bCs w:val="0"/>
                <w:color w:val="auto"/>
                <w:sz w:val="24"/>
                <w:szCs w:val="24"/>
                <w:lang w:eastAsia="zh-CN"/>
              </w:rPr>
              <w:t>，</w:t>
            </w:r>
            <w:r>
              <w:rPr>
                <w:b w:val="0"/>
                <w:bCs w:val="0"/>
                <w:color w:val="auto"/>
                <w:sz w:val="24"/>
                <w:szCs w:val="24"/>
              </w:rPr>
              <w:t>有毒、有害污染物的排污口设置警告式标志牌。</w:t>
            </w:r>
          </w:p>
          <w:p w14:paraId="78943E6B">
            <w:pPr>
              <w:pStyle w:val="139"/>
              <w:spacing w:line="360" w:lineRule="exact"/>
              <w:ind w:firstLine="420"/>
              <w:rPr>
                <w:b w:val="0"/>
                <w:bCs w:val="0"/>
                <w:color w:val="auto"/>
                <w:sz w:val="24"/>
                <w:szCs w:val="24"/>
              </w:rPr>
            </w:pPr>
            <w:r>
              <w:rPr>
                <w:b w:val="0"/>
                <w:bCs w:val="0"/>
                <w:color w:val="auto"/>
                <w:sz w:val="24"/>
                <w:szCs w:val="24"/>
              </w:rPr>
              <w:t>标志牌应设置在排污口（采样点）附近且醒目处</w:t>
            </w:r>
            <w:r>
              <w:rPr>
                <w:rFonts w:hint="eastAsia"/>
                <w:b w:val="0"/>
                <w:bCs w:val="0"/>
                <w:color w:val="auto"/>
                <w:sz w:val="24"/>
                <w:szCs w:val="24"/>
                <w:lang w:eastAsia="zh-CN"/>
              </w:rPr>
              <w:t>，</w:t>
            </w:r>
            <w:r>
              <w:rPr>
                <w:b w:val="0"/>
                <w:bCs w:val="0"/>
                <w:color w:val="auto"/>
                <w:sz w:val="24"/>
                <w:szCs w:val="24"/>
              </w:rPr>
              <w:t>高度为标志牌上缘离地面2m。排污口附近1m范围内有建筑物的</w:t>
            </w:r>
            <w:r>
              <w:rPr>
                <w:rFonts w:hint="eastAsia"/>
                <w:b w:val="0"/>
                <w:bCs w:val="0"/>
                <w:color w:val="auto"/>
                <w:sz w:val="24"/>
                <w:szCs w:val="24"/>
                <w:lang w:eastAsia="zh-CN"/>
              </w:rPr>
              <w:t>，</w:t>
            </w:r>
            <w:r>
              <w:rPr>
                <w:b w:val="0"/>
                <w:bCs w:val="0"/>
                <w:color w:val="auto"/>
                <w:sz w:val="24"/>
                <w:szCs w:val="24"/>
              </w:rPr>
              <w:t>设平面式标志牌</w:t>
            </w:r>
            <w:r>
              <w:rPr>
                <w:rFonts w:hint="eastAsia"/>
                <w:b w:val="0"/>
                <w:bCs w:val="0"/>
                <w:color w:val="auto"/>
                <w:sz w:val="24"/>
                <w:szCs w:val="24"/>
                <w:lang w:eastAsia="zh-CN"/>
              </w:rPr>
              <w:t>，</w:t>
            </w:r>
            <w:r>
              <w:rPr>
                <w:b w:val="0"/>
                <w:bCs w:val="0"/>
                <w:color w:val="auto"/>
                <w:sz w:val="24"/>
                <w:szCs w:val="24"/>
              </w:rPr>
              <w:t>无建筑物的设立式标志牌。</w:t>
            </w:r>
          </w:p>
          <w:p w14:paraId="366DBFC1">
            <w:pPr>
              <w:pStyle w:val="139"/>
              <w:spacing w:line="360" w:lineRule="exact"/>
              <w:ind w:firstLine="420"/>
              <w:rPr>
                <w:b w:val="0"/>
                <w:bCs w:val="0"/>
                <w:color w:val="auto"/>
                <w:sz w:val="24"/>
                <w:szCs w:val="24"/>
              </w:rPr>
            </w:pPr>
            <w:r>
              <w:rPr>
                <w:b w:val="0"/>
                <w:bCs w:val="0"/>
                <w:color w:val="auto"/>
                <w:sz w:val="24"/>
                <w:szCs w:val="24"/>
              </w:rPr>
              <w:t>规范化排污口的有关设置（如图形标志牌、计量装置、在线监控装置等）属环保设施</w:t>
            </w:r>
            <w:r>
              <w:rPr>
                <w:rFonts w:hint="eastAsia"/>
                <w:b w:val="0"/>
                <w:bCs w:val="0"/>
                <w:color w:val="auto"/>
                <w:sz w:val="24"/>
                <w:szCs w:val="24"/>
                <w:lang w:eastAsia="zh-CN"/>
              </w:rPr>
              <w:t>，</w:t>
            </w:r>
            <w:r>
              <w:rPr>
                <w:b w:val="0"/>
                <w:bCs w:val="0"/>
                <w:color w:val="auto"/>
                <w:sz w:val="24"/>
                <w:szCs w:val="24"/>
              </w:rPr>
              <w:t>建设单位必须负责日常的维护保养</w:t>
            </w:r>
            <w:r>
              <w:rPr>
                <w:rFonts w:hint="eastAsia"/>
                <w:b w:val="0"/>
                <w:bCs w:val="0"/>
                <w:color w:val="auto"/>
                <w:sz w:val="24"/>
                <w:szCs w:val="24"/>
                <w:lang w:eastAsia="zh-CN"/>
              </w:rPr>
              <w:t>，</w:t>
            </w:r>
            <w:r>
              <w:rPr>
                <w:b w:val="0"/>
                <w:bCs w:val="0"/>
                <w:color w:val="auto"/>
                <w:sz w:val="24"/>
                <w:szCs w:val="24"/>
              </w:rPr>
              <w:t>任何单位和个人不得擅自拆除</w:t>
            </w:r>
            <w:r>
              <w:rPr>
                <w:rFonts w:hint="eastAsia"/>
                <w:b w:val="0"/>
                <w:bCs w:val="0"/>
                <w:color w:val="auto"/>
                <w:sz w:val="24"/>
                <w:szCs w:val="24"/>
                <w:lang w:eastAsia="zh-CN"/>
              </w:rPr>
              <w:t>，</w:t>
            </w:r>
            <w:r>
              <w:rPr>
                <w:b w:val="0"/>
                <w:bCs w:val="0"/>
                <w:color w:val="auto"/>
                <w:sz w:val="24"/>
                <w:szCs w:val="24"/>
              </w:rPr>
              <w:t>如果需要变更的必须报当地环保部门同意并办理变更手续。</w:t>
            </w:r>
          </w:p>
          <w:p w14:paraId="1792B6FD">
            <w:pPr>
              <w:pStyle w:val="140"/>
              <w:keepNext w:val="0"/>
              <w:keepLines w:val="0"/>
              <w:pageBreakBefore w:val="0"/>
              <w:widowControl/>
              <w:kinsoku/>
              <w:wordWrap w:val="0"/>
              <w:overflowPunct/>
              <w:topLinePunct/>
              <w:autoSpaceDE/>
              <w:autoSpaceDN/>
              <w:bidi w:val="0"/>
              <w:spacing w:line="240" w:lineRule="auto"/>
              <w:ind w:left="0" w:leftChars="0" w:firstLine="480" w:firstLineChars="200"/>
              <w:jc w:val="left"/>
              <w:outlineLvl w:val="9"/>
              <w:rPr>
                <w:rFonts w:hint="eastAsia" w:eastAsia="宋体"/>
                <w:b w:val="0"/>
                <w:bCs w:val="0"/>
                <w:color w:val="auto"/>
                <w:sz w:val="24"/>
                <w:szCs w:val="24"/>
                <w:lang w:eastAsia="zh-CN"/>
              </w:rPr>
            </w:pPr>
            <w:r>
              <w:rPr>
                <w:b w:val="0"/>
                <w:bCs w:val="0"/>
                <w:color w:val="auto"/>
                <w:sz w:val="24"/>
                <w:szCs w:val="24"/>
              </w:rPr>
              <w:t>项目需要设置的标识标牌有：废气排放口；此外</w:t>
            </w:r>
            <w:r>
              <w:rPr>
                <w:rFonts w:hint="eastAsia"/>
                <w:b w:val="0"/>
                <w:bCs w:val="0"/>
                <w:color w:val="auto"/>
                <w:sz w:val="24"/>
                <w:szCs w:val="24"/>
                <w:lang w:eastAsia="zh-CN"/>
              </w:rPr>
              <w:t>，</w:t>
            </w:r>
            <w:r>
              <w:rPr>
                <w:b w:val="0"/>
                <w:bCs w:val="0"/>
                <w:color w:val="auto"/>
                <w:sz w:val="24"/>
                <w:szCs w:val="24"/>
              </w:rPr>
              <w:t>废气治理设施应挂牌标识名称及操作规程</w:t>
            </w:r>
            <w:r>
              <w:rPr>
                <w:rFonts w:hint="eastAsia"/>
                <w:b w:val="0"/>
                <w:bCs w:val="0"/>
                <w:color w:val="auto"/>
                <w:sz w:val="24"/>
                <w:szCs w:val="24"/>
              </w:rPr>
              <w:t>。</w:t>
            </w:r>
          </w:p>
          <w:p w14:paraId="6C9FB967">
            <w:pPr>
              <w:pStyle w:val="140"/>
              <w:keepNext w:val="0"/>
              <w:keepLines w:val="0"/>
              <w:pageBreakBefore w:val="0"/>
              <w:widowControl/>
              <w:kinsoku/>
              <w:wordWrap w:val="0"/>
              <w:overflowPunct/>
              <w:topLinePunct/>
              <w:autoSpaceDE/>
              <w:autoSpaceDN/>
              <w:bidi w:val="0"/>
              <w:spacing w:line="240" w:lineRule="auto"/>
              <w:ind w:left="0" w:leftChars="0" w:firstLine="480" w:firstLineChars="200"/>
              <w:jc w:val="left"/>
              <w:outlineLvl w:val="9"/>
              <w:rPr>
                <w:rFonts w:hint="eastAsia" w:eastAsia="宋体"/>
                <w:b w:val="0"/>
                <w:bCs w:val="0"/>
                <w:color w:val="auto"/>
                <w:sz w:val="24"/>
                <w:szCs w:val="24"/>
                <w:lang w:eastAsia="zh-CN"/>
              </w:rPr>
            </w:pPr>
          </w:p>
          <w:p w14:paraId="1F74B660">
            <w:pPr>
              <w:pStyle w:val="140"/>
              <w:keepNext w:val="0"/>
              <w:keepLines w:val="0"/>
              <w:pageBreakBefore w:val="0"/>
              <w:widowControl/>
              <w:kinsoku/>
              <w:wordWrap w:val="0"/>
              <w:overflowPunct/>
              <w:topLinePunct/>
              <w:autoSpaceDE/>
              <w:autoSpaceDN/>
              <w:bidi w:val="0"/>
              <w:spacing w:line="360" w:lineRule="auto"/>
              <w:ind w:left="0" w:leftChars="0" w:firstLine="420" w:firstLineChars="200"/>
              <w:outlineLvl w:val="9"/>
              <w:rPr>
                <w:rFonts w:cs="Times New Roman"/>
                <w:b w:val="0"/>
                <w:bCs w:val="0"/>
                <w:color w:val="auto"/>
                <w:sz w:val="21"/>
                <w:szCs w:val="21"/>
              </w:rPr>
            </w:pPr>
            <w:r>
              <w:rPr>
                <w:rFonts w:cs="Times New Roman"/>
                <w:b w:val="0"/>
                <w:bCs w:val="0"/>
                <w:color w:val="auto"/>
                <w:sz w:val="21"/>
                <w:szCs w:val="21"/>
              </w:rPr>
              <w:t>表</w:t>
            </w:r>
            <w:r>
              <w:rPr>
                <w:rFonts w:hint="eastAsia" w:cs="Times New Roman"/>
                <w:b w:val="0"/>
                <w:bCs w:val="0"/>
                <w:color w:val="auto"/>
                <w:sz w:val="21"/>
                <w:szCs w:val="21"/>
                <w:lang w:val="en-US" w:eastAsia="zh-CN"/>
              </w:rPr>
              <w:t>5.1</w:t>
            </w:r>
            <w:r>
              <w:rPr>
                <w:rFonts w:hint="eastAsia" w:cs="Times New Roman"/>
                <w:b w:val="0"/>
                <w:bCs w:val="0"/>
                <w:color w:val="auto"/>
                <w:sz w:val="21"/>
                <w:szCs w:val="21"/>
              </w:rPr>
              <w:t xml:space="preserve"> </w:t>
            </w:r>
            <w:r>
              <w:rPr>
                <w:rFonts w:cs="Times New Roman"/>
                <w:b w:val="0"/>
                <w:bCs w:val="0"/>
                <w:color w:val="auto"/>
                <w:sz w:val="21"/>
                <w:szCs w:val="21"/>
              </w:rPr>
              <w:t>排污口图形符号（提示标志）一览表</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427"/>
              <w:gridCol w:w="1619"/>
              <w:gridCol w:w="1833"/>
              <w:gridCol w:w="2125"/>
            </w:tblGrid>
            <w:tr w14:paraId="580A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447" w:type="pct"/>
                  <w:noWrap w:val="0"/>
                  <w:vAlign w:val="center"/>
                </w:tcPr>
                <w:p w14:paraId="64808314">
                  <w:pPr>
                    <w:keepNext w:val="0"/>
                    <w:keepLines w:val="0"/>
                    <w:pageBreakBefore w:val="0"/>
                    <w:widowControl/>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b w:val="0"/>
                      <w:bCs w:val="0"/>
                      <w:color w:val="auto"/>
                      <w:sz w:val="21"/>
                      <w:szCs w:val="21"/>
                    </w:rPr>
                  </w:pPr>
                  <w:r>
                    <w:rPr>
                      <w:b w:val="0"/>
                      <w:bCs w:val="0"/>
                      <w:color w:val="auto"/>
                      <w:sz w:val="21"/>
                      <w:szCs w:val="21"/>
                    </w:rPr>
                    <w:t>序号</w:t>
                  </w:r>
                </w:p>
              </w:tc>
              <w:tc>
                <w:tcPr>
                  <w:tcW w:w="927" w:type="pct"/>
                  <w:noWrap w:val="0"/>
                  <w:vAlign w:val="center"/>
                </w:tcPr>
                <w:p w14:paraId="20D783B3">
                  <w:pPr>
                    <w:keepNext w:val="0"/>
                    <w:keepLines w:val="0"/>
                    <w:pageBreakBefore w:val="0"/>
                    <w:widowControl/>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b w:val="0"/>
                      <w:bCs w:val="0"/>
                      <w:color w:val="auto"/>
                      <w:sz w:val="21"/>
                      <w:szCs w:val="21"/>
                    </w:rPr>
                  </w:pPr>
                  <w:r>
                    <w:rPr>
                      <w:b w:val="0"/>
                      <w:bCs w:val="0"/>
                      <w:color w:val="auto"/>
                      <w:sz w:val="21"/>
                      <w:szCs w:val="21"/>
                    </w:rPr>
                    <w:t>提示图形符号</w:t>
                  </w:r>
                </w:p>
              </w:tc>
              <w:tc>
                <w:tcPr>
                  <w:tcW w:w="1052" w:type="pct"/>
                  <w:noWrap w:val="0"/>
                  <w:vAlign w:val="center"/>
                </w:tcPr>
                <w:p w14:paraId="62617D83">
                  <w:pPr>
                    <w:keepNext w:val="0"/>
                    <w:keepLines w:val="0"/>
                    <w:pageBreakBefore w:val="0"/>
                    <w:widowControl/>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b w:val="0"/>
                      <w:bCs w:val="0"/>
                      <w:color w:val="auto"/>
                      <w:sz w:val="21"/>
                      <w:szCs w:val="21"/>
                    </w:rPr>
                  </w:pPr>
                  <w:r>
                    <w:rPr>
                      <w:b w:val="0"/>
                      <w:bCs w:val="0"/>
                      <w:color w:val="auto"/>
                      <w:sz w:val="21"/>
                      <w:szCs w:val="21"/>
                    </w:rPr>
                    <w:t>警告图形符号</w:t>
                  </w:r>
                </w:p>
              </w:tc>
              <w:tc>
                <w:tcPr>
                  <w:tcW w:w="1191" w:type="pct"/>
                  <w:noWrap w:val="0"/>
                  <w:vAlign w:val="center"/>
                </w:tcPr>
                <w:p w14:paraId="37566156">
                  <w:pPr>
                    <w:keepNext w:val="0"/>
                    <w:keepLines w:val="0"/>
                    <w:pageBreakBefore w:val="0"/>
                    <w:widowControl/>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b w:val="0"/>
                      <w:bCs w:val="0"/>
                      <w:color w:val="auto"/>
                      <w:sz w:val="21"/>
                      <w:szCs w:val="21"/>
                    </w:rPr>
                  </w:pPr>
                  <w:r>
                    <w:rPr>
                      <w:b w:val="0"/>
                      <w:bCs w:val="0"/>
                      <w:color w:val="auto"/>
                      <w:sz w:val="21"/>
                      <w:szCs w:val="21"/>
                    </w:rPr>
                    <w:t>名称</w:t>
                  </w:r>
                </w:p>
              </w:tc>
              <w:tc>
                <w:tcPr>
                  <w:tcW w:w="1381" w:type="pct"/>
                  <w:noWrap w:val="0"/>
                  <w:vAlign w:val="center"/>
                </w:tcPr>
                <w:p w14:paraId="4952DD1F">
                  <w:pPr>
                    <w:keepNext w:val="0"/>
                    <w:keepLines w:val="0"/>
                    <w:pageBreakBefore w:val="0"/>
                    <w:widowControl/>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b w:val="0"/>
                      <w:bCs w:val="0"/>
                      <w:color w:val="auto"/>
                      <w:sz w:val="21"/>
                      <w:szCs w:val="21"/>
                    </w:rPr>
                  </w:pPr>
                  <w:r>
                    <w:rPr>
                      <w:b w:val="0"/>
                      <w:bCs w:val="0"/>
                      <w:color w:val="auto"/>
                      <w:sz w:val="21"/>
                      <w:szCs w:val="21"/>
                    </w:rPr>
                    <w:t>功能</w:t>
                  </w:r>
                </w:p>
              </w:tc>
            </w:tr>
            <w:tr w14:paraId="52F2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7" w:hRule="atLeast"/>
                <w:jc w:val="center"/>
              </w:trPr>
              <w:tc>
                <w:tcPr>
                  <w:tcW w:w="447" w:type="pct"/>
                  <w:noWrap w:val="0"/>
                  <w:vAlign w:val="center"/>
                </w:tcPr>
                <w:p w14:paraId="6E212EFE">
                  <w:pPr>
                    <w:keepNext w:val="0"/>
                    <w:keepLines w:val="0"/>
                    <w:pageBreakBefore w:val="0"/>
                    <w:widowControl/>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rFonts w:hint="eastAsia" w:eastAsia="宋体"/>
                      <w:color w:val="auto"/>
                      <w:sz w:val="21"/>
                      <w:szCs w:val="21"/>
                      <w:lang w:eastAsia="zh-CN"/>
                    </w:rPr>
                  </w:pPr>
                  <w:r>
                    <w:rPr>
                      <w:rFonts w:hint="eastAsia"/>
                      <w:color w:val="auto"/>
                      <w:sz w:val="21"/>
                      <w:szCs w:val="21"/>
                      <w:lang w:val="en-US" w:eastAsia="zh-CN"/>
                    </w:rPr>
                    <w:t>1</w:t>
                  </w:r>
                </w:p>
              </w:tc>
              <w:tc>
                <w:tcPr>
                  <w:tcW w:w="927" w:type="pct"/>
                  <w:noWrap w:val="0"/>
                  <w:vAlign w:val="center"/>
                </w:tcPr>
                <w:p w14:paraId="7E91DC0B">
                  <w:pPr>
                    <w:keepNext w:val="0"/>
                    <w:keepLines w:val="0"/>
                    <w:pageBreakBefore w:val="0"/>
                    <w:widowControl/>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color w:val="auto"/>
                      <w:sz w:val="21"/>
                      <w:szCs w:val="21"/>
                    </w:rPr>
                  </w:pPr>
                  <w:r>
                    <w:rPr>
                      <w:color w:val="auto"/>
                      <w:sz w:val="21"/>
                      <w:szCs w:val="21"/>
                    </w:rPr>
                    <w:drawing>
                      <wp:inline distT="0" distB="0" distL="114300" distR="114300">
                        <wp:extent cx="933450" cy="642620"/>
                        <wp:effectExtent l="0" t="0" r="6350" b="5080"/>
                        <wp:docPr id="32" name="图片 32" descr="V3OQ`G)ZN]VYNC8Y}K]PX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V3OQ`G)ZN]VYNC8Y}K]PXEP"/>
                                <pic:cNvPicPr>
                                  <a:picLocks noChangeAspect="1"/>
                                </pic:cNvPicPr>
                              </pic:nvPicPr>
                              <pic:blipFill>
                                <a:blip r:embed="rId35"/>
                                <a:stretch>
                                  <a:fillRect/>
                                </a:stretch>
                              </pic:blipFill>
                              <pic:spPr>
                                <a:xfrm>
                                  <a:off x="0" y="0"/>
                                  <a:ext cx="933450" cy="642620"/>
                                </a:xfrm>
                                <a:prstGeom prst="rect">
                                  <a:avLst/>
                                </a:prstGeom>
                                <a:noFill/>
                                <a:ln>
                                  <a:noFill/>
                                </a:ln>
                              </pic:spPr>
                            </pic:pic>
                          </a:graphicData>
                        </a:graphic>
                      </wp:inline>
                    </w:drawing>
                  </w:r>
                </w:p>
              </w:tc>
              <w:tc>
                <w:tcPr>
                  <w:tcW w:w="1052" w:type="pct"/>
                  <w:noWrap w:val="0"/>
                  <w:vAlign w:val="center"/>
                </w:tcPr>
                <w:p w14:paraId="1162B2A1">
                  <w:pPr>
                    <w:keepNext w:val="0"/>
                    <w:keepLines w:val="0"/>
                    <w:pageBreakBefore w:val="0"/>
                    <w:widowControl/>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color w:val="auto"/>
                      <w:sz w:val="21"/>
                      <w:szCs w:val="21"/>
                    </w:rPr>
                  </w:pPr>
                  <w:r>
                    <w:rPr>
                      <w:color w:val="auto"/>
                      <w:sz w:val="21"/>
                      <w:szCs w:val="21"/>
                    </w:rPr>
                    <w:drawing>
                      <wp:inline distT="0" distB="0" distL="114300" distR="114300">
                        <wp:extent cx="895350" cy="638175"/>
                        <wp:effectExtent l="0" t="0" r="6350" b="9525"/>
                        <wp:docPr id="33" name="图片 33" descr=")CO78GYEM0__E0PWK}J~B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O78GYEM0__E0PWK}J~BHO"/>
                                <pic:cNvPicPr>
                                  <a:picLocks noChangeAspect="1"/>
                                </pic:cNvPicPr>
                              </pic:nvPicPr>
                              <pic:blipFill>
                                <a:blip r:embed="rId36"/>
                                <a:stretch>
                                  <a:fillRect/>
                                </a:stretch>
                              </pic:blipFill>
                              <pic:spPr>
                                <a:xfrm>
                                  <a:off x="0" y="0"/>
                                  <a:ext cx="895350" cy="638175"/>
                                </a:xfrm>
                                <a:prstGeom prst="rect">
                                  <a:avLst/>
                                </a:prstGeom>
                                <a:noFill/>
                                <a:ln>
                                  <a:noFill/>
                                </a:ln>
                              </pic:spPr>
                            </pic:pic>
                          </a:graphicData>
                        </a:graphic>
                      </wp:inline>
                    </w:drawing>
                  </w:r>
                </w:p>
              </w:tc>
              <w:tc>
                <w:tcPr>
                  <w:tcW w:w="1191" w:type="pct"/>
                  <w:noWrap w:val="0"/>
                  <w:vAlign w:val="center"/>
                </w:tcPr>
                <w:p w14:paraId="0AA3259D">
                  <w:pPr>
                    <w:keepNext w:val="0"/>
                    <w:keepLines w:val="0"/>
                    <w:pageBreakBefore w:val="0"/>
                    <w:widowControl/>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color w:val="auto"/>
                      <w:sz w:val="21"/>
                      <w:szCs w:val="21"/>
                    </w:rPr>
                  </w:pPr>
                  <w:r>
                    <w:rPr>
                      <w:color w:val="auto"/>
                      <w:sz w:val="21"/>
                      <w:szCs w:val="21"/>
                    </w:rPr>
                    <w:t>废气排放口</w:t>
                  </w:r>
                </w:p>
              </w:tc>
              <w:tc>
                <w:tcPr>
                  <w:tcW w:w="1381" w:type="pct"/>
                  <w:noWrap w:val="0"/>
                  <w:vAlign w:val="center"/>
                </w:tcPr>
                <w:p w14:paraId="6AEF5384">
                  <w:pPr>
                    <w:keepNext w:val="0"/>
                    <w:keepLines w:val="0"/>
                    <w:pageBreakBefore w:val="0"/>
                    <w:widowControl/>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color w:val="auto"/>
                      <w:sz w:val="21"/>
                      <w:szCs w:val="21"/>
                    </w:rPr>
                  </w:pPr>
                  <w:r>
                    <w:rPr>
                      <w:color w:val="auto"/>
                      <w:sz w:val="21"/>
                      <w:szCs w:val="21"/>
                    </w:rPr>
                    <w:t>表示废气向大气环境排放</w:t>
                  </w:r>
                </w:p>
              </w:tc>
            </w:tr>
            <w:tr w14:paraId="7EA43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7" w:hRule="atLeast"/>
                <w:jc w:val="center"/>
              </w:trPr>
              <w:tc>
                <w:tcPr>
                  <w:tcW w:w="447" w:type="pct"/>
                  <w:noWrap w:val="0"/>
                  <w:vAlign w:val="center"/>
                </w:tcPr>
                <w:p w14:paraId="27F92B25">
                  <w:pPr>
                    <w:keepNext w:val="0"/>
                    <w:keepLines w:val="0"/>
                    <w:pageBreakBefore w:val="0"/>
                    <w:widowControl/>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rFonts w:hint="eastAsia" w:eastAsia="宋体"/>
                      <w:color w:val="auto"/>
                      <w:sz w:val="21"/>
                      <w:szCs w:val="21"/>
                      <w:lang w:eastAsia="zh-CN"/>
                    </w:rPr>
                  </w:pPr>
                  <w:r>
                    <w:rPr>
                      <w:rFonts w:hint="eastAsia"/>
                      <w:color w:val="auto"/>
                      <w:sz w:val="21"/>
                      <w:szCs w:val="21"/>
                      <w:lang w:val="en-US" w:eastAsia="zh-CN"/>
                    </w:rPr>
                    <w:t>2</w:t>
                  </w:r>
                </w:p>
              </w:tc>
              <w:tc>
                <w:tcPr>
                  <w:tcW w:w="927" w:type="pct"/>
                  <w:noWrap w:val="0"/>
                  <w:vAlign w:val="center"/>
                </w:tcPr>
                <w:p w14:paraId="58975E51">
                  <w:pPr>
                    <w:keepNext w:val="0"/>
                    <w:keepLines w:val="0"/>
                    <w:pageBreakBefore w:val="0"/>
                    <w:widowControl/>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color w:val="auto"/>
                      <w:sz w:val="21"/>
                      <w:szCs w:val="21"/>
                    </w:rPr>
                  </w:pPr>
                  <w:r>
                    <w:rPr>
                      <w:color w:val="auto"/>
                      <w:sz w:val="21"/>
                      <w:szCs w:val="21"/>
                    </w:rPr>
                    <w:drawing>
                      <wp:inline distT="0" distB="0" distL="114300" distR="114300">
                        <wp:extent cx="895350" cy="619125"/>
                        <wp:effectExtent l="0" t="0" r="6350" b="3175"/>
                        <wp:docPr id="34" name="图片 34" descr="1_6NTSTZZAB3LN)ZML~1X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1_6NTSTZZAB3LN)ZML~1XAK"/>
                                <pic:cNvPicPr>
                                  <a:picLocks noChangeAspect="1"/>
                                </pic:cNvPicPr>
                              </pic:nvPicPr>
                              <pic:blipFill>
                                <a:blip r:embed="rId37"/>
                                <a:stretch>
                                  <a:fillRect/>
                                </a:stretch>
                              </pic:blipFill>
                              <pic:spPr>
                                <a:xfrm>
                                  <a:off x="0" y="0"/>
                                  <a:ext cx="895350" cy="619125"/>
                                </a:xfrm>
                                <a:prstGeom prst="rect">
                                  <a:avLst/>
                                </a:prstGeom>
                                <a:noFill/>
                                <a:ln>
                                  <a:noFill/>
                                </a:ln>
                              </pic:spPr>
                            </pic:pic>
                          </a:graphicData>
                        </a:graphic>
                      </wp:inline>
                    </w:drawing>
                  </w:r>
                </w:p>
              </w:tc>
              <w:tc>
                <w:tcPr>
                  <w:tcW w:w="1052" w:type="pct"/>
                  <w:noWrap w:val="0"/>
                  <w:vAlign w:val="center"/>
                </w:tcPr>
                <w:p w14:paraId="27A65FB1">
                  <w:pPr>
                    <w:keepNext w:val="0"/>
                    <w:keepLines w:val="0"/>
                    <w:pageBreakBefore w:val="0"/>
                    <w:widowControl/>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color w:val="auto"/>
                      <w:sz w:val="21"/>
                      <w:szCs w:val="21"/>
                    </w:rPr>
                  </w:pPr>
                  <w:r>
                    <w:rPr>
                      <w:color w:val="auto"/>
                      <w:sz w:val="21"/>
                      <w:szCs w:val="21"/>
                    </w:rPr>
                    <w:drawing>
                      <wp:inline distT="0" distB="0" distL="114300" distR="114300">
                        <wp:extent cx="828675" cy="628650"/>
                        <wp:effectExtent l="0" t="0" r="9525" b="6350"/>
                        <wp:docPr id="35" name="图片 35" descr="9IADFLE`%R6CV}S~1MNV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9IADFLE`%R6CV}S~1MNVA%G"/>
                                <pic:cNvPicPr>
                                  <a:picLocks noChangeAspect="1"/>
                                </pic:cNvPicPr>
                              </pic:nvPicPr>
                              <pic:blipFill>
                                <a:blip r:embed="rId38"/>
                                <a:stretch>
                                  <a:fillRect/>
                                </a:stretch>
                              </pic:blipFill>
                              <pic:spPr>
                                <a:xfrm>
                                  <a:off x="0" y="0"/>
                                  <a:ext cx="828675" cy="628650"/>
                                </a:xfrm>
                                <a:prstGeom prst="rect">
                                  <a:avLst/>
                                </a:prstGeom>
                                <a:noFill/>
                                <a:ln>
                                  <a:noFill/>
                                </a:ln>
                              </pic:spPr>
                            </pic:pic>
                          </a:graphicData>
                        </a:graphic>
                      </wp:inline>
                    </w:drawing>
                  </w:r>
                </w:p>
              </w:tc>
              <w:tc>
                <w:tcPr>
                  <w:tcW w:w="1191" w:type="pct"/>
                  <w:noWrap w:val="0"/>
                  <w:vAlign w:val="center"/>
                </w:tcPr>
                <w:p w14:paraId="792FC3E9">
                  <w:pPr>
                    <w:keepNext w:val="0"/>
                    <w:keepLines w:val="0"/>
                    <w:pageBreakBefore w:val="0"/>
                    <w:widowControl/>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color w:val="auto"/>
                      <w:sz w:val="21"/>
                      <w:szCs w:val="21"/>
                    </w:rPr>
                  </w:pPr>
                  <w:r>
                    <w:rPr>
                      <w:color w:val="auto"/>
                      <w:sz w:val="21"/>
                      <w:szCs w:val="21"/>
                    </w:rPr>
                    <w:t>噪声排放源</w:t>
                  </w:r>
                </w:p>
              </w:tc>
              <w:tc>
                <w:tcPr>
                  <w:tcW w:w="1381" w:type="pct"/>
                  <w:noWrap w:val="0"/>
                  <w:vAlign w:val="center"/>
                </w:tcPr>
                <w:p w14:paraId="25E166C6">
                  <w:pPr>
                    <w:keepNext w:val="0"/>
                    <w:keepLines w:val="0"/>
                    <w:pageBreakBefore w:val="0"/>
                    <w:widowControl/>
                    <w:kinsoku/>
                    <w:wordWrap w:val="0"/>
                    <w:overflowPunct/>
                    <w:topLinePunct/>
                    <w:autoSpaceDE/>
                    <w:autoSpaceDN/>
                    <w:bidi w:val="0"/>
                    <w:adjustRightInd w:val="0"/>
                    <w:snapToGrid w:val="0"/>
                    <w:spacing w:line="240" w:lineRule="auto"/>
                    <w:ind w:left="0" w:leftChars="0" w:firstLine="0" w:firstLineChars="0"/>
                    <w:jc w:val="center"/>
                    <w:textAlignment w:val="auto"/>
                    <w:outlineLvl w:val="9"/>
                    <w:rPr>
                      <w:color w:val="auto"/>
                      <w:sz w:val="21"/>
                      <w:szCs w:val="21"/>
                    </w:rPr>
                  </w:pPr>
                  <w:r>
                    <w:rPr>
                      <w:color w:val="auto"/>
                      <w:sz w:val="21"/>
                      <w:szCs w:val="21"/>
                    </w:rPr>
                    <w:t>表示噪声向外环境排放</w:t>
                  </w:r>
                </w:p>
              </w:tc>
            </w:tr>
          </w:tbl>
          <w:p w14:paraId="252BB1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rPr>
                <w:rFonts w:hint="eastAsia"/>
                <w:color w:val="auto"/>
                <w:sz w:val="21"/>
                <w:szCs w:val="21"/>
              </w:rPr>
            </w:pPr>
          </w:p>
          <w:p w14:paraId="4DC37E5C">
            <w:pPr>
              <w:keepNext w:val="0"/>
              <w:keepLines w:val="0"/>
              <w:widowControl/>
              <w:suppressLineNumbers w:val="0"/>
              <w:jc w:val="left"/>
              <w:rPr>
                <w:rFonts w:ascii="宋体"/>
                <w:color w:val="auto"/>
                <w:sz w:val="24"/>
                <w:szCs w:val="24"/>
              </w:rPr>
            </w:pPr>
          </w:p>
        </w:tc>
      </w:tr>
    </w:tbl>
    <w:p w14:paraId="6DA91B67">
      <w:pPr>
        <w:adjustRightInd w:val="0"/>
        <w:snapToGrid w:val="0"/>
        <w:jc w:val="center"/>
        <w:rPr>
          <w:rFonts w:ascii="宋体"/>
          <w:color w:val="auto"/>
          <w:sz w:val="24"/>
          <w:szCs w:val="24"/>
        </w:rPr>
      </w:pPr>
    </w:p>
    <w:p w14:paraId="6D35D513">
      <w:pPr>
        <w:adjustRightInd w:val="0"/>
        <w:snapToGrid w:val="0"/>
        <w:spacing w:line="360" w:lineRule="auto"/>
        <w:jc w:val="center"/>
        <w:rPr>
          <w:rFonts w:ascii="黑体" w:hAnsi="黑体" w:eastAsia="黑体"/>
          <w:snapToGrid w:val="0"/>
          <w:color w:val="auto"/>
          <w:sz w:val="30"/>
          <w:szCs w:val="30"/>
        </w:rPr>
      </w:pPr>
      <w:r>
        <w:rPr>
          <w:rFonts w:ascii="宋体"/>
          <w:color w:val="auto"/>
          <w:sz w:val="24"/>
          <w:szCs w:val="24"/>
        </w:rPr>
        <w:br w:type="page"/>
      </w:r>
      <w:r>
        <w:rPr>
          <w:rFonts w:hint="eastAsia" w:ascii="黑体" w:hAnsi="黑体" w:eastAsia="黑体" w:cs="黑体"/>
          <w:snapToGrid w:val="0"/>
          <w:color w:val="auto"/>
          <w:sz w:val="30"/>
          <w:szCs w:val="30"/>
        </w:rPr>
        <w:t>六、结论</w:t>
      </w:r>
    </w:p>
    <w:tbl>
      <w:tblPr>
        <w:tblStyle w:val="3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330995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50" w:hRule="atLeast"/>
          <w:jc w:val="center"/>
        </w:trPr>
        <w:tc>
          <w:tcPr>
            <w:tcW w:w="9000" w:type="dxa"/>
            <w:tcBorders>
              <w:top w:val="single" w:color="auto" w:sz="8" w:space="0"/>
              <w:bottom w:val="single" w:color="auto" w:sz="8" w:space="0"/>
            </w:tcBorders>
          </w:tcPr>
          <w:p w14:paraId="587E7770">
            <w:pPr>
              <w:adjustRightInd w:val="0"/>
              <w:snapToGrid w:val="0"/>
              <w:spacing w:before="240" w:beforeLines="100" w:line="360" w:lineRule="auto"/>
              <w:ind w:firstLine="567"/>
              <w:rPr>
                <w:color w:val="auto"/>
                <w:sz w:val="24"/>
                <w:szCs w:val="24"/>
              </w:rPr>
            </w:pPr>
            <w:r>
              <w:rPr>
                <w:rFonts w:hint="eastAsia" w:cs="宋体"/>
                <w:color w:val="auto"/>
                <w:sz w:val="24"/>
                <w:szCs w:val="24"/>
                <w:lang w:eastAsia="zh-CN"/>
              </w:rPr>
              <w:t>濉溪县国华新型建材有限公司年产9000万块煤矸石标砖生产线节能环保升级改造项目</w:t>
            </w:r>
            <w:r>
              <w:rPr>
                <w:rFonts w:hint="eastAsia" w:cs="宋体"/>
                <w:color w:val="auto"/>
                <w:sz w:val="24"/>
                <w:szCs w:val="24"/>
              </w:rPr>
              <w:t>符合国家和地方产业政策</w:t>
            </w:r>
            <w:r>
              <w:rPr>
                <w:rFonts w:hint="eastAsia" w:cs="宋体"/>
                <w:color w:val="auto"/>
                <w:sz w:val="24"/>
                <w:szCs w:val="24"/>
                <w:lang w:eastAsia="zh-CN"/>
              </w:rPr>
              <w:t>，</w:t>
            </w:r>
            <w:r>
              <w:rPr>
                <w:rFonts w:hint="eastAsia" w:cs="宋体"/>
                <w:color w:val="auto"/>
                <w:sz w:val="24"/>
                <w:szCs w:val="24"/>
              </w:rPr>
              <w:t>选址符合用地要求；本项目采取各项污染防治措施后</w:t>
            </w:r>
            <w:r>
              <w:rPr>
                <w:rFonts w:hint="eastAsia" w:cs="宋体"/>
                <w:color w:val="auto"/>
                <w:sz w:val="24"/>
                <w:szCs w:val="24"/>
                <w:lang w:eastAsia="zh-CN"/>
              </w:rPr>
              <w:t>，</w:t>
            </w:r>
            <w:r>
              <w:rPr>
                <w:rFonts w:hint="eastAsia" w:cs="宋体"/>
                <w:color w:val="auto"/>
                <w:sz w:val="24"/>
                <w:szCs w:val="24"/>
              </w:rPr>
              <w:t>可使产生的各项污染物达标排放。本次评价认为项目在建设和生产运行过程中</w:t>
            </w:r>
            <w:r>
              <w:rPr>
                <w:rFonts w:hint="eastAsia" w:cs="宋体"/>
                <w:color w:val="auto"/>
                <w:sz w:val="24"/>
                <w:szCs w:val="24"/>
                <w:lang w:eastAsia="zh-CN"/>
              </w:rPr>
              <w:t>，</w:t>
            </w:r>
            <w:r>
              <w:rPr>
                <w:rFonts w:hint="eastAsia" w:cs="宋体"/>
                <w:color w:val="auto"/>
                <w:sz w:val="24"/>
                <w:szCs w:val="24"/>
              </w:rPr>
              <w:t>在严格落实环评报告中提出的各项污染防治措施的前提下</w:t>
            </w:r>
            <w:r>
              <w:rPr>
                <w:rFonts w:hint="eastAsia" w:cs="宋体"/>
                <w:color w:val="auto"/>
                <w:sz w:val="24"/>
                <w:szCs w:val="24"/>
                <w:lang w:eastAsia="zh-CN"/>
              </w:rPr>
              <w:t>，</w:t>
            </w:r>
            <w:r>
              <w:rPr>
                <w:rFonts w:hint="eastAsia" w:cs="宋体"/>
                <w:color w:val="auto"/>
                <w:sz w:val="24"/>
                <w:szCs w:val="24"/>
              </w:rPr>
              <w:t>从环境影响角度</w:t>
            </w:r>
            <w:r>
              <w:rPr>
                <w:rFonts w:hint="eastAsia" w:cs="宋体"/>
                <w:color w:val="auto"/>
                <w:sz w:val="24"/>
                <w:szCs w:val="24"/>
                <w:lang w:eastAsia="zh-CN"/>
              </w:rPr>
              <w:t>，</w:t>
            </w:r>
            <w:r>
              <w:rPr>
                <w:rFonts w:hint="eastAsia" w:cs="宋体"/>
                <w:color w:val="auto"/>
                <w:sz w:val="24"/>
                <w:szCs w:val="24"/>
              </w:rPr>
              <w:t>项目建设可行。</w:t>
            </w:r>
          </w:p>
          <w:p w14:paraId="09DD939F">
            <w:pPr>
              <w:pStyle w:val="46"/>
              <w:spacing w:line="360" w:lineRule="auto"/>
              <w:ind w:firstLine="480" w:firstLineChars="200"/>
              <w:rPr>
                <w:color w:val="auto"/>
              </w:rPr>
            </w:pPr>
          </w:p>
        </w:tc>
      </w:tr>
    </w:tbl>
    <w:p w14:paraId="4FFB3AAD">
      <w:pPr>
        <w:rPr>
          <w:rFonts w:ascii="宋体"/>
          <w:color w:val="auto"/>
        </w:rPr>
        <w:sectPr>
          <w:pgSz w:w="11906" w:h="16838"/>
          <w:pgMar w:top="1701" w:right="1531" w:bottom="1701" w:left="1531" w:header="851" w:footer="851" w:gutter="0"/>
          <w:cols w:space="720" w:num="1"/>
          <w:docGrid w:linePitch="312" w:charSpace="0"/>
        </w:sectPr>
      </w:pPr>
    </w:p>
    <w:p w14:paraId="53744066">
      <w:pPr>
        <w:pStyle w:val="34"/>
        <w:adjustRightInd w:val="0"/>
        <w:snapToGrid w:val="0"/>
        <w:spacing w:before="0" w:beforeAutospacing="0" w:after="0" w:afterAutospacing="0"/>
        <w:outlineLvl w:val="0"/>
        <w:rPr>
          <w:rFonts w:cs="Times New Roman"/>
          <w:snapToGrid w:val="0"/>
          <w:color w:val="auto"/>
          <w:sz w:val="32"/>
          <w:szCs w:val="32"/>
        </w:rPr>
      </w:pPr>
      <w:r>
        <w:rPr>
          <w:rFonts w:hint="eastAsia"/>
          <w:snapToGrid w:val="0"/>
          <w:color w:val="auto"/>
          <w:sz w:val="32"/>
          <w:szCs w:val="32"/>
        </w:rPr>
        <w:t>附表</w:t>
      </w:r>
    </w:p>
    <w:p w14:paraId="2524A6B9">
      <w:pPr>
        <w:pStyle w:val="34"/>
        <w:adjustRightInd w:val="0"/>
        <w:snapToGrid w:val="0"/>
        <w:spacing w:before="0" w:beforeAutospacing="0" w:after="0" w:afterAutospacing="0" w:line="360" w:lineRule="auto"/>
        <w:jc w:val="center"/>
        <w:outlineLvl w:val="0"/>
        <w:rPr>
          <w:rFonts w:cs="Times New Roman"/>
          <w:snapToGrid w:val="0"/>
          <w:color w:val="auto"/>
          <w:sz w:val="38"/>
          <w:szCs w:val="38"/>
        </w:rPr>
      </w:pPr>
      <w:r>
        <w:rPr>
          <w:rFonts w:hint="eastAsia"/>
          <w:snapToGrid w:val="0"/>
          <w:color w:val="auto"/>
          <w:sz w:val="38"/>
          <w:szCs w:val="38"/>
        </w:rPr>
        <w:t>建设项目污染物排放量汇总表</w:t>
      </w:r>
    </w:p>
    <w:tbl>
      <w:tblPr>
        <w:tblStyle w:val="37"/>
        <w:tblW w:w="124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735"/>
        <w:gridCol w:w="1235"/>
        <w:gridCol w:w="1153"/>
        <w:gridCol w:w="1537"/>
        <w:gridCol w:w="1411"/>
        <w:gridCol w:w="1600"/>
        <w:gridCol w:w="1617"/>
        <w:gridCol w:w="1283"/>
      </w:tblGrid>
      <w:tr w14:paraId="0A0733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905" w:type="dxa"/>
            <w:tcBorders>
              <w:top w:val="single" w:color="auto" w:sz="8" w:space="0"/>
              <w:tl2br w:val="single" w:color="auto" w:sz="4" w:space="0"/>
            </w:tcBorders>
            <w:tcMar>
              <w:left w:w="28" w:type="dxa"/>
              <w:right w:w="28" w:type="dxa"/>
            </w:tcMar>
            <w:vAlign w:val="center"/>
          </w:tcPr>
          <w:p w14:paraId="278F273D">
            <w:pPr>
              <w:jc w:val="center"/>
              <w:rPr>
                <w:rFonts w:hint="eastAsia"/>
                <w:color w:val="auto"/>
                <w:sz w:val="22"/>
                <w:szCs w:val="22"/>
                <w:highlight w:val="none"/>
                <w:lang w:val="en-US" w:eastAsia="zh-CN"/>
              </w:rPr>
            </w:pPr>
            <w:r>
              <w:rPr>
                <w:rFonts w:hint="eastAsia"/>
                <w:color w:val="auto"/>
                <w:sz w:val="22"/>
                <w:szCs w:val="22"/>
                <w:highlight w:val="none"/>
                <w:lang w:val="en-US" w:eastAsia="zh-CN"/>
              </w:rPr>
              <w:t xml:space="preserve">    项目</w:t>
            </w:r>
          </w:p>
          <w:p w14:paraId="74043F32">
            <w:pPr>
              <w:jc w:val="both"/>
              <w:rPr>
                <w:rFonts w:hint="eastAsia"/>
                <w:color w:val="auto"/>
                <w:sz w:val="22"/>
                <w:szCs w:val="22"/>
                <w:highlight w:val="none"/>
                <w:lang w:val="en-US" w:eastAsia="zh-CN"/>
              </w:rPr>
            </w:pPr>
            <w:r>
              <w:rPr>
                <w:rFonts w:hint="eastAsia"/>
                <w:color w:val="auto"/>
                <w:sz w:val="22"/>
                <w:szCs w:val="22"/>
                <w:highlight w:val="none"/>
                <w:lang w:val="en-US" w:eastAsia="zh-CN"/>
              </w:rPr>
              <w:t>分类</w:t>
            </w:r>
          </w:p>
        </w:tc>
        <w:tc>
          <w:tcPr>
            <w:tcW w:w="1735" w:type="dxa"/>
            <w:tcBorders>
              <w:top w:val="single" w:color="auto" w:sz="8" w:space="0"/>
            </w:tcBorders>
            <w:tcMar>
              <w:left w:w="28" w:type="dxa"/>
              <w:right w:w="28" w:type="dxa"/>
            </w:tcMar>
            <w:vAlign w:val="center"/>
          </w:tcPr>
          <w:p w14:paraId="748CE263">
            <w:pPr>
              <w:jc w:val="center"/>
              <w:rPr>
                <w:rFonts w:hint="eastAsia"/>
                <w:color w:val="auto"/>
                <w:sz w:val="22"/>
                <w:szCs w:val="22"/>
                <w:highlight w:val="none"/>
                <w:lang w:val="en-US" w:eastAsia="zh-CN"/>
              </w:rPr>
            </w:pPr>
            <w:r>
              <w:rPr>
                <w:rFonts w:hint="eastAsia"/>
                <w:color w:val="auto"/>
                <w:sz w:val="22"/>
                <w:szCs w:val="22"/>
                <w:highlight w:val="none"/>
                <w:lang w:val="en-US" w:eastAsia="zh-CN"/>
              </w:rPr>
              <w:t>污染物名称</w:t>
            </w:r>
          </w:p>
        </w:tc>
        <w:tc>
          <w:tcPr>
            <w:tcW w:w="1235" w:type="dxa"/>
            <w:tcBorders>
              <w:top w:val="single" w:color="auto" w:sz="8" w:space="0"/>
            </w:tcBorders>
            <w:tcMar>
              <w:left w:w="28" w:type="dxa"/>
              <w:right w:w="28" w:type="dxa"/>
            </w:tcMar>
            <w:vAlign w:val="center"/>
          </w:tcPr>
          <w:p w14:paraId="015C766D">
            <w:pPr>
              <w:jc w:val="center"/>
              <w:rPr>
                <w:rFonts w:hint="eastAsia"/>
                <w:color w:val="auto"/>
                <w:sz w:val="22"/>
                <w:szCs w:val="22"/>
                <w:highlight w:val="none"/>
                <w:lang w:val="en-US" w:eastAsia="zh-CN"/>
              </w:rPr>
            </w:pPr>
            <w:r>
              <w:rPr>
                <w:rFonts w:hint="eastAsia"/>
                <w:color w:val="auto"/>
                <w:sz w:val="22"/>
                <w:szCs w:val="22"/>
                <w:highlight w:val="none"/>
                <w:lang w:val="en-US" w:eastAsia="zh-CN"/>
              </w:rPr>
              <w:t>原有工程</w:t>
            </w:r>
          </w:p>
          <w:p w14:paraId="0B23B130">
            <w:pPr>
              <w:jc w:val="center"/>
              <w:rPr>
                <w:rFonts w:hint="eastAsia"/>
                <w:color w:val="auto"/>
                <w:sz w:val="22"/>
                <w:szCs w:val="22"/>
                <w:highlight w:val="none"/>
                <w:lang w:val="en-US" w:eastAsia="zh-CN"/>
              </w:rPr>
            </w:pPr>
            <w:r>
              <w:rPr>
                <w:rFonts w:hint="eastAsia"/>
                <w:color w:val="auto"/>
                <w:sz w:val="22"/>
                <w:szCs w:val="22"/>
                <w:highlight w:val="none"/>
                <w:lang w:val="en-US" w:eastAsia="zh-CN"/>
              </w:rPr>
              <w:t>排放量（固体废物产生量）</w:t>
            </w:r>
            <w:r>
              <w:rPr>
                <w:rFonts w:hint="eastAsia"/>
                <w:color w:val="auto"/>
                <w:sz w:val="22"/>
                <w:szCs w:val="22"/>
                <w:highlight w:val="none"/>
                <w:lang w:val="en-US" w:eastAsia="zh-CN"/>
              </w:rPr>
              <w:fldChar w:fldCharType="begin"/>
            </w:r>
            <w:r>
              <w:rPr>
                <w:rFonts w:hint="eastAsia"/>
                <w:color w:val="auto"/>
                <w:sz w:val="22"/>
                <w:szCs w:val="22"/>
                <w:highlight w:val="none"/>
                <w:lang w:val="en-US" w:eastAsia="zh-CN"/>
              </w:rPr>
              <w:instrText xml:space="preserve"> = 1 \* GB3 \* MERGEFORMAT </w:instrText>
            </w:r>
            <w:r>
              <w:rPr>
                <w:rFonts w:hint="eastAsia"/>
                <w:color w:val="auto"/>
                <w:sz w:val="22"/>
                <w:szCs w:val="22"/>
                <w:highlight w:val="none"/>
                <w:lang w:val="en-US" w:eastAsia="zh-CN"/>
              </w:rPr>
              <w:fldChar w:fldCharType="separate"/>
            </w:r>
            <w:r>
              <w:rPr>
                <w:rFonts w:hint="eastAsia"/>
                <w:color w:val="auto"/>
                <w:sz w:val="22"/>
                <w:szCs w:val="22"/>
                <w:highlight w:val="none"/>
                <w:lang w:val="en-US" w:eastAsia="zh-CN"/>
              </w:rPr>
              <w:t>①</w:t>
            </w:r>
            <w:r>
              <w:rPr>
                <w:rFonts w:hint="eastAsia"/>
                <w:color w:val="auto"/>
                <w:sz w:val="22"/>
                <w:szCs w:val="22"/>
                <w:highlight w:val="none"/>
                <w:lang w:val="en-US" w:eastAsia="zh-CN"/>
              </w:rPr>
              <w:fldChar w:fldCharType="end"/>
            </w:r>
          </w:p>
        </w:tc>
        <w:tc>
          <w:tcPr>
            <w:tcW w:w="1153" w:type="dxa"/>
            <w:tcBorders>
              <w:top w:val="single" w:color="auto" w:sz="8" w:space="0"/>
            </w:tcBorders>
            <w:tcMar>
              <w:left w:w="28" w:type="dxa"/>
              <w:right w:w="28" w:type="dxa"/>
            </w:tcMar>
            <w:vAlign w:val="center"/>
          </w:tcPr>
          <w:p w14:paraId="0A3FA115">
            <w:pPr>
              <w:jc w:val="center"/>
              <w:rPr>
                <w:rFonts w:hint="eastAsia"/>
                <w:color w:val="auto"/>
                <w:sz w:val="22"/>
                <w:szCs w:val="22"/>
                <w:highlight w:val="none"/>
                <w:lang w:val="en-US" w:eastAsia="zh-CN"/>
              </w:rPr>
            </w:pPr>
            <w:r>
              <w:rPr>
                <w:rFonts w:hint="eastAsia"/>
                <w:color w:val="auto"/>
                <w:sz w:val="22"/>
                <w:szCs w:val="22"/>
                <w:highlight w:val="none"/>
                <w:lang w:val="en-US" w:eastAsia="zh-CN"/>
              </w:rPr>
              <w:t>原有工程</w:t>
            </w:r>
          </w:p>
          <w:p w14:paraId="46C19263">
            <w:pPr>
              <w:jc w:val="center"/>
              <w:rPr>
                <w:rFonts w:hint="eastAsia"/>
                <w:color w:val="auto"/>
                <w:sz w:val="22"/>
                <w:szCs w:val="22"/>
                <w:highlight w:val="none"/>
                <w:lang w:val="en-US" w:eastAsia="zh-CN"/>
              </w:rPr>
            </w:pPr>
            <w:r>
              <w:rPr>
                <w:rFonts w:hint="eastAsia"/>
                <w:color w:val="auto"/>
                <w:sz w:val="22"/>
                <w:szCs w:val="22"/>
                <w:highlight w:val="none"/>
                <w:lang w:val="en-US" w:eastAsia="zh-CN"/>
              </w:rPr>
              <w:t>许可排放量</w:t>
            </w:r>
          </w:p>
          <w:p w14:paraId="53258A8E">
            <w:pPr>
              <w:jc w:val="center"/>
              <w:rPr>
                <w:rFonts w:hint="eastAsia"/>
                <w:color w:val="auto"/>
                <w:sz w:val="22"/>
                <w:szCs w:val="22"/>
                <w:highlight w:val="none"/>
                <w:lang w:val="en-US" w:eastAsia="zh-CN"/>
              </w:rPr>
            </w:pPr>
            <w:r>
              <w:rPr>
                <w:rFonts w:hint="eastAsia"/>
                <w:color w:val="auto"/>
                <w:sz w:val="22"/>
                <w:szCs w:val="22"/>
                <w:highlight w:val="none"/>
                <w:lang w:val="en-US" w:eastAsia="zh-CN"/>
              </w:rPr>
              <w:fldChar w:fldCharType="begin"/>
            </w:r>
            <w:r>
              <w:rPr>
                <w:rFonts w:hint="eastAsia"/>
                <w:color w:val="auto"/>
                <w:sz w:val="22"/>
                <w:szCs w:val="22"/>
                <w:highlight w:val="none"/>
                <w:lang w:val="en-US" w:eastAsia="zh-CN"/>
              </w:rPr>
              <w:instrText xml:space="preserve"> = 2 \* GB3 \* MERGEFORMAT </w:instrText>
            </w:r>
            <w:r>
              <w:rPr>
                <w:rFonts w:hint="eastAsia"/>
                <w:color w:val="auto"/>
                <w:sz w:val="22"/>
                <w:szCs w:val="22"/>
                <w:highlight w:val="none"/>
                <w:lang w:val="en-US" w:eastAsia="zh-CN"/>
              </w:rPr>
              <w:fldChar w:fldCharType="separate"/>
            </w:r>
            <w:r>
              <w:rPr>
                <w:rFonts w:hint="eastAsia"/>
                <w:color w:val="auto"/>
                <w:sz w:val="22"/>
                <w:szCs w:val="22"/>
                <w:highlight w:val="none"/>
                <w:lang w:val="en-US" w:eastAsia="zh-CN"/>
              </w:rPr>
              <w:t>②</w:t>
            </w:r>
            <w:r>
              <w:rPr>
                <w:rFonts w:hint="eastAsia"/>
                <w:color w:val="auto"/>
                <w:sz w:val="22"/>
                <w:szCs w:val="22"/>
                <w:highlight w:val="none"/>
                <w:lang w:val="en-US" w:eastAsia="zh-CN"/>
              </w:rPr>
              <w:fldChar w:fldCharType="end"/>
            </w:r>
          </w:p>
        </w:tc>
        <w:tc>
          <w:tcPr>
            <w:tcW w:w="1537" w:type="dxa"/>
            <w:tcBorders>
              <w:top w:val="single" w:color="auto" w:sz="8" w:space="0"/>
            </w:tcBorders>
            <w:tcMar>
              <w:left w:w="28" w:type="dxa"/>
              <w:right w:w="28" w:type="dxa"/>
            </w:tcMar>
            <w:vAlign w:val="center"/>
          </w:tcPr>
          <w:p w14:paraId="2C9AC51B">
            <w:pPr>
              <w:jc w:val="center"/>
              <w:rPr>
                <w:rFonts w:hint="eastAsia"/>
                <w:color w:val="auto"/>
                <w:sz w:val="22"/>
                <w:szCs w:val="22"/>
                <w:highlight w:val="none"/>
                <w:lang w:val="en-US" w:eastAsia="zh-CN"/>
              </w:rPr>
            </w:pPr>
            <w:r>
              <w:rPr>
                <w:rFonts w:hint="eastAsia"/>
                <w:color w:val="auto"/>
                <w:sz w:val="22"/>
                <w:szCs w:val="22"/>
                <w:highlight w:val="none"/>
                <w:lang w:val="en-US" w:eastAsia="zh-CN"/>
              </w:rPr>
              <w:t>在建工程</w:t>
            </w:r>
          </w:p>
          <w:p w14:paraId="42B553CD">
            <w:pPr>
              <w:jc w:val="center"/>
              <w:rPr>
                <w:rFonts w:hint="eastAsia"/>
                <w:color w:val="auto"/>
                <w:sz w:val="22"/>
                <w:szCs w:val="22"/>
                <w:highlight w:val="none"/>
                <w:lang w:val="en-US" w:eastAsia="zh-CN"/>
              </w:rPr>
            </w:pPr>
            <w:r>
              <w:rPr>
                <w:rFonts w:hint="eastAsia"/>
                <w:color w:val="auto"/>
                <w:sz w:val="22"/>
                <w:szCs w:val="22"/>
                <w:highlight w:val="none"/>
                <w:lang w:val="en-US" w:eastAsia="zh-CN"/>
              </w:rPr>
              <w:t>排放量（固体废物产生量）</w:t>
            </w:r>
            <w:r>
              <w:rPr>
                <w:rFonts w:hint="eastAsia"/>
                <w:color w:val="auto"/>
                <w:sz w:val="22"/>
                <w:szCs w:val="22"/>
                <w:highlight w:val="none"/>
                <w:lang w:val="en-US" w:eastAsia="zh-CN"/>
              </w:rPr>
              <w:fldChar w:fldCharType="begin"/>
            </w:r>
            <w:r>
              <w:rPr>
                <w:rFonts w:hint="eastAsia"/>
                <w:color w:val="auto"/>
                <w:sz w:val="22"/>
                <w:szCs w:val="22"/>
                <w:highlight w:val="none"/>
                <w:lang w:val="en-US" w:eastAsia="zh-CN"/>
              </w:rPr>
              <w:instrText xml:space="preserve"> = 3 \* GB3 \* MERGEFORMAT </w:instrText>
            </w:r>
            <w:r>
              <w:rPr>
                <w:rFonts w:hint="eastAsia"/>
                <w:color w:val="auto"/>
                <w:sz w:val="22"/>
                <w:szCs w:val="22"/>
                <w:highlight w:val="none"/>
                <w:lang w:val="en-US" w:eastAsia="zh-CN"/>
              </w:rPr>
              <w:fldChar w:fldCharType="separate"/>
            </w:r>
            <w:r>
              <w:rPr>
                <w:rFonts w:hint="eastAsia"/>
                <w:color w:val="auto"/>
                <w:sz w:val="22"/>
                <w:szCs w:val="22"/>
                <w:highlight w:val="none"/>
                <w:lang w:val="en-US" w:eastAsia="zh-CN"/>
              </w:rPr>
              <w:t>③</w:t>
            </w:r>
            <w:r>
              <w:rPr>
                <w:rFonts w:hint="eastAsia"/>
                <w:color w:val="auto"/>
                <w:sz w:val="22"/>
                <w:szCs w:val="22"/>
                <w:highlight w:val="none"/>
                <w:lang w:val="en-US" w:eastAsia="zh-CN"/>
              </w:rPr>
              <w:fldChar w:fldCharType="end"/>
            </w:r>
          </w:p>
        </w:tc>
        <w:tc>
          <w:tcPr>
            <w:tcW w:w="1411" w:type="dxa"/>
            <w:tcBorders>
              <w:top w:val="single" w:color="auto" w:sz="8" w:space="0"/>
            </w:tcBorders>
            <w:tcMar>
              <w:left w:w="28" w:type="dxa"/>
              <w:right w:w="28" w:type="dxa"/>
            </w:tcMar>
            <w:vAlign w:val="center"/>
          </w:tcPr>
          <w:p w14:paraId="6DE29830">
            <w:pPr>
              <w:jc w:val="center"/>
              <w:rPr>
                <w:rFonts w:hint="eastAsia"/>
                <w:color w:val="auto"/>
                <w:sz w:val="22"/>
                <w:szCs w:val="22"/>
                <w:highlight w:val="none"/>
                <w:lang w:val="en-US" w:eastAsia="zh-CN"/>
              </w:rPr>
            </w:pPr>
            <w:r>
              <w:rPr>
                <w:rFonts w:hint="eastAsia"/>
                <w:color w:val="auto"/>
                <w:sz w:val="22"/>
                <w:szCs w:val="22"/>
                <w:highlight w:val="none"/>
                <w:lang w:val="en-US" w:eastAsia="zh-CN"/>
              </w:rPr>
              <w:t>本项目</w:t>
            </w:r>
          </w:p>
          <w:p w14:paraId="4AC63D82">
            <w:pPr>
              <w:jc w:val="center"/>
              <w:rPr>
                <w:rFonts w:hint="eastAsia"/>
                <w:color w:val="auto"/>
                <w:sz w:val="22"/>
                <w:szCs w:val="22"/>
                <w:highlight w:val="none"/>
                <w:lang w:val="en-US" w:eastAsia="zh-CN"/>
              </w:rPr>
            </w:pPr>
            <w:r>
              <w:rPr>
                <w:rFonts w:hint="eastAsia"/>
                <w:color w:val="auto"/>
                <w:sz w:val="22"/>
                <w:szCs w:val="22"/>
                <w:highlight w:val="none"/>
                <w:lang w:val="en-US" w:eastAsia="zh-CN"/>
              </w:rPr>
              <w:t>排放量（固体废物产生量）</w:t>
            </w:r>
            <w:r>
              <w:rPr>
                <w:rFonts w:hint="eastAsia"/>
                <w:color w:val="auto"/>
                <w:sz w:val="22"/>
                <w:szCs w:val="22"/>
                <w:highlight w:val="none"/>
                <w:lang w:val="en-US" w:eastAsia="zh-CN"/>
              </w:rPr>
              <w:fldChar w:fldCharType="begin"/>
            </w:r>
            <w:r>
              <w:rPr>
                <w:rFonts w:hint="eastAsia"/>
                <w:color w:val="auto"/>
                <w:sz w:val="22"/>
                <w:szCs w:val="22"/>
                <w:highlight w:val="none"/>
                <w:lang w:val="en-US" w:eastAsia="zh-CN"/>
              </w:rPr>
              <w:instrText xml:space="preserve"> = 4 \* GB3 \* MERGEFORMAT </w:instrText>
            </w:r>
            <w:r>
              <w:rPr>
                <w:rFonts w:hint="eastAsia"/>
                <w:color w:val="auto"/>
                <w:sz w:val="22"/>
                <w:szCs w:val="22"/>
                <w:highlight w:val="none"/>
                <w:lang w:val="en-US" w:eastAsia="zh-CN"/>
              </w:rPr>
              <w:fldChar w:fldCharType="separate"/>
            </w:r>
            <w:r>
              <w:rPr>
                <w:rFonts w:hint="eastAsia"/>
                <w:color w:val="auto"/>
                <w:sz w:val="22"/>
                <w:szCs w:val="22"/>
                <w:highlight w:val="none"/>
                <w:lang w:val="en-US" w:eastAsia="zh-CN"/>
              </w:rPr>
              <w:t>④</w:t>
            </w:r>
            <w:r>
              <w:rPr>
                <w:rFonts w:hint="eastAsia"/>
                <w:color w:val="auto"/>
                <w:sz w:val="22"/>
                <w:szCs w:val="22"/>
                <w:highlight w:val="none"/>
                <w:lang w:val="en-US" w:eastAsia="zh-CN"/>
              </w:rPr>
              <w:fldChar w:fldCharType="end"/>
            </w:r>
          </w:p>
        </w:tc>
        <w:tc>
          <w:tcPr>
            <w:tcW w:w="1600" w:type="dxa"/>
            <w:tcBorders>
              <w:top w:val="single" w:color="auto" w:sz="8" w:space="0"/>
            </w:tcBorders>
            <w:tcMar>
              <w:left w:w="28" w:type="dxa"/>
              <w:right w:w="28" w:type="dxa"/>
            </w:tcMar>
            <w:vAlign w:val="center"/>
          </w:tcPr>
          <w:p w14:paraId="67FD2030">
            <w:pPr>
              <w:jc w:val="center"/>
              <w:rPr>
                <w:rFonts w:hint="eastAsia"/>
                <w:color w:val="auto"/>
                <w:sz w:val="22"/>
                <w:szCs w:val="22"/>
                <w:highlight w:val="none"/>
                <w:lang w:val="en-US" w:eastAsia="zh-CN"/>
              </w:rPr>
            </w:pPr>
            <w:r>
              <w:rPr>
                <w:rFonts w:hint="eastAsia"/>
                <w:color w:val="auto"/>
                <w:sz w:val="22"/>
                <w:szCs w:val="22"/>
                <w:highlight w:val="none"/>
                <w:lang w:val="en-US" w:eastAsia="zh-CN"/>
              </w:rPr>
              <w:t>以新带老削减量</w:t>
            </w:r>
          </w:p>
          <w:p w14:paraId="697DB634">
            <w:pPr>
              <w:jc w:val="center"/>
              <w:rPr>
                <w:rFonts w:hint="eastAsia"/>
                <w:color w:val="auto"/>
                <w:sz w:val="22"/>
                <w:szCs w:val="22"/>
                <w:highlight w:val="none"/>
                <w:lang w:val="en-US" w:eastAsia="zh-CN"/>
              </w:rPr>
            </w:pPr>
            <w:r>
              <w:rPr>
                <w:rFonts w:hint="eastAsia"/>
                <w:color w:val="auto"/>
                <w:sz w:val="22"/>
                <w:szCs w:val="22"/>
                <w:highlight w:val="none"/>
                <w:lang w:val="en-US" w:eastAsia="zh-CN"/>
              </w:rPr>
              <w:t>（新建项目不填）</w:t>
            </w:r>
            <w:r>
              <w:rPr>
                <w:rFonts w:hint="eastAsia"/>
                <w:color w:val="auto"/>
                <w:sz w:val="22"/>
                <w:szCs w:val="22"/>
                <w:highlight w:val="none"/>
                <w:lang w:val="en-US" w:eastAsia="zh-CN"/>
              </w:rPr>
              <w:fldChar w:fldCharType="begin"/>
            </w:r>
            <w:r>
              <w:rPr>
                <w:rFonts w:hint="eastAsia"/>
                <w:color w:val="auto"/>
                <w:sz w:val="22"/>
                <w:szCs w:val="22"/>
                <w:highlight w:val="none"/>
                <w:lang w:val="en-US" w:eastAsia="zh-CN"/>
              </w:rPr>
              <w:instrText xml:space="preserve"> = 5 \* GB3 \* MERGEFORMAT </w:instrText>
            </w:r>
            <w:r>
              <w:rPr>
                <w:rFonts w:hint="eastAsia"/>
                <w:color w:val="auto"/>
                <w:sz w:val="22"/>
                <w:szCs w:val="22"/>
                <w:highlight w:val="none"/>
                <w:lang w:val="en-US" w:eastAsia="zh-CN"/>
              </w:rPr>
              <w:fldChar w:fldCharType="separate"/>
            </w:r>
            <w:r>
              <w:rPr>
                <w:rFonts w:hint="eastAsia"/>
                <w:color w:val="auto"/>
                <w:sz w:val="22"/>
                <w:szCs w:val="22"/>
                <w:highlight w:val="none"/>
                <w:lang w:val="en-US" w:eastAsia="zh-CN"/>
              </w:rPr>
              <w:t>⑤</w:t>
            </w:r>
            <w:r>
              <w:rPr>
                <w:rFonts w:hint="eastAsia"/>
                <w:color w:val="auto"/>
                <w:sz w:val="22"/>
                <w:szCs w:val="22"/>
                <w:highlight w:val="none"/>
                <w:lang w:val="en-US" w:eastAsia="zh-CN"/>
              </w:rPr>
              <w:fldChar w:fldCharType="end"/>
            </w:r>
          </w:p>
        </w:tc>
        <w:tc>
          <w:tcPr>
            <w:tcW w:w="1617" w:type="dxa"/>
            <w:tcBorders>
              <w:top w:val="single" w:color="auto" w:sz="8" w:space="0"/>
            </w:tcBorders>
            <w:tcMar>
              <w:left w:w="28" w:type="dxa"/>
              <w:right w:w="28" w:type="dxa"/>
            </w:tcMar>
            <w:vAlign w:val="center"/>
          </w:tcPr>
          <w:p w14:paraId="68644BC7">
            <w:pPr>
              <w:jc w:val="center"/>
              <w:rPr>
                <w:rFonts w:hint="eastAsia"/>
                <w:color w:val="auto"/>
                <w:sz w:val="22"/>
                <w:szCs w:val="22"/>
                <w:highlight w:val="none"/>
                <w:lang w:val="en-US" w:eastAsia="zh-CN"/>
              </w:rPr>
            </w:pPr>
            <w:r>
              <w:rPr>
                <w:rFonts w:hint="eastAsia"/>
                <w:color w:val="auto"/>
                <w:sz w:val="22"/>
                <w:szCs w:val="22"/>
                <w:highlight w:val="none"/>
                <w:lang w:val="en-US" w:eastAsia="zh-CN"/>
              </w:rPr>
              <w:t>本项目建成后</w:t>
            </w:r>
          </w:p>
          <w:p w14:paraId="7CF01126">
            <w:pPr>
              <w:jc w:val="center"/>
              <w:rPr>
                <w:rFonts w:hint="eastAsia"/>
                <w:color w:val="auto"/>
                <w:sz w:val="22"/>
                <w:szCs w:val="22"/>
                <w:highlight w:val="none"/>
                <w:lang w:val="en-US" w:eastAsia="zh-CN"/>
              </w:rPr>
            </w:pPr>
            <w:r>
              <w:rPr>
                <w:rFonts w:hint="eastAsia"/>
                <w:color w:val="auto"/>
                <w:sz w:val="22"/>
                <w:szCs w:val="22"/>
                <w:highlight w:val="none"/>
                <w:lang w:val="en-US" w:eastAsia="zh-CN"/>
              </w:rPr>
              <w:t>全厂排放量（固体废物产生量）</w:t>
            </w:r>
            <w:r>
              <w:rPr>
                <w:rFonts w:hint="eastAsia"/>
                <w:color w:val="auto"/>
                <w:sz w:val="22"/>
                <w:szCs w:val="22"/>
                <w:highlight w:val="none"/>
                <w:lang w:val="en-US" w:eastAsia="zh-CN"/>
              </w:rPr>
              <w:fldChar w:fldCharType="begin"/>
            </w:r>
            <w:r>
              <w:rPr>
                <w:rFonts w:hint="eastAsia"/>
                <w:color w:val="auto"/>
                <w:sz w:val="22"/>
                <w:szCs w:val="22"/>
                <w:highlight w:val="none"/>
                <w:lang w:val="en-US" w:eastAsia="zh-CN"/>
              </w:rPr>
              <w:instrText xml:space="preserve"> = 6 \* GB3 \* MERGEFORMAT </w:instrText>
            </w:r>
            <w:r>
              <w:rPr>
                <w:rFonts w:hint="eastAsia"/>
                <w:color w:val="auto"/>
                <w:sz w:val="22"/>
                <w:szCs w:val="22"/>
                <w:highlight w:val="none"/>
                <w:lang w:val="en-US" w:eastAsia="zh-CN"/>
              </w:rPr>
              <w:fldChar w:fldCharType="separate"/>
            </w:r>
            <w:r>
              <w:rPr>
                <w:rFonts w:hint="eastAsia"/>
                <w:color w:val="auto"/>
                <w:sz w:val="22"/>
                <w:szCs w:val="22"/>
                <w:highlight w:val="none"/>
                <w:lang w:val="en-US" w:eastAsia="zh-CN"/>
              </w:rPr>
              <w:t>⑥</w:t>
            </w:r>
            <w:r>
              <w:rPr>
                <w:rFonts w:hint="eastAsia"/>
                <w:color w:val="auto"/>
                <w:sz w:val="22"/>
                <w:szCs w:val="22"/>
                <w:highlight w:val="none"/>
                <w:lang w:val="en-US" w:eastAsia="zh-CN"/>
              </w:rPr>
              <w:fldChar w:fldCharType="end"/>
            </w:r>
          </w:p>
        </w:tc>
        <w:tc>
          <w:tcPr>
            <w:tcW w:w="1283" w:type="dxa"/>
            <w:tcBorders>
              <w:top w:val="single" w:color="auto" w:sz="8" w:space="0"/>
            </w:tcBorders>
            <w:tcMar>
              <w:left w:w="28" w:type="dxa"/>
              <w:right w:w="28" w:type="dxa"/>
            </w:tcMar>
            <w:vAlign w:val="center"/>
          </w:tcPr>
          <w:p w14:paraId="4F10DA84">
            <w:pPr>
              <w:jc w:val="center"/>
              <w:rPr>
                <w:rFonts w:hint="eastAsia"/>
                <w:color w:val="auto"/>
                <w:sz w:val="22"/>
                <w:szCs w:val="22"/>
                <w:highlight w:val="none"/>
                <w:lang w:val="en-US" w:eastAsia="zh-CN"/>
              </w:rPr>
            </w:pPr>
            <w:r>
              <w:rPr>
                <w:rFonts w:hint="eastAsia"/>
                <w:color w:val="auto"/>
                <w:sz w:val="22"/>
                <w:szCs w:val="22"/>
                <w:highlight w:val="none"/>
                <w:lang w:val="en-US" w:eastAsia="zh-CN"/>
              </w:rPr>
              <w:t>变化量</w:t>
            </w:r>
          </w:p>
          <w:p w14:paraId="4738F372">
            <w:pPr>
              <w:jc w:val="center"/>
              <w:rPr>
                <w:rFonts w:hint="eastAsia"/>
                <w:color w:val="auto"/>
                <w:sz w:val="22"/>
                <w:szCs w:val="22"/>
                <w:highlight w:val="none"/>
                <w:lang w:val="en-US" w:eastAsia="zh-CN"/>
              </w:rPr>
            </w:pPr>
            <w:r>
              <w:rPr>
                <w:rFonts w:hint="eastAsia"/>
                <w:color w:val="auto"/>
                <w:sz w:val="22"/>
                <w:szCs w:val="22"/>
                <w:highlight w:val="none"/>
                <w:lang w:val="en-US" w:eastAsia="zh-CN"/>
              </w:rPr>
              <w:fldChar w:fldCharType="begin"/>
            </w:r>
            <w:r>
              <w:rPr>
                <w:rFonts w:hint="eastAsia"/>
                <w:color w:val="auto"/>
                <w:sz w:val="22"/>
                <w:szCs w:val="22"/>
                <w:highlight w:val="none"/>
                <w:lang w:val="en-US" w:eastAsia="zh-CN"/>
              </w:rPr>
              <w:instrText xml:space="preserve"> = 7 \* GB3 \* MERGEFORMAT </w:instrText>
            </w:r>
            <w:r>
              <w:rPr>
                <w:rFonts w:hint="eastAsia"/>
                <w:color w:val="auto"/>
                <w:sz w:val="22"/>
                <w:szCs w:val="22"/>
                <w:highlight w:val="none"/>
                <w:lang w:val="en-US" w:eastAsia="zh-CN"/>
              </w:rPr>
              <w:fldChar w:fldCharType="separate"/>
            </w:r>
            <w:r>
              <w:rPr>
                <w:rFonts w:hint="eastAsia"/>
                <w:color w:val="auto"/>
                <w:sz w:val="22"/>
                <w:szCs w:val="22"/>
                <w:highlight w:val="none"/>
                <w:lang w:val="en-US" w:eastAsia="zh-CN"/>
              </w:rPr>
              <w:t>⑦</w:t>
            </w:r>
            <w:r>
              <w:rPr>
                <w:rFonts w:hint="eastAsia"/>
                <w:color w:val="auto"/>
                <w:sz w:val="22"/>
                <w:szCs w:val="22"/>
                <w:highlight w:val="none"/>
                <w:lang w:val="en-US" w:eastAsia="zh-CN"/>
              </w:rPr>
              <w:fldChar w:fldCharType="end"/>
            </w:r>
          </w:p>
        </w:tc>
      </w:tr>
      <w:tr w14:paraId="7664EA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05" w:type="dxa"/>
            <w:vMerge w:val="restart"/>
            <w:vAlign w:val="center"/>
          </w:tcPr>
          <w:p w14:paraId="2FBDD739">
            <w:pPr>
              <w:jc w:val="center"/>
              <w:rPr>
                <w:rFonts w:hint="eastAsia"/>
                <w:color w:val="auto"/>
                <w:sz w:val="22"/>
                <w:szCs w:val="22"/>
                <w:highlight w:val="none"/>
                <w:lang w:val="en-US" w:eastAsia="zh-CN"/>
              </w:rPr>
            </w:pPr>
            <w:r>
              <w:rPr>
                <w:rFonts w:hint="eastAsia"/>
                <w:color w:val="auto"/>
                <w:sz w:val="22"/>
                <w:szCs w:val="22"/>
                <w:highlight w:val="none"/>
                <w:lang w:val="en-US" w:eastAsia="zh-CN"/>
              </w:rPr>
              <w:t>废气</w:t>
            </w:r>
          </w:p>
        </w:tc>
        <w:tc>
          <w:tcPr>
            <w:tcW w:w="1735" w:type="dxa"/>
            <w:vAlign w:val="center"/>
          </w:tcPr>
          <w:p w14:paraId="4D0D2E3B">
            <w:pPr>
              <w:jc w:val="center"/>
              <w:rPr>
                <w:rFonts w:hint="eastAsia"/>
                <w:color w:val="auto"/>
                <w:sz w:val="22"/>
                <w:szCs w:val="22"/>
                <w:highlight w:val="none"/>
                <w:lang w:val="en-US" w:eastAsia="zh-CN"/>
              </w:rPr>
            </w:pPr>
            <w:r>
              <w:rPr>
                <w:rFonts w:hint="eastAsia"/>
                <w:color w:val="auto"/>
                <w:sz w:val="22"/>
                <w:szCs w:val="22"/>
                <w:highlight w:val="none"/>
                <w:lang w:val="en-US" w:eastAsia="zh-CN"/>
              </w:rPr>
              <w:t>颗粒物</w:t>
            </w:r>
          </w:p>
        </w:tc>
        <w:tc>
          <w:tcPr>
            <w:tcW w:w="1235" w:type="dxa"/>
            <w:vAlign w:val="center"/>
          </w:tcPr>
          <w:p w14:paraId="557E96BD">
            <w:pPr>
              <w:pStyle w:val="14"/>
              <w:spacing w:after="0"/>
              <w:ind w:left="0" w:leftChars="0"/>
              <w:jc w:val="center"/>
              <w:rPr>
                <w:rFonts w:hint="eastAsia"/>
                <w:color w:val="auto"/>
                <w:sz w:val="22"/>
                <w:szCs w:val="22"/>
                <w:highlight w:val="none"/>
                <w:lang w:val="en-US" w:eastAsia="zh-CN"/>
              </w:rPr>
            </w:pPr>
          </w:p>
        </w:tc>
        <w:tc>
          <w:tcPr>
            <w:tcW w:w="1153" w:type="dxa"/>
            <w:vAlign w:val="center"/>
          </w:tcPr>
          <w:p w14:paraId="40CEAB4B">
            <w:pPr>
              <w:pStyle w:val="14"/>
              <w:spacing w:after="0"/>
              <w:ind w:left="0" w:leftChars="0"/>
              <w:jc w:val="center"/>
              <w:rPr>
                <w:rFonts w:hint="default" w:ascii="Times New Roman" w:hAnsi="Times New Roman" w:eastAsia="宋体" w:cs="Times New Roman"/>
                <w:color w:val="auto"/>
                <w:sz w:val="21"/>
                <w:szCs w:val="21"/>
                <w:lang w:val="en-US" w:eastAsia="zh-CN"/>
              </w:rPr>
            </w:pPr>
          </w:p>
        </w:tc>
        <w:tc>
          <w:tcPr>
            <w:tcW w:w="1537" w:type="dxa"/>
            <w:vAlign w:val="center"/>
          </w:tcPr>
          <w:p w14:paraId="5934A35C">
            <w:pPr>
              <w:pStyle w:val="14"/>
              <w:spacing w:after="0"/>
              <w:ind w:left="0" w:leftChars="0"/>
              <w:jc w:val="center"/>
              <w:rPr>
                <w:rFonts w:hint="eastAsia" w:ascii="Times New Roman" w:hAnsi="Times New Roman" w:eastAsia="宋体" w:cs="Times New Roman"/>
                <w:color w:val="auto"/>
                <w:sz w:val="21"/>
                <w:szCs w:val="21"/>
                <w:lang w:val="en-US" w:eastAsia="zh-CN"/>
              </w:rPr>
            </w:pPr>
          </w:p>
        </w:tc>
        <w:tc>
          <w:tcPr>
            <w:tcW w:w="1411" w:type="dxa"/>
            <w:vAlign w:val="center"/>
          </w:tcPr>
          <w:p w14:paraId="54A6B171">
            <w:pPr>
              <w:pStyle w:val="14"/>
              <w:spacing w:after="0"/>
              <w:ind w:left="0" w:leftChars="0"/>
              <w:jc w:val="center"/>
              <w:rPr>
                <w:rFonts w:hint="eastAsia" w:ascii="Times New Roman" w:hAnsi="Times New Roman" w:eastAsia="宋体" w:cs="Times New Roman"/>
                <w:color w:val="auto"/>
                <w:sz w:val="21"/>
                <w:szCs w:val="21"/>
                <w:lang w:val="en-US" w:eastAsia="zh-CN"/>
              </w:rPr>
            </w:pPr>
          </w:p>
        </w:tc>
        <w:tc>
          <w:tcPr>
            <w:tcW w:w="1600" w:type="dxa"/>
            <w:vAlign w:val="center"/>
          </w:tcPr>
          <w:p w14:paraId="71551F70">
            <w:pPr>
              <w:pStyle w:val="14"/>
              <w:spacing w:after="0"/>
              <w:ind w:left="0" w:leftChars="0"/>
              <w:jc w:val="center"/>
              <w:rPr>
                <w:rFonts w:hint="eastAsia" w:ascii="Times New Roman" w:hAnsi="Times New Roman" w:eastAsia="宋体" w:cs="Times New Roman"/>
                <w:color w:val="auto"/>
                <w:sz w:val="21"/>
                <w:szCs w:val="21"/>
                <w:lang w:val="en-US" w:eastAsia="zh-CN"/>
              </w:rPr>
            </w:pPr>
          </w:p>
        </w:tc>
        <w:tc>
          <w:tcPr>
            <w:tcW w:w="1617" w:type="dxa"/>
            <w:vAlign w:val="center"/>
          </w:tcPr>
          <w:p w14:paraId="4AA18DF0">
            <w:pPr>
              <w:pStyle w:val="14"/>
              <w:spacing w:after="0"/>
              <w:ind w:left="0" w:leftChars="0"/>
              <w:jc w:val="center"/>
              <w:rPr>
                <w:rFonts w:hint="default" w:ascii="Times New Roman" w:hAnsi="Times New Roman" w:eastAsia="宋体" w:cs="Times New Roman"/>
                <w:color w:val="auto"/>
                <w:sz w:val="21"/>
                <w:szCs w:val="21"/>
                <w:lang w:val="en-US" w:eastAsia="zh-CN"/>
              </w:rPr>
            </w:pPr>
          </w:p>
        </w:tc>
        <w:tc>
          <w:tcPr>
            <w:tcW w:w="1283" w:type="dxa"/>
            <w:vAlign w:val="center"/>
          </w:tcPr>
          <w:p w14:paraId="1A224C86">
            <w:pPr>
              <w:pStyle w:val="14"/>
              <w:spacing w:after="0"/>
              <w:ind w:left="0" w:leftChars="0"/>
              <w:jc w:val="center"/>
              <w:rPr>
                <w:rFonts w:hint="default" w:ascii="Times New Roman" w:hAnsi="Times New Roman" w:eastAsia="宋体" w:cs="Times New Roman"/>
                <w:color w:val="auto"/>
                <w:sz w:val="21"/>
                <w:szCs w:val="21"/>
                <w:lang w:val="en-US" w:eastAsia="zh-CN"/>
              </w:rPr>
            </w:pPr>
          </w:p>
        </w:tc>
      </w:tr>
      <w:tr w14:paraId="5AF0B1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05" w:type="dxa"/>
            <w:vMerge w:val="continue"/>
            <w:vAlign w:val="center"/>
          </w:tcPr>
          <w:p w14:paraId="5F4F5302">
            <w:pPr>
              <w:jc w:val="center"/>
              <w:rPr>
                <w:rFonts w:hint="eastAsia"/>
                <w:color w:val="auto"/>
                <w:sz w:val="22"/>
                <w:szCs w:val="22"/>
                <w:highlight w:val="none"/>
                <w:lang w:val="en-US" w:eastAsia="zh-CN"/>
              </w:rPr>
            </w:pPr>
          </w:p>
        </w:tc>
        <w:tc>
          <w:tcPr>
            <w:tcW w:w="1735" w:type="dxa"/>
            <w:vAlign w:val="center"/>
          </w:tcPr>
          <w:p w14:paraId="2756804C">
            <w:pPr>
              <w:jc w:val="center"/>
              <w:rPr>
                <w:rFonts w:hint="eastAsia"/>
                <w:color w:val="auto"/>
                <w:sz w:val="22"/>
                <w:szCs w:val="22"/>
                <w:highlight w:val="none"/>
                <w:lang w:val="en-US" w:eastAsia="zh-CN"/>
              </w:rPr>
            </w:pPr>
            <w:r>
              <w:rPr>
                <w:rFonts w:hint="eastAsia"/>
                <w:color w:val="auto"/>
                <w:sz w:val="22"/>
                <w:szCs w:val="22"/>
                <w:highlight w:val="none"/>
                <w:lang w:val="en-US" w:eastAsia="zh-CN"/>
              </w:rPr>
              <w:t>二氧化硫</w:t>
            </w:r>
          </w:p>
        </w:tc>
        <w:tc>
          <w:tcPr>
            <w:tcW w:w="1235" w:type="dxa"/>
            <w:vAlign w:val="center"/>
          </w:tcPr>
          <w:p w14:paraId="7D9D0B09">
            <w:pPr>
              <w:pStyle w:val="14"/>
              <w:spacing w:after="0"/>
              <w:ind w:left="0" w:leftChars="0"/>
              <w:jc w:val="center"/>
              <w:rPr>
                <w:rFonts w:hint="eastAsia"/>
                <w:color w:val="auto"/>
                <w:sz w:val="22"/>
                <w:szCs w:val="22"/>
                <w:highlight w:val="none"/>
                <w:lang w:val="en-US" w:eastAsia="zh-CN"/>
              </w:rPr>
            </w:pPr>
          </w:p>
        </w:tc>
        <w:tc>
          <w:tcPr>
            <w:tcW w:w="1153" w:type="dxa"/>
            <w:vAlign w:val="center"/>
          </w:tcPr>
          <w:p w14:paraId="21A86469">
            <w:pPr>
              <w:pStyle w:val="14"/>
              <w:spacing w:after="0"/>
              <w:ind w:left="0" w:leftChars="0"/>
              <w:jc w:val="center"/>
              <w:rPr>
                <w:rFonts w:hint="default" w:ascii="Times New Roman" w:hAnsi="Times New Roman" w:eastAsia="宋体" w:cs="Times New Roman"/>
                <w:color w:val="auto"/>
                <w:sz w:val="21"/>
                <w:szCs w:val="21"/>
                <w:lang w:val="en-US" w:eastAsia="zh-CN"/>
              </w:rPr>
            </w:pPr>
          </w:p>
        </w:tc>
        <w:tc>
          <w:tcPr>
            <w:tcW w:w="1537" w:type="dxa"/>
            <w:vAlign w:val="center"/>
          </w:tcPr>
          <w:p w14:paraId="3A678F1E">
            <w:pPr>
              <w:pStyle w:val="14"/>
              <w:spacing w:after="0"/>
              <w:ind w:left="0" w:leftChars="0"/>
              <w:jc w:val="center"/>
              <w:rPr>
                <w:rFonts w:hint="eastAsia" w:ascii="Times New Roman" w:hAnsi="Times New Roman" w:eastAsia="宋体" w:cs="Times New Roman"/>
                <w:color w:val="auto"/>
                <w:sz w:val="21"/>
                <w:szCs w:val="21"/>
                <w:lang w:val="en-US" w:eastAsia="zh-CN"/>
              </w:rPr>
            </w:pPr>
          </w:p>
        </w:tc>
        <w:tc>
          <w:tcPr>
            <w:tcW w:w="1411" w:type="dxa"/>
            <w:vAlign w:val="center"/>
          </w:tcPr>
          <w:p w14:paraId="44550B2F">
            <w:pPr>
              <w:pStyle w:val="14"/>
              <w:spacing w:after="0"/>
              <w:ind w:left="0" w:leftChars="0"/>
              <w:jc w:val="center"/>
              <w:rPr>
                <w:rFonts w:hint="default" w:ascii="Times New Roman" w:hAnsi="Times New Roman" w:eastAsia="宋体" w:cs="Times New Roman"/>
                <w:color w:val="auto"/>
                <w:sz w:val="21"/>
                <w:szCs w:val="21"/>
                <w:lang w:val="en-US" w:eastAsia="zh-CN"/>
              </w:rPr>
            </w:pPr>
          </w:p>
        </w:tc>
        <w:tc>
          <w:tcPr>
            <w:tcW w:w="1600" w:type="dxa"/>
            <w:vAlign w:val="center"/>
          </w:tcPr>
          <w:p w14:paraId="71EF98CA">
            <w:pPr>
              <w:pStyle w:val="14"/>
              <w:spacing w:after="0"/>
              <w:ind w:left="0" w:leftChars="0"/>
              <w:jc w:val="center"/>
              <w:rPr>
                <w:rFonts w:hint="eastAsia" w:ascii="Times New Roman" w:hAnsi="Times New Roman" w:eastAsia="宋体" w:cs="Times New Roman"/>
                <w:color w:val="auto"/>
                <w:sz w:val="21"/>
                <w:szCs w:val="21"/>
                <w:lang w:val="en-US" w:eastAsia="zh-CN"/>
              </w:rPr>
            </w:pPr>
          </w:p>
        </w:tc>
        <w:tc>
          <w:tcPr>
            <w:tcW w:w="1617" w:type="dxa"/>
            <w:vAlign w:val="center"/>
          </w:tcPr>
          <w:p w14:paraId="33534945">
            <w:pPr>
              <w:pStyle w:val="14"/>
              <w:spacing w:after="0"/>
              <w:ind w:left="0" w:leftChars="0"/>
              <w:jc w:val="center"/>
              <w:rPr>
                <w:rFonts w:hint="default" w:ascii="Times New Roman" w:hAnsi="Times New Roman" w:eastAsia="宋体" w:cs="Times New Roman"/>
                <w:color w:val="auto"/>
                <w:sz w:val="21"/>
                <w:szCs w:val="21"/>
                <w:lang w:val="en-US" w:eastAsia="zh-CN"/>
              </w:rPr>
            </w:pPr>
          </w:p>
        </w:tc>
        <w:tc>
          <w:tcPr>
            <w:tcW w:w="1283" w:type="dxa"/>
            <w:vAlign w:val="center"/>
          </w:tcPr>
          <w:p w14:paraId="0268244C">
            <w:pPr>
              <w:pStyle w:val="14"/>
              <w:spacing w:after="0"/>
              <w:ind w:left="0" w:leftChars="0"/>
              <w:jc w:val="center"/>
              <w:rPr>
                <w:rFonts w:hint="default" w:ascii="Times New Roman" w:hAnsi="Times New Roman" w:eastAsia="宋体" w:cs="Times New Roman"/>
                <w:color w:val="auto"/>
                <w:sz w:val="21"/>
                <w:szCs w:val="21"/>
                <w:lang w:val="en-US" w:eastAsia="zh-CN"/>
              </w:rPr>
            </w:pPr>
          </w:p>
        </w:tc>
      </w:tr>
      <w:tr w14:paraId="1D5F4D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05" w:type="dxa"/>
            <w:vMerge w:val="continue"/>
            <w:vAlign w:val="center"/>
          </w:tcPr>
          <w:p w14:paraId="2A86A964">
            <w:pPr>
              <w:jc w:val="center"/>
              <w:rPr>
                <w:rFonts w:hint="eastAsia"/>
                <w:color w:val="auto"/>
                <w:sz w:val="22"/>
                <w:szCs w:val="22"/>
                <w:highlight w:val="none"/>
                <w:lang w:val="en-US" w:eastAsia="zh-CN"/>
              </w:rPr>
            </w:pPr>
          </w:p>
        </w:tc>
        <w:tc>
          <w:tcPr>
            <w:tcW w:w="1735" w:type="dxa"/>
            <w:vAlign w:val="center"/>
          </w:tcPr>
          <w:p w14:paraId="78EAA34B">
            <w:pPr>
              <w:jc w:val="center"/>
              <w:rPr>
                <w:rFonts w:hint="eastAsia"/>
                <w:color w:val="auto"/>
                <w:sz w:val="22"/>
                <w:szCs w:val="22"/>
                <w:highlight w:val="none"/>
                <w:lang w:val="en-US" w:eastAsia="zh-CN"/>
              </w:rPr>
            </w:pPr>
            <w:r>
              <w:rPr>
                <w:rFonts w:hint="eastAsia"/>
                <w:color w:val="auto"/>
                <w:sz w:val="22"/>
                <w:szCs w:val="22"/>
                <w:highlight w:val="none"/>
                <w:lang w:val="en-US" w:eastAsia="zh-CN"/>
              </w:rPr>
              <w:t>氮氧化物</w:t>
            </w:r>
          </w:p>
        </w:tc>
        <w:tc>
          <w:tcPr>
            <w:tcW w:w="1235" w:type="dxa"/>
            <w:vAlign w:val="center"/>
          </w:tcPr>
          <w:p w14:paraId="4A5BCEF4">
            <w:pPr>
              <w:pStyle w:val="14"/>
              <w:spacing w:after="0"/>
              <w:ind w:left="0" w:leftChars="0"/>
              <w:jc w:val="center"/>
              <w:rPr>
                <w:rFonts w:hint="eastAsia"/>
                <w:color w:val="auto"/>
                <w:sz w:val="22"/>
                <w:szCs w:val="22"/>
                <w:highlight w:val="none"/>
                <w:lang w:val="en-US" w:eastAsia="zh-CN"/>
              </w:rPr>
            </w:pPr>
          </w:p>
        </w:tc>
        <w:tc>
          <w:tcPr>
            <w:tcW w:w="1153" w:type="dxa"/>
            <w:vAlign w:val="center"/>
          </w:tcPr>
          <w:p w14:paraId="1B4F1007">
            <w:pPr>
              <w:pStyle w:val="14"/>
              <w:spacing w:after="0"/>
              <w:ind w:left="0" w:leftChars="0"/>
              <w:jc w:val="center"/>
              <w:rPr>
                <w:rFonts w:hint="default" w:ascii="Times New Roman" w:hAnsi="Times New Roman" w:eastAsia="宋体" w:cs="Times New Roman"/>
                <w:color w:val="auto"/>
                <w:sz w:val="21"/>
                <w:szCs w:val="21"/>
                <w:lang w:val="en-US" w:eastAsia="zh-CN"/>
              </w:rPr>
            </w:pPr>
          </w:p>
        </w:tc>
        <w:tc>
          <w:tcPr>
            <w:tcW w:w="1537" w:type="dxa"/>
            <w:vAlign w:val="center"/>
          </w:tcPr>
          <w:p w14:paraId="2AD7078A">
            <w:pPr>
              <w:pStyle w:val="14"/>
              <w:spacing w:after="0"/>
              <w:ind w:left="0" w:leftChars="0"/>
              <w:jc w:val="center"/>
              <w:rPr>
                <w:rFonts w:hint="eastAsia" w:ascii="Times New Roman" w:hAnsi="Times New Roman" w:eastAsia="宋体" w:cs="Times New Roman"/>
                <w:color w:val="auto"/>
                <w:sz w:val="21"/>
                <w:szCs w:val="21"/>
                <w:lang w:val="en-US" w:eastAsia="zh-CN"/>
              </w:rPr>
            </w:pPr>
          </w:p>
        </w:tc>
        <w:tc>
          <w:tcPr>
            <w:tcW w:w="1411" w:type="dxa"/>
            <w:vAlign w:val="center"/>
          </w:tcPr>
          <w:p w14:paraId="395F1AD4">
            <w:pPr>
              <w:pStyle w:val="14"/>
              <w:spacing w:after="0"/>
              <w:ind w:left="0" w:leftChars="0"/>
              <w:jc w:val="center"/>
              <w:rPr>
                <w:rFonts w:hint="default" w:ascii="Times New Roman" w:hAnsi="Times New Roman" w:eastAsia="宋体" w:cs="Times New Roman"/>
                <w:color w:val="auto"/>
                <w:sz w:val="21"/>
                <w:szCs w:val="21"/>
                <w:lang w:val="en-US" w:eastAsia="zh-CN"/>
              </w:rPr>
            </w:pPr>
          </w:p>
        </w:tc>
        <w:tc>
          <w:tcPr>
            <w:tcW w:w="1600" w:type="dxa"/>
            <w:vAlign w:val="center"/>
          </w:tcPr>
          <w:p w14:paraId="2C4EE412">
            <w:pPr>
              <w:pStyle w:val="14"/>
              <w:spacing w:after="0"/>
              <w:ind w:left="0" w:leftChars="0"/>
              <w:jc w:val="center"/>
              <w:rPr>
                <w:rFonts w:hint="eastAsia" w:ascii="Times New Roman" w:hAnsi="Times New Roman" w:eastAsia="宋体" w:cs="Times New Roman"/>
                <w:color w:val="auto"/>
                <w:sz w:val="21"/>
                <w:szCs w:val="21"/>
                <w:lang w:val="en-US" w:eastAsia="zh-CN"/>
              </w:rPr>
            </w:pPr>
          </w:p>
        </w:tc>
        <w:tc>
          <w:tcPr>
            <w:tcW w:w="1617" w:type="dxa"/>
            <w:vAlign w:val="center"/>
          </w:tcPr>
          <w:p w14:paraId="2830065A">
            <w:pPr>
              <w:pStyle w:val="14"/>
              <w:spacing w:after="0"/>
              <w:ind w:left="0" w:leftChars="0"/>
              <w:jc w:val="center"/>
              <w:rPr>
                <w:rFonts w:hint="default" w:ascii="Times New Roman" w:hAnsi="Times New Roman" w:eastAsia="宋体" w:cs="Times New Roman"/>
                <w:color w:val="auto"/>
                <w:sz w:val="21"/>
                <w:szCs w:val="21"/>
                <w:lang w:val="en-US" w:eastAsia="zh-CN"/>
              </w:rPr>
            </w:pPr>
          </w:p>
        </w:tc>
        <w:tc>
          <w:tcPr>
            <w:tcW w:w="1283" w:type="dxa"/>
            <w:vAlign w:val="center"/>
          </w:tcPr>
          <w:p w14:paraId="2C2B0D3B">
            <w:pPr>
              <w:pStyle w:val="14"/>
              <w:spacing w:after="0"/>
              <w:ind w:left="0" w:leftChars="0"/>
              <w:jc w:val="center"/>
              <w:rPr>
                <w:rFonts w:hint="default" w:ascii="Times New Roman" w:hAnsi="Times New Roman" w:eastAsia="宋体" w:cs="Times New Roman"/>
                <w:color w:val="auto"/>
                <w:sz w:val="21"/>
                <w:szCs w:val="21"/>
                <w:lang w:val="en-US" w:eastAsia="zh-CN"/>
              </w:rPr>
            </w:pPr>
          </w:p>
        </w:tc>
      </w:tr>
      <w:tr w14:paraId="45F121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05" w:type="dxa"/>
            <w:vMerge w:val="restart"/>
            <w:vAlign w:val="center"/>
          </w:tcPr>
          <w:p w14:paraId="6B0CEFEC">
            <w:pPr>
              <w:jc w:val="center"/>
              <w:rPr>
                <w:rFonts w:hint="eastAsia"/>
                <w:color w:val="auto"/>
                <w:sz w:val="22"/>
                <w:szCs w:val="22"/>
                <w:highlight w:val="none"/>
                <w:lang w:val="en-US" w:eastAsia="zh-CN"/>
              </w:rPr>
            </w:pPr>
            <w:r>
              <w:rPr>
                <w:rFonts w:hint="eastAsia"/>
                <w:color w:val="auto"/>
                <w:sz w:val="22"/>
                <w:szCs w:val="22"/>
                <w:highlight w:val="none"/>
                <w:lang w:val="en-US" w:eastAsia="zh-CN"/>
              </w:rPr>
              <w:t>废水</w:t>
            </w:r>
          </w:p>
        </w:tc>
        <w:tc>
          <w:tcPr>
            <w:tcW w:w="1735" w:type="dxa"/>
            <w:vAlign w:val="center"/>
          </w:tcPr>
          <w:p w14:paraId="7DFC873F">
            <w:pPr>
              <w:jc w:val="center"/>
              <w:rPr>
                <w:rFonts w:hint="eastAsia"/>
                <w:color w:val="auto"/>
                <w:sz w:val="22"/>
                <w:szCs w:val="22"/>
                <w:highlight w:val="none"/>
                <w:lang w:val="en-US" w:eastAsia="zh-CN"/>
              </w:rPr>
            </w:pPr>
            <w:r>
              <w:rPr>
                <w:rFonts w:hint="eastAsia"/>
                <w:color w:val="auto"/>
                <w:sz w:val="22"/>
                <w:szCs w:val="22"/>
                <w:highlight w:val="none"/>
                <w:lang w:val="en-US" w:eastAsia="zh-CN"/>
              </w:rPr>
              <w:t>COD</w:t>
            </w:r>
          </w:p>
        </w:tc>
        <w:tc>
          <w:tcPr>
            <w:tcW w:w="1235" w:type="dxa"/>
            <w:vAlign w:val="center"/>
          </w:tcPr>
          <w:p w14:paraId="6322AE93">
            <w:pPr>
              <w:jc w:val="center"/>
              <w:rPr>
                <w:rFonts w:hint="eastAsia"/>
                <w:color w:val="auto"/>
                <w:sz w:val="22"/>
                <w:szCs w:val="22"/>
                <w:highlight w:val="none"/>
                <w:lang w:val="en-US" w:eastAsia="zh-CN"/>
              </w:rPr>
            </w:pPr>
          </w:p>
        </w:tc>
        <w:tc>
          <w:tcPr>
            <w:tcW w:w="1153" w:type="dxa"/>
            <w:vAlign w:val="center"/>
          </w:tcPr>
          <w:p w14:paraId="59463487">
            <w:pPr>
              <w:jc w:val="center"/>
              <w:rPr>
                <w:rFonts w:hint="eastAsia"/>
                <w:color w:val="auto"/>
                <w:sz w:val="22"/>
                <w:szCs w:val="22"/>
                <w:highlight w:val="none"/>
                <w:lang w:val="en-US" w:eastAsia="zh-CN"/>
              </w:rPr>
            </w:pPr>
          </w:p>
        </w:tc>
        <w:tc>
          <w:tcPr>
            <w:tcW w:w="1537" w:type="dxa"/>
            <w:vAlign w:val="center"/>
          </w:tcPr>
          <w:p w14:paraId="7B9C809F">
            <w:pPr>
              <w:jc w:val="center"/>
              <w:rPr>
                <w:rFonts w:hint="eastAsia"/>
                <w:color w:val="auto"/>
                <w:sz w:val="22"/>
                <w:szCs w:val="22"/>
                <w:highlight w:val="none"/>
                <w:lang w:val="en-US" w:eastAsia="zh-CN"/>
              </w:rPr>
            </w:pPr>
          </w:p>
        </w:tc>
        <w:tc>
          <w:tcPr>
            <w:tcW w:w="1411" w:type="dxa"/>
            <w:vAlign w:val="center"/>
          </w:tcPr>
          <w:p w14:paraId="10E53CE0">
            <w:pPr>
              <w:jc w:val="center"/>
              <w:rPr>
                <w:rFonts w:hint="eastAsia"/>
                <w:color w:val="auto"/>
                <w:sz w:val="22"/>
                <w:szCs w:val="22"/>
                <w:highlight w:val="none"/>
                <w:lang w:val="en-US" w:eastAsia="zh-CN"/>
              </w:rPr>
            </w:pPr>
          </w:p>
        </w:tc>
        <w:tc>
          <w:tcPr>
            <w:tcW w:w="1600" w:type="dxa"/>
            <w:vAlign w:val="center"/>
          </w:tcPr>
          <w:p w14:paraId="4790A6B0">
            <w:pPr>
              <w:jc w:val="center"/>
              <w:rPr>
                <w:rFonts w:hint="eastAsia"/>
                <w:color w:val="auto"/>
                <w:sz w:val="22"/>
                <w:szCs w:val="22"/>
                <w:highlight w:val="none"/>
                <w:lang w:val="en-US" w:eastAsia="zh-CN"/>
              </w:rPr>
            </w:pPr>
          </w:p>
        </w:tc>
        <w:tc>
          <w:tcPr>
            <w:tcW w:w="1617" w:type="dxa"/>
            <w:vAlign w:val="center"/>
          </w:tcPr>
          <w:p w14:paraId="225BA064">
            <w:pPr>
              <w:jc w:val="center"/>
              <w:rPr>
                <w:rFonts w:hint="eastAsia"/>
                <w:color w:val="auto"/>
                <w:sz w:val="22"/>
                <w:szCs w:val="22"/>
                <w:highlight w:val="none"/>
                <w:lang w:val="en-US" w:eastAsia="zh-CN"/>
              </w:rPr>
            </w:pPr>
          </w:p>
        </w:tc>
        <w:tc>
          <w:tcPr>
            <w:tcW w:w="1283" w:type="dxa"/>
            <w:vAlign w:val="center"/>
          </w:tcPr>
          <w:p w14:paraId="015F5011">
            <w:pPr>
              <w:jc w:val="center"/>
              <w:rPr>
                <w:rFonts w:hint="eastAsia"/>
                <w:color w:val="auto"/>
                <w:sz w:val="22"/>
                <w:szCs w:val="22"/>
                <w:highlight w:val="none"/>
                <w:lang w:val="en-US" w:eastAsia="zh-CN"/>
              </w:rPr>
            </w:pPr>
          </w:p>
        </w:tc>
      </w:tr>
      <w:tr w14:paraId="2CA90E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05" w:type="dxa"/>
            <w:vMerge w:val="continue"/>
            <w:vAlign w:val="center"/>
          </w:tcPr>
          <w:p w14:paraId="38C96B20">
            <w:pPr>
              <w:jc w:val="center"/>
              <w:rPr>
                <w:rFonts w:hint="eastAsia"/>
                <w:color w:val="auto"/>
                <w:sz w:val="22"/>
                <w:szCs w:val="22"/>
                <w:highlight w:val="none"/>
                <w:lang w:val="en-US" w:eastAsia="zh-CN"/>
              </w:rPr>
            </w:pPr>
          </w:p>
        </w:tc>
        <w:tc>
          <w:tcPr>
            <w:tcW w:w="1735" w:type="dxa"/>
            <w:vAlign w:val="center"/>
          </w:tcPr>
          <w:p w14:paraId="0F3C517C">
            <w:pPr>
              <w:jc w:val="center"/>
              <w:rPr>
                <w:rFonts w:hint="eastAsia"/>
                <w:color w:val="auto"/>
                <w:sz w:val="22"/>
                <w:szCs w:val="22"/>
                <w:highlight w:val="none"/>
                <w:lang w:val="en-US" w:eastAsia="zh-CN"/>
              </w:rPr>
            </w:pPr>
            <w:r>
              <w:rPr>
                <w:rFonts w:hint="eastAsia"/>
                <w:color w:val="auto"/>
                <w:sz w:val="22"/>
                <w:szCs w:val="22"/>
                <w:highlight w:val="none"/>
                <w:lang w:val="en-US" w:eastAsia="zh-CN"/>
              </w:rPr>
              <w:t>氨氮</w:t>
            </w:r>
          </w:p>
        </w:tc>
        <w:tc>
          <w:tcPr>
            <w:tcW w:w="1235" w:type="dxa"/>
            <w:vAlign w:val="center"/>
          </w:tcPr>
          <w:p w14:paraId="1B33DC65">
            <w:pPr>
              <w:jc w:val="center"/>
              <w:rPr>
                <w:rFonts w:hint="eastAsia"/>
                <w:color w:val="auto"/>
                <w:sz w:val="22"/>
                <w:szCs w:val="22"/>
                <w:highlight w:val="none"/>
                <w:lang w:val="en-US" w:eastAsia="zh-CN"/>
              </w:rPr>
            </w:pPr>
          </w:p>
        </w:tc>
        <w:tc>
          <w:tcPr>
            <w:tcW w:w="1153" w:type="dxa"/>
            <w:vAlign w:val="center"/>
          </w:tcPr>
          <w:p w14:paraId="609D0B94">
            <w:pPr>
              <w:jc w:val="center"/>
              <w:rPr>
                <w:rFonts w:hint="eastAsia"/>
                <w:color w:val="auto"/>
                <w:sz w:val="22"/>
                <w:szCs w:val="22"/>
                <w:highlight w:val="none"/>
                <w:lang w:val="en-US" w:eastAsia="zh-CN"/>
              </w:rPr>
            </w:pPr>
          </w:p>
        </w:tc>
        <w:tc>
          <w:tcPr>
            <w:tcW w:w="1537" w:type="dxa"/>
            <w:vAlign w:val="center"/>
          </w:tcPr>
          <w:p w14:paraId="54EC959B">
            <w:pPr>
              <w:jc w:val="center"/>
              <w:rPr>
                <w:rFonts w:hint="eastAsia"/>
                <w:color w:val="auto"/>
                <w:sz w:val="22"/>
                <w:szCs w:val="22"/>
                <w:highlight w:val="none"/>
                <w:lang w:val="en-US" w:eastAsia="zh-CN"/>
              </w:rPr>
            </w:pPr>
          </w:p>
        </w:tc>
        <w:tc>
          <w:tcPr>
            <w:tcW w:w="1411" w:type="dxa"/>
            <w:vAlign w:val="center"/>
          </w:tcPr>
          <w:p w14:paraId="7925CBBE">
            <w:pPr>
              <w:jc w:val="center"/>
              <w:rPr>
                <w:rFonts w:hint="eastAsia"/>
                <w:color w:val="auto"/>
                <w:sz w:val="22"/>
                <w:szCs w:val="22"/>
                <w:highlight w:val="none"/>
                <w:lang w:val="en-US" w:eastAsia="zh-CN"/>
              </w:rPr>
            </w:pPr>
          </w:p>
        </w:tc>
        <w:tc>
          <w:tcPr>
            <w:tcW w:w="1600" w:type="dxa"/>
            <w:vAlign w:val="center"/>
          </w:tcPr>
          <w:p w14:paraId="6C3BDC6B">
            <w:pPr>
              <w:jc w:val="center"/>
              <w:rPr>
                <w:rFonts w:hint="eastAsia"/>
                <w:color w:val="auto"/>
                <w:sz w:val="22"/>
                <w:szCs w:val="22"/>
                <w:highlight w:val="none"/>
                <w:lang w:val="en-US" w:eastAsia="zh-CN"/>
              </w:rPr>
            </w:pPr>
          </w:p>
        </w:tc>
        <w:tc>
          <w:tcPr>
            <w:tcW w:w="1617" w:type="dxa"/>
            <w:vAlign w:val="center"/>
          </w:tcPr>
          <w:p w14:paraId="37A7AB17">
            <w:pPr>
              <w:jc w:val="center"/>
              <w:rPr>
                <w:rFonts w:hint="eastAsia"/>
                <w:color w:val="auto"/>
                <w:sz w:val="22"/>
                <w:szCs w:val="22"/>
                <w:highlight w:val="none"/>
                <w:lang w:val="en-US" w:eastAsia="zh-CN"/>
              </w:rPr>
            </w:pPr>
          </w:p>
        </w:tc>
        <w:tc>
          <w:tcPr>
            <w:tcW w:w="1283" w:type="dxa"/>
            <w:vAlign w:val="center"/>
          </w:tcPr>
          <w:p w14:paraId="1A5FE177">
            <w:pPr>
              <w:jc w:val="center"/>
              <w:rPr>
                <w:rFonts w:hint="eastAsia"/>
                <w:color w:val="auto"/>
                <w:sz w:val="22"/>
                <w:szCs w:val="22"/>
                <w:highlight w:val="none"/>
                <w:lang w:val="en-US" w:eastAsia="zh-CN"/>
              </w:rPr>
            </w:pPr>
          </w:p>
        </w:tc>
      </w:tr>
      <w:tr w14:paraId="246F76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05" w:type="dxa"/>
            <w:vMerge w:val="restart"/>
            <w:vAlign w:val="center"/>
          </w:tcPr>
          <w:p w14:paraId="77475C70">
            <w:pPr>
              <w:jc w:val="center"/>
              <w:rPr>
                <w:rFonts w:hint="eastAsia"/>
                <w:color w:val="auto"/>
                <w:sz w:val="22"/>
                <w:szCs w:val="22"/>
                <w:highlight w:val="none"/>
                <w:lang w:val="en-US" w:eastAsia="zh-CN"/>
              </w:rPr>
            </w:pPr>
            <w:r>
              <w:rPr>
                <w:rFonts w:hint="eastAsia"/>
                <w:color w:val="auto"/>
                <w:sz w:val="22"/>
                <w:szCs w:val="22"/>
                <w:highlight w:val="none"/>
                <w:lang w:val="en-US" w:eastAsia="zh-CN"/>
              </w:rPr>
              <w:t>一般工业固体废物</w:t>
            </w:r>
          </w:p>
        </w:tc>
        <w:tc>
          <w:tcPr>
            <w:tcW w:w="1735" w:type="dxa"/>
            <w:vAlign w:val="center"/>
          </w:tcPr>
          <w:p w14:paraId="48FE71A4">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color w:val="auto"/>
                <w:sz w:val="22"/>
                <w:szCs w:val="22"/>
                <w:highlight w:val="none"/>
                <w:lang w:val="en-US" w:eastAsia="zh-CN"/>
              </w:rPr>
            </w:pPr>
            <w:r>
              <w:rPr>
                <w:rFonts w:hint="eastAsia" w:ascii="宋体" w:hAnsi="宋体" w:eastAsia="宋体" w:cs="Times New Roman"/>
                <w:b w:val="0"/>
                <w:bCs w:val="0"/>
                <w:color w:val="auto"/>
                <w:sz w:val="21"/>
                <w:szCs w:val="21"/>
                <w:highlight w:val="none"/>
                <w:lang w:val="en-US" w:eastAsia="zh-CN"/>
              </w:rPr>
              <w:t>生活垃圾</w:t>
            </w:r>
          </w:p>
        </w:tc>
        <w:tc>
          <w:tcPr>
            <w:tcW w:w="1235" w:type="dxa"/>
            <w:vAlign w:val="center"/>
          </w:tcPr>
          <w:p w14:paraId="65DB9ACB">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color w:val="auto"/>
                <w:sz w:val="22"/>
                <w:szCs w:val="22"/>
                <w:highlight w:val="none"/>
                <w:lang w:val="en-US" w:eastAsia="zh-CN"/>
              </w:rPr>
            </w:pPr>
          </w:p>
        </w:tc>
        <w:tc>
          <w:tcPr>
            <w:tcW w:w="1153" w:type="dxa"/>
            <w:vAlign w:val="center"/>
          </w:tcPr>
          <w:p w14:paraId="65006968">
            <w:pPr>
              <w:jc w:val="center"/>
              <w:rPr>
                <w:rFonts w:hint="eastAsia"/>
                <w:color w:val="auto"/>
                <w:sz w:val="22"/>
                <w:szCs w:val="22"/>
                <w:highlight w:val="none"/>
                <w:lang w:val="en-US" w:eastAsia="zh-CN"/>
              </w:rPr>
            </w:pPr>
          </w:p>
        </w:tc>
        <w:tc>
          <w:tcPr>
            <w:tcW w:w="1537" w:type="dxa"/>
            <w:vAlign w:val="center"/>
          </w:tcPr>
          <w:p w14:paraId="6DF9ABAA">
            <w:pPr>
              <w:jc w:val="center"/>
              <w:rPr>
                <w:rFonts w:hint="eastAsia"/>
                <w:color w:val="auto"/>
                <w:sz w:val="22"/>
                <w:szCs w:val="22"/>
                <w:highlight w:val="none"/>
                <w:lang w:val="en-US" w:eastAsia="zh-CN"/>
              </w:rPr>
            </w:pPr>
          </w:p>
        </w:tc>
        <w:tc>
          <w:tcPr>
            <w:tcW w:w="1411" w:type="dxa"/>
            <w:vAlign w:val="center"/>
          </w:tcPr>
          <w:p w14:paraId="5403D725">
            <w:pPr>
              <w:jc w:val="center"/>
              <w:rPr>
                <w:rFonts w:hint="default"/>
                <w:color w:val="auto"/>
                <w:sz w:val="22"/>
                <w:szCs w:val="22"/>
                <w:highlight w:val="none"/>
                <w:lang w:val="en-US" w:eastAsia="zh-CN"/>
              </w:rPr>
            </w:pPr>
          </w:p>
        </w:tc>
        <w:tc>
          <w:tcPr>
            <w:tcW w:w="1600" w:type="dxa"/>
            <w:vAlign w:val="center"/>
          </w:tcPr>
          <w:p w14:paraId="06278007">
            <w:pPr>
              <w:jc w:val="center"/>
              <w:rPr>
                <w:rFonts w:hint="eastAsia"/>
                <w:color w:val="auto"/>
                <w:sz w:val="22"/>
                <w:szCs w:val="22"/>
                <w:highlight w:val="none"/>
                <w:lang w:val="en-US" w:eastAsia="zh-CN"/>
              </w:rPr>
            </w:pPr>
          </w:p>
        </w:tc>
        <w:tc>
          <w:tcPr>
            <w:tcW w:w="1617" w:type="dxa"/>
            <w:vAlign w:val="center"/>
          </w:tcPr>
          <w:p w14:paraId="52CC2260">
            <w:pPr>
              <w:jc w:val="center"/>
              <w:rPr>
                <w:rFonts w:hint="default"/>
                <w:color w:val="auto"/>
                <w:sz w:val="22"/>
                <w:szCs w:val="22"/>
                <w:highlight w:val="none"/>
                <w:lang w:val="en-US" w:eastAsia="zh-CN"/>
              </w:rPr>
            </w:pPr>
          </w:p>
        </w:tc>
        <w:tc>
          <w:tcPr>
            <w:tcW w:w="1283" w:type="dxa"/>
            <w:vAlign w:val="center"/>
          </w:tcPr>
          <w:p w14:paraId="1E3639ED">
            <w:pPr>
              <w:jc w:val="center"/>
              <w:rPr>
                <w:rFonts w:hint="default"/>
                <w:color w:val="auto"/>
                <w:sz w:val="22"/>
                <w:szCs w:val="22"/>
                <w:highlight w:val="none"/>
                <w:lang w:val="en-US" w:eastAsia="zh-CN"/>
              </w:rPr>
            </w:pPr>
          </w:p>
        </w:tc>
      </w:tr>
      <w:tr w14:paraId="6EF206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05" w:type="dxa"/>
            <w:vMerge w:val="continue"/>
            <w:vAlign w:val="center"/>
          </w:tcPr>
          <w:p w14:paraId="2CE11870">
            <w:pPr>
              <w:jc w:val="center"/>
              <w:rPr>
                <w:rFonts w:hint="eastAsia"/>
                <w:color w:val="auto"/>
                <w:sz w:val="22"/>
                <w:szCs w:val="22"/>
                <w:highlight w:val="none"/>
                <w:lang w:val="en-US" w:eastAsia="zh-CN"/>
              </w:rPr>
            </w:pPr>
          </w:p>
        </w:tc>
        <w:tc>
          <w:tcPr>
            <w:tcW w:w="1735" w:type="dxa"/>
            <w:vAlign w:val="center"/>
          </w:tcPr>
          <w:p w14:paraId="284CECB6">
            <w:pPr>
              <w:jc w:val="center"/>
              <w:rPr>
                <w:rFonts w:hint="eastAsia"/>
                <w:color w:val="auto"/>
                <w:sz w:val="22"/>
                <w:szCs w:val="22"/>
                <w:highlight w:val="none"/>
                <w:lang w:val="en-US" w:eastAsia="zh-CN"/>
              </w:rPr>
            </w:pPr>
            <w:r>
              <w:rPr>
                <w:rFonts w:hint="eastAsia" w:cs="宋体"/>
                <w:color w:val="auto"/>
                <w:lang w:eastAsia="zh-CN"/>
              </w:rPr>
              <w:t>废边角料</w:t>
            </w:r>
          </w:p>
        </w:tc>
        <w:tc>
          <w:tcPr>
            <w:tcW w:w="1235" w:type="dxa"/>
            <w:vAlign w:val="center"/>
          </w:tcPr>
          <w:p w14:paraId="5409243F">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color w:val="auto"/>
                <w:sz w:val="22"/>
                <w:szCs w:val="22"/>
                <w:highlight w:val="none"/>
                <w:lang w:val="en-US" w:eastAsia="zh-CN"/>
              </w:rPr>
            </w:pPr>
          </w:p>
        </w:tc>
        <w:tc>
          <w:tcPr>
            <w:tcW w:w="1153" w:type="dxa"/>
            <w:vAlign w:val="center"/>
          </w:tcPr>
          <w:p w14:paraId="30EE2FA0">
            <w:pPr>
              <w:jc w:val="center"/>
              <w:rPr>
                <w:rFonts w:hint="eastAsia"/>
                <w:color w:val="auto"/>
                <w:sz w:val="22"/>
                <w:szCs w:val="22"/>
                <w:highlight w:val="none"/>
                <w:lang w:val="en-US" w:eastAsia="zh-CN"/>
              </w:rPr>
            </w:pPr>
          </w:p>
        </w:tc>
        <w:tc>
          <w:tcPr>
            <w:tcW w:w="1537" w:type="dxa"/>
            <w:vAlign w:val="center"/>
          </w:tcPr>
          <w:p w14:paraId="4AF7D5F4">
            <w:pPr>
              <w:jc w:val="center"/>
              <w:rPr>
                <w:rFonts w:hint="eastAsia"/>
                <w:color w:val="auto"/>
                <w:sz w:val="22"/>
                <w:szCs w:val="22"/>
                <w:highlight w:val="none"/>
                <w:lang w:val="en-US" w:eastAsia="zh-CN"/>
              </w:rPr>
            </w:pPr>
          </w:p>
        </w:tc>
        <w:tc>
          <w:tcPr>
            <w:tcW w:w="1411" w:type="dxa"/>
            <w:vAlign w:val="center"/>
          </w:tcPr>
          <w:p w14:paraId="0620629E">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color w:val="auto"/>
                <w:sz w:val="22"/>
                <w:szCs w:val="22"/>
                <w:highlight w:val="none"/>
                <w:lang w:val="en-US" w:eastAsia="zh-CN"/>
              </w:rPr>
            </w:pPr>
          </w:p>
        </w:tc>
        <w:tc>
          <w:tcPr>
            <w:tcW w:w="1600" w:type="dxa"/>
            <w:vAlign w:val="center"/>
          </w:tcPr>
          <w:p w14:paraId="401A377C">
            <w:pPr>
              <w:jc w:val="center"/>
              <w:rPr>
                <w:rFonts w:hint="eastAsia"/>
                <w:color w:val="auto"/>
                <w:sz w:val="22"/>
                <w:szCs w:val="22"/>
                <w:highlight w:val="none"/>
                <w:lang w:val="en-US" w:eastAsia="zh-CN"/>
              </w:rPr>
            </w:pPr>
          </w:p>
        </w:tc>
        <w:tc>
          <w:tcPr>
            <w:tcW w:w="1617" w:type="dxa"/>
            <w:vAlign w:val="center"/>
          </w:tcPr>
          <w:p w14:paraId="6CFBD3D0">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color w:val="auto"/>
                <w:sz w:val="22"/>
                <w:szCs w:val="22"/>
                <w:highlight w:val="none"/>
                <w:lang w:val="en-US" w:eastAsia="zh-CN"/>
              </w:rPr>
            </w:pPr>
          </w:p>
        </w:tc>
        <w:tc>
          <w:tcPr>
            <w:tcW w:w="1283" w:type="dxa"/>
            <w:vAlign w:val="center"/>
          </w:tcPr>
          <w:p w14:paraId="307A6C6F">
            <w:pPr>
              <w:adjustRightInd w:val="0"/>
              <w:snapToGrid w:val="0"/>
              <w:jc w:val="center"/>
              <w:rPr>
                <w:rFonts w:hint="default"/>
                <w:color w:val="auto"/>
                <w:sz w:val="22"/>
                <w:szCs w:val="22"/>
                <w:highlight w:val="none"/>
                <w:lang w:val="en-US" w:eastAsia="zh-CN"/>
              </w:rPr>
            </w:pPr>
          </w:p>
        </w:tc>
      </w:tr>
      <w:tr w14:paraId="4504BB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05" w:type="dxa"/>
            <w:vMerge w:val="continue"/>
            <w:vAlign w:val="center"/>
          </w:tcPr>
          <w:p w14:paraId="20A35D61">
            <w:pPr>
              <w:jc w:val="center"/>
              <w:rPr>
                <w:rFonts w:hint="eastAsia"/>
                <w:color w:val="auto"/>
                <w:sz w:val="22"/>
                <w:szCs w:val="22"/>
                <w:highlight w:val="none"/>
                <w:lang w:val="en-US" w:eastAsia="zh-CN"/>
              </w:rPr>
            </w:pPr>
          </w:p>
        </w:tc>
        <w:tc>
          <w:tcPr>
            <w:tcW w:w="1735" w:type="dxa"/>
            <w:vAlign w:val="center"/>
          </w:tcPr>
          <w:p w14:paraId="467A88E6">
            <w:pPr>
              <w:jc w:val="center"/>
              <w:rPr>
                <w:rFonts w:hint="eastAsia"/>
                <w:color w:val="auto"/>
                <w:sz w:val="22"/>
                <w:szCs w:val="22"/>
                <w:highlight w:val="none"/>
                <w:lang w:val="en-US" w:eastAsia="zh-CN"/>
              </w:rPr>
            </w:pPr>
            <w:r>
              <w:rPr>
                <w:rFonts w:hint="eastAsia" w:ascii="Times New Roman" w:hAnsi="Times New Roman" w:eastAsia="宋体" w:cs="宋体"/>
                <w:color w:val="auto"/>
              </w:rPr>
              <w:t>除尘器收集的粉尘</w:t>
            </w:r>
          </w:p>
        </w:tc>
        <w:tc>
          <w:tcPr>
            <w:tcW w:w="1235" w:type="dxa"/>
            <w:vAlign w:val="center"/>
          </w:tcPr>
          <w:p w14:paraId="6969B4A8">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color w:val="auto"/>
                <w:sz w:val="22"/>
                <w:szCs w:val="22"/>
                <w:highlight w:val="none"/>
                <w:lang w:val="en-US" w:eastAsia="zh-CN"/>
              </w:rPr>
            </w:pPr>
          </w:p>
        </w:tc>
        <w:tc>
          <w:tcPr>
            <w:tcW w:w="1153" w:type="dxa"/>
            <w:vAlign w:val="center"/>
          </w:tcPr>
          <w:p w14:paraId="34B2F7B9">
            <w:pPr>
              <w:jc w:val="center"/>
              <w:rPr>
                <w:rFonts w:hint="eastAsia"/>
                <w:color w:val="auto"/>
                <w:sz w:val="22"/>
                <w:szCs w:val="22"/>
                <w:highlight w:val="none"/>
                <w:lang w:val="en-US" w:eastAsia="zh-CN"/>
              </w:rPr>
            </w:pPr>
          </w:p>
        </w:tc>
        <w:tc>
          <w:tcPr>
            <w:tcW w:w="1537" w:type="dxa"/>
            <w:vAlign w:val="center"/>
          </w:tcPr>
          <w:p w14:paraId="6F101CF0">
            <w:pPr>
              <w:jc w:val="center"/>
              <w:rPr>
                <w:rFonts w:hint="eastAsia"/>
                <w:color w:val="auto"/>
                <w:sz w:val="22"/>
                <w:szCs w:val="22"/>
                <w:highlight w:val="none"/>
                <w:lang w:val="en-US" w:eastAsia="zh-CN"/>
              </w:rPr>
            </w:pPr>
          </w:p>
        </w:tc>
        <w:tc>
          <w:tcPr>
            <w:tcW w:w="1411" w:type="dxa"/>
            <w:vAlign w:val="center"/>
          </w:tcPr>
          <w:p w14:paraId="7BFC4CF4">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color w:val="auto"/>
                <w:sz w:val="22"/>
                <w:szCs w:val="22"/>
                <w:highlight w:val="none"/>
                <w:lang w:val="en-US" w:eastAsia="zh-CN"/>
              </w:rPr>
            </w:pPr>
          </w:p>
        </w:tc>
        <w:tc>
          <w:tcPr>
            <w:tcW w:w="1600" w:type="dxa"/>
            <w:vAlign w:val="center"/>
          </w:tcPr>
          <w:p w14:paraId="54BC0499">
            <w:pPr>
              <w:jc w:val="center"/>
              <w:rPr>
                <w:rFonts w:hint="eastAsia"/>
                <w:color w:val="auto"/>
                <w:sz w:val="22"/>
                <w:szCs w:val="22"/>
                <w:highlight w:val="none"/>
                <w:lang w:val="en-US" w:eastAsia="zh-CN"/>
              </w:rPr>
            </w:pPr>
          </w:p>
        </w:tc>
        <w:tc>
          <w:tcPr>
            <w:tcW w:w="1617" w:type="dxa"/>
            <w:vAlign w:val="center"/>
          </w:tcPr>
          <w:p w14:paraId="337F10C1">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color w:val="auto"/>
                <w:sz w:val="22"/>
                <w:szCs w:val="22"/>
                <w:highlight w:val="none"/>
                <w:lang w:val="en-US" w:eastAsia="zh-CN"/>
              </w:rPr>
            </w:pPr>
          </w:p>
        </w:tc>
        <w:tc>
          <w:tcPr>
            <w:tcW w:w="1283" w:type="dxa"/>
            <w:vAlign w:val="center"/>
          </w:tcPr>
          <w:p w14:paraId="5F421939">
            <w:pPr>
              <w:adjustRightInd w:val="0"/>
              <w:snapToGrid w:val="0"/>
              <w:jc w:val="center"/>
              <w:rPr>
                <w:rFonts w:hint="default"/>
                <w:color w:val="auto"/>
                <w:sz w:val="22"/>
                <w:szCs w:val="22"/>
                <w:highlight w:val="none"/>
                <w:lang w:val="en-US" w:eastAsia="zh-CN"/>
              </w:rPr>
            </w:pPr>
          </w:p>
        </w:tc>
      </w:tr>
      <w:tr w14:paraId="55C7DD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05" w:type="dxa"/>
            <w:vMerge w:val="continue"/>
            <w:vAlign w:val="center"/>
          </w:tcPr>
          <w:p w14:paraId="7F858DDD">
            <w:pPr>
              <w:jc w:val="center"/>
              <w:rPr>
                <w:rFonts w:hint="eastAsia"/>
                <w:color w:val="auto"/>
                <w:sz w:val="22"/>
                <w:szCs w:val="22"/>
                <w:highlight w:val="none"/>
                <w:lang w:val="en-US" w:eastAsia="zh-CN"/>
              </w:rPr>
            </w:pPr>
          </w:p>
        </w:tc>
        <w:tc>
          <w:tcPr>
            <w:tcW w:w="1735" w:type="dxa"/>
            <w:vAlign w:val="center"/>
          </w:tcPr>
          <w:p w14:paraId="323BDC99">
            <w:pPr>
              <w:jc w:val="center"/>
              <w:rPr>
                <w:rFonts w:hint="eastAsia" w:eastAsia="宋体"/>
                <w:color w:val="auto"/>
                <w:sz w:val="22"/>
                <w:szCs w:val="22"/>
                <w:highlight w:val="none"/>
                <w:lang w:val="en-US" w:eastAsia="zh-CN"/>
              </w:rPr>
            </w:pPr>
            <w:r>
              <w:rPr>
                <w:rFonts w:hint="eastAsia" w:cs="宋体"/>
                <w:color w:val="auto"/>
                <w:lang w:eastAsia="zh-CN"/>
              </w:rPr>
              <w:t>脱硫脱硝废渣</w:t>
            </w:r>
          </w:p>
        </w:tc>
        <w:tc>
          <w:tcPr>
            <w:tcW w:w="1235" w:type="dxa"/>
            <w:vAlign w:val="center"/>
          </w:tcPr>
          <w:p w14:paraId="7805C0AC">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color w:val="auto"/>
                <w:sz w:val="22"/>
                <w:szCs w:val="22"/>
                <w:highlight w:val="none"/>
                <w:lang w:val="en-US" w:eastAsia="zh-CN"/>
              </w:rPr>
            </w:pPr>
          </w:p>
        </w:tc>
        <w:tc>
          <w:tcPr>
            <w:tcW w:w="1153" w:type="dxa"/>
            <w:vAlign w:val="center"/>
          </w:tcPr>
          <w:p w14:paraId="7347B7A3">
            <w:pPr>
              <w:jc w:val="center"/>
              <w:rPr>
                <w:rFonts w:hint="eastAsia"/>
                <w:color w:val="auto"/>
                <w:sz w:val="22"/>
                <w:szCs w:val="22"/>
                <w:highlight w:val="none"/>
                <w:lang w:val="en-US" w:eastAsia="zh-CN"/>
              </w:rPr>
            </w:pPr>
          </w:p>
        </w:tc>
        <w:tc>
          <w:tcPr>
            <w:tcW w:w="1537" w:type="dxa"/>
            <w:vAlign w:val="center"/>
          </w:tcPr>
          <w:p w14:paraId="4841375F">
            <w:pPr>
              <w:jc w:val="center"/>
              <w:rPr>
                <w:rFonts w:hint="eastAsia"/>
                <w:color w:val="auto"/>
                <w:sz w:val="22"/>
                <w:szCs w:val="22"/>
                <w:highlight w:val="none"/>
                <w:lang w:val="en-US" w:eastAsia="zh-CN"/>
              </w:rPr>
            </w:pPr>
          </w:p>
        </w:tc>
        <w:tc>
          <w:tcPr>
            <w:tcW w:w="1411" w:type="dxa"/>
            <w:vAlign w:val="center"/>
          </w:tcPr>
          <w:p w14:paraId="4BF5DC02">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color w:val="auto"/>
                <w:sz w:val="22"/>
                <w:szCs w:val="22"/>
                <w:highlight w:val="none"/>
                <w:lang w:val="en-US" w:eastAsia="zh-CN"/>
              </w:rPr>
            </w:pPr>
          </w:p>
        </w:tc>
        <w:tc>
          <w:tcPr>
            <w:tcW w:w="1600" w:type="dxa"/>
            <w:vAlign w:val="center"/>
          </w:tcPr>
          <w:p w14:paraId="6801A860">
            <w:pPr>
              <w:jc w:val="center"/>
              <w:rPr>
                <w:rFonts w:hint="eastAsia"/>
                <w:color w:val="auto"/>
                <w:sz w:val="22"/>
                <w:szCs w:val="22"/>
                <w:highlight w:val="none"/>
                <w:lang w:val="en-US" w:eastAsia="zh-CN"/>
              </w:rPr>
            </w:pPr>
          </w:p>
        </w:tc>
        <w:tc>
          <w:tcPr>
            <w:tcW w:w="1617" w:type="dxa"/>
            <w:vAlign w:val="center"/>
          </w:tcPr>
          <w:p w14:paraId="7EF3CC6B">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color w:val="auto"/>
                <w:sz w:val="22"/>
                <w:szCs w:val="22"/>
                <w:highlight w:val="none"/>
                <w:lang w:val="en-US" w:eastAsia="zh-CN"/>
              </w:rPr>
            </w:pPr>
          </w:p>
        </w:tc>
        <w:tc>
          <w:tcPr>
            <w:tcW w:w="1283" w:type="dxa"/>
            <w:vAlign w:val="center"/>
          </w:tcPr>
          <w:p w14:paraId="4CA0D93A">
            <w:pPr>
              <w:adjustRightInd w:val="0"/>
              <w:snapToGrid w:val="0"/>
              <w:jc w:val="center"/>
              <w:rPr>
                <w:rFonts w:hint="default"/>
                <w:color w:val="auto"/>
                <w:sz w:val="22"/>
                <w:szCs w:val="22"/>
                <w:highlight w:val="none"/>
                <w:lang w:val="en-US" w:eastAsia="zh-CN"/>
              </w:rPr>
            </w:pPr>
          </w:p>
        </w:tc>
      </w:tr>
      <w:tr w14:paraId="1E6C8D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05" w:type="dxa"/>
            <w:vMerge w:val="continue"/>
            <w:vAlign w:val="center"/>
          </w:tcPr>
          <w:p w14:paraId="2C3DB619">
            <w:pPr>
              <w:jc w:val="center"/>
              <w:rPr>
                <w:rFonts w:hint="eastAsia"/>
                <w:color w:val="auto"/>
                <w:sz w:val="22"/>
                <w:szCs w:val="22"/>
                <w:highlight w:val="none"/>
                <w:lang w:val="en-US" w:eastAsia="zh-CN"/>
              </w:rPr>
            </w:pPr>
          </w:p>
        </w:tc>
        <w:tc>
          <w:tcPr>
            <w:tcW w:w="1735" w:type="dxa"/>
            <w:vAlign w:val="center"/>
          </w:tcPr>
          <w:p w14:paraId="7C4FF6C0">
            <w:pPr>
              <w:jc w:val="center"/>
              <w:rPr>
                <w:rFonts w:hint="eastAsia"/>
                <w:color w:val="auto"/>
                <w:sz w:val="22"/>
                <w:szCs w:val="22"/>
                <w:highlight w:val="none"/>
                <w:lang w:val="en-US" w:eastAsia="zh-CN"/>
              </w:rPr>
            </w:pPr>
            <w:r>
              <w:rPr>
                <w:rFonts w:hint="eastAsia" w:ascii="Times New Roman" w:hAnsi="Times New Roman" w:eastAsia="宋体" w:cs="宋体"/>
                <w:color w:val="auto"/>
                <w:lang w:eastAsia="zh-CN"/>
              </w:rPr>
              <w:t>不合格产品</w:t>
            </w:r>
          </w:p>
        </w:tc>
        <w:tc>
          <w:tcPr>
            <w:tcW w:w="1235" w:type="dxa"/>
            <w:vAlign w:val="center"/>
          </w:tcPr>
          <w:p w14:paraId="04CA7606">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color w:val="auto"/>
                <w:sz w:val="22"/>
                <w:szCs w:val="22"/>
                <w:highlight w:val="none"/>
                <w:lang w:val="en-US" w:eastAsia="zh-CN"/>
              </w:rPr>
            </w:pPr>
          </w:p>
        </w:tc>
        <w:tc>
          <w:tcPr>
            <w:tcW w:w="1153" w:type="dxa"/>
            <w:vAlign w:val="center"/>
          </w:tcPr>
          <w:p w14:paraId="573B4E7C">
            <w:pPr>
              <w:jc w:val="center"/>
              <w:rPr>
                <w:rFonts w:hint="eastAsia"/>
                <w:color w:val="auto"/>
                <w:sz w:val="22"/>
                <w:szCs w:val="22"/>
                <w:highlight w:val="none"/>
                <w:lang w:val="en-US" w:eastAsia="zh-CN"/>
              </w:rPr>
            </w:pPr>
          </w:p>
        </w:tc>
        <w:tc>
          <w:tcPr>
            <w:tcW w:w="1537" w:type="dxa"/>
            <w:vAlign w:val="center"/>
          </w:tcPr>
          <w:p w14:paraId="765FC47E">
            <w:pPr>
              <w:jc w:val="center"/>
              <w:rPr>
                <w:rFonts w:hint="eastAsia"/>
                <w:color w:val="auto"/>
                <w:sz w:val="22"/>
                <w:szCs w:val="22"/>
                <w:highlight w:val="none"/>
                <w:lang w:val="en-US" w:eastAsia="zh-CN"/>
              </w:rPr>
            </w:pPr>
          </w:p>
        </w:tc>
        <w:tc>
          <w:tcPr>
            <w:tcW w:w="1411" w:type="dxa"/>
            <w:vAlign w:val="center"/>
          </w:tcPr>
          <w:p w14:paraId="1E3BACB5">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color w:val="auto"/>
                <w:sz w:val="22"/>
                <w:szCs w:val="22"/>
                <w:highlight w:val="none"/>
                <w:lang w:val="en-US" w:eastAsia="zh-CN"/>
              </w:rPr>
            </w:pPr>
          </w:p>
        </w:tc>
        <w:tc>
          <w:tcPr>
            <w:tcW w:w="1600" w:type="dxa"/>
            <w:vAlign w:val="center"/>
          </w:tcPr>
          <w:p w14:paraId="0C762BC1">
            <w:pPr>
              <w:jc w:val="center"/>
              <w:rPr>
                <w:rFonts w:hint="eastAsia"/>
                <w:color w:val="auto"/>
                <w:sz w:val="22"/>
                <w:szCs w:val="22"/>
                <w:highlight w:val="none"/>
                <w:lang w:val="en-US" w:eastAsia="zh-CN"/>
              </w:rPr>
            </w:pPr>
          </w:p>
        </w:tc>
        <w:tc>
          <w:tcPr>
            <w:tcW w:w="1617" w:type="dxa"/>
            <w:vAlign w:val="center"/>
          </w:tcPr>
          <w:p w14:paraId="59D3C0AD">
            <w:pPr>
              <w:pStyle w:val="102"/>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color w:val="auto"/>
                <w:sz w:val="22"/>
                <w:szCs w:val="22"/>
                <w:highlight w:val="none"/>
                <w:lang w:val="en-US" w:eastAsia="zh-CN"/>
              </w:rPr>
            </w:pPr>
          </w:p>
        </w:tc>
        <w:tc>
          <w:tcPr>
            <w:tcW w:w="1283" w:type="dxa"/>
            <w:vAlign w:val="center"/>
          </w:tcPr>
          <w:p w14:paraId="0808A0F2">
            <w:pPr>
              <w:adjustRightInd w:val="0"/>
              <w:snapToGrid w:val="0"/>
              <w:jc w:val="center"/>
              <w:rPr>
                <w:rFonts w:hint="default"/>
                <w:color w:val="auto"/>
                <w:sz w:val="22"/>
                <w:szCs w:val="22"/>
                <w:highlight w:val="none"/>
                <w:lang w:val="en-US" w:eastAsia="zh-CN"/>
              </w:rPr>
            </w:pPr>
          </w:p>
        </w:tc>
      </w:tr>
    </w:tbl>
    <w:p w14:paraId="3B3E22AC">
      <w:pPr>
        <w:spacing w:line="360" w:lineRule="auto"/>
        <w:ind w:firstLine="420" w:firstLineChars="200"/>
        <w:rPr>
          <w:rFonts w:hAnsi="宋体"/>
          <w:snapToGrid w:val="0"/>
          <w:color w:val="auto"/>
          <w:spacing w:val="-6"/>
          <w:kern w:val="21"/>
        </w:rPr>
      </w:pPr>
      <w:r>
        <w:rPr>
          <w:rFonts w:hint="eastAsia" w:hAnsi="宋体"/>
          <w:snapToGrid w:val="0"/>
          <w:color w:val="auto"/>
          <w:kern w:val="21"/>
        </w:rPr>
        <w:t>注：</w:t>
      </w:r>
      <w:r>
        <w:rPr>
          <w:rFonts w:hAnsi="宋体"/>
          <w:snapToGrid w:val="0"/>
          <w:color w:val="auto"/>
          <w:spacing w:val="-16"/>
          <w:kern w:val="21"/>
        </w:rPr>
        <w:fldChar w:fldCharType="begin"/>
      </w:r>
      <w:r>
        <w:rPr>
          <w:rFonts w:hAnsi="宋体"/>
          <w:snapToGrid w:val="0"/>
          <w:color w:val="auto"/>
          <w:spacing w:val="-16"/>
          <w:kern w:val="21"/>
        </w:rPr>
        <w:instrText xml:space="preserve"> = 6 \* GB3 \* MERGEFORMAT </w:instrText>
      </w:r>
      <w:r>
        <w:rPr>
          <w:rFonts w:hAnsi="宋体"/>
          <w:snapToGrid w:val="0"/>
          <w:color w:val="auto"/>
          <w:spacing w:val="-16"/>
          <w:kern w:val="21"/>
        </w:rPr>
        <w:fldChar w:fldCharType="separate"/>
      </w:r>
      <w:r>
        <w:rPr>
          <w:rFonts w:hint="eastAsia" w:hAnsi="宋体"/>
          <w:color w:val="auto"/>
        </w:rPr>
        <w:t>⑥</w:t>
      </w:r>
      <w:r>
        <w:rPr>
          <w:rFonts w:hAnsi="宋体"/>
          <w:snapToGrid w:val="0"/>
          <w:color w:val="auto"/>
          <w:spacing w:val="-16"/>
          <w:kern w:val="21"/>
        </w:rPr>
        <w:fldChar w:fldCharType="end"/>
      </w:r>
      <w:r>
        <w:rPr>
          <w:rFonts w:hAnsi="宋体"/>
          <w:snapToGrid w:val="0"/>
          <w:color w:val="auto"/>
          <w:spacing w:val="-16"/>
          <w:kern w:val="21"/>
        </w:rPr>
        <w:t>=</w:t>
      </w:r>
      <w:r>
        <w:rPr>
          <w:rFonts w:hAnsi="宋体"/>
          <w:snapToGrid w:val="0"/>
          <w:color w:val="auto"/>
          <w:spacing w:val="-6"/>
          <w:kern w:val="21"/>
        </w:rPr>
        <w:fldChar w:fldCharType="begin"/>
      </w:r>
      <w:r>
        <w:rPr>
          <w:rFonts w:hAnsi="宋体"/>
          <w:snapToGrid w:val="0"/>
          <w:color w:val="auto"/>
          <w:spacing w:val="-6"/>
          <w:kern w:val="21"/>
        </w:rPr>
        <w:instrText xml:space="preserve"> = 1 \* GB3 \* MERGEFORMAT </w:instrText>
      </w:r>
      <w:r>
        <w:rPr>
          <w:rFonts w:hAnsi="宋体"/>
          <w:snapToGrid w:val="0"/>
          <w:color w:val="auto"/>
          <w:spacing w:val="-6"/>
          <w:kern w:val="21"/>
        </w:rPr>
        <w:fldChar w:fldCharType="separate"/>
      </w:r>
      <w:r>
        <w:rPr>
          <w:rFonts w:hint="eastAsia" w:hAnsi="宋体"/>
          <w:color w:val="auto"/>
        </w:rPr>
        <w:t>①</w:t>
      </w:r>
      <w:r>
        <w:rPr>
          <w:rFonts w:hAnsi="宋体"/>
          <w:snapToGrid w:val="0"/>
          <w:color w:val="auto"/>
          <w:spacing w:val="-6"/>
          <w:kern w:val="21"/>
        </w:rPr>
        <w:fldChar w:fldCharType="end"/>
      </w:r>
      <w:r>
        <w:rPr>
          <w:rFonts w:hAnsi="宋体"/>
          <w:snapToGrid w:val="0"/>
          <w:color w:val="auto"/>
          <w:spacing w:val="-6"/>
          <w:kern w:val="21"/>
        </w:rPr>
        <w:t>+</w:t>
      </w:r>
      <w:r>
        <w:rPr>
          <w:rFonts w:hAnsi="宋体"/>
          <w:snapToGrid w:val="0"/>
          <w:color w:val="auto"/>
          <w:spacing w:val="-6"/>
          <w:kern w:val="21"/>
        </w:rPr>
        <w:fldChar w:fldCharType="begin"/>
      </w:r>
      <w:r>
        <w:rPr>
          <w:rFonts w:hAnsi="宋体"/>
          <w:snapToGrid w:val="0"/>
          <w:color w:val="auto"/>
          <w:spacing w:val="-6"/>
          <w:kern w:val="21"/>
        </w:rPr>
        <w:instrText xml:space="preserve"> = 3 \* GB3 \* MERGEFORMAT </w:instrText>
      </w:r>
      <w:r>
        <w:rPr>
          <w:rFonts w:hAnsi="宋体"/>
          <w:snapToGrid w:val="0"/>
          <w:color w:val="auto"/>
          <w:spacing w:val="-6"/>
          <w:kern w:val="21"/>
        </w:rPr>
        <w:fldChar w:fldCharType="separate"/>
      </w:r>
      <w:r>
        <w:rPr>
          <w:rFonts w:hint="eastAsia" w:hAnsi="宋体"/>
          <w:color w:val="auto"/>
        </w:rPr>
        <w:t>③</w:t>
      </w:r>
      <w:r>
        <w:rPr>
          <w:rFonts w:hAnsi="宋体"/>
          <w:snapToGrid w:val="0"/>
          <w:color w:val="auto"/>
          <w:spacing w:val="-6"/>
          <w:kern w:val="21"/>
        </w:rPr>
        <w:fldChar w:fldCharType="end"/>
      </w:r>
      <w:r>
        <w:rPr>
          <w:rFonts w:hAnsi="宋体"/>
          <w:snapToGrid w:val="0"/>
          <w:color w:val="auto"/>
          <w:spacing w:val="-6"/>
          <w:kern w:val="21"/>
        </w:rPr>
        <w:t>+</w:t>
      </w:r>
      <w:r>
        <w:rPr>
          <w:rFonts w:hAnsi="宋体"/>
          <w:snapToGrid w:val="0"/>
          <w:color w:val="auto"/>
          <w:spacing w:val="-6"/>
          <w:kern w:val="21"/>
        </w:rPr>
        <w:fldChar w:fldCharType="begin"/>
      </w:r>
      <w:r>
        <w:rPr>
          <w:rFonts w:hAnsi="宋体"/>
          <w:snapToGrid w:val="0"/>
          <w:color w:val="auto"/>
          <w:spacing w:val="-6"/>
          <w:kern w:val="21"/>
        </w:rPr>
        <w:instrText xml:space="preserve"> = 4 \* GB3 \* MERGEFORMAT </w:instrText>
      </w:r>
      <w:r>
        <w:rPr>
          <w:rFonts w:hAnsi="宋体"/>
          <w:snapToGrid w:val="0"/>
          <w:color w:val="auto"/>
          <w:spacing w:val="-6"/>
          <w:kern w:val="21"/>
        </w:rPr>
        <w:fldChar w:fldCharType="separate"/>
      </w:r>
      <w:r>
        <w:rPr>
          <w:rFonts w:hint="eastAsia" w:hAnsi="宋体"/>
          <w:color w:val="auto"/>
        </w:rPr>
        <w:t>④</w:t>
      </w:r>
      <w:r>
        <w:rPr>
          <w:rFonts w:hAnsi="宋体"/>
          <w:snapToGrid w:val="0"/>
          <w:color w:val="auto"/>
          <w:spacing w:val="-6"/>
          <w:kern w:val="21"/>
        </w:rPr>
        <w:fldChar w:fldCharType="end"/>
      </w:r>
      <w:r>
        <w:rPr>
          <w:rFonts w:hAnsi="宋体"/>
          <w:snapToGrid w:val="0"/>
          <w:color w:val="auto"/>
          <w:spacing w:val="-6"/>
          <w:kern w:val="21"/>
        </w:rPr>
        <w:t>-</w:t>
      </w:r>
      <w:r>
        <w:rPr>
          <w:rFonts w:hAnsi="宋体"/>
          <w:snapToGrid w:val="0"/>
          <w:color w:val="auto"/>
          <w:spacing w:val="-16"/>
          <w:kern w:val="21"/>
        </w:rPr>
        <w:fldChar w:fldCharType="begin"/>
      </w:r>
      <w:r>
        <w:rPr>
          <w:rFonts w:hAnsi="宋体"/>
          <w:snapToGrid w:val="0"/>
          <w:color w:val="auto"/>
          <w:spacing w:val="-16"/>
          <w:kern w:val="21"/>
        </w:rPr>
        <w:instrText xml:space="preserve"> = 5 \* GB3 \* MERGEFORMAT </w:instrText>
      </w:r>
      <w:r>
        <w:rPr>
          <w:rFonts w:hAnsi="宋体"/>
          <w:snapToGrid w:val="0"/>
          <w:color w:val="auto"/>
          <w:spacing w:val="-16"/>
          <w:kern w:val="21"/>
        </w:rPr>
        <w:fldChar w:fldCharType="separate"/>
      </w:r>
      <w:r>
        <w:rPr>
          <w:rFonts w:hint="eastAsia" w:hAnsi="宋体"/>
          <w:color w:val="auto"/>
        </w:rPr>
        <w:t>⑤</w:t>
      </w:r>
      <w:r>
        <w:rPr>
          <w:rFonts w:hAnsi="宋体"/>
          <w:snapToGrid w:val="0"/>
          <w:color w:val="auto"/>
          <w:spacing w:val="-16"/>
          <w:kern w:val="21"/>
        </w:rPr>
        <w:fldChar w:fldCharType="end"/>
      </w:r>
      <w:r>
        <w:rPr>
          <w:rFonts w:hint="eastAsia" w:hAnsi="宋体"/>
          <w:snapToGrid w:val="0"/>
          <w:color w:val="auto"/>
          <w:spacing w:val="-16"/>
          <w:kern w:val="21"/>
        </w:rPr>
        <w:t>；</w:t>
      </w:r>
      <w:r>
        <w:rPr>
          <w:rFonts w:hAnsi="宋体"/>
          <w:snapToGrid w:val="0"/>
          <w:color w:val="auto"/>
          <w:spacing w:val="-6"/>
          <w:kern w:val="21"/>
        </w:rPr>
        <w:fldChar w:fldCharType="begin"/>
      </w:r>
      <w:r>
        <w:rPr>
          <w:rFonts w:hAnsi="宋体"/>
          <w:snapToGrid w:val="0"/>
          <w:color w:val="auto"/>
          <w:spacing w:val="-6"/>
          <w:kern w:val="21"/>
        </w:rPr>
        <w:instrText xml:space="preserve"> = 7 \* GB3 \* MERGEFORMAT </w:instrText>
      </w:r>
      <w:r>
        <w:rPr>
          <w:rFonts w:hAnsi="宋体"/>
          <w:snapToGrid w:val="0"/>
          <w:color w:val="auto"/>
          <w:spacing w:val="-6"/>
          <w:kern w:val="21"/>
        </w:rPr>
        <w:fldChar w:fldCharType="separate"/>
      </w:r>
      <w:r>
        <w:rPr>
          <w:rFonts w:hint="eastAsia" w:hAnsi="宋体"/>
          <w:color w:val="auto"/>
        </w:rPr>
        <w:t>⑦</w:t>
      </w:r>
      <w:r>
        <w:rPr>
          <w:rFonts w:hAnsi="宋体"/>
          <w:snapToGrid w:val="0"/>
          <w:color w:val="auto"/>
          <w:spacing w:val="-6"/>
          <w:kern w:val="21"/>
        </w:rPr>
        <w:fldChar w:fldCharType="end"/>
      </w:r>
      <w:r>
        <w:rPr>
          <w:rFonts w:hAnsi="宋体"/>
          <w:snapToGrid w:val="0"/>
          <w:color w:val="auto"/>
          <w:spacing w:val="-6"/>
          <w:kern w:val="21"/>
        </w:rPr>
        <w:t>=</w:t>
      </w:r>
      <w:r>
        <w:rPr>
          <w:rFonts w:hAnsi="宋体"/>
          <w:snapToGrid w:val="0"/>
          <w:color w:val="auto"/>
          <w:spacing w:val="-16"/>
          <w:kern w:val="21"/>
        </w:rPr>
        <w:fldChar w:fldCharType="begin"/>
      </w:r>
      <w:r>
        <w:rPr>
          <w:rFonts w:hAnsi="宋体"/>
          <w:snapToGrid w:val="0"/>
          <w:color w:val="auto"/>
          <w:spacing w:val="-16"/>
          <w:kern w:val="21"/>
        </w:rPr>
        <w:instrText xml:space="preserve"> = 6 \* GB3 \* MERGEFORMAT </w:instrText>
      </w:r>
      <w:r>
        <w:rPr>
          <w:rFonts w:hAnsi="宋体"/>
          <w:snapToGrid w:val="0"/>
          <w:color w:val="auto"/>
          <w:spacing w:val="-16"/>
          <w:kern w:val="21"/>
        </w:rPr>
        <w:fldChar w:fldCharType="separate"/>
      </w:r>
      <w:r>
        <w:rPr>
          <w:rFonts w:hint="eastAsia" w:hAnsi="宋体"/>
          <w:color w:val="auto"/>
        </w:rPr>
        <w:t>⑥</w:t>
      </w:r>
      <w:r>
        <w:rPr>
          <w:rFonts w:hAnsi="宋体"/>
          <w:snapToGrid w:val="0"/>
          <w:color w:val="auto"/>
          <w:spacing w:val="-16"/>
          <w:kern w:val="21"/>
        </w:rPr>
        <w:fldChar w:fldCharType="end"/>
      </w:r>
      <w:r>
        <w:rPr>
          <w:rFonts w:hAnsi="宋体"/>
          <w:snapToGrid w:val="0"/>
          <w:color w:val="auto"/>
          <w:spacing w:val="-16"/>
          <w:kern w:val="21"/>
        </w:rPr>
        <w:t>-</w:t>
      </w:r>
      <w:r>
        <w:rPr>
          <w:rFonts w:hAnsi="宋体"/>
          <w:snapToGrid w:val="0"/>
          <w:color w:val="auto"/>
          <w:spacing w:val="-6"/>
          <w:kern w:val="21"/>
        </w:rPr>
        <w:fldChar w:fldCharType="begin"/>
      </w:r>
      <w:r>
        <w:rPr>
          <w:rFonts w:hAnsi="宋体"/>
          <w:snapToGrid w:val="0"/>
          <w:color w:val="auto"/>
          <w:spacing w:val="-6"/>
          <w:kern w:val="21"/>
        </w:rPr>
        <w:instrText xml:space="preserve"> = 1 \* GB3 \* MERGEFORMAT </w:instrText>
      </w:r>
      <w:r>
        <w:rPr>
          <w:rFonts w:hAnsi="宋体"/>
          <w:snapToGrid w:val="0"/>
          <w:color w:val="auto"/>
          <w:spacing w:val="-6"/>
          <w:kern w:val="21"/>
        </w:rPr>
        <w:fldChar w:fldCharType="separate"/>
      </w:r>
      <w:r>
        <w:rPr>
          <w:rFonts w:hint="eastAsia" w:hAnsi="宋体"/>
          <w:color w:val="auto"/>
        </w:rPr>
        <w:t>①</w:t>
      </w:r>
      <w:r>
        <w:rPr>
          <w:rFonts w:hAnsi="宋体"/>
          <w:snapToGrid w:val="0"/>
          <w:color w:val="auto"/>
          <w:spacing w:val="-6"/>
          <w:kern w:val="21"/>
        </w:rPr>
        <w:fldChar w:fldCharType="end"/>
      </w:r>
    </w:p>
    <w:sectPr>
      <w:footerReference r:id="rId5" w:type="default"/>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Brush Script MT">
    <w:altName w:val="Mongolian Baiti"/>
    <w:panose1 w:val="03060802040406070304"/>
    <w:charset w:val="00"/>
    <w:family w:val="script"/>
    <w:pitch w:val="default"/>
    <w:sig w:usb0="00000000" w:usb1="00000000" w:usb2="00000000" w:usb3="00000000" w:csb0="2000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F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6BAED">
    <w:pPr>
      <w:pStyle w:val="2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4528D">
    <w:pPr>
      <w:pStyle w:val="25"/>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AC99A4B">
                          <w:pPr>
                            <w:pStyle w:val="25"/>
                            <w:rPr>
                              <w:rStyle w:val="42"/>
                              <w:rFonts w:ascii="宋体"/>
                              <w:sz w:val="28"/>
                              <w:szCs w:val="28"/>
                            </w:rPr>
                          </w:pPr>
                          <w:r>
                            <w:rPr>
                              <w:rStyle w:val="42"/>
                              <w:rFonts w:ascii="宋体" w:hAnsi="宋体" w:cs="宋体"/>
                              <w:sz w:val="28"/>
                              <w:szCs w:val="28"/>
                            </w:rPr>
                            <w:t>—</w:t>
                          </w:r>
                          <w:r>
                            <w:rPr>
                              <w:rStyle w:val="42"/>
                              <w:rFonts w:ascii="宋体" w:hAnsi="宋体" w:cs="宋体"/>
                              <w:sz w:val="26"/>
                              <w:szCs w:val="26"/>
                            </w:rPr>
                            <w:fldChar w:fldCharType="begin"/>
                          </w:r>
                          <w:r>
                            <w:rPr>
                              <w:rStyle w:val="42"/>
                              <w:rFonts w:ascii="宋体" w:hAnsi="宋体" w:cs="宋体"/>
                              <w:sz w:val="26"/>
                              <w:szCs w:val="26"/>
                            </w:rPr>
                            <w:instrText xml:space="preserve">PAGE  </w:instrText>
                          </w:r>
                          <w:r>
                            <w:rPr>
                              <w:rStyle w:val="42"/>
                              <w:rFonts w:ascii="宋体" w:hAnsi="宋体" w:cs="宋体"/>
                              <w:sz w:val="26"/>
                              <w:szCs w:val="26"/>
                            </w:rPr>
                            <w:fldChar w:fldCharType="separate"/>
                          </w:r>
                          <w:r>
                            <w:rPr>
                              <w:rStyle w:val="42"/>
                              <w:rFonts w:ascii="宋体" w:hAnsi="宋体" w:cs="宋体"/>
                              <w:sz w:val="26"/>
                              <w:szCs w:val="26"/>
                            </w:rPr>
                            <w:t>40</w:t>
                          </w:r>
                          <w:r>
                            <w:rPr>
                              <w:rStyle w:val="42"/>
                              <w:rFonts w:ascii="宋体" w:hAnsi="宋体" w:cs="宋体"/>
                              <w:sz w:val="26"/>
                              <w:szCs w:val="26"/>
                            </w:rPr>
                            <w:fldChar w:fldCharType="end"/>
                          </w:r>
                          <w:r>
                            <w:rPr>
                              <w:rStyle w:val="42"/>
                              <w:rFonts w:ascii="宋体" w:hAnsi="宋体" w:cs="宋体"/>
                              <w:sz w:val="28"/>
                              <w:szCs w:val="28"/>
                            </w:rPr>
                            <w:t>—</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SVju0AAAAAUBAAAPAAAAAAAAAAEAIAAAACIAAABk&#10;cnMvZG93bnJldi54bWxQSwECFAAUAAAACACHTuJASCJZWNUBAACmAwAADgAAAAAAAAABACAAAAAf&#10;AQAAZHJzL2Uyb0RvYy54bWxQSwUGAAAAAAYABgBZAQAAZgUAAAAA&#10;">
              <v:fill on="f" focussize="0,0"/>
              <v:stroke on="f" weight="0.5pt"/>
              <v:imagedata o:title=""/>
              <o:lock v:ext="edit" aspectratio="f"/>
              <v:textbox inset="0mm,0mm,0mm,0mm" style="mso-fit-shape-to-text:t;">
                <w:txbxContent>
                  <w:p w14:paraId="6AC99A4B">
                    <w:pPr>
                      <w:pStyle w:val="25"/>
                      <w:rPr>
                        <w:rStyle w:val="42"/>
                        <w:rFonts w:ascii="宋体"/>
                        <w:sz w:val="28"/>
                        <w:szCs w:val="28"/>
                      </w:rPr>
                    </w:pPr>
                    <w:r>
                      <w:rPr>
                        <w:rStyle w:val="42"/>
                        <w:rFonts w:ascii="宋体" w:hAnsi="宋体" w:cs="宋体"/>
                        <w:sz w:val="28"/>
                        <w:szCs w:val="28"/>
                      </w:rPr>
                      <w:t>—</w:t>
                    </w:r>
                    <w:r>
                      <w:rPr>
                        <w:rStyle w:val="42"/>
                        <w:rFonts w:ascii="宋体" w:hAnsi="宋体" w:cs="宋体"/>
                        <w:sz w:val="26"/>
                        <w:szCs w:val="26"/>
                      </w:rPr>
                      <w:fldChar w:fldCharType="begin"/>
                    </w:r>
                    <w:r>
                      <w:rPr>
                        <w:rStyle w:val="42"/>
                        <w:rFonts w:ascii="宋体" w:hAnsi="宋体" w:cs="宋体"/>
                        <w:sz w:val="26"/>
                        <w:szCs w:val="26"/>
                      </w:rPr>
                      <w:instrText xml:space="preserve">PAGE  </w:instrText>
                    </w:r>
                    <w:r>
                      <w:rPr>
                        <w:rStyle w:val="42"/>
                        <w:rFonts w:ascii="宋体" w:hAnsi="宋体" w:cs="宋体"/>
                        <w:sz w:val="26"/>
                        <w:szCs w:val="26"/>
                      </w:rPr>
                      <w:fldChar w:fldCharType="separate"/>
                    </w:r>
                    <w:r>
                      <w:rPr>
                        <w:rStyle w:val="42"/>
                        <w:rFonts w:ascii="宋体" w:hAnsi="宋体" w:cs="宋体"/>
                        <w:sz w:val="26"/>
                        <w:szCs w:val="26"/>
                      </w:rPr>
                      <w:t>40</w:t>
                    </w:r>
                    <w:r>
                      <w:rPr>
                        <w:rStyle w:val="42"/>
                        <w:rFonts w:ascii="宋体" w:hAnsi="宋体" w:cs="宋体"/>
                        <w:sz w:val="26"/>
                        <w:szCs w:val="26"/>
                      </w:rPr>
                      <w:fldChar w:fldCharType="end"/>
                    </w:r>
                    <w:r>
                      <w:rPr>
                        <w:rStyle w:val="42"/>
                        <w:rFonts w:ascii="宋体" w:hAnsi="宋体" w:cs="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31E73">
    <w:pPr>
      <w:pStyle w:val="25"/>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6B866E8">
                          <w:pPr>
                            <w:pStyle w:val="25"/>
                            <w:rPr>
                              <w:rStyle w:val="42"/>
                              <w:rFonts w:ascii="宋体"/>
                              <w:sz w:val="28"/>
                              <w:szCs w:val="28"/>
                            </w:rPr>
                          </w:pPr>
                          <w:r>
                            <w:rPr>
                              <w:rStyle w:val="42"/>
                              <w:rFonts w:ascii="宋体" w:hAnsi="宋体" w:cs="宋体"/>
                              <w:sz w:val="28"/>
                              <w:szCs w:val="28"/>
                            </w:rPr>
                            <w:t>—</w:t>
                          </w:r>
                          <w:r>
                            <w:rPr>
                              <w:rStyle w:val="42"/>
                              <w:rFonts w:ascii="宋体" w:hAnsi="宋体" w:cs="宋体"/>
                              <w:sz w:val="26"/>
                              <w:szCs w:val="26"/>
                            </w:rPr>
                            <w:fldChar w:fldCharType="begin"/>
                          </w:r>
                          <w:r>
                            <w:rPr>
                              <w:rStyle w:val="42"/>
                              <w:rFonts w:ascii="宋体" w:hAnsi="宋体" w:cs="宋体"/>
                              <w:sz w:val="26"/>
                              <w:szCs w:val="26"/>
                            </w:rPr>
                            <w:instrText xml:space="preserve">PAGE  </w:instrText>
                          </w:r>
                          <w:r>
                            <w:rPr>
                              <w:rStyle w:val="42"/>
                              <w:rFonts w:ascii="宋体" w:hAnsi="宋体" w:cs="宋体"/>
                              <w:sz w:val="26"/>
                              <w:szCs w:val="26"/>
                            </w:rPr>
                            <w:fldChar w:fldCharType="separate"/>
                          </w:r>
                          <w:r>
                            <w:rPr>
                              <w:rStyle w:val="42"/>
                              <w:rFonts w:ascii="宋体" w:hAnsi="宋体" w:cs="宋体"/>
                              <w:sz w:val="26"/>
                              <w:szCs w:val="26"/>
                            </w:rPr>
                            <w:t>42</w:t>
                          </w:r>
                          <w:r>
                            <w:rPr>
                              <w:rStyle w:val="42"/>
                              <w:rFonts w:ascii="宋体" w:hAnsi="宋体" w:cs="宋体"/>
                              <w:sz w:val="26"/>
                              <w:szCs w:val="26"/>
                            </w:rPr>
                            <w:fldChar w:fldCharType="end"/>
                          </w:r>
                          <w:r>
                            <w:rPr>
                              <w:rStyle w:val="42"/>
                              <w:rFonts w:ascii="宋体" w:hAnsi="宋体" w:cs="宋体"/>
                              <w:sz w:val="28"/>
                              <w:szCs w:val="28"/>
                            </w:rPr>
                            <w:t>—</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0lY7tAAAAAFAQAADwAAAAAAAAABACAAAAAiAAAA&#10;ZHJzL2Rvd25yZXYueG1sUEsBAhQAFAAAAAgAh07iQJHfvNXWAQAApgMAAA4AAAAAAAAAAQAgAAAA&#10;HwEAAGRycy9lMm9Eb2MueG1sUEsFBgAAAAAGAAYAWQEAAGcFAAAAAA==&#10;">
              <v:fill on="f" focussize="0,0"/>
              <v:stroke on="f" weight="0.5pt"/>
              <v:imagedata o:title=""/>
              <o:lock v:ext="edit" aspectratio="f"/>
              <v:textbox inset="0mm,0mm,0mm,0mm" style="mso-fit-shape-to-text:t;">
                <w:txbxContent>
                  <w:p w14:paraId="36B866E8">
                    <w:pPr>
                      <w:pStyle w:val="25"/>
                      <w:rPr>
                        <w:rStyle w:val="42"/>
                        <w:rFonts w:ascii="宋体"/>
                        <w:sz w:val="28"/>
                        <w:szCs w:val="28"/>
                      </w:rPr>
                    </w:pPr>
                    <w:r>
                      <w:rPr>
                        <w:rStyle w:val="42"/>
                        <w:rFonts w:ascii="宋体" w:hAnsi="宋体" w:cs="宋体"/>
                        <w:sz w:val="28"/>
                        <w:szCs w:val="28"/>
                      </w:rPr>
                      <w:t>—</w:t>
                    </w:r>
                    <w:r>
                      <w:rPr>
                        <w:rStyle w:val="42"/>
                        <w:rFonts w:ascii="宋体" w:hAnsi="宋体" w:cs="宋体"/>
                        <w:sz w:val="26"/>
                        <w:szCs w:val="26"/>
                      </w:rPr>
                      <w:fldChar w:fldCharType="begin"/>
                    </w:r>
                    <w:r>
                      <w:rPr>
                        <w:rStyle w:val="42"/>
                        <w:rFonts w:ascii="宋体" w:hAnsi="宋体" w:cs="宋体"/>
                        <w:sz w:val="26"/>
                        <w:szCs w:val="26"/>
                      </w:rPr>
                      <w:instrText xml:space="preserve">PAGE  </w:instrText>
                    </w:r>
                    <w:r>
                      <w:rPr>
                        <w:rStyle w:val="42"/>
                        <w:rFonts w:ascii="宋体" w:hAnsi="宋体" w:cs="宋体"/>
                        <w:sz w:val="26"/>
                        <w:szCs w:val="26"/>
                      </w:rPr>
                      <w:fldChar w:fldCharType="separate"/>
                    </w:r>
                    <w:r>
                      <w:rPr>
                        <w:rStyle w:val="42"/>
                        <w:rFonts w:ascii="宋体" w:hAnsi="宋体" w:cs="宋体"/>
                        <w:sz w:val="26"/>
                        <w:szCs w:val="26"/>
                      </w:rPr>
                      <w:t>42</w:t>
                    </w:r>
                    <w:r>
                      <w:rPr>
                        <w:rStyle w:val="42"/>
                        <w:rFonts w:ascii="宋体" w:hAnsi="宋体" w:cs="宋体"/>
                        <w:sz w:val="26"/>
                        <w:szCs w:val="26"/>
                      </w:rPr>
                      <w:fldChar w:fldCharType="end"/>
                    </w:r>
                    <w:r>
                      <w:rPr>
                        <w:rStyle w:val="42"/>
                        <w:rFonts w:ascii="宋体" w:hAnsi="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61FCE"/>
    <w:multiLevelType w:val="singleLevel"/>
    <w:tmpl w:val="EBA61FCE"/>
    <w:lvl w:ilvl="0" w:tentative="0">
      <w:start w:val="8"/>
      <w:numFmt w:val="decimal"/>
      <w:suff w:val="nothing"/>
      <w:lvlText w:val="%1、"/>
      <w:lvlJc w:val="left"/>
    </w:lvl>
  </w:abstractNum>
  <w:abstractNum w:abstractNumId="1">
    <w:nsid w:val="F728FC48"/>
    <w:multiLevelType w:val="singleLevel"/>
    <w:tmpl w:val="F728FC48"/>
    <w:lvl w:ilvl="0" w:tentative="0">
      <w:start w:val="1"/>
      <w:numFmt w:val="decimal"/>
      <w:suff w:val="nothing"/>
      <w:lvlText w:val="%1、"/>
      <w:lvlJc w:val="left"/>
    </w:lvl>
  </w:abstractNum>
  <w:abstractNum w:abstractNumId="2">
    <w:nsid w:val="F7619721"/>
    <w:multiLevelType w:val="singleLevel"/>
    <w:tmpl w:val="F7619721"/>
    <w:lvl w:ilvl="0" w:tentative="0">
      <w:start w:val="1"/>
      <w:numFmt w:val="bullet"/>
      <w:pStyle w:val="20"/>
      <w:lvlText w:val=""/>
      <w:lvlJc w:val="left"/>
      <w:pPr>
        <w:tabs>
          <w:tab w:val="left" w:pos="2040"/>
        </w:tabs>
        <w:ind w:left="2040" w:hanging="360"/>
      </w:pPr>
      <w:rPr>
        <w:rFonts w:hint="default" w:ascii="Wingdings" w:hAnsi="Wingdings"/>
      </w:rPr>
    </w:lvl>
  </w:abstractNum>
  <w:abstractNum w:abstractNumId="3">
    <w:nsid w:val="FE718E63"/>
    <w:multiLevelType w:val="singleLevel"/>
    <w:tmpl w:val="FE718E63"/>
    <w:lvl w:ilvl="0" w:tentative="0">
      <w:start w:val="6"/>
      <w:numFmt w:val="chineseCounting"/>
      <w:lvlText w:val="(%1)"/>
      <w:lvlJc w:val="left"/>
      <w:pPr>
        <w:tabs>
          <w:tab w:val="left" w:pos="312"/>
        </w:tabs>
      </w:pPr>
      <w:rPr>
        <w:rFonts w:hint="eastAsia"/>
      </w:rPr>
    </w:lvl>
  </w:abstractNum>
  <w:abstractNum w:abstractNumId="4">
    <w:nsid w:val="26A3DD3B"/>
    <w:multiLevelType w:val="singleLevel"/>
    <w:tmpl w:val="26A3DD3B"/>
    <w:lvl w:ilvl="0" w:tentative="0">
      <w:start w:val="4"/>
      <w:numFmt w:val="decimal"/>
      <w:suff w:val="nothing"/>
      <w:lvlText w:val="（%1）"/>
      <w:lvlJc w:val="left"/>
    </w:lvl>
  </w:abstractNum>
  <w:abstractNum w:abstractNumId="5">
    <w:nsid w:val="2F79A84C"/>
    <w:multiLevelType w:val="singleLevel"/>
    <w:tmpl w:val="2F79A84C"/>
    <w:lvl w:ilvl="0" w:tentative="0">
      <w:start w:val="1"/>
      <w:numFmt w:val="decimal"/>
      <w:suff w:val="nothing"/>
      <w:lvlText w:val="（%1）"/>
      <w:lvlJc w:val="left"/>
    </w:lvl>
  </w:abstractNum>
  <w:abstractNum w:abstractNumId="6">
    <w:nsid w:val="343E091B"/>
    <w:multiLevelType w:val="singleLevel"/>
    <w:tmpl w:val="343E091B"/>
    <w:lvl w:ilvl="0" w:tentative="0">
      <w:start w:val="1"/>
      <w:numFmt w:val="decimal"/>
      <w:suff w:val="nothing"/>
      <w:lvlText w:val="（%1）"/>
      <w:lvlJc w:val="left"/>
    </w:lvl>
  </w:abstractNum>
  <w:abstractNum w:abstractNumId="7">
    <w:nsid w:val="6B61A580"/>
    <w:multiLevelType w:val="singleLevel"/>
    <w:tmpl w:val="6B61A580"/>
    <w:lvl w:ilvl="0" w:tentative="0">
      <w:start w:val="1"/>
      <w:numFmt w:val="decimal"/>
      <w:suff w:val="nothing"/>
      <w:lvlText w:val="%1、"/>
      <w:lvlJc w:val="left"/>
    </w:lvl>
  </w:abstractNum>
  <w:abstractNum w:abstractNumId="8">
    <w:nsid w:val="73634486"/>
    <w:multiLevelType w:val="singleLevel"/>
    <w:tmpl w:val="73634486"/>
    <w:lvl w:ilvl="0" w:tentative="0">
      <w:start w:val="1"/>
      <w:numFmt w:val="decimal"/>
      <w:suff w:val="nothing"/>
      <w:lvlText w:val="（%1）"/>
      <w:lvlJc w:val="left"/>
    </w:lvl>
  </w:abstractNum>
  <w:abstractNum w:abstractNumId="9">
    <w:nsid w:val="738B02CC"/>
    <w:multiLevelType w:val="singleLevel"/>
    <w:tmpl w:val="738B02CC"/>
    <w:lvl w:ilvl="0" w:tentative="0">
      <w:start w:val="1"/>
      <w:numFmt w:val="decimal"/>
      <w:suff w:val="nothing"/>
      <w:lvlText w:val="（%1）"/>
      <w:lvlJc w:val="left"/>
    </w:lvl>
  </w:abstractNum>
  <w:num w:numId="1">
    <w:abstractNumId w:val="2"/>
  </w:num>
  <w:num w:numId="2">
    <w:abstractNumId w:val="8"/>
  </w:num>
  <w:num w:numId="3">
    <w:abstractNumId w:val="0"/>
  </w:num>
  <w:num w:numId="4">
    <w:abstractNumId w:val="3"/>
  </w:num>
  <w:num w:numId="5">
    <w:abstractNumId w:val="7"/>
  </w:num>
  <w:num w:numId="6">
    <w:abstractNumId w:val="9"/>
  </w:num>
  <w:num w:numId="7">
    <w:abstractNumId w:val="1"/>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dit="trackedChanges"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YzVkYzFjNzQwZmRlNjAzYWU5MDNkZTg0OWIzMmMifQ=="/>
  </w:docVars>
  <w:rsids>
    <w:rsidRoot w:val="00A14947"/>
    <w:rsid w:val="00001AEE"/>
    <w:rsid w:val="0000206B"/>
    <w:rsid w:val="00003B83"/>
    <w:rsid w:val="00004DAB"/>
    <w:rsid w:val="000060B3"/>
    <w:rsid w:val="000072FB"/>
    <w:rsid w:val="00007548"/>
    <w:rsid w:val="0000763C"/>
    <w:rsid w:val="00007C37"/>
    <w:rsid w:val="000100B8"/>
    <w:rsid w:val="000119DD"/>
    <w:rsid w:val="00012905"/>
    <w:rsid w:val="000139AB"/>
    <w:rsid w:val="0001412B"/>
    <w:rsid w:val="00015405"/>
    <w:rsid w:val="00016671"/>
    <w:rsid w:val="0001724E"/>
    <w:rsid w:val="00017392"/>
    <w:rsid w:val="000219E9"/>
    <w:rsid w:val="000222E9"/>
    <w:rsid w:val="0002360E"/>
    <w:rsid w:val="00024943"/>
    <w:rsid w:val="00025542"/>
    <w:rsid w:val="0002575E"/>
    <w:rsid w:val="00026BD5"/>
    <w:rsid w:val="00030416"/>
    <w:rsid w:val="000306B8"/>
    <w:rsid w:val="0003267F"/>
    <w:rsid w:val="00034147"/>
    <w:rsid w:val="00035CB9"/>
    <w:rsid w:val="00036758"/>
    <w:rsid w:val="00036B2C"/>
    <w:rsid w:val="00036DA2"/>
    <w:rsid w:val="00040456"/>
    <w:rsid w:val="000405F4"/>
    <w:rsid w:val="00041D87"/>
    <w:rsid w:val="00041FED"/>
    <w:rsid w:val="000421B4"/>
    <w:rsid w:val="000432E7"/>
    <w:rsid w:val="0004364B"/>
    <w:rsid w:val="00043CD7"/>
    <w:rsid w:val="000442E4"/>
    <w:rsid w:val="00044478"/>
    <w:rsid w:val="00044B06"/>
    <w:rsid w:val="000456A6"/>
    <w:rsid w:val="00045994"/>
    <w:rsid w:val="0004776A"/>
    <w:rsid w:val="00050124"/>
    <w:rsid w:val="000522C6"/>
    <w:rsid w:val="0005242E"/>
    <w:rsid w:val="0005297A"/>
    <w:rsid w:val="00053D40"/>
    <w:rsid w:val="00055356"/>
    <w:rsid w:val="000572CE"/>
    <w:rsid w:val="00060425"/>
    <w:rsid w:val="0006050E"/>
    <w:rsid w:val="00061AE8"/>
    <w:rsid w:val="00061B1F"/>
    <w:rsid w:val="0006447C"/>
    <w:rsid w:val="0006507F"/>
    <w:rsid w:val="00070597"/>
    <w:rsid w:val="00071E2C"/>
    <w:rsid w:val="000733C4"/>
    <w:rsid w:val="000733FD"/>
    <w:rsid w:val="00073B3B"/>
    <w:rsid w:val="00074783"/>
    <w:rsid w:val="00074D24"/>
    <w:rsid w:val="00080210"/>
    <w:rsid w:val="000803CE"/>
    <w:rsid w:val="0008070B"/>
    <w:rsid w:val="00080E01"/>
    <w:rsid w:val="000810AC"/>
    <w:rsid w:val="00081152"/>
    <w:rsid w:val="000817FC"/>
    <w:rsid w:val="00081A02"/>
    <w:rsid w:val="00082231"/>
    <w:rsid w:val="00084DAF"/>
    <w:rsid w:val="000919D5"/>
    <w:rsid w:val="00091BD9"/>
    <w:rsid w:val="00091F00"/>
    <w:rsid w:val="00092D38"/>
    <w:rsid w:val="00092D69"/>
    <w:rsid w:val="0009377B"/>
    <w:rsid w:val="00093790"/>
    <w:rsid w:val="00094207"/>
    <w:rsid w:val="0009533F"/>
    <w:rsid w:val="00097E9E"/>
    <w:rsid w:val="000A1F0D"/>
    <w:rsid w:val="000A20C9"/>
    <w:rsid w:val="000A287A"/>
    <w:rsid w:val="000A2C2D"/>
    <w:rsid w:val="000A2C45"/>
    <w:rsid w:val="000A33A4"/>
    <w:rsid w:val="000A51D3"/>
    <w:rsid w:val="000A598F"/>
    <w:rsid w:val="000A7674"/>
    <w:rsid w:val="000A7699"/>
    <w:rsid w:val="000A7A55"/>
    <w:rsid w:val="000A7DE5"/>
    <w:rsid w:val="000B058F"/>
    <w:rsid w:val="000B06F4"/>
    <w:rsid w:val="000B1170"/>
    <w:rsid w:val="000B1C83"/>
    <w:rsid w:val="000B4467"/>
    <w:rsid w:val="000B48AC"/>
    <w:rsid w:val="000B4DB9"/>
    <w:rsid w:val="000B5DEB"/>
    <w:rsid w:val="000C09AC"/>
    <w:rsid w:val="000C1657"/>
    <w:rsid w:val="000C1875"/>
    <w:rsid w:val="000C18B1"/>
    <w:rsid w:val="000C18E9"/>
    <w:rsid w:val="000C21D2"/>
    <w:rsid w:val="000C2DF5"/>
    <w:rsid w:val="000C3726"/>
    <w:rsid w:val="000C4522"/>
    <w:rsid w:val="000C56F3"/>
    <w:rsid w:val="000C5CA6"/>
    <w:rsid w:val="000C5FFC"/>
    <w:rsid w:val="000C767F"/>
    <w:rsid w:val="000C7BC3"/>
    <w:rsid w:val="000D03A9"/>
    <w:rsid w:val="000D2E42"/>
    <w:rsid w:val="000D3786"/>
    <w:rsid w:val="000D3CCA"/>
    <w:rsid w:val="000D3EDC"/>
    <w:rsid w:val="000D4B78"/>
    <w:rsid w:val="000D4C59"/>
    <w:rsid w:val="000D52FF"/>
    <w:rsid w:val="000D5A44"/>
    <w:rsid w:val="000D681C"/>
    <w:rsid w:val="000D74BB"/>
    <w:rsid w:val="000E2A0B"/>
    <w:rsid w:val="000E3993"/>
    <w:rsid w:val="000E3ED2"/>
    <w:rsid w:val="000E66E2"/>
    <w:rsid w:val="000E7BEC"/>
    <w:rsid w:val="000F02DE"/>
    <w:rsid w:val="000F1362"/>
    <w:rsid w:val="000F164B"/>
    <w:rsid w:val="000F1FF2"/>
    <w:rsid w:val="000F2A5D"/>
    <w:rsid w:val="000F3222"/>
    <w:rsid w:val="000F53EA"/>
    <w:rsid w:val="000F580C"/>
    <w:rsid w:val="000F5F42"/>
    <w:rsid w:val="000F67BD"/>
    <w:rsid w:val="000F7BEF"/>
    <w:rsid w:val="000F7C20"/>
    <w:rsid w:val="000F7C23"/>
    <w:rsid w:val="000F7C53"/>
    <w:rsid w:val="001011BB"/>
    <w:rsid w:val="001018C2"/>
    <w:rsid w:val="00101C94"/>
    <w:rsid w:val="001020BF"/>
    <w:rsid w:val="0011055A"/>
    <w:rsid w:val="001110AD"/>
    <w:rsid w:val="001112C9"/>
    <w:rsid w:val="0011171C"/>
    <w:rsid w:val="00112442"/>
    <w:rsid w:val="00113215"/>
    <w:rsid w:val="00113E0A"/>
    <w:rsid w:val="00114F33"/>
    <w:rsid w:val="00115174"/>
    <w:rsid w:val="001163CD"/>
    <w:rsid w:val="001202FB"/>
    <w:rsid w:val="00120876"/>
    <w:rsid w:val="00121BA9"/>
    <w:rsid w:val="0012286D"/>
    <w:rsid w:val="001234DB"/>
    <w:rsid w:val="001271EB"/>
    <w:rsid w:val="00127F48"/>
    <w:rsid w:val="001300BB"/>
    <w:rsid w:val="0013096F"/>
    <w:rsid w:val="00131990"/>
    <w:rsid w:val="00131F42"/>
    <w:rsid w:val="00133396"/>
    <w:rsid w:val="001333D6"/>
    <w:rsid w:val="00133F01"/>
    <w:rsid w:val="00134C34"/>
    <w:rsid w:val="00135101"/>
    <w:rsid w:val="0013551E"/>
    <w:rsid w:val="001357F1"/>
    <w:rsid w:val="0013592B"/>
    <w:rsid w:val="00135EBA"/>
    <w:rsid w:val="00136F24"/>
    <w:rsid w:val="00140FA8"/>
    <w:rsid w:val="00142FEB"/>
    <w:rsid w:val="00143A2D"/>
    <w:rsid w:val="00143DEB"/>
    <w:rsid w:val="00144D62"/>
    <w:rsid w:val="001458B6"/>
    <w:rsid w:val="00145A41"/>
    <w:rsid w:val="001461D3"/>
    <w:rsid w:val="001477B0"/>
    <w:rsid w:val="00147E03"/>
    <w:rsid w:val="00151675"/>
    <w:rsid w:val="001521CF"/>
    <w:rsid w:val="00153750"/>
    <w:rsid w:val="00155236"/>
    <w:rsid w:val="00155B17"/>
    <w:rsid w:val="00156435"/>
    <w:rsid w:val="00157435"/>
    <w:rsid w:val="00160BB7"/>
    <w:rsid w:val="0016159F"/>
    <w:rsid w:val="00161BC2"/>
    <w:rsid w:val="0016419C"/>
    <w:rsid w:val="00164E20"/>
    <w:rsid w:val="00165460"/>
    <w:rsid w:val="001666E6"/>
    <w:rsid w:val="001669B2"/>
    <w:rsid w:val="0016766E"/>
    <w:rsid w:val="001702D4"/>
    <w:rsid w:val="0017035C"/>
    <w:rsid w:val="0017440D"/>
    <w:rsid w:val="0017504D"/>
    <w:rsid w:val="00175B4D"/>
    <w:rsid w:val="0017671A"/>
    <w:rsid w:val="0017691A"/>
    <w:rsid w:val="00176CFD"/>
    <w:rsid w:val="00177422"/>
    <w:rsid w:val="0018082F"/>
    <w:rsid w:val="0018162D"/>
    <w:rsid w:val="00183638"/>
    <w:rsid w:val="001843FE"/>
    <w:rsid w:val="00184590"/>
    <w:rsid w:val="00184BDB"/>
    <w:rsid w:val="001870D1"/>
    <w:rsid w:val="0018781E"/>
    <w:rsid w:val="00187E5E"/>
    <w:rsid w:val="001902E5"/>
    <w:rsid w:val="00190CB5"/>
    <w:rsid w:val="00191A1E"/>
    <w:rsid w:val="001923D9"/>
    <w:rsid w:val="0019258C"/>
    <w:rsid w:val="0019262D"/>
    <w:rsid w:val="00192BBE"/>
    <w:rsid w:val="0019314E"/>
    <w:rsid w:val="00195A6F"/>
    <w:rsid w:val="00196407"/>
    <w:rsid w:val="00196B99"/>
    <w:rsid w:val="00196F87"/>
    <w:rsid w:val="0019798F"/>
    <w:rsid w:val="00197AC7"/>
    <w:rsid w:val="001A0A7E"/>
    <w:rsid w:val="001A1308"/>
    <w:rsid w:val="001A130C"/>
    <w:rsid w:val="001A1566"/>
    <w:rsid w:val="001A1B35"/>
    <w:rsid w:val="001A2229"/>
    <w:rsid w:val="001A2D97"/>
    <w:rsid w:val="001A2E94"/>
    <w:rsid w:val="001A48A2"/>
    <w:rsid w:val="001A6F61"/>
    <w:rsid w:val="001B5DA4"/>
    <w:rsid w:val="001B5E51"/>
    <w:rsid w:val="001B5E95"/>
    <w:rsid w:val="001B63E0"/>
    <w:rsid w:val="001B72B8"/>
    <w:rsid w:val="001B7648"/>
    <w:rsid w:val="001C0C8D"/>
    <w:rsid w:val="001C2147"/>
    <w:rsid w:val="001C3146"/>
    <w:rsid w:val="001C450A"/>
    <w:rsid w:val="001C4E44"/>
    <w:rsid w:val="001C6009"/>
    <w:rsid w:val="001C69B3"/>
    <w:rsid w:val="001D3453"/>
    <w:rsid w:val="001D3CEC"/>
    <w:rsid w:val="001D3E56"/>
    <w:rsid w:val="001D47B5"/>
    <w:rsid w:val="001D4DA8"/>
    <w:rsid w:val="001D5595"/>
    <w:rsid w:val="001D55C6"/>
    <w:rsid w:val="001D5832"/>
    <w:rsid w:val="001D6600"/>
    <w:rsid w:val="001D6D00"/>
    <w:rsid w:val="001D7874"/>
    <w:rsid w:val="001D7F22"/>
    <w:rsid w:val="001E0704"/>
    <w:rsid w:val="001E0DEA"/>
    <w:rsid w:val="001E1120"/>
    <w:rsid w:val="001E1230"/>
    <w:rsid w:val="001E1806"/>
    <w:rsid w:val="001E2AF8"/>
    <w:rsid w:val="001E3FAB"/>
    <w:rsid w:val="001E46B8"/>
    <w:rsid w:val="001E5588"/>
    <w:rsid w:val="001E61DF"/>
    <w:rsid w:val="001E691D"/>
    <w:rsid w:val="001E77EF"/>
    <w:rsid w:val="001E7A29"/>
    <w:rsid w:val="001F0F17"/>
    <w:rsid w:val="001F234C"/>
    <w:rsid w:val="001F3347"/>
    <w:rsid w:val="001F46BA"/>
    <w:rsid w:val="001F59E5"/>
    <w:rsid w:val="001F69E4"/>
    <w:rsid w:val="0020170F"/>
    <w:rsid w:val="00202BDA"/>
    <w:rsid w:val="002051CD"/>
    <w:rsid w:val="00205C2F"/>
    <w:rsid w:val="002062B5"/>
    <w:rsid w:val="002066DB"/>
    <w:rsid w:val="002073A8"/>
    <w:rsid w:val="00207412"/>
    <w:rsid w:val="00210079"/>
    <w:rsid w:val="00211D32"/>
    <w:rsid w:val="002125B4"/>
    <w:rsid w:val="00213E30"/>
    <w:rsid w:val="00214075"/>
    <w:rsid w:val="002155B8"/>
    <w:rsid w:val="00216453"/>
    <w:rsid w:val="00221D6C"/>
    <w:rsid w:val="00223B33"/>
    <w:rsid w:val="00223E2C"/>
    <w:rsid w:val="00224839"/>
    <w:rsid w:val="002249B2"/>
    <w:rsid w:val="00224AEA"/>
    <w:rsid w:val="00224B71"/>
    <w:rsid w:val="002253E6"/>
    <w:rsid w:val="00226574"/>
    <w:rsid w:val="002278EC"/>
    <w:rsid w:val="00232395"/>
    <w:rsid w:val="0023280E"/>
    <w:rsid w:val="00233117"/>
    <w:rsid w:val="00233A1E"/>
    <w:rsid w:val="00234250"/>
    <w:rsid w:val="00234253"/>
    <w:rsid w:val="00234758"/>
    <w:rsid w:val="00234EA5"/>
    <w:rsid w:val="00235DDE"/>
    <w:rsid w:val="00236F51"/>
    <w:rsid w:val="002377D1"/>
    <w:rsid w:val="00237A99"/>
    <w:rsid w:val="00237CC0"/>
    <w:rsid w:val="002411C5"/>
    <w:rsid w:val="00242F99"/>
    <w:rsid w:val="0024777A"/>
    <w:rsid w:val="002506BC"/>
    <w:rsid w:val="0025215B"/>
    <w:rsid w:val="00254345"/>
    <w:rsid w:val="0025483C"/>
    <w:rsid w:val="00254B82"/>
    <w:rsid w:val="00256023"/>
    <w:rsid w:val="002561D9"/>
    <w:rsid w:val="00257FA6"/>
    <w:rsid w:val="002603FC"/>
    <w:rsid w:val="00260ED4"/>
    <w:rsid w:val="00262456"/>
    <w:rsid w:val="00262680"/>
    <w:rsid w:val="00263161"/>
    <w:rsid w:val="002637B5"/>
    <w:rsid w:val="00263BBE"/>
    <w:rsid w:val="00264557"/>
    <w:rsid w:val="002647C4"/>
    <w:rsid w:val="00264C41"/>
    <w:rsid w:val="00264F93"/>
    <w:rsid w:val="00266949"/>
    <w:rsid w:val="00270608"/>
    <w:rsid w:val="00270847"/>
    <w:rsid w:val="00271754"/>
    <w:rsid w:val="002722EB"/>
    <w:rsid w:val="002724C6"/>
    <w:rsid w:val="00272F67"/>
    <w:rsid w:val="00273195"/>
    <w:rsid w:val="00273791"/>
    <w:rsid w:val="00274837"/>
    <w:rsid w:val="002757B4"/>
    <w:rsid w:val="0027646A"/>
    <w:rsid w:val="00276C9B"/>
    <w:rsid w:val="00277F95"/>
    <w:rsid w:val="002805AB"/>
    <w:rsid w:val="00280F3B"/>
    <w:rsid w:val="002823D4"/>
    <w:rsid w:val="0028303C"/>
    <w:rsid w:val="00283D65"/>
    <w:rsid w:val="00284204"/>
    <w:rsid w:val="0028491A"/>
    <w:rsid w:val="00287535"/>
    <w:rsid w:val="002906DB"/>
    <w:rsid w:val="00290A8E"/>
    <w:rsid w:val="00291773"/>
    <w:rsid w:val="00291A94"/>
    <w:rsid w:val="00292151"/>
    <w:rsid w:val="00292996"/>
    <w:rsid w:val="00293762"/>
    <w:rsid w:val="00293B33"/>
    <w:rsid w:val="00293C67"/>
    <w:rsid w:val="00295412"/>
    <w:rsid w:val="002954A5"/>
    <w:rsid w:val="002969C4"/>
    <w:rsid w:val="0029702C"/>
    <w:rsid w:val="002A04E1"/>
    <w:rsid w:val="002A168C"/>
    <w:rsid w:val="002A17BE"/>
    <w:rsid w:val="002A3772"/>
    <w:rsid w:val="002A3DC7"/>
    <w:rsid w:val="002A42F3"/>
    <w:rsid w:val="002A4C7A"/>
    <w:rsid w:val="002A7D2C"/>
    <w:rsid w:val="002B042F"/>
    <w:rsid w:val="002B49E2"/>
    <w:rsid w:val="002B4C8E"/>
    <w:rsid w:val="002B525F"/>
    <w:rsid w:val="002B5F79"/>
    <w:rsid w:val="002B6E1E"/>
    <w:rsid w:val="002B7507"/>
    <w:rsid w:val="002B7B00"/>
    <w:rsid w:val="002B7C44"/>
    <w:rsid w:val="002C0043"/>
    <w:rsid w:val="002C0A2C"/>
    <w:rsid w:val="002C2323"/>
    <w:rsid w:val="002C2B17"/>
    <w:rsid w:val="002C3D62"/>
    <w:rsid w:val="002C5215"/>
    <w:rsid w:val="002C587F"/>
    <w:rsid w:val="002D0299"/>
    <w:rsid w:val="002D048C"/>
    <w:rsid w:val="002D0D72"/>
    <w:rsid w:val="002D2045"/>
    <w:rsid w:val="002D2AF5"/>
    <w:rsid w:val="002D2E2B"/>
    <w:rsid w:val="002D3B85"/>
    <w:rsid w:val="002D3DD0"/>
    <w:rsid w:val="002D4972"/>
    <w:rsid w:val="002D54AA"/>
    <w:rsid w:val="002D56C7"/>
    <w:rsid w:val="002D5FD7"/>
    <w:rsid w:val="002D6340"/>
    <w:rsid w:val="002D77CD"/>
    <w:rsid w:val="002E0F47"/>
    <w:rsid w:val="002E1742"/>
    <w:rsid w:val="002E18D7"/>
    <w:rsid w:val="002E1BA1"/>
    <w:rsid w:val="002E1F3A"/>
    <w:rsid w:val="002E2272"/>
    <w:rsid w:val="002E26BD"/>
    <w:rsid w:val="002E285F"/>
    <w:rsid w:val="002E298A"/>
    <w:rsid w:val="002E4611"/>
    <w:rsid w:val="002E4B09"/>
    <w:rsid w:val="002E5C97"/>
    <w:rsid w:val="002F3011"/>
    <w:rsid w:val="002F4B95"/>
    <w:rsid w:val="002F4ED8"/>
    <w:rsid w:val="002F7A6D"/>
    <w:rsid w:val="00300994"/>
    <w:rsid w:val="00300CBC"/>
    <w:rsid w:val="00301978"/>
    <w:rsid w:val="00302599"/>
    <w:rsid w:val="00302B5E"/>
    <w:rsid w:val="0030332C"/>
    <w:rsid w:val="00303D19"/>
    <w:rsid w:val="003051C2"/>
    <w:rsid w:val="003121D4"/>
    <w:rsid w:val="00312296"/>
    <w:rsid w:val="0031242D"/>
    <w:rsid w:val="00313F9F"/>
    <w:rsid w:val="00314F0E"/>
    <w:rsid w:val="0031521F"/>
    <w:rsid w:val="003156A9"/>
    <w:rsid w:val="00315B68"/>
    <w:rsid w:val="00315C1F"/>
    <w:rsid w:val="00321116"/>
    <w:rsid w:val="003216F6"/>
    <w:rsid w:val="00321D8E"/>
    <w:rsid w:val="00323B6B"/>
    <w:rsid w:val="00325928"/>
    <w:rsid w:val="00326073"/>
    <w:rsid w:val="003266ED"/>
    <w:rsid w:val="00326C7B"/>
    <w:rsid w:val="00327021"/>
    <w:rsid w:val="00331874"/>
    <w:rsid w:val="00331DD8"/>
    <w:rsid w:val="00332863"/>
    <w:rsid w:val="003334EA"/>
    <w:rsid w:val="003342C8"/>
    <w:rsid w:val="00335D0E"/>
    <w:rsid w:val="00335F31"/>
    <w:rsid w:val="0033684D"/>
    <w:rsid w:val="00337B30"/>
    <w:rsid w:val="00337B42"/>
    <w:rsid w:val="00341154"/>
    <w:rsid w:val="00341B42"/>
    <w:rsid w:val="00342625"/>
    <w:rsid w:val="003426B9"/>
    <w:rsid w:val="0034348F"/>
    <w:rsid w:val="003450DE"/>
    <w:rsid w:val="0034562E"/>
    <w:rsid w:val="00345871"/>
    <w:rsid w:val="00345C09"/>
    <w:rsid w:val="0034640F"/>
    <w:rsid w:val="003472DB"/>
    <w:rsid w:val="003476AE"/>
    <w:rsid w:val="00347EF9"/>
    <w:rsid w:val="00351573"/>
    <w:rsid w:val="003520B6"/>
    <w:rsid w:val="0035314D"/>
    <w:rsid w:val="003531FC"/>
    <w:rsid w:val="003542FA"/>
    <w:rsid w:val="00354B6E"/>
    <w:rsid w:val="00354E31"/>
    <w:rsid w:val="00356005"/>
    <w:rsid w:val="00356653"/>
    <w:rsid w:val="00356FCC"/>
    <w:rsid w:val="0035743F"/>
    <w:rsid w:val="00357BE2"/>
    <w:rsid w:val="003615B5"/>
    <w:rsid w:val="0036170C"/>
    <w:rsid w:val="00361D94"/>
    <w:rsid w:val="00363229"/>
    <w:rsid w:val="00363FBF"/>
    <w:rsid w:val="00364980"/>
    <w:rsid w:val="003649A5"/>
    <w:rsid w:val="00364E99"/>
    <w:rsid w:val="00366E0F"/>
    <w:rsid w:val="00374D82"/>
    <w:rsid w:val="00375281"/>
    <w:rsid w:val="00381A72"/>
    <w:rsid w:val="00382CB9"/>
    <w:rsid w:val="00383A51"/>
    <w:rsid w:val="00384676"/>
    <w:rsid w:val="003853E8"/>
    <w:rsid w:val="00385DEF"/>
    <w:rsid w:val="00385F95"/>
    <w:rsid w:val="00390857"/>
    <w:rsid w:val="00391FA0"/>
    <w:rsid w:val="0039304A"/>
    <w:rsid w:val="00394B16"/>
    <w:rsid w:val="00396F4C"/>
    <w:rsid w:val="003A07F7"/>
    <w:rsid w:val="003A163A"/>
    <w:rsid w:val="003A436A"/>
    <w:rsid w:val="003A4924"/>
    <w:rsid w:val="003A494A"/>
    <w:rsid w:val="003A4AAE"/>
    <w:rsid w:val="003A4BF3"/>
    <w:rsid w:val="003A4FAD"/>
    <w:rsid w:val="003A6ED1"/>
    <w:rsid w:val="003A70BE"/>
    <w:rsid w:val="003A7584"/>
    <w:rsid w:val="003A79BA"/>
    <w:rsid w:val="003A79C7"/>
    <w:rsid w:val="003B1445"/>
    <w:rsid w:val="003B3C7D"/>
    <w:rsid w:val="003B420D"/>
    <w:rsid w:val="003B4CD5"/>
    <w:rsid w:val="003B6068"/>
    <w:rsid w:val="003B728B"/>
    <w:rsid w:val="003B7D29"/>
    <w:rsid w:val="003C09B7"/>
    <w:rsid w:val="003C1050"/>
    <w:rsid w:val="003C1A7A"/>
    <w:rsid w:val="003C1B2C"/>
    <w:rsid w:val="003C1D16"/>
    <w:rsid w:val="003C1E13"/>
    <w:rsid w:val="003C2BD0"/>
    <w:rsid w:val="003C3BB9"/>
    <w:rsid w:val="003C5FD1"/>
    <w:rsid w:val="003C675A"/>
    <w:rsid w:val="003C69F8"/>
    <w:rsid w:val="003C6C16"/>
    <w:rsid w:val="003C744D"/>
    <w:rsid w:val="003D03D5"/>
    <w:rsid w:val="003D0E1A"/>
    <w:rsid w:val="003D17B4"/>
    <w:rsid w:val="003D2B31"/>
    <w:rsid w:val="003D2E3F"/>
    <w:rsid w:val="003D61B1"/>
    <w:rsid w:val="003D7566"/>
    <w:rsid w:val="003D769D"/>
    <w:rsid w:val="003D794D"/>
    <w:rsid w:val="003E0125"/>
    <w:rsid w:val="003E10DE"/>
    <w:rsid w:val="003E2149"/>
    <w:rsid w:val="003E2807"/>
    <w:rsid w:val="003E3058"/>
    <w:rsid w:val="003E359F"/>
    <w:rsid w:val="003E37AD"/>
    <w:rsid w:val="003E4708"/>
    <w:rsid w:val="003E5958"/>
    <w:rsid w:val="003E5CB2"/>
    <w:rsid w:val="003E644C"/>
    <w:rsid w:val="003E6AF0"/>
    <w:rsid w:val="003E76A9"/>
    <w:rsid w:val="003F00DD"/>
    <w:rsid w:val="003F0809"/>
    <w:rsid w:val="003F207B"/>
    <w:rsid w:val="003F327E"/>
    <w:rsid w:val="003F3CC0"/>
    <w:rsid w:val="003F423D"/>
    <w:rsid w:val="003F5240"/>
    <w:rsid w:val="003F6A8C"/>
    <w:rsid w:val="003F6ACE"/>
    <w:rsid w:val="003F755C"/>
    <w:rsid w:val="003F7B5A"/>
    <w:rsid w:val="004003B7"/>
    <w:rsid w:val="00400764"/>
    <w:rsid w:val="004029D5"/>
    <w:rsid w:val="00402F6A"/>
    <w:rsid w:val="004035E5"/>
    <w:rsid w:val="00404AEA"/>
    <w:rsid w:val="00404DA7"/>
    <w:rsid w:val="004055B3"/>
    <w:rsid w:val="00405EA1"/>
    <w:rsid w:val="00406F01"/>
    <w:rsid w:val="0040799E"/>
    <w:rsid w:val="00411114"/>
    <w:rsid w:val="00411631"/>
    <w:rsid w:val="004128C0"/>
    <w:rsid w:val="0041498F"/>
    <w:rsid w:val="004154FE"/>
    <w:rsid w:val="00416D50"/>
    <w:rsid w:val="00416FD5"/>
    <w:rsid w:val="0041704E"/>
    <w:rsid w:val="00417772"/>
    <w:rsid w:val="00420A47"/>
    <w:rsid w:val="00420E6A"/>
    <w:rsid w:val="00421AFC"/>
    <w:rsid w:val="004225B3"/>
    <w:rsid w:val="00422E77"/>
    <w:rsid w:val="00424F0A"/>
    <w:rsid w:val="00425A9E"/>
    <w:rsid w:val="004266FE"/>
    <w:rsid w:val="00426D6B"/>
    <w:rsid w:val="00427E00"/>
    <w:rsid w:val="00427FF8"/>
    <w:rsid w:val="00431A21"/>
    <w:rsid w:val="00431AB9"/>
    <w:rsid w:val="00431E6C"/>
    <w:rsid w:val="00431EEB"/>
    <w:rsid w:val="0043390D"/>
    <w:rsid w:val="00433CE7"/>
    <w:rsid w:val="004347AD"/>
    <w:rsid w:val="00434E84"/>
    <w:rsid w:val="00436309"/>
    <w:rsid w:val="00441793"/>
    <w:rsid w:val="00441DDC"/>
    <w:rsid w:val="00441E01"/>
    <w:rsid w:val="0044226E"/>
    <w:rsid w:val="00442D7A"/>
    <w:rsid w:val="00442ED7"/>
    <w:rsid w:val="0044390D"/>
    <w:rsid w:val="00445793"/>
    <w:rsid w:val="00445F80"/>
    <w:rsid w:val="00446323"/>
    <w:rsid w:val="00446B44"/>
    <w:rsid w:val="00450D6A"/>
    <w:rsid w:val="0045101C"/>
    <w:rsid w:val="00452738"/>
    <w:rsid w:val="00452742"/>
    <w:rsid w:val="004527C0"/>
    <w:rsid w:val="004533E7"/>
    <w:rsid w:val="004554CF"/>
    <w:rsid w:val="00456091"/>
    <w:rsid w:val="0045646A"/>
    <w:rsid w:val="00461735"/>
    <w:rsid w:val="0046267B"/>
    <w:rsid w:val="00466052"/>
    <w:rsid w:val="00466321"/>
    <w:rsid w:val="004665FB"/>
    <w:rsid w:val="0046776E"/>
    <w:rsid w:val="004679AF"/>
    <w:rsid w:val="00470178"/>
    <w:rsid w:val="004710CE"/>
    <w:rsid w:val="00471DE2"/>
    <w:rsid w:val="00472331"/>
    <w:rsid w:val="004730C6"/>
    <w:rsid w:val="00473162"/>
    <w:rsid w:val="00473493"/>
    <w:rsid w:val="0047435E"/>
    <w:rsid w:val="004746E7"/>
    <w:rsid w:val="00474C48"/>
    <w:rsid w:val="00474E1F"/>
    <w:rsid w:val="004755B2"/>
    <w:rsid w:val="00476372"/>
    <w:rsid w:val="00477643"/>
    <w:rsid w:val="00477E84"/>
    <w:rsid w:val="004808C8"/>
    <w:rsid w:val="00480941"/>
    <w:rsid w:val="00480ABB"/>
    <w:rsid w:val="004825CD"/>
    <w:rsid w:val="00482665"/>
    <w:rsid w:val="004845F6"/>
    <w:rsid w:val="00484A98"/>
    <w:rsid w:val="00484B9B"/>
    <w:rsid w:val="004855F6"/>
    <w:rsid w:val="0048661E"/>
    <w:rsid w:val="00491F57"/>
    <w:rsid w:val="00492394"/>
    <w:rsid w:val="00492427"/>
    <w:rsid w:val="0049246F"/>
    <w:rsid w:val="004944A7"/>
    <w:rsid w:val="00494670"/>
    <w:rsid w:val="0049491E"/>
    <w:rsid w:val="00495C07"/>
    <w:rsid w:val="0049686A"/>
    <w:rsid w:val="004977EC"/>
    <w:rsid w:val="004A24B7"/>
    <w:rsid w:val="004A26E5"/>
    <w:rsid w:val="004A37C7"/>
    <w:rsid w:val="004A3823"/>
    <w:rsid w:val="004A586B"/>
    <w:rsid w:val="004A69B3"/>
    <w:rsid w:val="004A6D99"/>
    <w:rsid w:val="004A728A"/>
    <w:rsid w:val="004B196B"/>
    <w:rsid w:val="004B204D"/>
    <w:rsid w:val="004B4913"/>
    <w:rsid w:val="004B75D4"/>
    <w:rsid w:val="004B78E9"/>
    <w:rsid w:val="004C0484"/>
    <w:rsid w:val="004C0E6A"/>
    <w:rsid w:val="004C2ACF"/>
    <w:rsid w:val="004C4726"/>
    <w:rsid w:val="004C559F"/>
    <w:rsid w:val="004C74C5"/>
    <w:rsid w:val="004C7C83"/>
    <w:rsid w:val="004D068F"/>
    <w:rsid w:val="004D0804"/>
    <w:rsid w:val="004D2CC3"/>
    <w:rsid w:val="004D2F8E"/>
    <w:rsid w:val="004D3ED0"/>
    <w:rsid w:val="004D44CC"/>
    <w:rsid w:val="004D4B19"/>
    <w:rsid w:val="004D4C70"/>
    <w:rsid w:val="004D647D"/>
    <w:rsid w:val="004D79B4"/>
    <w:rsid w:val="004E1128"/>
    <w:rsid w:val="004E1C8B"/>
    <w:rsid w:val="004E24E8"/>
    <w:rsid w:val="004E56B4"/>
    <w:rsid w:val="004E5727"/>
    <w:rsid w:val="004E5FC0"/>
    <w:rsid w:val="004E6782"/>
    <w:rsid w:val="004E6946"/>
    <w:rsid w:val="004E698E"/>
    <w:rsid w:val="004E73CA"/>
    <w:rsid w:val="004E7B99"/>
    <w:rsid w:val="004E7C3D"/>
    <w:rsid w:val="004E7E67"/>
    <w:rsid w:val="004F0AEC"/>
    <w:rsid w:val="004F1434"/>
    <w:rsid w:val="004F1AD8"/>
    <w:rsid w:val="004F480D"/>
    <w:rsid w:val="004F5406"/>
    <w:rsid w:val="004F56C5"/>
    <w:rsid w:val="004F75BE"/>
    <w:rsid w:val="00502ED0"/>
    <w:rsid w:val="005039CB"/>
    <w:rsid w:val="00503C44"/>
    <w:rsid w:val="00504093"/>
    <w:rsid w:val="0050558F"/>
    <w:rsid w:val="00505C4C"/>
    <w:rsid w:val="00506286"/>
    <w:rsid w:val="00510813"/>
    <w:rsid w:val="00511990"/>
    <w:rsid w:val="00511DE0"/>
    <w:rsid w:val="00512B86"/>
    <w:rsid w:val="0051343F"/>
    <w:rsid w:val="00513F74"/>
    <w:rsid w:val="00514870"/>
    <w:rsid w:val="00514B9B"/>
    <w:rsid w:val="00515481"/>
    <w:rsid w:val="00516579"/>
    <w:rsid w:val="0051705D"/>
    <w:rsid w:val="00517F02"/>
    <w:rsid w:val="00520DFC"/>
    <w:rsid w:val="0052142E"/>
    <w:rsid w:val="0052166F"/>
    <w:rsid w:val="00523D90"/>
    <w:rsid w:val="00524303"/>
    <w:rsid w:val="00525038"/>
    <w:rsid w:val="005258A2"/>
    <w:rsid w:val="005263FB"/>
    <w:rsid w:val="00526BDF"/>
    <w:rsid w:val="005311CF"/>
    <w:rsid w:val="00531349"/>
    <w:rsid w:val="00531D50"/>
    <w:rsid w:val="0053413D"/>
    <w:rsid w:val="00534B02"/>
    <w:rsid w:val="005369B5"/>
    <w:rsid w:val="00540010"/>
    <w:rsid w:val="005401AE"/>
    <w:rsid w:val="00540FBB"/>
    <w:rsid w:val="00542E07"/>
    <w:rsid w:val="00542F48"/>
    <w:rsid w:val="00543F23"/>
    <w:rsid w:val="00545424"/>
    <w:rsid w:val="0054576A"/>
    <w:rsid w:val="00545B24"/>
    <w:rsid w:val="00547AE3"/>
    <w:rsid w:val="00550A73"/>
    <w:rsid w:val="00551F63"/>
    <w:rsid w:val="00552681"/>
    <w:rsid w:val="00552F88"/>
    <w:rsid w:val="005533E4"/>
    <w:rsid w:val="00554A7B"/>
    <w:rsid w:val="00554FC4"/>
    <w:rsid w:val="005554C1"/>
    <w:rsid w:val="0055572C"/>
    <w:rsid w:val="00556399"/>
    <w:rsid w:val="00557308"/>
    <w:rsid w:val="00557CAC"/>
    <w:rsid w:val="00557EED"/>
    <w:rsid w:val="00560BE3"/>
    <w:rsid w:val="0056106A"/>
    <w:rsid w:val="0056264F"/>
    <w:rsid w:val="0056395F"/>
    <w:rsid w:val="00563D45"/>
    <w:rsid w:val="0056495F"/>
    <w:rsid w:val="005651B7"/>
    <w:rsid w:val="00565D68"/>
    <w:rsid w:val="00567156"/>
    <w:rsid w:val="0056746F"/>
    <w:rsid w:val="0057017E"/>
    <w:rsid w:val="005720AE"/>
    <w:rsid w:val="005763B2"/>
    <w:rsid w:val="00577903"/>
    <w:rsid w:val="00580DCE"/>
    <w:rsid w:val="00581FE8"/>
    <w:rsid w:val="0058212E"/>
    <w:rsid w:val="0058245F"/>
    <w:rsid w:val="00585851"/>
    <w:rsid w:val="00585B32"/>
    <w:rsid w:val="0058642C"/>
    <w:rsid w:val="005871D6"/>
    <w:rsid w:val="00592AAF"/>
    <w:rsid w:val="0059336E"/>
    <w:rsid w:val="00594C70"/>
    <w:rsid w:val="00594D77"/>
    <w:rsid w:val="005963A4"/>
    <w:rsid w:val="005969E4"/>
    <w:rsid w:val="00596C52"/>
    <w:rsid w:val="00597796"/>
    <w:rsid w:val="00597C33"/>
    <w:rsid w:val="005A06B7"/>
    <w:rsid w:val="005A13C3"/>
    <w:rsid w:val="005A1759"/>
    <w:rsid w:val="005A179B"/>
    <w:rsid w:val="005A1AFB"/>
    <w:rsid w:val="005A1D9E"/>
    <w:rsid w:val="005A3E69"/>
    <w:rsid w:val="005A4207"/>
    <w:rsid w:val="005A5489"/>
    <w:rsid w:val="005A66B5"/>
    <w:rsid w:val="005A68A7"/>
    <w:rsid w:val="005A76C2"/>
    <w:rsid w:val="005B0213"/>
    <w:rsid w:val="005B021E"/>
    <w:rsid w:val="005B1367"/>
    <w:rsid w:val="005B29FD"/>
    <w:rsid w:val="005B37AA"/>
    <w:rsid w:val="005B674C"/>
    <w:rsid w:val="005B6FB7"/>
    <w:rsid w:val="005B7CA0"/>
    <w:rsid w:val="005C1195"/>
    <w:rsid w:val="005C19FC"/>
    <w:rsid w:val="005C28A4"/>
    <w:rsid w:val="005C2968"/>
    <w:rsid w:val="005C2D34"/>
    <w:rsid w:val="005C6115"/>
    <w:rsid w:val="005C6C7E"/>
    <w:rsid w:val="005C74A4"/>
    <w:rsid w:val="005D0285"/>
    <w:rsid w:val="005D0E31"/>
    <w:rsid w:val="005D27BF"/>
    <w:rsid w:val="005D2B54"/>
    <w:rsid w:val="005D33F0"/>
    <w:rsid w:val="005D36AB"/>
    <w:rsid w:val="005D4343"/>
    <w:rsid w:val="005D5941"/>
    <w:rsid w:val="005D7917"/>
    <w:rsid w:val="005D7E98"/>
    <w:rsid w:val="005E26DE"/>
    <w:rsid w:val="005E2EE4"/>
    <w:rsid w:val="005E4196"/>
    <w:rsid w:val="005E4954"/>
    <w:rsid w:val="005E58B4"/>
    <w:rsid w:val="005E6111"/>
    <w:rsid w:val="005E62B9"/>
    <w:rsid w:val="005E7785"/>
    <w:rsid w:val="005E7DAF"/>
    <w:rsid w:val="005F1847"/>
    <w:rsid w:val="005F44CE"/>
    <w:rsid w:val="005F4608"/>
    <w:rsid w:val="005F4F3D"/>
    <w:rsid w:val="005F5887"/>
    <w:rsid w:val="005F72F6"/>
    <w:rsid w:val="0060039B"/>
    <w:rsid w:val="006003FF"/>
    <w:rsid w:val="00601EA8"/>
    <w:rsid w:val="00603803"/>
    <w:rsid w:val="006055A6"/>
    <w:rsid w:val="00605BD2"/>
    <w:rsid w:val="00605D05"/>
    <w:rsid w:val="006061FF"/>
    <w:rsid w:val="006071FD"/>
    <w:rsid w:val="0060722D"/>
    <w:rsid w:val="0061099C"/>
    <w:rsid w:val="006114AB"/>
    <w:rsid w:val="006116FA"/>
    <w:rsid w:val="00611F58"/>
    <w:rsid w:val="00612167"/>
    <w:rsid w:val="00615DC8"/>
    <w:rsid w:val="00616C43"/>
    <w:rsid w:val="006170C1"/>
    <w:rsid w:val="00617CC3"/>
    <w:rsid w:val="00622BFF"/>
    <w:rsid w:val="00622D84"/>
    <w:rsid w:val="006250EA"/>
    <w:rsid w:val="00625189"/>
    <w:rsid w:val="00630630"/>
    <w:rsid w:val="0063180E"/>
    <w:rsid w:val="00632C5C"/>
    <w:rsid w:val="00632DEF"/>
    <w:rsid w:val="00633F10"/>
    <w:rsid w:val="006362ED"/>
    <w:rsid w:val="0063682A"/>
    <w:rsid w:val="006369DD"/>
    <w:rsid w:val="006377A6"/>
    <w:rsid w:val="0063796F"/>
    <w:rsid w:val="00637A3D"/>
    <w:rsid w:val="00637D19"/>
    <w:rsid w:val="006411EF"/>
    <w:rsid w:val="00641ED6"/>
    <w:rsid w:val="00644B75"/>
    <w:rsid w:val="006455B5"/>
    <w:rsid w:val="00647189"/>
    <w:rsid w:val="00647CA3"/>
    <w:rsid w:val="00647D34"/>
    <w:rsid w:val="0065099C"/>
    <w:rsid w:val="006510C9"/>
    <w:rsid w:val="006510D1"/>
    <w:rsid w:val="00651264"/>
    <w:rsid w:val="0065250C"/>
    <w:rsid w:val="006528DA"/>
    <w:rsid w:val="00652B61"/>
    <w:rsid w:val="00652D98"/>
    <w:rsid w:val="006547FE"/>
    <w:rsid w:val="00660CB2"/>
    <w:rsid w:val="006610C1"/>
    <w:rsid w:val="006615A1"/>
    <w:rsid w:val="0066273B"/>
    <w:rsid w:val="00662CED"/>
    <w:rsid w:val="00662D03"/>
    <w:rsid w:val="00662FE9"/>
    <w:rsid w:val="006641FB"/>
    <w:rsid w:val="00664783"/>
    <w:rsid w:val="00664813"/>
    <w:rsid w:val="00665F0C"/>
    <w:rsid w:val="006670BD"/>
    <w:rsid w:val="00667F08"/>
    <w:rsid w:val="00667F88"/>
    <w:rsid w:val="00670625"/>
    <w:rsid w:val="0067123D"/>
    <w:rsid w:val="006715CD"/>
    <w:rsid w:val="00672965"/>
    <w:rsid w:val="00672F34"/>
    <w:rsid w:val="00673E8A"/>
    <w:rsid w:val="006748B8"/>
    <w:rsid w:val="006754DE"/>
    <w:rsid w:val="00675BB9"/>
    <w:rsid w:val="006775BA"/>
    <w:rsid w:val="006775C3"/>
    <w:rsid w:val="00677BE6"/>
    <w:rsid w:val="00680017"/>
    <w:rsid w:val="00681F22"/>
    <w:rsid w:val="00682B1D"/>
    <w:rsid w:val="006835D7"/>
    <w:rsid w:val="00686951"/>
    <w:rsid w:val="006874F7"/>
    <w:rsid w:val="006876E4"/>
    <w:rsid w:val="00690F34"/>
    <w:rsid w:val="0069290A"/>
    <w:rsid w:val="0069431C"/>
    <w:rsid w:val="00695009"/>
    <w:rsid w:val="006951C7"/>
    <w:rsid w:val="006958B9"/>
    <w:rsid w:val="00695CED"/>
    <w:rsid w:val="006964F8"/>
    <w:rsid w:val="0069651D"/>
    <w:rsid w:val="0069775A"/>
    <w:rsid w:val="00697813"/>
    <w:rsid w:val="00697A76"/>
    <w:rsid w:val="006A017E"/>
    <w:rsid w:val="006A1231"/>
    <w:rsid w:val="006A12F4"/>
    <w:rsid w:val="006A174A"/>
    <w:rsid w:val="006A1E73"/>
    <w:rsid w:val="006A3EE8"/>
    <w:rsid w:val="006A624D"/>
    <w:rsid w:val="006A72BF"/>
    <w:rsid w:val="006A7C8B"/>
    <w:rsid w:val="006B03C1"/>
    <w:rsid w:val="006B03F2"/>
    <w:rsid w:val="006B163E"/>
    <w:rsid w:val="006B24B6"/>
    <w:rsid w:val="006B37DC"/>
    <w:rsid w:val="006B4F68"/>
    <w:rsid w:val="006B5579"/>
    <w:rsid w:val="006B569B"/>
    <w:rsid w:val="006B59BC"/>
    <w:rsid w:val="006B60AC"/>
    <w:rsid w:val="006B60B6"/>
    <w:rsid w:val="006B6929"/>
    <w:rsid w:val="006B72AC"/>
    <w:rsid w:val="006B73F8"/>
    <w:rsid w:val="006B76BC"/>
    <w:rsid w:val="006C0524"/>
    <w:rsid w:val="006C0592"/>
    <w:rsid w:val="006C0AE1"/>
    <w:rsid w:val="006C272E"/>
    <w:rsid w:val="006C3564"/>
    <w:rsid w:val="006C3F9F"/>
    <w:rsid w:val="006C5479"/>
    <w:rsid w:val="006C5AB2"/>
    <w:rsid w:val="006C6C89"/>
    <w:rsid w:val="006C75EF"/>
    <w:rsid w:val="006D019A"/>
    <w:rsid w:val="006D023F"/>
    <w:rsid w:val="006D0A0C"/>
    <w:rsid w:val="006D13B5"/>
    <w:rsid w:val="006D2350"/>
    <w:rsid w:val="006D38FC"/>
    <w:rsid w:val="006D3BAD"/>
    <w:rsid w:val="006D3CA8"/>
    <w:rsid w:val="006D47F1"/>
    <w:rsid w:val="006D5EC4"/>
    <w:rsid w:val="006D616F"/>
    <w:rsid w:val="006E12FF"/>
    <w:rsid w:val="006E187E"/>
    <w:rsid w:val="006E2974"/>
    <w:rsid w:val="006E35BC"/>
    <w:rsid w:val="006E3C1C"/>
    <w:rsid w:val="006E607E"/>
    <w:rsid w:val="006E7F43"/>
    <w:rsid w:val="006F05C7"/>
    <w:rsid w:val="006F23A1"/>
    <w:rsid w:val="006F2BF9"/>
    <w:rsid w:val="006F39B4"/>
    <w:rsid w:val="006F6545"/>
    <w:rsid w:val="006F7219"/>
    <w:rsid w:val="006F795A"/>
    <w:rsid w:val="00700A16"/>
    <w:rsid w:val="00700E07"/>
    <w:rsid w:val="00703D8D"/>
    <w:rsid w:val="00706C5D"/>
    <w:rsid w:val="00707014"/>
    <w:rsid w:val="00707042"/>
    <w:rsid w:val="00707412"/>
    <w:rsid w:val="007101C9"/>
    <w:rsid w:val="00710D47"/>
    <w:rsid w:val="00711AEC"/>
    <w:rsid w:val="00711D52"/>
    <w:rsid w:val="00712AF1"/>
    <w:rsid w:val="00712B44"/>
    <w:rsid w:val="0071312C"/>
    <w:rsid w:val="0071341F"/>
    <w:rsid w:val="007149E7"/>
    <w:rsid w:val="007213C2"/>
    <w:rsid w:val="00721A60"/>
    <w:rsid w:val="00723806"/>
    <w:rsid w:val="007238E3"/>
    <w:rsid w:val="00724CCB"/>
    <w:rsid w:val="007250CE"/>
    <w:rsid w:val="007257D5"/>
    <w:rsid w:val="00725EAB"/>
    <w:rsid w:val="007273D2"/>
    <w:rsid w:val="00730BCE"/>
    <w:rsid w:val="00732215"/>
    <w:rsid w:val="00732922"/>
    <w:rsid w:val="007329A2"/>
    <w:rsid w:val="00732CB5"/>
    <w:rsid w:val="007331EE"/>
    <w:rsid w:val="00734E4B"/>
    <w:rsid w:val="007350A2"/>
    <w:rsid w:val="0073543B"/>
    <w:rsid w:val="007361CE"/>
    <w:rsid w:val="007403C3"/>
    <w:rsid w:val="0074058F"/>
    <w:rsid w:val="00740699"/>
    <w:rsid w:val="00740BCB"/>
    <w:rsid w:val="0074169F"/>
    <w:rsid w:val="0074364D"/>
    <w:rsid w:val="00744FFB"/>
    <w:rsid w:val="00745B6F"/>
    <w:rsid w:val="0075162E"/>
    <w:rsid w:val="00752094"/>
    <w:rsid w:val="007529E8"/>
    <w:rsid w:val="00753DB0"/>
    <w:rsid w:val="00753E9D"/>
    <w:rsid w:val="00754034"/>
    <w:rsid w:val="00755F78"/>
    <w:rsid w:val="00756556"/>
    <w:rsid w:val="00756D55"/>
    <w:rsid w:val="007574E9"/>
    <w:rsid w:val="007608F8"/>
    <w:rsid w:val="007618C4"/>
    <w:rsid w:val="00762AF1"/>
    <w:rsid w:val="00764FD9"/>
    <w:rsid w:val="00766621"/>
    <w:rsid w:val="00767980"/>
    <w:rsid w:val="00767BA2"/>
    <w:rsid w:val="00770007"/>
    <w:rsid w:val="00770B19"/>
    <w:rsid w:val="00770BBF"/>
    <w:rsid w:val="00771664"/>
    <w:rsid w:val="0077207C"/>
    <w:rsid w:val="0077463F"/>
    <w:rsid w:val="00774FF4"/>
    <w:rsid w:val="007753A1"/>
    <w:rsid w:val="007757E0"/>
    <w:rsid w:val="00777061"/>
    <w:rsid w:val="0078097D"/>
    <w:rsid w:val="00780BE7"/>
    <w:rsid w:val="0078112F"/>
    <w:rsid w:val="0078117F"/>
    <w:rsid w:val="007818A8"/>
    <w:rsid w:val="00781D00"/>
    <w:rsid w:val="00782836"/>
    <w:rsid w:val="007832BF"/>
    <w:rsid w:val="007836EA"/>
    <w:rsid w:val="007837EE"/>
    <w:rsid w:val="00784CDA"/>
    <w:rsid w:val="007859DF"/>
    <w:rsid w:val="00785EC3"/>
    <w:rsid w:val="007864C7"/>
    <w:rsid w:val="0078682F"/>
    <w:rsid w:val="00787EEA"/>
    <w:rsid w:val="007906C4"/>
    <w:rsid w:val="00791966"/>
    <w:rsid w:val="00792871"/>
    <w:rsid w:val="00792898"/>
    <w:rsid w:val="00793751"/>
    <w:rsid w:val="007940EA"/>
    <w:rsid w:val="00794472"/>
    <w:rsid w:val="007958AB"/>
    <w:rsid w:val="00795A2E"/>
    <w:rsid w:val="00795FE5"/>
    <w:rsid w:val="007967E8"/>
    <w:rsid w:val="007978BD"/>
    <w:rsid w:val="007A17AF"/>
    <w:rsid w:val="007A19B4"/>
    <w:rsid w:val="007A1D9B"/>
    <w:rsid w:val="007A2170"/>
    <w:rsid w:val="007A22BF"/>
    <w:rsid w:val="007A2C5D"/>
    <w:rsid w:val="007A3323"/>
    <w:rsid w:val="007A3CC8"/>
    <w:rsid w:val="007A645D"/>
    <w:rsid w:val="007A682F"/>
    <w:rsid w:val="007A6ADD"/>
    <w:rsid w:val="007A77DC"/>
    <w:rsid w:val="007B0D82"/>
    <w:rsid w:val="007B12D8"/>
    <w:rsid w:val="007B3F53"/>
    <w:rsid w:val="007B44AA"/>
    <w:rsid w:val="007B72B8"/>
    <w:rsid w:val="007B7A58"/>
    <w:rsid w:val="007C1A66"/>
    <w:rsid w:val="007C21B5"/>
    <w:rsid w:val="007C22CC"/>
    <w:rsid w:val="007C28F9"/>
    <w:rsid w:val="007C2C87"/>
    <w:rsid w:val="007C39A0"/>
    <w:rsid w:val="007C4082"/>
    <w:rsid w:val="007C5F18"/>
    <w:rsid w:val="007C660B"/>
    <w:rsid w:val="007C7A38"/>
    <w:rsid w:val="007D0CCF"/>
    <w:rsid w:val="007D1560"/>
    <w:rsid w:val="007D177C"/>
    <w:rsid w:val="007D2A0E"/>
    <w:rsid w:val="007D2C79"/>
    <w:rsid w:val="007D34E7"/>
    <w:rsid w:val="007D3BCC"/>
    <w:rsid w:val="007D44D5"/>
    <w:rsid w:val="007D495C"/>
    <w:rsid w:val="007D53E9"/>
    <w:rsid w:val="007D783B"/>
    <w:rsid w:val="007D7CDF"/>
    <w:rsid w:val="007E0DEF"/>
    <w:rsid w:val="007E15D4"/>
    <w:rsid w:val="007E4BD2"/>
    <w:rsid w:val="007E4C04"/>
    <w:rsid w:val="007E4DE7"/>
    <w:rsid w:val="007E51C2"/>
    <w:rsid w:val="007F086A"/>
    <w:rsid w:val="007F10B5"/>
    <w:rsid w:val="007F1466"/>
    <w:rsid w:val="007F229A"/>
    <w:rsid w:val="007F2674"/>
    <w:rsid w:val="007F27CA"/>
    <w:rsid w:val="007F52CE"/>
    <w:rsid w:val="007F593C"/>
    <w:rsid w:val="007F6A77"/>
    <w:rsid w:val="007F6A83"/>
    <w:rsid w:val="007F6BF7"/>
    <w:rsid w:val="007F7861"/>
    <w:rsid w:val="00801393"/>
    <w:rsid w:val="00801EE5"/>
    <w:rsid w:val="00802F88"/>
    <w:rsid w:val="0080603B"/>
    <w:rsid w:val="008060A5"/>
    <w:rsid w:val="00806752"/>
    <w:rsid w:val="00806BD5"/>
    <w:rsid w:val="008075D3"/>
    <w:rsid w:val="00807BE9"/>
    <w:rsid w:val="00810F73"/>
    <w:rsid w:val="008118B8"/>
    <w:rsid w:val="00811F10"/>
    <w:rsid w:val="0081293E"/>
    <w:rsid w:val="00812B33"/>
    <w:rsid w:val="00813292"/>
    <w:rsid w:val="00814795"/>
    <w:rsid w:val="00815465"/>
    <w:rsid w:val="008157A8"/>
    <w:rsid w:val="00815A9C"/>
    <w:rsid w:val="00816925"/>
    <w:rsid w:val="00817E9A"/>
    <w:rsid w:val="00817F9C"/>
    <w:rsid w:val="00821C1A"/>
    <w:rsid w:val="00822CCA"/>
    <w:rsid w:val="00825EBD"/>
    <w:rsid w:val="00826743"/>
    <w:rsid w:val="00826AE2"/>
    <w:rsid w:val="008271BE"/>
    <w:rsid w:val="00827B4E"/>
    <w:rsid w:val="008306BD"/>
    <w:rsid w:val="00831A80"/>
    <w:rsid w:val="00831CDC"/>
    <w:rsid w:val="00833743"/>
    <w:rsid w:val="008340A4"/>
    <w:rsid w:val="008340B2"/>
    <w:rsid w:val="00834B8B"/>
    <w:rsid w:val="00834DF0"/>
    <w:rsid w:val="00835414"/>
    <w:rsid w:val="00835B62"/>
    <w:rsid w:val="00837561"/>
    <w:rsid w:val="00837F34"/>
    <w:rsid w:val="00840681"/>
    <w:rsid w:val="00841053"/>
    <w:rsid w:val="00842090"/>
    <w:rsid w:val="008428F2"/>
    <w:rsid w:val="00847577"/>
    <w:rsid w:val="00851274"/>
    <w:rsid w:val="0085161D"/>
    <w:rsid w:val="0085169C"/>
    <w:rsid w:val="00852108"/>
    <w:rsid w:val="00853184"/>
    <w:rsid w:val="0085422E"/>
    <w:rsid w:val="00856942"/>
    <w:rsid w:val="00857563"/>
    <w:rsid w:val="00857EFC"/>
    <w:rsid w:val="008608BB"/>
    <w:rsid w:val="00861FFF"/>
    <w:rsid w:val="0086414F"/>
    <w:rsid w:val="00864A36"/>
    <w:rsid w:val="00864DCF"/>
    <w:rsid w:val="00865B90"/>
    <w:rsid w:val="00871188"/>
    <w:rsid w:val="0087135F"/>
    <w:rsid w:val="00871E75"/>
    <w:rsid w:val="008724FF"/>
    <w:rsid w:val="00872695"/>
    <w:rsid w:val="0087282E"/>
    <w:rsid w:val="00872D94"/>
    <w:rsid w:val="0087367C"/>
    <w:rsid w:val="008751C1"/>
    <w:rsid w:val="00875C01"/>
    <w:rsid w:val="00876E83"/>
    <w:rsid w:val="00880364"/>
    <w:rsid w:val="0088081B"/>
    <w:rsid w:val="00883D25"/>
    <w:rsid w:val="00885116"/>
    <w:rsid w:val="00885B35"/>
    <w:rsid w:val="0088785B"/>
    <w:rsid w:val="0089097A"/>
    <w:rsid w:val="00891070"/>
    <w:rsid w:val="00891592"/>
    <w:rsid w:val="00891A9C"/>
    <w:rsid w:val="00891E9E"/>
    <w:rsid w:val="00892223"/>
    <w:rsid w:val="00895458"/>
    <w:rsid w:val="00895619"/>
    <w:rsid w:val="00895DDE"/>
    <w:rsid w:val="00895FA2"/>
    <w:rsid w:val="00896284"/>
    <w:rsid w:val="00896D8C"/>
    <w:rsid w:val="00896F62"/>
    <w:rsid w:val="00897959"/>
    <w:rsid w:val="008A1E1D"/>
    <w:rsid w:val="008A2F68"/>
    <w:rsid w:val="008A37FE"/>
    <w:rsid w:val="008A38C5"/>
    <w:rsid w:val="008A428B"/>
    <w:rsid w:val="008A49D6"/>
    <w:rsid w:val="008A52C6"/>
    <w:rsid w:val="008A73DF"/>
    <w:rsid w:val="008B1BDC"/>
    <w:rsid w:val="008B1D82"/>
    <w:rsid w:val="008B2038"/>
    <w:rsid w:val="008B2892"/>
    <w:rsid w:val="008B3F22"/>
    <w:rsid w:val="008B4FA6"/>
    <w:rsid w:val="008B5282"/>
    <w:rsid w:val="008B5F6E"/>
    <w:rsid w:val="008B6AC9"/>
    <w:rsid w:val="008B781D"/>
    <w:rsid w:val="008B7C17"/>
    <w:rsid w:val="008B7E2A"/>
    <w:rsid w:val="008C0280"/>
    <w:rsid w:val="008C04EE"/>
    <w:rsid w:val="008C06D9"/>
    <w:rsid w:val="008C0D55"/>
    <w:rsid w:val="008C2CAA"/>
    <w:rsid w:val="008C2D01"/>
    <w:rsid w:val="008C37B3"/>
    <w:rsid w:val="008C40E6"/>
    <w:rsid w:val="008C58AF"/>
    <w:rsid w:val="008C64EC"/>
    <w:rsid w:val="008C6599"/>
    <w:rsid w:val="008C69A4"/>
    <w:rsid w:val="008C6B9A"/>
    <w:rsid w:val="008C6F19"/>
    <w:rsid w:val="008C7097"/>
    <w:rsid w:val="008C71AB"/>
    <w:rsid w:val="008C71C6"/>
    <w:rsid w:val="008C7822"/>
    <w:rsid w:val="008D0012"/>
    <w:rsid w:val="008D0F7A"/>
    <w:rsid w:val="008D1287"/>
    <w:rsid w:val="008D2059"/>
    <w:rsid w:val="008D2FED"/>
    <w:rsid w:val="008D3F29"/>
    <w:rsid w:val="008D53F1"/>
    <w:rsid w:val="008D54E6"/>
    <w:rsid w:val="008D68E4"/>
    <w:rsid w:val="008D6F6A"/>
    <w:rsid w:val="008E0506"/>
    <w:rsid w:val="008E0B66"/>
    <w:rsid w:val="008E0CFF"/>
    <w:rsid w:val="008E0F51"/>
    <w:rsid w:val="008E1146"/>
    <w:rsid w:val="008E2163"/>
    <w:rsid w:val="008E4035"/>
    <w:rsid w:val="008E551A"/>
    <w:rsid w:val="008E5D6B"/>
    <w:rsid w:val="008E6134"/>
    <w:rsid w:val="008E65C2"/>
    <w:rsid w:val="008E7028"/>
    <w:rsid w:val="008E76F0"/>
    <w:rsid w:val="008F15FE"/>
    <w:rsid w:val="008F24E2"/>
    <w:rsid w:val="008F2D29"/>
    <w:rsid w:val="008F2DA5"/>
    <w:rsid w:val="008F5187"/>
    <w:rsid w:val="008F60D8"/>
    <w:rsid w:val="008F63C9"/>
    <w:rsid w:val="008F6E0A"/>
    <w:rsid w:val="008F71A8"/>
    <w:rsid w:val="00901A2C"/>
    <w:rsid w:val="00901EE7"/>
    <w:rsid w:val="00902568"/>
    <w:rsid w:val="00902727"/>
    <w:rsid w:val="00902DB2"/>
    <w:rsid w:val="0090312B"/>
    <w:rsid w:val="009037A8"/>
    <w:rsid w:val="009038C9"/>
    <w:rsid w:val="0090466B"/>
    <w:rsid w:val="00904952"/>
    <w:rsid w:val="00906824"/>
    <w:rsid w:val="00906EE0"/>
    <w:rsid w:val="009073AB"/>
    <w:rsid w:val="00912064"/>
    <w:rsid w:val="0091437F"/>
    <w:rsid w:val="0091524D"/>
    <w:rsid w:val="00915762"/>
    <w:rsid w:val="00915FB9"/>
    <w:rsid w:val="00916898"/>
    <w:rsid w:val="00916FD8"/>
    <w:rsid w:val="0091736D"/>
    <w:rsid w:val="00917439"/>
    <w:rsid w:val="00924522"/>
    <w:rsid w:val="0092656B"/>
    <w:rsid w:val="00926612"/>
    <w:rsid w:val="00927016"/>
    <w:rsid w:val="009302B4"/>
    <w:rsid w:val="0093037A"/>
    <w:rsid w:val="0093064F"/>
    <w:rsid w:val="009308F4"/>
    <w:rsid w:val="00930E88"/>
    <w:rsid w:val="00933027"/>
    <w:rsid w:val="00933657"/>
    <w:rsid w:val="00933769"/>
    <w:rsid w:val="00933D01"/>
    <w:rsid w:val="00936800"/>
    <w:rsid w:val="00936A52"/>
    <w:rsid w:val="00940E0E"/>
    <w:rsid w:val="00940ECF"/>
    <w:rsid w:val="0094154D"/>
    <w:rsid w:val="00942A1A"/>
    <w:rsid w:val="00945E57"/>
    <w:rsid w:val="00945F27"/>
    <w:rsid w:val="0094763B"/>
    <w:rsid w:val="00947EA7"/>
    <w:rsid w:val="00950919"/>
    <w:rsid w:val="00950B58"/>
    <w:rsid w:val="0095155F"/>
    <w:rsid w:val="00954429"/>
    <w:rsid w:val="009547D8"/>
    <w:rsid w:val="00954C38"/>
    <w:rsid w:val="009550C3"/>
    <w:rsid w:val="009561AA"/>
    <w:rsid w:val="009563CE"/>
    <w:rsid w:val="00956FAB"/>
    <w:rsid w:val="009579E1"/>
    <w:rsid w:val="00957B91"/>
    <w:rsid w:val="009602B7"/>
    <w:rsid w:val="00960482"/>
    <w:rsid w:val="009611F5"/>
    <w:rsid w:val="009640BA"/>
    <w:rsid w:val="00964624"/>
    <w:rsid w:val="00964A52"/>
    <w:rsid w:val="00964D41"/>
    <w:rsid w:val="00965971"/>
    <w:rsid w:val="00967C87"/>
    <w:rsid w:val="0097069B"/>
    <w:rsid w:val="00970BDA"/>
    <w:rsid w:val="00970C84"/>
    <w:rsid w:val="00971906"/>
    <w:rsid w:val="00971CB2"/>
    <w:rsid w:val="00973CA8"/>
    <w:rsid w:val="009747A5"/>
    <w:rsid w:val="00975AA3"/>
    <w:rsid w:val="00976328"/>
    <w:rsid w:val="0097647A"/>
    <w:rsid w:val="009767B0"/>
    <w:rsid w:val="0097680D"/>
    <w:rsid w:val="00980BE6"/>
    <w:rsid w:val="00980E0A"/>
    <w:rsid w:val="00981602"/>
    <w:rsid w:val="009816F1"/>
    <w:rsid w:val="00982438"/>
    <w:rsid w:val="009826F0"/>
    <w:rsid w:val="009830BE"/>
    <w:rsid w:val="00983BA7"/>
    <w:rsid w:val="0098404C"/>
    <w:rsid w:val="00985283"/>
    <w:rsid w:val="00986828"/>
    <w:rsid w:val="00986C3B"/>
    <w:rsid w:val="00986DC4"/>
    <w:rsid w:val="00986EAC"/>
    <w:rsid w:val="00987B61"/>
    <w:rsid w:val="00990281"/>
    <w:rsid w:val="009923E0"/>
    <w:rsid w:val="009925FE"/>
    <w:rsid w:val="0099521B"/>
    <w:rsid w:val="00995992"/>
    <w:rsid w:val="00997C62"/>
    <w:rsid w:val="009A03E5"/>
    <w:rsid w:val="009A0F3B"/>
    <w:rsid w:val="009A1423"/>
    <w:rsid w:val="009A1BB4"/>
    <w:rsid w:val="009A2031"/>
    <w:rsid w:val="009A2628"/>
    <w:rsid w:val="009A3200"/>
    <w:rsid w:val="009A3632"/>
    <w:rsid w:val="009A3752"/>
    <w:rsid w:val="009A5A75"/>
    <w:rsid w:val="009A7DA1"/>
    <w:rsid w:val="009A7F2D"/>
    <w:rsid w:val="009B0897"/>
    <w:rsid w:val="009B0B19"/>
    <w:rsid w:val="009B1582"/>
    <w:rsid w:val="009B491F"/>
    <w:rsid w:val="009B6FA6"/>
    <w:rsid w:val="009B70E6"/>
    <w:rsid w:val="009B7BD9"/>
    <w:rsid w:val="009C2E04"/>
    <w:rsid w:val="009C5922"/>
    <w:rsid w:val="009C59B8"/>
    <w:rsid w:val="009C6267"/>
    <w:rsid w:val="009C6BF8"/>
    <w:rsid w:val="009C7150"/>
    <w:rsid w:val="009C75F5"/>
    <w:rsid w:val="009C7740"/>
    <w:rsid w:val="009C7D23"/>
    <w:rsid w:val="009C7DD5"/>
    <w:rsid w:val="009C7EBD"/>
    <w:rsid w:val="009D0142"/>
    <w:rsid w:val="009D0247"/>
    <w:rsid w:val="009D2A77"/>
    <w:rsid w:val="009D3666"/>
    <w:rsid w:val="009D3D28"/>
    <w:rsid w:val="009D3DE4"/>
    <w:rsid w:val="009D3F65"/>
    <w:rsid w:val="009D4057"/>
    <w:rsid w:val="009D4C9E"/>
    <w:rsid w:val="009E0520"/>
    <w:rsid w:val="009E0CC7"/>
    <w:rsid w:val="009E13AC"/>
    <w:rsid w:val="009E189A"/>
    <w:rsid w:val="009E227D"/>
    <w:rsid w:val="009E3E54"/>
    <w:rsid w:val="009E4D43"/>
    <w:rsid w:val="009E5019"/>
    <w:rsid w:val="009E5DB3"/>
    <w:rsid w:val="009E66DE"/>
    <w:rsid w:val="009E6EAE"/>
    <w:rsid w:val="009F0165"/>
    <w:rsid w:val="009F1FF0"/>
    <w:rsid w:val="009F2996"/>
    <w:rsid w:val="009F37B1"/>
    <w:rsid w:val="009F3C5B"/>
    <w:rsid w:val="009F4C15"/>
    <w:rsid w:val="009F6300"/>
    <w:rsid w:val="009F6302"/>
    <w:rsid w:val="00A0014B"/>
    <w:rsid w:val="00A00FB3"/>
    <w:rsid w:val="00A01EB7"/>
    <w:rsid w:val="00A03125"/>
    <w:rsid w:val="00A03414"/>
    <w:rsid w:val="00A03CEB"/>
    <w:rsid w:val="00A04B6B"/>
    <w:rsid w:val="00A04F1B"/>
    <w:rsid w:val="00A0501B"/>
    <w:rsid w:val="00A058E4"/>
    <w:rsid w:val="00A10314"/>
    <w:rsid w:val="00A10B13"/>
    <w:rsid w:val="00A1455C"/>
    <w:rsid w:val="00A14947"/>
    <w:rsid w:val="00A1496B"/>
    <w:rsid w:val="00A14E79"/>
    <w:rsid w:val="00A20135"/>
    <w:rsid w:val="00A209BA"/>
    <w:rsid w:val="00A20FD7"/>
    <w:rsid w:val="00A217C2"/>
    <w:rsid w:val="00A22302"/>
    <w:rsid w:val="00A22FEC"/>
    <w:rsid w:val="00A23626"/>
    <w:rsid w:val="00A24ECC"/>
    <w:rsid w:val="00A26E2B"/>
    <w:rsid w:val="00A27AB1"/>
    <w:rsid w:val="00A31468"/>
    <w:rsid w:val="00A31FA9"/>
    <w:rsid w:val="00A32940"/>
    <w:rsid w:val="00A32A83"/>
    <w:rsid w:val="00A32B01"/>
    <w:rsid w:val="00A32E73"/>
    <w:rsid w:val="00A33B30"/>
    <w:rsid w:val="00A33EDD"/>
    <w:rsid w:val="00A3442C"/>
    <w:rsid w:val="00A346E3"/>
    <w:rsid w:val="00A368DB"/>
    <w:rsid w:val="00A376A4"/>
    <w:rsid w:val="00A4010A"/>
    <w:rsid w:val="00A41770"/>
    <w:rsid w:val="00A4179D"/>
    <w:rsid w:val="00A423AA"/>
    <w:rsid w:val="00A42653"/>
    <w:rsid w:val="00A45A28"/>
    <w:rsid w:val="00A5126C"/>
    <w:rsid w:val="00A536D7"/>
    <w:rsid w:val="00A53EC6"/>
    <w:rsid w:val="00A554B0"/>
    <w:rsid w:val="00A55C0F"/>
    <w:rsid w:val="00A56DB9"/>
    <w:rsid w:val="00A574C6"/>
    <w:rsid w:val="00A57977"/>
    <w:rsid w:val="00A62CDA"/>
    <w:rsid w:val="00A63C50"/>
    <w:rsid w:val="00A640C8"/>
    <w:rsid w:val="00A641FB"/>
    <w:rsid w:val="00A65B49"/>
    <w:rsid w:val="00A66345"/>
    <w:rsid w:val="00A705D2"/>
    <w:rsid w:val="00A71E6A"/>
    <w:rsid w:val="00A73896"/>
    <w:rsid w:val="00A75D07"/>
    <w:rsid w:val="00A76843"/>
    <w:rsid w:val="00A77144"/>
    <w:rsid w:val="00A778CD"/>
    <w:rsid w:val="00A80E05"/>
    <w:rsid w:val="00A80FFA"/>
    <w:rsid w:val="00A81CBA"/>
    <w:rsid w:val="00A8213F"/>
    <w:rsid w:val="00A824A9"/>
    <w:rsid w:val="00A82770"/>
    <w:rsid w:val="00A82B14"/>
    <w:rsid w:val="00A837B9"/>
    <w:rsid w:val="00A8452E"/>
    <w:rsid w:val="00A849F0"/>
    <w:rsid w:val="00A851A6"/>
    <w:rsid w:val="00A8649C"/>
    <w:rsid w:val="00A866E2"/>
    <w:rsid w:val="00A8713F"/>
    <w:rsid w:val="00A90845"/>
    <w:rsid w:val="00A90BA1"/>
    <w:rsid w:val="00A90DC0"/>
    <w:rsid w:val="00A927CD"/>
    <w:rsid w:val="00A92ABA"/>
    <w:rsid w:val="00A92C6A"/>
    <w:rsid w:val="00A93A38"/>
    <w:rsid w:val="00A945D4"/>
    <w:rsid w:val="00A94C10"/>
    <w:rsid w:val="00A95431"/>
    <w:rsid w:val="00A9555E"/>
    <w:rsid w:val="00A957AD"/>
    <w:rsid w:val="00A95B1B"/>
    <w:rsid w:val="00A97A9A"/>
    <w:rsid w:val="00AA0671"/>
    <w:rsid w:val="00AA2531"/>
    <w:rsid w:val="00AA28F3"/>
    <w:rsid w:val="00AA41E0"/>
    <w:rsid w:val="00AA53D4"/>
    <w:rsid w:val="00AA5DBB"/>
    <w:rsid w:val="00AA7B89"/>
    <w:rsid w:val="00AB1E09"/>
    <w:rsid w:val="00AB1F63"/>
    <w:rsid w:val="00AB3AA6"/>
    <w:rsid w:val="00AB4B78"/>
    <w:rsid w:val="00AB4DC5"/>
    <w:rsid w:val="00AB5330"/>
    <w:rsid w:val="00AB6AF1"/>
    <w:rsid w:val="00AB6C94"/>
    <w:rsid w:val="00AB7747"/>
    <w:rsid w:val="00AB7DAE"/>
    <w:rsid w:val="00AC1245"/>
    <w:rsid w:val="00AC14CE"/>
    <w:rsid w:val="00AC1573"/>
    <w:rsid w:val="00AC15BC"/>
    <w:rsid w:val="00AC20E8"/>
    <w:rsid w:val="00AC2731"/>
    <w:rsid w:val="00AC28EA"/>
    <w:rsid w:val="00AC2A56"/>
    <w:rsid w:val="00AC31F3"/>
    <w:rsid w:val="00AC3C13"/>
    <w:rsid w:val="00AC4878"/>
    <w:rsid w:val="00AC633E"/>
    <w:rsid w:val="00AC7DFA"/>
    <w:rsid w:val="00AD055E"/>
    <w:rsid w:val="00AD12BB"/>
    <w:rsid w:val="00AD17D7"/>
    <w:rsid w:val="00AD18ED"/>
    <w:rsid w:val="00AD41BF"/>
    <w:rsid w:val="00AD47A7"/>
    <w:rsid w:val="00AD4B1D"/>
    <w:rsid w:val="00AD53AB"/>
    <w:rsid w:val="00AD5EC0"/>
    <w:rsid w:val="00AD69E1"/>
    <w:rsid w:val="00AE16FF"/>
    <w:rsid w:val="00AE1864"/>
    <w:rsid w:val="00AE2570"/>
    <w:rsid w:val="00AE2EC8"/>
    <w:rsid w:val="00AE4399"/>
    <w:rsid w:val="00AE4A28"/>
    <w:rsid w:val="00AE4F20"/>
    <w:rsid w:val="00AE50F1"/>
    <w:rsid w:val="00AF019B"/>
    <w:rsid w:val="00AF0CBF"/>
    <w:rsid w:val="00AF257F"/>
    <w:rsid w:val="00AF26F1"/>
    <w:rsid w:val="00AF33CF"/>
    <w:rsid w:val="00AF4B24"/>
    <w:rsid w:val="00AF4D50"/>
    <w:rsid w:val="00AF52A3"/>
    <w:rsid w:val="00AF6179"/>
    <w:rsid w:val="00AF637A"/>
    <w:rsid w:val="00AF65CE"/>
    <w:rsid w:val="00B004D6"/>
    <w:rsid w:val="00B016AD"/>
    <w:rsid w:val="00B01A85"/>
    <w:rsid w:val="00B01BA1"/>
    <w:rsid w:val="00B03E88"/>
    <w:rsid w:val="00B063AA"/>
    <w:rsid w:val="00B101E1"/>
    <w:rsid w:val="00B11C62"/>
    <w:rsid w:val="00B1232B"/>
    <w:rsid w:val="00B1295A"/>
    <w:rsid w:val="00B13587"/>
    <w:rsid w:val="00B139D2"/>
    <w:rsid w:val="00B156FB"/>
    <w:rsid w:val="00B15C56"/>
    <w:rsid w:val="00B16E45"/>
    <w:rsid w:val="00B20A45"/>
    <w:rsid w:val="00B21306"/>
    <w:rsid w:val="00B21358"/>
    <w:rsid w:val="00B21685"/>
    <w:rsid w:val="00B218D7"/>
    <w:rsid w:val="00B221DD"/>
    <w:rsid w:val="00B22708"/>
    <w:rsid w:val="00B22C5C"/>
    <w:rsid w:val="00B24F30"/>
    <w:rsid w:val="00B26787"/>
    <w:rsid w:val="00B2758F"/>
    <w:rsid w:val="00B31ABF"/>
    <w:rsid w:val="00B323F0"/>
    <w:rsid w:val="00B33BE3"/>
    <w:rsid w:val="00B35202"/>
    <w:rsid w:val="00B4115A"/>
    <w:rsid w:val="00B42063"/>
    <w:rsid w:val="00B43EF4"/>
    <w:rsid w:val="00B44DDB"/>
    <w:rsid w:val="00B509B0"/>
    <w:rsid w:val="00B50F9D"/>
    <w:rsid w:val="00B51750"/>
    <w:rsid w:val="00B51805"/>
    <w:rsid w:val="00B52445"/>
    <w:rsid w:val="00B52B41"/>
    <w:rsid w:val="00B52EB2"/>
    <w:rsid w:val="00B530E3"/>
    <w:rsid w:val="00B5336E"/>
    <w:rsid w:val="00B53A35"/>
    <w:rsid w:val="00B53B5D"/>
    <w:rsid w:val="00B544EC"/>
    <w:rsid w:val="00B56FBE"/>
    <w:rsid w:val="00B6055E"/>
    <w:rsid w:val="00B61867"/>
    <w:rsid w:val="00B6317D"/>
    <w:rsid w:val="00B705F7"/>
    <w:rsid w:val="00B717D0"/>
    <w:rsid w:val="00B72FC5"/>
    <w:rsid w:val="00B73BAF"/>
    <w:rsid w:val="00B74542"/>
    <w:rsid w:val="00B770E6"/>
    <w:rsid w:val="00B7723F"/>
    <w:rsid w:val="00B77EC5"/>
    <w:rsid w:val="00B80534"/>
    <w:rsid w:val="00B8079A"/>
    <w:rsid w:val="00B812C4"/>
    <w:rsid w:val="00B822C1"/>
    <w:rsid w:val="00B82AD7"/>
    <w:rsid w:val="00B82B4C"/>
    <w:rsid w:val="00B840C6"/>
    <w:rsid w:val="00B8433C"/>
    <w:rsid w:val="00B858F5"/>
    <w:rsid w:val="00B864D1"/>
    <w:rsid w:val="00B87491"/>
    <w:rsid w:val="00B87E62"/>
    <w:rsid w:val="00B90EEE"/>
    <w:rsid w:val="00B91BEC"/>
    <w:rsid w:val="00B937AE"/>
    <w:rsid w:val="00B941BF"/>
    <w:rsid w:val="00B942F5"/>
    <w:rsid w:val="00B94CF7"/>
    <w:rsid w:val="00B96777"/>
    <w:rsid w:val="00B96BEA"/>
    <w:rsid w:val="00BA0834"/>
    <w:rsid w:val="00BA29E9"/>
    <w:rsid w:val="00BA46F0"/>
    <w:rsid w:val="00BA7142"/>
    <w:rsid w:val="00BA7BAD"/>
    <w:rsid w:val="00BB000B"/>
    <w:rsid w:val="00BB0E08"/>
    <w:rsid w:val="00BB1729"/>
    <w:rsid w:val="00BB1AA8"/>
    <w:rsid w:val="00BB1D5F"/>
    <w:rsid w:val="00BB1EC9"/>
    <w:rsid w:val="00BB237C"/>
    <w:rsid w:val="00BB2988"/>
    <w:rsid w:val="00BB3FEE"/>
    <w:rsid w:val="00BB41A3"/>
    <w:rsid w:val="00BB42C1"/>
    <w:rsid w:val="00BB5ACF"/>
    <w:rsid w:val="00BB6ECD"/>
    <w:rsid w:val="00BB74B1"/>
    <w:rsid w:val="00BC00A4"/>
    <w:rsid w:val="00BC00BD"/>
    <w:rsid w:val="00BC22D9"/>
    <w:rsid w:val="00BC23B9"/>
    <w:rsid w:val="00BC2768"/>
    <w:rsid w:val="00BC32DC"/>
    <w:rsid w:val="00BC3517"/>
    <w:rsid w:val="00BC35B6"/>
    <w:rsid w:val="00BC4A3B"/>
    <w:rsid w:val="00BC621B"/>
    <w:rsid w:val="00BC64D9"/>
    <w:rsid w:val="00BC76E6"/>
    <w:rsid w:val="00BC7AAB"/>
    <w:rsid w:val="00BD0054"/>
    <w:rsid w:val="00BD0074"/>
    <w:rsid w:val="00BD08BC"/>
    <w:rsid w:val="00BD1B51"/>
    <w:rsid w:val="00BD267F"/>
    <w:rsid w:val="00BD3F55"/>
    <w:rsid w:val="00BD43EC"/>
    <w:rsid w:val="00BD4596"/>
    <w:rsid w:val="00BD5B54"/>
    <w:rsid w:val="00BD5C5D"/>
    <w:rsid w:val="00BE08AE"/>
    <w:rsid w:val="00BE1405"/>
    <w:rsid w:val="00BE312D"/>
    <w:rsid w:val="00BE4957"/>
    <w:rsid w:val="00BF0A6C"/>
    <w:rsid w:val="00BF1443"/>
    <w:rsid w:val="00BF1C20"/>
    <w:rsid w:val="00BF2727"/>
    <w:rsid w:val="00BF3FBB"/>
    <w:rsid w:val="00BF4E06"/>
    <w:rsid w:val="00BF5A0A"/>
    <w:rsid w:val="00BF5A6C"/>
    <w:rsid w:val="00C016EE"/>
    <w:rsid w:val="00C024BE"/>
    <w:rsid w:val="00C05082"/>
    <w:rsid w:val="00C06894"/>
    <w:rsid w:val="00C075A0"/>
    <w:rsid w:val="00C10578"/>
    <w:rsid w:val="00C10925"/>
    <w:rsid w:val="00C10B34"/>
    <w:rsid w:val="00C10C19"/>
    <w:rsid w:val="00C10F67"/>
    <w:rsid w:val="00C119FB"/>
    <w:rsid w:val="00C11B1C"/>
    <w:rsid w:val="00C11BE3"/>
    <w:rsid w:val="00C11D19"/>
    <w:rsid w:val="00C12A04"/>
    <w:rsid w:val="00C135BC"/>
    <w:rsid w:val="00C13EFB"/>
    <w:rsid w:val="00C15C95"/>
    <w:rsid w:val="00C16AAE"/>
    <w:rsid w:val="00C17118"/>
    <w:rsid w:val="00C2161C"/>
    <w:rsid w:val="00C2596A"/>
    <w:rsid w:val="00C273FF"/>
    <w:rsid w:val="00C27537"/>
    <w:rsid w:val="00C3061A"/>
    <w:rsid w:val="00C3114B"/>
    <w:rsid w:val="00C32533"/>
    <w:rsid w:val="00C328FE"/>
    <w:rsid w:val="00C33217"/>
    <w:rsid w:val="00C33507"/>
    <w:rsid w:val="00C3403A"/>
    <w:rsid w:val="00C347F1"/>
    <w:rsid w:val="00C35096"/>
    <w:rsid w:val="00C40DA7"/>
    <w:rsid w:val="00C4136F"/>
    <w:rsid w:val="00C43151"/>
    <w:rsid w:val="00C43179"/>
    <w:rsid w:val="00C43A3A"/>
    <w:rsid w:val="00C43AE5"/>
    <w:rsid w:val="00C43E19"/>
    <w:rsid w:val="00C4409D"/>
    <w:rsid w:val="00C44E72"/>
    <w:rsid w:val="00C45A06"/>
    <w:rsid w:val="00C479F2"/>
    <w:rsid w:val="00C47B90"/>
    <w:rsid w:val="00C47E5B"/>
    <w:rsid w:val="00C51E85"/>
    <w:rsid w:val="00C52727"/>
    <w:rsid w:val="00C561CE"/>
    <w:rsid w:val="00C567B3"/>
    <w:rsid w:val="00C56FC5"/>
    <w:rsid w:val="00C57657"/>
    <w:rsid w:val="00C60E66"/>
    <w:rsid w:val="00C61DC4"/>
    <w:rsid w:val="00C61E4B"/>
    <w:rsid w:val="00C6219B"/>
    <w:rsid w:val="00C62FD1"/>
    <w:rsid w:val="00C64A51"/>
    <w:rsid w:val="00C64BFF"/>
    <w:rsid w:val="00C64C5E"/>
    <w:rsid w:val="00C6626F"/>
    <w:rsid w:val="00C6630A"/>
    <w:rsid w:val="00C66A19"/>
    <w:rsid w:val="00C67B7B"/>
    <w:rsid w:val="00C70134"/>
    <w:rsid w:val="00C704E9"/>
    <w:rsid w:val="00C70E20"/>
    <w:rsid w:val="00C73190"/>
    <w:rsid w:val="00C73758"/>
    <w:rsid w:val="00C754BD"/>
    <w:rsid w:val="00C75B95"/>
    <w:rsid w:val="00C763C9"/>
    <w:rsid w:val="00C76FEA"/>
    <w:rsid w:val="00C77CB7"/>
    <w:rsid w:val="00C80057"/>
    <w:rsid w:val="00C80FC8"/>
    <w:rsid w:val="00C815D9"/>
    <w:rsid w:val="00C82232"/>
    <w:rsid w:val="00C82913"/>
    <w:rsid w:val="00C84136"/>
    <w:rsid w:val="00C84339"/>
    <w:rsid w:val="00C84A14"/>
    <w:rsid w:val="00C85DB7"/>
    <w:rsid w:val="00C865FE"/>
    <w:rsid w:val="00C86BC0"/>
    <w:rsid w:val="00C912D3"/>
    <w:rsid w:val="00C92C8B"/>
    <w:rsid w:val="00C94324"/>
    <w:rsid w:val="00C972B1"/>
    <w:rsid w:val="00CA010E"/>
    <w:rsid w:val="00CA0DED"/>
    <w:rsid w:val="00CA13CC"/>
    <w:rsid w:val="00CA1801"/>
    <w:rsid w:val="00CA1A48"/>
    <w:rsid w:val="00CA2CCE"/>
    <w:rsid w:val="00CA43FD"/>
    <w:rsid w:val="00CA5E38"/>
    <w:rsid w:val="00CA6067"/>
    <w:rsid w:val="00CA625C"/>
    <w:rsid w:val="00CA655F"/>
    <w:rsid w:val="00CA7BDF"/>
    <w:rsid w:val="00CA7E60"/>
    <w:rsid w:val="00CA7EF8"/>
    <w:rsid w:val="00CB21D4"/>
    <w:rsid w:val="00CB289C"/>
    <w:rsid w:val="00CB386E"/>
    <w:rsid w:val="00CB389B"/>
    <w:rsid w:val="00CB4EF4"/>
    <w:rsid w:val="00CB5B0A"/>
    <w:rsid w:val="00CB77BE"/>
    <w:rsid w:val="00CB792C"/>
    <w:rsid w:val="00CB7D23"/>
    <w:rsid w:val="00CC1FD4"/>
    <w:rsid w:val="00CC31A5"/>
    <w:rsid w:val="00CC4503"/>
    <w:rsid w:val="00CC489B"/>
    <w:rsid w:val="00CC49FE"/>
    <w:rsid w:val="00CC4BED"/>
    <w:rsid w:val="00CC4C5E"/>
    <w:rsid w:val="00CC5C02"/>
    <w:rsid w:val="00CC6905"/>
    <w:rsid w:val="00CC7CA1"/>
    <w:rsid w:val="00CD066D"/>
    <w:rsid w:val="00CD1E69"/>
    <w:rsid w:val="00CD1F8D"/>
    <w:rsid w:val="00CD2BCD"/>
    <w:rsid w:val="00CD3A4C"/>
    <w:rsid w:val="00CD3C3D"/>
    <w:rsid w:val="00CD3E7E"/>
    <w:rsid w:val="00CD48F8"/>
    <w:rsid w:val="00CD6990"/>
    <w:rsid w:val="00CD6C59"/>
    <w:rsid w:val="00CD796D"/>
    <w:rsid w:val="00CE0E4E"/>
    <w:rsid w:val="00CE10E9"/>
    <w:rsid w:val="00CE2910"/>
    <w:rsid w:val="00CE5393"/>
    <w:rsid w:val="00CE6269"/>
    <w:rsid w:val="00CE6FC6"/>
    <w:rsid w:val="00CE73F7"/>
    <w:rsid w:val="00CE7621"/>
    <w:rsid w:val="00CE7EF2"/>
    <w:rsid w:val="00CF06DF"/>
    <w:rsid w:val="00CF1251"/>
    <w:rsid w:val="00CF1AC7"/>
    <w:rsid w:val="00CF2DF6"/>
    <w:rsid w:val="00CF36BE"/>
    <w:rsid w:val="00CF3D14"/>
    <w:rsid w:val="00CF3D20"/>
    <w:rsid w:val="00CF53E6"/>
    <w:rsid w:val="00CF6000"/>
    <w:rsid w:val="00CF6A91"/>
    <w:rsid w:val="00D003F3"/>
    <w:rsid w:val="00D0052C"/>
    <w:rsid w:val="00D0145D"/>
    <w:rsid w:val="00D025BC"/>
    <w:rsid w:val="00D0364F"/>
    <w:rsid w:val="00D03A62"/>
    <w:rsid w:val="00D05C5B"/>
    <w:rsid w:val="00D06834"/>
    <w:rsid w:val="00D103B8"/>
    <w:rsid w:val="00D12370"/>
    <w:rsid w:val="00D13164"/>
    <w:rsid w:val="00D1391A"/>
    <w:rsid w:val="00D1444E"/>
    <w:rsid w:val="00D15152"/>
    <w:rsid w:val="00D1545F"/>
    <w:rsid w:val="00D1570E"/>
    <w:rsid w:val="00D16A7B"/>
    <w:rsid w:val="00D2006D"/>
    <w:rsid w:val="00D20A3F"/>
    <w:rsid w:val="00D20D03"/>
    <w:rsid w:val="00D210DA"/>
    <w:rsid w:val="00D243D3"/>
    <w:rsid w:val="00D253AC"/>
    <w:rsid w:val="00D25692"/>
    <w:rsid w:val="00D257D5"/>
    <w:rsid w:val="00D25AB4"/>
    <w:rsid w:val="00D27DE4"/>
    <w:rsid w:val="00D308ED"/>
    <w:rsid w:val="00D3141C"/>
    <w:rsid w:val="00D329B0"/>
    <w:rsid w:val="00D34746"/>
    <w:rsid w:val="00D34D1F"/>
    <w:rsid w:val="00D365E7"/>
    <w:rsid w:val="00D36D86"/>
    <w:rsid w:val="00D3793A"/>
    <w:rsid w:val="00D37A6F"/>
    <w:rsid w:val="00D40D29"/>
    <w:rsid w:val="00D40F25"/>
    <w:rsid w:val="00D4101D"/>
    <w:rsid w:val="00D41B01"/>
    <w:rsid w:val="00D425E1"/>
    <w:rsid w:val="00D426A8"/>
    <w:rsid w:val="00D428AA"/>
    <w:rsid w:val="00D45D3E"/>
    <w:rsid w:val="00D46CF3"/>
    <w:rsid w:val="00D47FFB"/>
    <w:rsid w:val="00D50A34"/>
    <w:rsid w:val="00D50F05"/>
    <w:rsid w:val="00D527B1"/>
    <w:rsid w:val="00D52979"/>
    <w:rsid w:val="00D53EFA"/>
    <w:rsid w:val="00D5450C"/>
    <w:rsid w:val="00D55FB9"/>
    <w:rsid w:val="00D57570"/>
    <w:rsid w:val="00D57EC3"/>
    <w:rsid w:val="00D6054D"/>
    <w:rsid w:val="00D60B48"/>
    <w:rsid w:val="00D611DF"/>
    <w:rsid w:val="00D61A37"/>
    <w:rsid w:val="00D62E79"/>
    <w:rsid w:val="00D63036"/>
    <w:rsid w:val="00D630BC"/>
    <w:rsid w:val="00D637FF"/>
    <w:rsid w:val="00D64D54"/>
    <w:rsid w:val="00D65988"/>
    <w:rsid w:val="00D72DDF"/>
    <w:rsid w:val="00D74ED8"/>
    <w:rsid w:val="00D75588"/>
    <w:rsid w:val="00D75D0E"/>
    <w:rsid w:val="00D763C9"/>
    <w:rsid w:val="00D76558"/>
    <w:rsid w:val="00D76AD2"/>
    <w:rsid w:val="00D76D66"/>
    <w:rsid w:val="00D775A6"/>
    <w:rsid w:val="00D82A20"/>
    <w:rsid w:val="00D82D50"/>
    <w:rsid w:val="00D830DE"/>
    <w:rsid w:val="00D83895"/>
    <w:rsid w:val="00D84588"/>
    <w:rsid w:val="00D8460A"/>
    <w:rsid w:val="00D847E7"/>
    <w:rsid w:val="00D849CB"/>
    <w:rsid w:val="00D84BB2"/>
    <w:rsid w:val="00D859FA"/>
    <w:rsid w:val="00D860AE"/>
    <w:rsid w:val="00D864D1"/>
    <w:rsid w:val="00D87334"/>
    <w:rsid w:val="00D91C21"/>
    <w:rsid w:val="00D925EA"/>
    <w:rsid w:val="00D93985"/>
    <w:rsid w:val="00D943D9"/>
    <w:rsid w:val="00D94A7C"/>
    <w:rsid w:val="00D94C39"/>
    <w:rsid w:val="00D95896"/>
    <w:rsid w:val="00D97200"/>
    <w:rsid w:val="00D9748F"/>
    <w:rsid w:val="00DA1908"/>
    <w:rsid w:val="00DA1F83"/>
    <w:rsid w:val="00DA24A7"/>
    <w:rsid w:val="00DA289A"/>
    <w:rsid w:val="00DA3877"/>
    <w:rsid w:val="00DA46D8"/>
    <w:rsid w:val="00DA47BE"/>
    <w:rsid w:val="00DA5BF1"/>
    <w:rsid w:val="00DA782E"/>
    <w:rsid w:val="00DB103D"/>
    <w:rsid w:val="00DB1329"/>
    <w:rsid w:val="00DB288C"/>
    <w:rsid w:val="00DB2983"/>
    <w:rsid w:val="00DB4A62"/>
    <w:rsid w:val="00DB4E98"/>
    <w:rsid w:val="00DB5F8A"/>
    <w:rsid w:val="00DB62B5"/>
    <w:rsid w:val="00DC0057"/>
    <w:rsid w:val="00DC1257"/>
    <w:rsid w:val="00DC3A2B"/>
    <w:rsid w:val="00DC3DC0"/>
    <w:rsid w:val="00DC4D51"/>
    <w:rsid w:val="00DC57A1"/>
    <w:rsid w:val="00DC5B2B"/>
    <w:rsid w:val="00DC79B6"/>
    <w:rsid w:val="00DD0331"/>
    <w:rsid w:val="00DD096D"/>
    <w:rsid w:val="00DD1688"/>
    <w:rsid w:val="00DD1B1A"/>
    <w:rsid w:val="00DD2D79"/>
    <w:rsid w:val="00DD318D"/>
    <w:rsid w:val="00DD6DDD"/>
    <w:rsid w:val="00DD6DF2"/>
    <w:rsid w:val="00DD7813"/>
    <w:rsid w:val="00DD7E01"/>
    <w:rsid w:val="00DE14F8"/>
    <w:rsid w:val="00DE152C"/>
    <w:rsid w:val="00DE2AD5"/>
    <w:rsid w:val="00DE3D17"/>
    <w:rsid w:val="00DE455B"/>
    <w:rsid w:val="00DE63B3"/>
    <w:rsid w:val="00DF2999"/>
    <w:rsid w:val="00DF2E12"/>
    <w:rsid w:val="00DF514A"/>
    <w:rsid w:val="00DF6690"/>
    <w:rsid w:val="00DF6804"/>
    <w:rsid w:val="00DF6E02"/>
    <w:rsid w:val="00DF77F9"/>
    <w:rsid w:val="00E0265A"/>
    <w:rsid w:val="00E029C5"/>
    <w:rsid w:val="00E031C8"/>
    <w:rsid w:val="00E0358D"/>
    <w:rsid w:val="00E03842"/>
    <w:rsid w:val="00E03FC3"/>
    <w:rsid w:val="00E040EB"/>
    <w:rsid w:val="00E0416E"/>
    <w:rsid w:val="00E04323"/>
    <w:rsid w:val="00E0433C"/>
    <w:rsid w:val="00E05306"/>
    <w:rsid w:val="00E05ACC"/>
    <w:rsid w:val="00E06058"/>
    <w:rsid w:val="00E070A2"/>
    <w:rsid w:val="00E07185"/>
    <w:rsid w:val="00E10BC1"/>
    <w:rsid w:val="00E10DBF"/>
    <w:rsid w:val="00E118D1"/>
    <w:rsid w:val="00E1230E"/>
    <w:rsid w:val="00E13E48"/>
    <w:rsid w:val="00E16275"/>
    <w:rsid w:val="00E1710F"/>
    <w:rsid w:val="00E17A82"/>
    <w:rsid w:val="00E17B43"/>
    <w:rsid w:val="00E23F1F"/>
    <w:rsid w:val="00E24134"/>
    <w:rsid w:val="00E24A21"/>
    <w:rsid w:val="00E25667"/>
    <w:rsid w:val="00E25BEE"/>
    <w:rsid w:val="00E263F9"/>
    <w:rsid w:val="00E2656A"/>
    <w:rsid w:val="00E31A39"/>
    <w:rsid w:val="00E37510"/>
    <w:rsid w:val="00E41290"/>
    <w:rsid w:val="00E412D0"/>
    <w:rsid w:val="00E41A67"/>
    <w:rsid w:val="00E42CB6"/>
    <w:rsid w:val="00E45397"/>
    <w:rsid w:val="00E45AED"/>
    <w:rsid w:val="00E45F48"/>
    <w:rsid w:val="00E46491"/>
    <w:rsid w:val="00E46B9F"/>
    <w:rsid w:val="00E47275"/>
    <w:rsid w:val="00E476E4"/>
    <w:rsid w:val="00E503B2"/>
    <w:rsid w:val="00E50570"/>
    <w:rsid w:val="00E508D8"/>
    <w:rsid w:val="00E50E1B"/>
    <w:rsid w:val="00E518DB"/>
    <w:rsid w:val="00E53FC5"/>
    <w:rsid w:val="00E56322"/>
    <w:rsid w:val="00E602F9"/>
    <w:rsid w:val="00E60982"/>
    <w:rsid w:val="00E60C30"/>
    <w:rsid w:val="00E61CC4"/>
    <w:rsid w:val="00E62C62"/>
    <w:rsid w:val="00E63805"/>
    <w:rsid w:val="00E63922"/>
    <w:rsid w:val="00E6411F"/>
    <w:rsid w:val="00E646FF"/>
    <w:rsid w:val="00E654C1"/>
    <w:rsid w:val="00E6597A"/>
    <w:rsid w:val="00E65D97"/>
    <w:rsid w:val="00E713DC"/>
    <w:rsid w:val="00E7179D"/>
    <w:rsid w:val="00E72A5A"/>
    <w:rsid w:val="00E73354"/>
    <w:rsid w:val="00E77E37"/>
    <w:rsid w:val="00E81900"/>
    <w:rsid w:val="00E819C9"/>
    <w:rsid w:val="00E81B39"/>
    <w:rsid w:val="00E83109"/>
    <w:rsid w:val="00E84CF4"/>
    <w:rsid w:val="00E84E7E"/>
    <w:rsid w:val="00E859E4"/>
    <w:rsid w:val="00E86926"/>
    <w:rsid w:val="00E86A4B"/>
    <w:rsid w:val="00E86D93"/>
    <w:rsid w:val="00E870A8"/>
    <w:rsid w:val="00E87B41"/>
    <w:rsid w:val="00E914DE"/>
    <w:rsid w:val="00E91854"/>
    <w:rsid w:val="00E9242D"/>
    <w:rsid w:val="00E92620"/>
    <w:rsid w:val="00E926B2"/>
    <w:rsid w:val="00E92E18"/>
    <w:rsid w:val="00E92E8F"/>
    <w:rsid w:val="00E9497D"/>
    <w:rsid w:val="00E949EE"/>
    <w:rsid w:val="00E95F2A"/>
    <w:rsid w:val="00E96162"/>
    <w:rsid w:val="00E96E57"/>
    <w:rsid w:val="00EA0320"/>
    <w:rsid w:val="00EA0DD9"/>
    <w:rsid w:val="00EA2A1E"/>
    <w:rsid w:val="00EA3335"/>
    <w:rsid w:val="00EA4EB1"/>
    <w:rsid w:val="00EA564A"/>
    <w:rsid w:val="00EA7AB9"/>
    <w:rsid w:val="00EB0D40"/>
    <w:rsid w:val="00EB1D44"/>
    <w:rsid w:val="00EB2A10"/>
    <w:rsid w:val="00EB2DA2"/>
    <w:rsid w:val="00EB35AC"/>
    <w:rsid w:val="00EB5255"/>
    <w:rsid w:val="00EB549F"/>
    <w:rsid w:val="00EB57B5"/>
    <w:rsid w:val="00EB5C47"/>
    <w:rsid w:val="00EB69C3"/>
    <w:rsid w:val="00EB6B0A"/>
    <w:rsid w:val="00EB7735"/>
    <w:rsid w:val="00EC0D42"/>
    <w:rsid w:val="00EC0F0C"/>
    <w:rsid w:val="00EC3744"/>
    <w:rsid w:val="00EC457C"/>
    <w:rsid w:val="00EC469C"/>
    <w:rsid w:val="00EC47E9"/>
    <w:rsid w:val="00EC5DDE"/>
    <w:rsid w:val="00EC61EA"/>
    <w:rsid w:val="00EC6218"/>
    <w:rsid w:val="00EC7C17"/>
    <w:rsid w:val="00ED0639"/>
    <w:rsid w:val="00ED0C90"/>
    <w:rsid w:val="00ED1D26"/>
    <w:rsid w:val="00ED205A"/>
    <w:rsid w:val="00ED37D4"/>
    <w:rsid w:val="00ED3F20"/>
    <w:rsid w:val="00ED53BE"/>
    <w:rsid w:val="00ED6CC4"/>
    <w:rsid w:val="00ED7206"/>
    <w:rsid w:val="00ED7216"/>
    <w:rsid w:val="00ED77F0"/>
    <w:rsid w:val="00ED7A07"/>
    <w:rsid w:val="00ED7B1D"/>
    <w:rsid w:val="00EE00C9"/>
    <w:rsid w:val="00EE11B0"/>
    <w:rsid w:val="00EE3E40"/>
    <w:rsid w:val="00EE488F"/>
    <w:rsid w:val="00EE5563"/>
    <w:rsid w:val="00EE675C"/>
    <w:rsid w:val="00EE7848"/>
    <w:rsid w:val="00EF001D"/>
    <w:rsid w:val="00EF2B8B"/>
    <w:rsid w:val="00EF4755"/>
    <w:rsid w:val="00EF5D88"/>
    <w:rsid w:val="00EF5F80"/>
    <w:rsid w:val="00EF7135"/>
    <w:rsid w:val="00F006FC"/>
    <w:rsid w:val="00F008E2"/>
    <w:rsid w:val="00F0144A"/>
    <w:rsid w:val="00F027DB"/>
    <w:rsid w:val="00F03A41"/>
    <w:rsid w:val="00F03A9B"/>
    <w:rsid w:val="00F04A8C"/>
    <w:rsid w:val="00F04AC2"/>
    <w:rsid w:val="00F04E8C"/>
    <w:rsid w:val="00F060E0"/>
    <w:rsid w:val="00F0634F"/>
    <w:rsid w:val="00F139B9"/>
    <w:rsid w:val="00F143E3"/>
    <w:rsid w:val="00F14A7A"/>
    <w:rsid w:val="00F1602E"/>
    <w:rsid w:val="00F16BB9"/>
    <w:rsid w:val="00F16C2A"/>
    <w:rsid w:val="00F20143"/>
    <w:rsid w:val="00F21547"/>
    <w:rsid w:val="00F22034"/>
    <w:rsid w:val="00F223B2"/>
    <w:rsid w:val="00F22985"/>
    <w:rsid w:val="00F23AC0"/>
    <w:rsid w:val="00F2407A"/>
    <w:rsid w:val="00F24A4D"/>
    <w:rsid w:val="00F25D74"/>
    <w:rsid w:val="00F30516"/>
    <w:rsid w:val="00F330FE"/>
    <w:rsid w:val="00F334F4"/>
    <w:rsid w:val="00F3383E"/>
    <w:rsid w:val="00F33D45"/>
    <w:rsid w:val="00F34196"/>
    <w:rsid w:val="00F3461B"/>
    <w:rsid w:val="00F366EA"/>
    <w:rsid w:val="00F36962"/>
    <w:rsid w:val="00F372C2"/>
    <w:rsid w:val="00F42428"/>
    <w:rsid w:val="00F43300"/>
    <w:rsid w:val="00F446FD"/>
    <w:rsid w:val="00F449FA"/>
    <w:rsid w:val="00F45283"/>
    <w:rsid w:val="00F465A7"/>
    <w:rsid w:val="00F46D85"/>
    <w:rsid w:val="00F47FFD"/>
    <w:rsid w:val="00F50B7C"/>
    <w:rsid w:val="00F52FFB"/>
    <w:rsid w:val="00F53369"/>
    <w:rsid w:val="00F545B0"/>
    <w:rsid w:val="00F54689"/>
    <w:rsid w:val="00F550E6"/>
    <w:rsid w:val="00F55DE2"/>
    <w:rsid w:val="00F56194"/>
    <w:rsid w:val="00F5636D"/>
    <w:rsid w:val="00F563AB"/>
    <w:rsid w:val="00F5686E"/>
    <w:rsid w:val="00F56D2D"/>
    <w:rsid w:val="00F600C8"/>
    <w:rsid w:val="00F60981"/>
    <w:rsid w:val="00F6211C"/>
    <w:rsid w:val="00F62245"/>
    <w:rsid w:val="00F62677"/>
    <w:rsid w:val="00F62E72"/>
    <w:rsid w:val="00F63DDB"/>
    <w:rsid w:val="00F6525E"/>
    <w:rsid w:val="00F65674"/>
    <w:rsid w:val="00F67C61"/>
    <w:rsid w:val="00F72950"/>
    <w:rsid w:val="00F7303B"/>
    <w:rsid w:val="00F7392C"/>
    <w:rsid w:val="00F74345"/>
    <w:rsid w:val="00F7481F"/>
    <w:rsid w:val="00F748E3"/>
    <w:rsid w:val="00F74CB8"/>
    <w:rsid w:val="00F7500A"/>
    <w:rsid w:val="00F77EDE"/>
    <w:rsid w:val="00F801E9"/>
    <w:rsid w:val="00F80A0A"/>
    <w:rsid w:val="00F80F5E"/>
    <w:rsid w:val="00F82780"/>
    <w:rsid w:val="00F82B19"/>
    <w:rsid w:val="00F840EF"/>
    <w:rsid w:val="00F85A6C"/>
    <w:rsid w:val="00F85CD5"/>
    <w:rsid w:val="00F87C84"/>
    <w:rsid w:val="00F90587"/>
    <w:rsid w:val="00F9212D"/>
    <w:rsid w:val="00F931E9"/>
    <w:rsid w:val="00F9462D"/>
    <w:rsid w:val="00F94D93"/>
    <w:rsid w:val="00F951D4"/>
    <w:rsid w:val="00F965DA"/>
    <w:rsid w:val="00F96AF9"/>
    <w:rsid w:val="00F96C23"/>
    <w:rsid w:val="00F96D60"/>
    <w:rsid w:val="00F972FF"/>
    <w:rsid w:val="00F9730F"/>
    <w:rsid w:val="00F973E4"/>
    <w:rsid w:val="00F97771"/>
    <w:rsid w:val="00FA2027"/>
    <w:rsid w:val="00FA33CA"/>
    <w:rsid w:val="00FA357A"/>
    <w:rsid w:val="00FA406A"/>
    <w:rsid w:val="00FA4EAD"/>
    <w:rsid w:val="00FA5900"/>
    <w:rsid w:val="00FA5B3F"/>
    <w:rsid w:val="00FA6480"/>
    <w:rsid w:val="00FA665E"/>
    <w:rsid w:val="00FB1E32"/>
    <w:rsid w:val="00FB2E29"/>
    <w:rsid w:val="00FB30A3"/>
    <w:rsid w:val="00FB4491"/>
    <w:rsid w:val="00FB4662"/>
    <w:rsid w:val="00FB49CF"/>
    <w:rsid w:val="00FB4DD4"/>
    <w:rsid w:val="00FB503A"/>
    <w:rsid w:val="00FB516C"/>
    <w:rsid w:val="00FB54A4"/>
    <w:rsid w:val="00FB5C62"/>
    <w:rsid w:val="00FB5FC8"/>
    <w:rsid w:val="00FC02BB"/>
    <w:rsid w:val="00FC14D2"/>
    <w:rsid w:val="00FC1B40"/>
    <w:rsid w:val="00FC1E8D"/>
    <w:rsid w:val="00FC2DAD"/>
    <w:rsid w:val="00FC35F9"/>
    <w:rsid w:val="00FC3631"/>
    <w:rsid w:val="00FC3C96"/>
    <w:rsid w:val="00FC460E"/>
    <w:rsid w:val="00FC761E"/>
    <w:rsid w:val="00FD0236"/>
    <w:rsid w:val="00FD0D2E"/>
    <w:rsid w:val="00FD131D"/>
    <w:rsid w:val="00FD18F4"/>
    <w:rsid w:val="00FD30F5"/>
    <w:rsid w:val="00FD4324"/>
    <w:rsid w:val="00FD48E6"/>
    <w:rsid w:val="00FD4C6B"/>
    <w:rsid w:val="00FD54DB"/>
    <w:rsid w:val="00FD619F"/>
    <w:rsid w:val="00FD644E"/>
    <w:rsid w:val="00FD711C"/>
    <w:rsid w:val="00FE2BE6"/>
    <w:rsid w:val="00FE4FB4"/>
    <w:rsid w:val="00FE52BA"/>
    <w:rsid w:val="00FE59BC"/>
    <w:rsid w:val="00FF0925"/>
    <w:rsid w:val="00FF28D6"/>
    <w:rsid w:val="00FF39E0"/>
    <w:rsid w:val="00FF4568"/>
    <w:rsid w:val="00FF4ED1"/>
    <w:rsid w:val="00FF56BA"/>
    <w:rsid w:val="00FF603C"/>
    <w:rsid w:val="00FF6444"/>
    <w:rsid w:val="00FF7C1D"/>
    <w:rsid w:val="010540F7"/>
    <w:rsid w:val="010B6966"/>
    <w:rsid w:val="010F4D97"/>
    <w:rsid w:val="011B6997"/>
    <w:rsid w:val="011F3940"/>
    <w:rsid w:val="01290F7E"/>
    <w:rsid w:val="012F5F9F"/>
    <w:rsid w:val="01321CDD"/>
    <w:rsid w:val="013958EE"/>
    <w:rsid w:val="015C4E83"/>
    <w:rsid w:val="015D1E09"/>
    <w:rsid w:val="01687E91"/>
    <w:rsid w:val="016A2597"/>
    <w:rsid w:val="0178123A"/>
    <w:rsid w:val="017E6F26"/>
    <w:rsid w:val="01810B3A"/>
    <w:rsid w:val="019404F8"/>
    <w:rsid w:val="01A23466"/>
    <w:rsid w:val="01A52705"/>
    <w:rsid w:val="01B458FB"/>
    <w:rsid w:val="01BB7833"/>
    <w:rsid w:val="01C761D7"/>
    <w:rsid w:val="01C83BA4"/>
    <w:rsid w:val="01C963F3"/>
    <w:rsid w:val="01D47DE9"/>
    <w:rsid w:val="01D803E5"/>
    <w:rsid w:val="01E828A4"/>
    <w:rsid w:val="01E925F2"/>
    <w:rsid w:val="01E956F4"/>
    <w:rsid w:val="01EB1987"/>
    <w:rsid w:val="0204742C"/>
    <w:rsid w:val="020624C0"/>
    <w:rsid w:val="020D0916"/>
    <w:rsid w:val="021B5753"/>
    <w:rsid w:val="0227136C"/>
    <w:rsid w:val="022E3DA7"/>
    <w:rsid w:val="02343387"/>
    <w:rsid w:val="02355E4F"/>
    <w:rsid w:val="023615AF"/>
    <w:rsid w:val="023A4BFB"/>
    <w:rsid w:val="023F0464"/>
    <w:rsid w:val="024A3CE3"/>
    <w:rsid w:val="026121E8"/>
    <w:rsid w:val="0264502E"/>
    <w:rsid w:val="02697903"/>
    <w:rsid w:val="02702D13"/>
    <w:rsid w:val="0273635F"/>
    <w:rsid w:val="02777918"/>
    <w:rsid w:val="02866093"/>
    <w:rsid w:val="02867DA3"/>
    <w:rsid w:val="028D07F8"/>
    <w:rsid w:val="029155B5"/>
    <w:rsid w:val="02931780"/>
    <w:rsid w:val="02B35B31"/>
    <w:rsid w:val="02BF35AA"/>
    <w:rsid w:val="02C33B77"/>
    <w:rsid w:val="02CD1F13"/>
    <w:rsid w:val="02D74B40"/>
    <w:rsid w:val="02DB2DD5"/>
    <w:rsid w:val="02DF1815"/>
    <w:rsid w:val="02E64D83"/>
    <w:rsid w:val="02E73474"/>
    <w:rsid w:val="02EA4873"/>
    <w:rsid w:val="02EF7565"/>
    <w:rsid w:val="02F01568"/>
    <w:rsid w:val="02F9602F"/>
    <w:rsid w:val="02F96569"/>
    <w:rsid w:val="02FE1274"/>
    <w:rsid w:val="03084CFA"/>
    <w:rsid w:val="031275DC"/>
    <w:rsid w:val="03202CAB"/>
    <w:rsid w:val="033E0DCD"/>
    <w:rsid w:val="03426474"/>
    <w:rsid w:val="034B4237"/>
    <w:rsid w:val="03554A63"/>
    <w:rsid w:val="03634626"/>
    <w:rsid w:val="0365153D"/>
    <w:rsid w:val="03657A72"/>
    <w:rsid w:val="036B5734"/>
    <w:rsid w:val="036C171A"/>
    <w:rsid w:val="036C5AA6"/>
    <w:rsid w:val="036D1000"/>
    <w:rsid w:val="03704963"/>
    <w:rsid w:val="03851FAF"/>
    <w:rsid w:val="03914CEF"/>
    <w:rsid w:val="039914C7"/>
    <w:rsid w:val="03A32D99"/>
    <w:rsid w:val="03A40660"/>
    <w:rsid w:val="03A43768"/>
    <w:rsid w:val="03AD2702"/>
    <w:rsid w:val="03B31109"/>
    <w:rsid w:val="03B76980"/>
    <w:rsid w:val="03CC1E33"/>
    <w:rsid w:val="03CD6C8A"/>
    <w:rsid w:val="03E730BD"/>
    <w:rsid w:val="03EA7B21"/>
    <w:rsid w:val="03FC62B7"/>
    <w:rsid w:val="03FE68E0"/>
    <w:rsid w:val="04043713"/>
    <w:rsid w:val="0405748B"/>
    <w:rsid w:val="040B77C8"/>
    <w:rsid w:val="040C1C42"/>
    <w:rsid w:val="040E4592"/>
    <w:rsid w:val="041110E3"/>
    <w:rsid w:val="04150817"/>
    <w:rsid w:val="041D2A27"/>
    <w:rsid w:val="041F7A0A"/>
    <w:rsid w:val="04280FC5"/>
    <w:rsid w:val="04414D65"/>
    <w:rsid w:val="0442423B"/>
    <w:rsid w:val="04477AA3"/>
    <w:rsid w:val="044E1235"/>
    <w:rsid w:val="04561939"/>
    <w:rsid w:val="045A3333"/>
    <w:rsid w:val="0465447A"/>
    <w:rsid w:val="04674E6C"/>
    <w:rsid w:val="04684391"/>
    <w:rsid w:val="046F6A50"/>
    <w:rsid w:val="04750BEA"/>
    <w:rsid w:val="0479743D"/>
    <w:rsid w:val="047B09B6"/>
    <w:rsid w:val="048C7EBE"/>
    <w:rsid w:val="04A92787"/>
    <w:rsid w:val="04B32549"/>
    <w:rsid w:val="04C455F7"/>
    <w:rsid w:val="04D13746"/>
    <w:rsid w:val="04D55D4A"/>
    <w:rsid w:val="04DB21CB"/>
    <w:rsid w:val="04E25A41"/>
    <w:rsid w:val="04E92909"/>
    <w:rsid w:val="04ED3767"/>
    <w:rsid w:val="04FF57DA"/>
    <w:rsid w:val="05064981"/>
    <w:rsid w:val="05110BD1"/>
    <w:rsid w:val="0517199C"/>
    <w:rsid w:val="051F632A"/>
    <w:rsid w:val="0528391D"/>
    <w:rsid w:val="052A1BD0"/>
    <w:rsid w:val="0541414F"/>
    <w:rsid w:val="055E6E53"/>
    <w:rsid w:val="05696C71"/>
    <w:rsid w:val="056E0609"/>
    <w:rsid w:val="0571302A"/>
    <w:rsid w:val="057360CD"/>
    <w:rsid w:val="05866977"/>
    <w:rsid w:val="058C1873"/>
    <w:rsid w:val="058D598A"/>
    <w:rsid w:val="059E1945"/>
    <w:rsid w:val="059F5401"/>
    <w:rsid w:val="05AA2834"/>
    <w:rsid w:val="05AF5900"/>
    <w:rsid w:val="05BF652E"/>
    <w:rsid w:val="05D31ED5"/>
    <w:rsid w:val="05D709B3"/>
    <w:rsid w:val="05DD1BF7"/>
    <w:rsid w:val="05EA5F5A"/>
    <w:rsid w:val="05EC183F"/>
    <w:rsid w:val="05EF2FEA"/>
    <w:rsid w:val="05F83EAE"/>
    <w:rsid w:val="060C2D53"/>
    <w:rsid w:val="06116586"/>
    <w:rsid w:val="06177108"/>
    <w:rsid w:val="062215D1"/>
    <w:rsid w:val="0622522B"/>
    <w:rsid w:val="062C52F2"/>
    <w:rsid w:val="0633197B"/>
    <w:rsid w:val="06366E11"/>
    <w:rsid w:val="063E7D85"/>
    <w:rsid w:val="06455476"/>
    <w:rsid w:val="06493B19"/>
    <w:rsid w:val="06587459"/>
    <w:rsid w:val="065B492C"/>
    <w:rsid w:val="06615801"/>
    <w:rsid w:val="0667442D"/>
    <w:rsid w:val="06686486"/>
    <w:rsid w:val="066E05B6"/>
    <w:rsid w:val="068021EE"/>
    <w:rsid w:val="06A27213"/>
    <w:rsid w:val="06A66E45"/>
    <w:rsid w:val="06B44D5C"/>
    <w:rsid w:val="06C2321A"/>
    <w:rsid w:val="06C54360"/>
    <w:rsid w:val="06C54CB0"/>
    <w:rsid w:val="06C9139E"/>
    <w:rsid w:val="06D01FD2"/>
    <w:rsid w:val="06E54CB2"/>
    <w:rsid w:val="06E70287"/>
    <w:rsid w:val="06F821CF"/>
    <w:rsid w:val="06F86E33"/>
    <w:rsid w:val="07075EFB"/>
    <w:rsid w:val="071719AF"/>
    <w:rsid w:val="07293586"/>
    <w:rsid w:val="07295285"/>
    <w:rsid w:val="072D2F81"/>
    <w:rsid w:val="072F492D"/>
    <w:rsid w:val="07302A71"/>
    <w:rsid w:val="07350AD3"/>
    <w:rsid w:val="07417D10"/>
    <w:rsid w:val="074D53D1"/>
    <w:rsid w:val="076154D8"/>
    <w:rsid w:val="07636392"/>
    <w:rsid w:val="076444C8"/>
    <w:rsid w:val="076F17EB"/>
    <w:rsid w:val="07750484"/>
    <w:rsid w:val="07770C56"/>
    <w:rsid w:val="077F16A3"/>
    <w:rsid w:val="07802AE8"/>
    <w:rsid w:val="078C16E9"/>
    <w:rsid w:val="078C4E56"/>
    <w:rsid w:val="078E30D8"/>
    <w:rsid w:val="07A02959"/>
    <w:rsid w:val="07B059DC"/>
    <w:rsid w:val="07B21C5B"/>
    <w:rsid w:val="07BA6457"/>
    <w:rsid w:val="07BE3D20"/>
    <w:rsid w:val="07C00AA8"/>
    <w:rsid w:val="07C1191B"/>
    <w:rsid w:val="07C21A6A"/>
    <w:rsid w:val="07D258D6"/>
    <w:rsid w:val="07D27DF0"/>
    <w:rsid w:val="07D37248"/>
    <w:rsid w:val="07D660E3"/>
    <w:rsid w:val="07D668D5"/>
    <w:rsid w:val="07D77292"/>
    <w:rsid w:val="07E8334B"/>
    <w:rsid w:val="07EA4131"/>
    <w:rsid w:val="07FF0162"/>
    <w:rsid w:val="080649A5"/>
    <w:rsid w:val="080B2B96"/>
    <w:rsid w:val="081F6A2B"/>
    <w:rsid w:val="0820258B"/>
    <w:rsid w:val="08210512"/>
    <w:rsid w:val="08231974"/>
    <w:rsid w:val="08267DC8"/>
    <w:rsid w:val="08290BEF"/>
    <w:rsid w:val="082D0D5E"/>
    <w:rsid w:val="082F16FD"/>
    <w:rsid w:val="082F2D28"/>
    <w:rsid w:val="08314CF2"/>
    <w:rsid w:val="08360442"/>
    <w:rsid w:val="083E3AC5"/>
    <w:rsid w:val="084C3AC3"/>
    <w:rsid w:val="084F6FFD"/>
    <w:rsid w:val="08681FF2"/>
    <w:rsid w:val="087675F5"/>
    <w:rsid w:val="087A6126"/>
    <w:rsid w:val="087F559D"/>
    <w:rsid w:val="08856DEC"/>
    <w:rsid w:val="089808CE"/>
    <w:rsid w:val="08981CD3"/>
    <w:rsid w:val="08A21AF3"/>
    <w:rsid w:val="08A6123D"/>
    <w:rsid w:val="08AB40DD"/>
    <w:rsid w:val="08AC25CB"/>
    <w:rsid w:val="08B2703E"/>
    <w:rsid w:val="08BE466A"/>
    <w:rsid w:val="08C22DFE"/>
    <w:rsid w:val="08CC398C"/>
    <w:rsid w:val="08D24D05"/>
    <w:rsid w:val="08D613F6"/>
    <w:rsid w:val="08DA0DBD"/>
    <w:rsid w:val="08EA2D6D"/>
    <w:rsid w:val="08EB6C4F"/>
    <w:rsid w:val="08F3017C"/>
    <w:rsid w:val="08F53D13"/>
    <w:rsid w:val="08F80D6D"/>
    <w:rsid w:val="08FD2EAB"/>
    <w:rsid w:val="090925C7"/>
    <w:rsid w:val="09093579"/>
    <w:rsid w:val="09126DD6"/>
    <w:rsid w:val="091F2CA2"/>
    <w:rsid w:val="092217DD"/>
    <w:rsid w:val="0922570D"/>
    <w:rsid w:val="092D6686"/>
    <w:rsid w:val="0935436E"/>
    <w:rsid w:val="093A33BF"/>
    <w:rsid w:val="093A7294"/>
    <w:rsid w:val="093E57AE"/>
    <w:rsid w:val="093E665F"/>
    <w:rsid w:val="095835BB"/>
    <w:rsid w:val="095A2ED7"/>
    <w:rsid w:val="09633DCF"/>
    <w:rsid w:val="096E162E"/>
    <w:rsid w:val="097A7FD3"/>
    <w:rsid w:val="097B4C27"/>
    <w:rsid w:val="097E5DA1"/>
    <w:rsid w:val="09803FD9"/>
    <w:rsid w:val="098E16D3"/>
    <w:rsid w:val="098E2AFB"/>
    <w:rsid w:val="098F7F23"/>
    <w:rsid w:val="099412C7"/>
    <w:rsid w:val="099449FC"/>
    <w:rsid w:val="09C364DA"/>
    <w:rsid w:val="09C37BCC"/>
    <w:rsid w:val="09CA381B"/>
    <w:rsid w:val="09D122E9"/>
    <w:rsid w:val="09D26061"/>
    <w:rsid w:val="09E75CD7"/>
    <w:rsid w:val="09E87633"/>
    <w:rsid w:val="09EE2822"/>
    <w:rsid w:val="09F47CA3"/>
    <w:rsid w:val="0A0B0146"/>
    <w:rsid w:val="0A0B62BC"/>
    <w:rsid w:val="0A0D30C8"/>
    <w:rsid w:val="0A1C3D21"/>
    <w:rsid w:val="0A2148F3"/>
    <w:rsid w:val="0A263993"/>
    <w:rsid w:val="0A2D3AC2"/>
    <w:rsid w:val="0A355F10"/>
    <w:rsid w:val="0A4367FC"/>
    <w:rsid w:val="0A465547"/>
    <w:rsid w:val="0A5E741E"/>
    <w:rsid w:val="0A602E50"/>
    <w:rsid w:val="0A7947D3"/>
    <w:rsid w:val="0A7B6DF6"/>
    <w:rsid w:val="0A7F7F97"/>
    <w:rsid w:val="0A8818A5"/>
    <w:rsid w:val="0A8A06EA"/>
    <w:rsid w:val="0A8D18A7"/>
    <w:rsid w:val="0A902734"/>
    <w:rsid w:val="0A9357F1"/>
    <w:rsid w:val="0AA03F62"/>
    <w:rsid w:val="0AA417AC"/>
    <w:rsid w:val="0AA63EFC"/>
    <w:rsid w:val="0AA755DF"/>
    <w:rsid w:val="0AA772AF"/>
    <w:rsid w:val="0AB37C41"/>
    <w:rsid w:val="0ABA4019"/>
    <w:rsid w:val="0AC02B16"/>
    <w:rsid w:val="0AC43BFC"/>
    <w:rsid w:val="0AD5056D"/>
    <w:rsid w:val="0AF448C5"/>
    <w:rsid w:val="0AF61F0A"/>
    <w:rsid w:val="0AFB02FE"/>
    <w:rsid w:val="0B035FED"/>
    <w:rsid w:val="0B100BEF"/>
    <w:rsid w:val="0B120D44"/>
    <w:rsid w:val="0B1306DF"/>
    <w:rsid w:val="0B1643D5"/>
    <w:rsid w:val="0B1E75D8"/>
    <w:rsid w:val="0B227B99"/>
    <w:rsid w:val="0B2612BD"/>
    <w:rsid w:val="0B3379DE"/>
    <w:rsid w:val="0B3520E8"/>
    <w:rsid w:val="0B3543DB"/>
    <w:rsid w:val="0B40391F"/>
    <w:rsid w:val="0B422D73"/>
    <w:rsid w:val="0B42691C"/>
    <w:rsid w:val="0B4D1E43"/>
    <w:rsid w:val="0B4E3C9D"/>
    <w:rsid w:val="0B4F2283"/>
    <w:rsid w:val="0B50557A"/>
    <w:rsid w:val="0B571C3E"/>
    <w:rsid w:val="0B675812"/>
    <w:rsid w:val="0B6D6042"/>
    <w:rsid w:val="0B6E6353"/>
    <w:rsid w:val="0B7256FC"/>
    <w:rsid w:val="0B732D53"/>
    <w:rsid w:val="0B792C38"/>
    <w:rsid w:val="0B816C15"/>
    <w:rsid w:val="0B8272F2"/>
    <w:rsid w:val="0B8320F7"/>
    <w:rsid w:val="0B8E5FB8"/>
    <w:rsid w:val="0B902219"/>
    <w:rsid w:val="0B93537C"/>
    <w:rsid w:val="0B962D2F"/>
    <w:rsid w:val="0B9C1DF2"/>
    <w:rsid w:val="0BA5796D"/>
    <w:rsid w:val="0BAA1044"/>
    <w:rsid w:val="0BAE21B6"/>
    <w:rsid w:val="0BB70527"/>
    <w:rsid w:val="0BC42581"/>
    <w:rsid w:val="0BC84FE1"/>
    <w:rsid w:val="0BCE4606"/>
    <w:rsid w:val="0BCE730A"/>
    <w:rsid w:val="0BD27BF6"/>
    <w:rsid w:val="0BD54A1D"/>
    <w:rsid w:val="0BD63080"/>
    <w:rsid w:val="0BDA1B36"/>
    <w:rsid w:val="0BDD0521"/>
    <w:rsid w:val="0BE10AC9"/>
    <w:rsid w:val="0BE67BA2"/>
    <w:rsid w:val="0BE86C04"/>
    <w:rsid w:val="0BF35AAF"/>
    <w:rsid w:val="0BF903FB"/>
    <w:rsid w:val="0BF93222"/>
    <w:rsid w:val="0C0359D2"/>
    <w:rsid w:val="0C060860"/>
    <w:rsid w:val="0C083FBC"/>
    <w:rsid w:val="0C101EB6"/>
    <w:rsid w:val="0C1427A2"/>
    <w:rsid w:val="0C1C09D0"/>
    <w:rsid w:val="0C2228AF"/>
    <w:rsid w:val="0C27479D"/>
    <w:rsid w:val="0C2C32DA"/>
    <w:rsid w:val="0C3B3C7D"/>
    <w:rsid w:val="0C46581C"/>
    <w:rsid w:val="0C525F2C"/>
    <w:rsid w:val="0C526FE5"/>
    <w:rsid w:val="0C5E1E2E"/>
    <w:rsid w:val="0C662A91"/>
    <w:rsid w:val="0C6736F5"/>
    <w:rsid w:val="0C692C1B"/>
    <w:rsid w:val="0C782EF0"/>
    <w:rsid w:val="0C7E5FD8"/>
    <w:rsid w:val="0C981078"/>
    <w:rsid w:val="0CA24776"/>
    <w:rsid w:val="0CA912FB"/>
    <w:rsid w:val="0CAB2EAE"/>
    <w:rsid w:val="0CAE0F5E"/>
    <w:rsid w:val="0CBF26C9"/>
    <w:rsid w:val="0CC2416B"/>
    <w:rsid w:val="0CCA3999"/>
    <w:rsid w:val="0CCF05ED"/>
    <w:rsid w:val="0CD13905"/>
    <w:rsid w:val="0CEA6E64"/>
    <w:rsid w:val="0CF43EFA"/>
    <w:rsid w:val="0CF54541"/>
    <w:rsid w:val="0CFA7929"/>
    <w:rsid w:val="0CFE6F11"/>
    <w:rsid w:val="0D0C3638"/>
    <w:rsid w:val="0D15633C"/>
    <w:rsid w:val="0D191352"/>
    <w:rsid w:val="0D266145"/>
    <w:rsid w:val="0D343217"/>
    <w:rsid w:val="0D44582B"/>
    <w:rsid w:val="0D621C7D"/>
    <w:rsid w:val="0D697396"/>
    <w:rsid w:val="0D6D2037"/>
    <w:rsid w:val="0D7331F9"/>
    <w:rsid w:val="0D782B9C"/>
    <w:rsid w:val="0D7E2FFE"/>
    <w:rsid w:val="0D800BC6"/>
    <w:rsid w:val="0D8A10EE"/>
    <w:rsid w:val="0D9A6F87"/>
    <w:rsid w:val="0D9F0712"/>
    <w:rsid w:val="0DA61272"/>
    <w:rsid w:val="0DA711A7"/>
    <w:rsid w:val="0DA90E87"/>
    <w:rsid w:val="0DB64BBE"/>
    <w:rsid w:val="0DBE022F"/>
    <w:rsid w:val="0DC12892"/>
    <w:rsid w:val="0DC13976"/>
    <w:rsid w:val="0DC147AE"/>
    <w:rsid w:val="0DC762F3"/>
    <w:rsid w:val="0DDA7EE5"/>
    <w:rsid w:val="0DEF3BD0"/>
    <w:rsid w:val="0DF34163"/>
    <w:rsid w:val="0DF419FB"/>
    <w:rsid w:val="0DF5199B"/>
    <w:rsid w:val="0DFC70CA"/>
    <w:rsid w:val="0E082052"/>
    <w:rsid w:val="0E215ACF"/>
    <w:rsid w:val="0E423D59"/>
    <w:rsid w:val="0E466E67"/>
    <w:rsid w:val="0E4D57A9"/>
    <w:rsid w:val="0E65619C"/>
    <w:rsid w:val="0E675CD8"/>
    <w:rsid w:val="0E73034D"/>
    <w:rsid w:val="0E743149"/>
    <w:rsid w:val="0E7C69A8"/>
    <w:rsid w:val="0E7D5611"/>
    <w:rsid w:val="0E7F24E3"/>
    <w:rsid w:val="0E845BDB"/>
    <w:rsid w:val="0E8D5C3B"/>
    <w:rsid w:val="0EAA425E"/>
    <w:rsid w:val="0EAC15F9"/>
    <w:rsid w:val="0EB67D00"/>
    <w:rsid w:val="0EBB38BF"/>
    <w:rsid w:val="0ED059DF"/>
    <w:rsid w:val="0ED74EF6"/>
    <w:rsid w:val="0EE155DA"/>
    <w:rsid w:val="0EEF06A8"/>
    <w:rsid w:val="0EF852E6"/>
    <w:rsid w:val="0EFB6CF5"/>
    <w:rsid w:val="0EFE1DDB"/>
    <w:rsid w:val="0F0C213A"/>
    <w:rsid w:val="0F0F5662"/>
    <w:rsid w:val="0F114E67"/>
    <w:rsid w:val="0F1355BC"/>
    <w:rsid w:val="0F13775A"/>
    <w:rsid w:val="0F18453E"/>
    <w:rsid w:val="0F2377E5"/>
    <w:rsid w:val="0F291509"/>
    <w:rsid w:val="0F345751"/>
    <w:rsid w:val="0F362AC4"/>
    <w:rsid w:val="0F3A01EC"/>
    <w:rsid w:val="0F4603CF"/>
    <w:rsid w:val="0F4C2412"/>
    <w:rsid w:val="0F5B32D6"/>
    <w:rsid w:val="0F5F45FE"/>
    <w:rsid w:val="0F5F5CA1"/>
    <w:rsid w:val="0F717A41"/>
    <w:rsid w:val="0F733789"/>
    <w:rsid w:val="0F931008"/>
    <w:rsid w:val="0F990E85"/>
    <w:rsid w:val="0F9A112B"/>
    <w:rsid w:val="0FA81FBD"/>
    <w:rsid w:val="0FB771F2"/>
    <w:rsid w:val="0FC87607"/>
    <w:rsid w:val="0FD33B7B"/>
    <w:rsid w:val="0FDC3304"/>
    <w:rsid w:val="0FDD095C"/>
    <w:rsid w:val="0FDF3286"/>
    <w:rsid w:val="0FF53908"/>
    <w:rsid w:val="0FFB36E2"/>
    <w:rsid w:val="10066A65"/>
    <w:rsid w:val="100B420C"/>
    <w:rsid w:val="101B0308"/>
    <w:rsid w:val="1026724A"/>
    <w:rsid w:val="103B1BF6"/>
    <w:rsid w:val="10413679"/>
    <w:rsid w:val="105C1A17"/>
    <w:rsid w:val="105E08C5"/>
    <w:rsid w:val="1063632A"/>
    <w:rsid w:val="106402AB"/>
    <w:rsid w:val="106C6DEC"/>
    <w:rsid w:val="106D2F64"/>
    <w:rsid w:val="106E4B7E"/>
    <w:rsid w:val="108019BD"/>
    <w:rsid w:val="10853E2D"/>
    <w:rsid w:val="108C4091"/>
    <w:rsid w:val="10982862"/>
    <w:rsid w:val="10A2578E"/>
    <w:rsid w:val="10B63710"/>
    <w:rsid w:val="10BD5F86"/>
    <w:rsid w:val="10CB2AAE"/>
    <w:rsid w:val="10D51B29"/>
    <w:rsid w:val="10D54B64"/>
    <w:rsid w:val="10D601E5"/>
    <w:rsid w:val="10D630E1"/>
    <w:rsid w:val="10D64689"/>
    <w:rsid w:val="10D82668"/>
    <w:rsid w:val="10E24D48"/>
    <w:rsid w:val="10E3232D"/>
    <w:rsid w:val="10E62B8E"/>
    <w:rsid w:val="10ED6D79"/>
    <w:rsid w:val="10F10820"/>
    <w:rsid w:val="11077C54"/>
    <w:rsid w:val="110F3B44"/>
    <w:rsid w:val="111807FE"/>
    <w:rsid w:val="111A3B43"/>
    <w:rsid w:val="111C2F7A"/>
    <w:rsid w:val="113B135A"/>
    <w:rsid w:val="11464EF6"/>
    <w:rsid w:val="11567578"/>
    <w:rsid w:val="116457F1"/>
    <w:rsid w:val="11665CA1"/>
    <w:rsid w:val="117110D3"/>
    <w:rsid w:val="117450BC"/>
    <w:rsid w:val="117623A3"/>
    <w:rsid w:val="11766AA6"/>
    <w:rsid w:val="11777690"/>
    <w:rsid w:val="117B3C49"/>
    <w:rsid w:val="11813B0C"/>
    <w:rsid w:val="118342AF"/>
    <w:rsid w:val="1191235E"/>
    <w:rsid w:val="11931423"/>
    <w:rsid w:val="11964243"/>
    <w:rsid w:val="11B06CDA"/>
    <w:rsid w:val="11B211CD"/>
    <w:rsid w:val="11B4621F"/>
    <w:rsid w:val="11BF0A31"/>
    <w:rsid w:val="11D14E7D"/>
    <w:rsid w:val="11E305CC"/>
    <w:rsid w:val="11E42DD6"/>
    <w:rsid w:val="11E608FC"/>
    <w:rsid w:val="11F27E27"/>
    <w:rsid w:val="11F949FE"/>
    <w:rsid w:val="11FB4CA1"/>
    <w:rsid w:val="11FC590F"/>
    <w:rsid w:val="12000615"/>
    <w:rsid w:val="12033A9B"/>
    <w:rsid w:val="121F796A"/>
    <w:rsid w:val="12241424"/>
    <w:rsid w:val="123954CC"/>
    <w:rsid w:val="123F7018"/>
    <w:rsid w:val="12504C2C"/>
    <w:rsid w:val="126F4B46"/>
    <w:rsid w:val="126F510C"/>
    <w:rsid w:val="12743D6F"/>
    <w:rsid w:val="12781A80"/>
    <w:rsid w:val="127A7296"/>
    <w:rsid w:val="127B5307"/>
    <w:rsid w:val="12897BDB"/>
    <w:rsid w:val="129D0AB4"/>
    <w:rsid w:val="12A73615"/>
    <w:rsid w:val="12AC0833"/>
    <w:rsid w:val="12B14A48"/>
    <w:rsid w:val="12B941B2"/>
    <w:rsid w:val="12BA2136"/>
    <w:rsid w:val="12C36042"/>
    <w:rsid w:val="12D1335A"/>
    <w:rsid w:val="12D44A81"/>
    <w:rsid w:val="12DA38A0"/>
    <w:rsid w:val="12E44266"/>
    <w:rsid w:val="130354DD"/>
    <w:rsid w:val="130E4DC6"/>
    <w:rsid w:val="1312116C"/>
    <w:rsid w:val="131F2C8A"/>
    <w:rsid w:val="1322281D"/>
    <w:rsid w:val="13294F44"/>
    <w:rsid w:val="133A0C3D"/>
    <w:rsid w:val="13407CE4"/>
    <w:rsid w:val="1356560D"/>
    <w:rsid w:val="13581D3B"/>
    <w:rsid w:val="135B774E"/>
    <w:rsid w:val="136071B7"/>
    <w:rsid w:val="13625E91"/>
    <w:rsid w:val="1369556C"/>
    <w:rsid w:val="13696908"/>
    <w:rsid w:val="136B468E"/>
    <w:rsid w:val="136C3441"/>
    <w:rsid w:val="13706970"/>
    <w:rsid w:val="13846196"/>
    <w:rsid w:val="138C6631"/>
    <w:rsid w:val="13942655"/>
    <w:rsid w:val="13951726"/>
    <w:rsid w:val="139D4FEA"/>
    <w:rsid w:val="13A61A69"/>
    <w:rsid w:val="13BF7656"/>
    <w:rsid w:val="13C31790"/>
    <w:rsid w:val="13C407C9"/>
    <w:rsid w:val="13D54867"/>
    <w:rsid w:val="13D900B3"/>
    <w:rsid w:val="13DF5603"/>
    <w:rsid w:val="13E175CD"/>
    <w:rsid w:val="13E56991"/>
    <w:rsid w:val="13EB41FA"/>
    <w:rsid w:val="13FA6691"/>
    <w:rsid w:val="13FF2E56"/>
    <w:rsid w:val="14047A3C"/>
    <w:rsid w:val="14091685"/>
    <w:rsid w:val="14092B57"/>
    <w:rsid w:val="140A6336"/>
    <w:rsid w:val="140E7C96"/>
    <w:rsid w:val="140F390B"/>
    <w:rsid w:val="141E16D6"/>
    <w:rsid w:val="14290A07"/>
    <w:rsid w:val="142C6FC0"/>
    <w:rsid w:val="142D095D"/>
    <w:rsid w:val="14354DB0"/>
    <w:rsid w:val="143959B3"/>
    <w:rsid w:val="14396509"/>
    <w:rsid w:val="144115BD"/>
    <w:rsid w:val="144841F3"/>
    <w:rsid w:val="144B372B"/>
    <w:rsid w:val="14551D69"/>
    <w:rsid w:val="1458357A"/>
    <w:rsid w:val="1467440F"/>
    <w:rsid w:val="146869DA"/>
    <w:rsid w:val="146A27B3"/>
    <w:rsid w:val="148461AA"/>
    <w:rsid w:val="149444D3"/>
    <w:rsid w:val="149A16C0"/>
    <w:rsid w:val="14C4497C"/>
    <w:rsid w:val="14C57350"/>
    <w:rsid w:val="14C722BE"/>
    <w:rsid w:val="14C97064"/>
    <w:rsid w:val="14D07641"/>
    <w:rsid w:val="14DA6BD5"/>
    <w:rsid w:val="14DD2C3C"/>
    <w:rsid w:val="14DE6D49"/>
    <w:rsid w:val="14DF07E9"/>
    <w:rsid w:val="14E01C36"/>
    <w:rsid w:val="14ED029E"/>
    <w:rsid w:val="14ED4EAF"/>
    <w:rsid w:val="14EE2DB7"/>
    <w:rsid w:val="14F16637"/>
    <w:rsid w:val="14FE7D0A"/>
    <w:rsid w:val="150372C2"/>
    <w:rsid w:val="150A6FDA"/>
    <w:rsid w:val="15203CE6"/>
    <w:rsid w:val="15282FD9"/>
    <w:rsid w:val="152C74E5"/>
    <w:rsid w:val="152F676E"/>
    <w:rsid w:val="153225E2"/>
    <w:rsid w:val="15337566"/>
    <w:rsid w:val="15433B41"/>
    <w:rsid w:val="154B0F45"/>
    <w:rsid w:val="154C6CC8"/>
    <w:rsid w:val="155251A4"/>
    <w:rsid w:val="1556033E"/>
    <w:rsid w:val="155657DC"/>
    <w:rsid w:val="15605FEC"/>
    <w:rsid w:val="15636D69"/>
    <w:rsid w:val="15660544"/>
    <w:rsid w:val="156C736A"/>
    <w:rsid w:val="15724254"/>
    <w:rsid w:val="157840C7"/>
    <w:rsid w:val="15911FC1"/>
    <w:rsid w:val="15922F94"/>
    <w:rsid w:val="159468C1"/>
    <w:rsid w:val="15981F0D"/>
    <w:rsid w:val="159A6C0A"/>
    <w:rsid w:val="15A12BAA"/>
    <w:rsid w:val="15A42FA8"/>
    <w:rsid w:val="15A52FCF"/>
    <w:rsid w:val="15A85032"/>
    <w:rsid w:val="15A93EF2"/>
    <w:rsid w:val="15AA39E1"/>
    <w:rsid w:val="15B825AF"/>
    <w:rsid w:val="15BF393E"/>
    <w:rsid w:val="15C346F1"/>
    <w:rsid w:val="15C36092"/>
    <w:rsid w:val="15E96C0C"/>
    <w:rsid w:val="15F14077"/>
    <w:rsid w:val="15F46E3E"/>
    <w:rsid w:val="15FA0766"/>
    <w:rsid w:val="15FB249C"/>
    <w:rsid w:val="15FF01DE"/>
    <w:rsid w:val="16087E1D"/>
    <w:rsid w:val="16153CF4"/>
    <w:rsid w:val="162714E3"/>
    <w:rsid w:val="163E3003"/>
    <w:rsid w:val="16457FE9"/>
    <w:rsid w:val="164B4BEC"/>
    <w:rsid w:val="165225F8"/>
    <w:rsid w:val="16536272"/>
    <w:rsid w:val="165467DD"/>
    <w:rsid w:val="165F2A2B"/>
    <w:rsid w:val="16677B31"/>
    <w:rsid w:val="167427AE"/>
    <w:rsid w:val="167968E4"/>
    <w:rsid w:val="167F30CD"/>
    <w:rsid w:val="16867138"/>
    <w:rsid w:val="1687711F"/>
    <w:rsid w:val="169E79F7"/>
    <w:rsid w:val="16A576FF"/>
    <w:rsid w:val="16A7036B"/>
    <w:rsid w:val="16B005DC"/>
    <w:rsid w:val="16B73A83"/>
    <w:rsid w:val="16BB219B"/>
    <w:rsid w:val="16BC1C2B"/>
    <w:rsid w:val="16D8332C"/>
    <w:rsid w:val="16DC3C30"/>
    <w:rsid w:val="16EF21CD"/>
    <w:rsid w:val="16F5338F"/>
    <w:rsid w:val="16FC0E27"/>
    <w:rsid w:val="16FE64BD"/>
    <w:rsid w:val="17244A52"/>
    <w:rsid w:val="172F064F"/>
    <w:rsid w:val="173008D1"/>
    <w:rsid w:val="17377504"/>
    <w:rsid w:val="174D6D27"/>
    <w:rsid w:val="17627078"/>
    <w:rsid w:val="17701D14"/>
    <w:rsid w:val="17705C0D"/>
    <w:rsid w:val="17733F0B"/>
    <w:rsid w:val="17735226"/>
    <w:rsid w:val="17832749"/>
    <w:rsid w:val="17874E68"/>
    <w:rsid w:val="17875081"/>
    <w:rsid w:val="178A3AD7"/>
    <w:rsid w:val="17A378F0"/>
    <w:rsid w:val="17AA5F28"/>
    <w:rsid w:val="17B248C5"/>
    <w:rsid w:val="17B43F18"/>
    <w:rsid w:val="17B67F29"/>
    <w:rsid w:val="17C92604"/>
    <w:rsid w:val="17DC0E56"/>
    <w:rsid w:val="17E5451B"/>
    <w:rsid w:val="17ED243B"/>
    <w:rsid w:val="17FA6EAF"/>
    <w:rsid w:val="17FD7D84"/>
    <w:rsid w:val="180F31EF"/>
    <w:rsid w:val="181D2B9D"/>
    <w:rsid w:val="183E0BAE"/>
    <w:rsid w:val="18527996"/>
    <w:rsid w:val="18596009"/>
    <w:rsid w:val="18641486"/>
    <w:rsid w:val="18644328"/>
    <w:rsid w:val="18686313"/>
    <w:rsid w:val="186E6D83"/>
    <w:rsid w:val="187A7FF0"/>
    <w:rsid w:val="187B502C"/>
    <w:rsid w:val="189F367A"/>
    <w:rsid w:val="189F624C"/>
    <w:rsid w:val="18A6592B"/>
    <w:rsid w:val="18AB63FB"/>
    <w:rsid w:val="18B502D3"/>
    <w:rsid w:val="18BA2477"/>
    <w:rsid w:val="18BC6B72"/>
    <w:rsid w:val="18C05678"/>
    <w:rsid w:val="18C4126B"/>
    <w:rsid w:val="18C8355C"/>
    <w:rsid w:val="18CC437C"/>
    <w:rsid w:val="18D1476C"/>
    <w:rsid w:val="18D23E3D"/>
    <w:rsid w:val="18D92F68"/>
    <w:rsid w:val="18DA592A"/>
    <w:rsid w:val="18DC6F08"/>
    <w:rsid w:val="18E10A3C"/>
    <w:rsid w:val="18E70C9F"/>
    <w:rsid w:val="18E97D1E"/>
    <w:rsid w:val="18EE2799"/>
    <w:rsid w:val="18EF7227"/>
    <w:rsid w:val="18F02060"/>
    <w:rsid w:val="18F62894"/>
    <w:rsid w:val="19037FE5"/>
    <w:rsid w:val="190A1C0F"/>
    <w:rsid w:val="191018E5"/>
    <w:rsid w:val="19102569"/>
    <w:rsid w:val="19173D72"/>
    <w:rsid w:val="192166BD"/>
    <w:rsid w:val="192D693B"/>
    <w:rsid w:val="193370E3"/>
    <w:rsid w:val="193C52A5"/>
    <w:rsid w:val="19406B43"/>
    <w:rsid w:val="19497352"/>
    <w:rsid w:val="194A5AB4"/>
    <w:rsid w:val="194D1260"/>
    <w:rsid w:val="194F528B"/>
    <w:rsid w:val="19587232"/>
    <w:rsid w:val="195A5E2A"/>
    <w:rsid w:val="19651B2C"/>
    <w:rsid w:val="1977586A"/>
    <w:rsid w:val="19805192"/>
    <w:rsid w:val="19864ACE"/>
    <w:rsid w:val="19947512"/>
    <w:rsid w:val="19A37AEB"/>
    <w:rsid w:val="19A86ACA"/>
    <w:rsid w:val="19B164B9"/>
    <w:rsid w:val="19B66E06"/>
    <w:rsid w:val="19D07148"/>
    <w:rsid w:val="19D2255C"/>
    <w:rsid w:val="19D438FD"/>
    <w:rsid w:val="19D83D7C"/>
    <w:rsid w:val="19E10884"/>
    <w:rsid w:val="19E57431"/>
    <w:rsid w:val="19E962F6"/>
    <w:rsid w:val="19F86CB5"/>
    <w:rsid w:val="19FB6F0E"/>
    <w:rsid w:val="1A0029B2"/>
    <w:rsid w:val="1A0A1C9E"/>
    <w:rsid w:val="1A0D71CF"/>
    <w:rsid w:val="1A187AC0"/>
    <w:rsid w:val="1A1B135F"/>
    <w:rsid w:val="1A1C66C0"/>
    <w:rsid w:val="1A2C356C"/>
    <w:rsid w:val="1A320547"/>
    <w:rsid w:val="1A3D4B88"/>
    <w:rsid w:val="1A3F1870"/>
    <w:rsid w:val="1A41201A"/>
    <w:rsid w:val="1A42393B"/>
    <w:rsid w:val="1A4E5B3A"/>
    <w:rsid w:val="1A6229BC"/>
    <w:rsid w:val="1A651D31"/>
    <w:rsid w:val="1A7171D0"/>
    <w:rsid w:val="1A752169"/>
    <w:rsid w:val="1A7570F7"/>
    <w:rsid w:val="1A82066E"/>
    <w:rsid w:val="1A8B6179"/>
    <w:rsid w:val="1A9353D6"/>
    <w:rsid w:val="1A967EB6"/>
    <w:rsid w:val="1AAD45DE"/>
    <w:rsid w:val="1AB31597"/>
    <w:rsid w:val="1AC05F42"/>
    <w:rsid w:val="1AC63078"/>
    <w:rsid w:val="1AD7603E"/>
    <w:rsid w:val="1ADB5E74"/>
    <w:rsid w:val="1AE17229"/>
    <w:rsid w:val="1AE67825"/>
    <w:rsid w:val="1AED5DB2"/>
    <w:rsid w:val="1AF52BBE"/>
    <w:rsid w:val="1AFB43B9"/>
    <w:rsid w:val="1AFF16D2"/>
    <w:rsid w:val="1B046F80"/>
    <w:rsid w:val="1B0B4F2F"/>
    <w:rsid w:val="1B104450"/>
    <w:rsid w:val="1B17546B"/>
    <w:rsid w:val="1B1765A9"/>
    <w:rsid w:val="1B1B5FD7"/>
    <w:rsid w:val="1B324735"/>
    <w:rsid w:val="1B3267B5"/>
    <w:rsid w:val="1B3E550F"/>
    <w:rsid w:val="1B40161D"/>
    <w:rsid w:val="1B441859"/>
    <w:rsid w:val="1B4D2791"/>
    <w:rsid w:val="1B4F7149"/>
    <w:rsid w:val="1B52666E"/>
    <w:rsid w:val="1B600D8D"/>
    <w:rsid w:val="1B604A89"/>
    <w:rsid w:val="1B624471"/>
    <w:rsid w:val="1B6606B1"/>
    <w:rsid w:val="1B664E62"/>
    <w:rsid w:val="1B6805D3"/>
    <w:rsid w:val="1B7D5565"/>
    <w:rsid w:val="1B7E3953"/>
    <w:rsid w:val="1B8336CC"/>
    <w:rsid w:val="1B8C7672"/>
    <w:rsid w:val="1B9C027D"/>
    <w:rsid w:val="1BA16D45"/>
    <w:rsid w:val="1BAC38D1"/>
    <w:rsid w:val="1BC31088"/>
    <w:rsid w:val="1BC3580A"/>
    <w:rsid w:val="1BCD29EC"/>
    <w:rsid w:val="1BD34562"/>
    <w:rsid w:val="1BDB0DA5"/>
    <w:rsid w:val="1BE158EC"/>
    <w:rsid w:val="1BE71F76"/>
    <w:rsid w:val="1BF27EB8"/>
    <w:rsid w:val="1BF92E57"/>
    <w:rsid w:val="1C0657F2"/>
    <w:rsid w:val="1C183E7E"/>
    <w:rsid w:val="1C19012C"/>
    <w:rsid w:val="1C236088"/>
    <w:rsid w:val="1C2C1476"/>
    <w:rsid w:val="1C3C3892"/>
    <w:rsid w:val="1C3E1198"/>
    <w:rsid w:val="1C4027D8"/>
    <w:rsid w:val="1C4C3A51"/>
    <w:rsid w:val="1C4D4FFA"/>
    <w:rsid w:val="1C5801A4"/>
    <w:rsid w:val="1C5E7925"/>
    <w:rsid w:val="1C5F7F2C"/>
    <w:rsid w:val="1C6963B1"/>
    <w:rsid w:val="1C6B715B"/>
    <w:rsid w:val="1C7D0090"/>
    <w:rsid w:val="1C7F3E11"/>
    <w:rsid w:val="1C99656B"/>
    <w:rsid w:val="1C9B22E3"/>
    <w:rsid w:val="1CAA1F24"/>
    <w:rsid w:val="1CAE3636"/>
    <w:rsid w:val="1CAF2BA6"/>
    <w:rsid w:val="1CC30785"/>
    <w:rsid w:val="1CC46B5A"/>
    <w:rsid w:val="1CCB6719"/>
    <w:rsid w:val="1CCF02AF"/>
    <w:rsid w:val="1CD24D32"/>
    <w:rsid w:val="1CD50451"/>
    <w:rsid w:val="1CE3322C"/>
    <w:rsid w:val="1CE97BF9"/>
    <w:rsid w:val="1CF20367"/>
    <w:rsid w:val="1CF53848"/>
    <w:rsid w:val="1CF846A0"/>
    <w:rsid w:val="1CFD070F"/>
    <w:rsid w:val="1D130FDA"/>
    <w:rsid w:val="1D184E62"/>
    <w:rsid w:val="1D1E3640"/>
    <w:rsid w:val="1D2624F4"/>
    <w:rsid w:val="1D263975"/>
    <w:rsid w:val="1D295B06"/>
    <w:rsid w:val="1D2B7DA0"/>
    <w:rsid w:val="1D3C26ED"/>
    <w:rsid w:val="1D5F6196"/>
    <w:rsid w:val="1D6132A5"/>
    <w:rsid w:val="1D712E66"/>
    <w:rsid w:val="1D7738EA"/>
    <w:rsid w:val="1D787D37"/>
    <w:rsid w:val="1D7C5487"/>
    <w:rsid w:val="1D80474B"/>
    <w:rsid w:val="1D8714D6"/>
    <w:rsid w:val="1D874F90"/>
    <w:rsid w:val="1D8E56D5"/>
    <w:rsid w:val="1D9C5944"/>
    <w:rsid w:val="1DA05FD2"/>
    <w:rsid w:val="1DA531BA"/>
    <w:rsid w:val="1DB13DE6"/>
    <w:rsid w:val="1DBD20AD"/>
    <w:rsid w:val="1DC63408"/>
    <w:rsid w:val="1DCB2955"/>
    <w:rsid w:val="1DD6562D"/>
    <w:rsid w:val="1DDA1B9D"/>
    <w:rsid w:val="1DDC7057"/>
    <w:rsid w:val="1DDF1432"/>
    <w:rsid w:val="1DFE521F"/>
    <w:rsid w:val="1E032835"/>
    <w:rsid w:val="1E0909A9"/>
    <w:rsid w:val="1E1111DA"/>
    <w:rsid w:val="1E15222B"/>
    <w:rsid w:val="1E1B09F9"/>
    <w:rsid w:val="1E345DEC"/>
    <w:rsid w:val="1E380731"/>
    <w:rsid w:val="1E3D42FA"/>
    <w:rsid w:val="1E4034C4"/>
    <w:rsid w:val="1E430E84"/>
    <w:rsid w:val="1E4A616F"/>
    <w:rsid w:val="1E5014A3"/>
    <w:rsid w:val="1E674B72"/>
    <w:rsid w:val="1E6F1C79"/>
    <w:rsid w:val="1E7355E2"/>
    <w:rsid w:val="1E7A43DA"/>
    <w:rsid w:val="1E7E69F7"/>
    <w:rsid w:val="1E817CA6"/>
    <w:rsid w:val="1E827BFE"/>
    <w:rsid w:val="1E8719CA"/>
    <w:rsid w:val="1E9572D0"/>
    <w:rsid w:val="1E9640ED"/>
    <w:rsid w:val="1E9846F5"/>
    <w:rsid w:val="1E9F5123"/>
    <w:rsid w:val="1EA72D26"/>
    <w:rsid w:val="1EAD4B0E"/>
    <w:rsid w:val="1EB8717C"/>
    <w:rsid w:val="1ECB3DB9"/>
    <w:rsid w:val="1ED45F96"/>
    <w:rsid w:val="1EDC75E7"/>
    <w:rsid w:val="1EE25AB6"/>
    <w:rsid w:val="1EEF072D"/>
    <w:rsid w:val="1EF36406"/>
    <w:rsid w:val="1F0F24C5"/>
    <w:rsid w:val="1F114ADE"/>
    <w:rsid w:val="1F130856"/>
    <w:rsid w:val="1F1545CE"/>
    <w:rsid w:val="1F161134"/>
    <w:rsid w:val="1F1D3826"/>
    <w:rsid w:val="1F206574"/>
    <w:rsid w:val="1F224914"/>
    <w:rsid w:val="1F2760B0"/>
    <w:rsid w:val="1F2F3495"/>
    <w:rsid w:val="1F30178C"/>
    <w:rsid w:val="1F3B0574"/>
    <w:rsid w:val="1F4042CE"/>
    <w:rsid w:val="1F4B4494"/>
    <w:rsid w:val="1F5C4B11"/>
    <w:rsid w:val="1F5D7D23"/>
    <w:rsid w:val="1F666BD8"/>
    <w:rsid w:val="1F69528C"/>
    <w:rsid w:val="1F704434"/>
    <w:rsid w:val="1F777037"/>
    <w:rsid w:val="1F7C4F36"/>
    <w:rsid w:val="1F9279CD"/>
    <w:rsid w:val="1F973B73"/>
    <w:rsid w:val="1F98341F"/>
    <w:rsid w:val="1FA140B4"/>
    <w:rsid w:val="1FAF3F98"/>
    <w:rsid w:val="1FB63C0F"/>
    <w:rsid w:val="1FC34BA2"/>
    <w:rsid w:val="1FC502B3"/>
    <w:rsid w:val="1FCE1CDC"/>
    <w:rsid w:val="1FD00E7A"/>
    <w:rsid w:val="1FDA0811"/>
    <w:rsid w:val="1FDC333E"/>
    <w:rsid w:val="1FE7539E"/>
    <w:rsid w:val="1FEE2DEF"/>
    <w:rsid w:val="1FF006E7"/>
    <w:rsid w:val="1FF36F03"/>
    <w:rsid w:val="1FFA50EB"/>
    <w:rsid w:val="200308CB"/>
    <w:rsid w:val="20052895"/>
    <w:rsid w:val="200E7FAC"/>
    <w:rsid w:val="20286F28"/>
    <w:rsid w:val="202F16C0"/>
    <w:rsid w:val="202F7336"/>
    <w:rsid w:val="203D6CBE"/>
    <w:rsid w:val="20427645"/>
    <w:rsid w:val="20431205"/>
    <w:rsid w:val="205A2C47"/>
    <w:rsid w:val="205D2306"/>
    <w:rsid w:val="206100C4"/>
    <w:rsid w:val="20622D50"/>
    <w:rsid w:val="2066556E"/>
    <w:rsid w:val="20671BE0"/>
    <w:rsid w:val="20683870"/>
    <w:rsid w:val="20687B48"/>
    <w:rsid w:val="2069769F"/>
    <w:rsid w:val="20760185"/>
    <w:rsid w:val="207812B9"/>
    <w:rsid w:val="207C1631"/>
    <w:rsid w:val="207D7922"/>
    <w:rsid w:val="208732AA"/>
    <w:rsid w:val="20920262"/>
    <w:rsid w:val="20923F96"/>
    <w:rsid w:val="209244B7"/>
    <w:rsid w:val="20931C4F"/>
    <w:rsid w:val="20941A92"/>
    <w:rsid w:val="20954EA8"/>
    <w:rsid w:val="20963CB8"/>
    <w:rsid w:val="20966EA7"/>
    <w:rsid w:val="20974F17"/>
    <w:rsid w:val="20A81A1B"/>
    <w:rsid w:val="20AE7BCC"/>
    <w:rsid w:val="20B07FB6"/>
    <w:rsid w:val="20B646FB"/>
    <w:rsid w:val="20BB4438"/>
    <w:rsid w:val="20BD0E34"/>
    <w:rsid w:val="20C305B3"/>
    <w:rsid w:val="20C75D9C"/>
    <w:rsid w:val="20DD1FBE"/>
    <w:rsid w:val="20F64E12"/>
    <w:rsid w:val="21060987"/>
    <w:rsid w:val="21074BF0"/>
    <w:rsid w:val="210F368D"/>
    <w:rsid w:val="2116532A"/>
    <w:rsid w:val="212136FE"/>
    <w:rsid w:val="21261A71"/>
    <w:rsid w:val="212654D9"/>
    <w:rsid w:val="212953C9"/>
    <w:rsid w:val="212D63EB"/>
    <w:rsid w:val="212F6708"/>
    <w:rsid w:val="21307616"/>
    <w:rsid w:val="21390433"/>
    <w:rsid w:val="21397684"/>
    <w:rsid w:val="213B74B1"/>
    <w:rsid w:val="214544F1"/>
    <w:rsid w:val="214A7D74"/>
    <w:rsid w:val="215313DE"/>
    <w:rsid w:val="21562C7C"/>
    <w:rsid w:val="215A2310"/>
    <w:rsid w:val="21642126"/>
    <w:rsid w:val="217529D3"/>
    <w:rsid w:val="218B5FEC"/>
    <w:rsid w:val="218E2416"/>
    <w:rsid w:val="21963AE0"/>
    <w:rsid w:val="219E56F4"/>
    <w:rsid w:val="21A74C97"/>
    <w:rsid w:val="21B955C6"/>
    <w:rsid w:val="21BE6135"/>
    <w:rsid w:val="21C347B6"/>
    <w:rsid w:val="21C84968"/>
    <w:rsid w:val="21CE1676"/>
    <w:rsid w:val="21D21245"/>
    <w:rsid w:val="21DC6119"/>
    <w:rsid w:val="21DE318A"/>
    <w:rsid w:val="21DE5EB8"/>
    <w:rsid w:val="21E11534"/>
    <w:rsid w:val="21E90BF7"/>
    <w:rsid w:val="21EF5B80"/>
    <w:rsid w:val="21F4496F"/>
    <w:rsid w:val="22032E04"/>
    <w:rsid w:val="220E38AC"/>
    <w:rsid w:val="22131D94"/>
    <w:rsid w:val="22190E6E"/>
    <w:rsid w:val="221A3D42"/>
    <w:rsid w:val="221A3DD4"/>
    <w:rsid w:val="22241179"/>
    <w:rsid w:val="22241E22"/>
    <w:rsid w:val="22261C57"/>
    <w:rsid w:val="223053CE"/>
    <w:rsid w:val="22314554"/>
    <w:rsid w:val="22331F66"/>
    <w:rsid w:val="22441F1D"/>
    <w:rsid w:val="224C56E4"/>
    <w:rsid w:val="224D0523"/>
    <w:rsid w:val="22576990"/>
    <w:rsid w:val="225B73E8"/>
    <w:rsid w:val="226436BB"/>
    <w:rsid w:val="22691C0F"/>
    <w:rsid w:val="2269726E"/>
    <w:rsid w:val="22995516"/>
    <w:rsid w:val="229B3FF9"/>
    <w:rsid w:val="22AC349C"/>
    <w:rsid w:val="22B3207E"/>
    <w:rsid w:val="22B73772"/>
    <w:rsid w:val="22BB3D01"/>
    <w:rsid w:val="22C24914"/>
    <w:rsid w:val="22C34341"/>
    <w:rsid w:val="22CF125C"/>
    <w:rsid w:val="22EC1AEA"/>
    <w:rsid w:val="22F47480"/>
    <w:rsid w:val="22F7367F"/>
    <w:rsid w:val="22FC2BB3"/>
    <w:rsid w:val="23066572"/>
    <w:rsid w:val="2310336E"/>
    <w:rsid w:val="231C6B57"/>
    <w:rsid w:val="23201636"/>
    <w:rsid w:val="23261DDD"/>
    <w:rsid w:val="23263AC5"/>
    <w:rsid w:val="232755E9"/>
    <w:rsid w:val="232803E1"/>
    <w:rsid w:val="23294AEC"/>
    <w:rsid w:val="233C2903"/>
    <w:rsid w:val="23503E27"/>
    <w:rsid w:val="23515DF1"/>
    <w:rsid w:val="23553891"/>
    <w:rsid w:val="23580F2E"/>
    <w:rsid w:val="23674A84"/>
    <w:rsid w:val="23700878"/>
    <w:rsid w:val="23735FE8"/>
    <w:rsid w:val="238A5F5C"/>
    <w:rsid w:val="23922691"/>
    <w:rsid w:val="23952182"/>
    <w:rsid w:val="239739F2"/>
    <w:rsid w:val="23A62E22"/>
    <w:rsid w:val="23A854F6"/>
    <w:rsid w:val="23B31D5F"/>
    <w:rsid w:val="23BA70DD"/>
    <w:rsid w:val="23C705CF"/>
    <w:rsid w:val="23C83BBF"/>
    <w:rsid w:val="23D26466"/>
    <w:rsid w:val="23D51752"/>
    <w:rsid w:val="23D902C0"/>
    <w:rsid w:val="23DE1C48"/>
    <w:rsid w:val="23ED1D8C"/>
    <w:rsid w:val="23F724F4"/>
    <w:rsid w:val="24015A37"/>
    <w:rsid w:val="240210CD"/>
    <w:rsid w:val="24062738"/>
    <w:rsid w:val="240D3AC6"/>
    <w:rsid w:val="24305C8D"/>
    <w:rsid w:val="2432138A"/>
    <w:rsid w:val="245B0CD5"/>
    <w:rsid w:val="2479405E"/>
    <w:rsid w:val="248024EA"/>
    <w:rsid w:val="2481135F"/>
    <w:rsid w:val="24877D1C"/>
    <w:rsid w:val="248975AD"/>
    <w:rsid w:val="249259A1"/>
    <w:rsid w:val="24984F69"/>
    <w:rsid w:val="24A53BFA"/>
    <w:rsid w:val="24AA326D"/>
    <w:rsid w:val="24AC7B2C"/>
    <w:rsid w:val="24B005A2"/>
    <w:rsid w:val="24B21C45"/>
    <w:rsid w:val="24B978C6"/>
    <w:rsid w:val="24BF09F7"/>
    <w:rsid w:val="24C24761"/>
    <w:rsid w:val="24C37D84"/>
    <w:rsid w:val="24C9564F"/>
    <w:rsid w:val="24E26C15"/>
    <w:rsid w:val="24E849DC"/>
    <w:rsid w:val="250476FB"/>
    <w:rsid w:val="250F6D3B"/>
    <w:rsid w:val="251261E4"/>
    <w:rsid w:val="251F61A7"/>
    <w:rsid w:val="25213E48"/>
    <w:rsid w:val="2526226D"/>
    <w:rsid w:val="252D53FE"/>
    <w:rsid w:val="252E1F46"/>
    <w:rsid w:val="25357778"/>
    <w:rsid w:val="253B28B5"/>
    <w:rsid w:val="25441769"/>
    <w:rsid w:val="25474447"/>
    <w:rsid w:val="25494FD2"/>
    <w:rsid w:val="25543463"/>
    <w:rsid w:val="25555909"/>
    <w:rsid w:val="25621B56"/>
    <w:rsid w:val="256911D0"/>
    <w:rsid w:val="25716F0D"/>
    <w:rsid w:val="257543EE"/>
    <w:rsid w:val="257B7155"/>
    <w:rsid w:val="25824893"/>
    <w:rsid w:val="258E229D"/>
    <w:rsid w:val="259866BA"/>
    <w:rsid w:val="25A04CE7"/>
    <w:rsid w:val="25AC730F"/>
    <w:rsid w:val="25BB4235"/>
    <w:rsid w:val="25C277B6"/>
    <w:rsid w:val="25CF21B6"/>
    <w:rsid w:val="25D24BC1"/>
    <w:rsid w:val="25DE4C87"/>
    <w:rsid w:val="25E25F64"/>
    <w:rsid w:val="25E602E6"/>
    <w:rsid w:val="25EC2D81"/>
    <w:rsid w:val="25ED0053"/>
    <w:rsid w:val="25F30A92"/>
    <w:rsid w:val="25F64925"/>
    <w:rsid w:val="25F83B9F"/>
    <w:rsid w:val="2602649D"/>
    <w:rsid w:val="260855B2"/>
    <w:rsid w:val="260A59DD"/>
    <w:rsid w:val="260B3A16"/>
    <w:rsid w:val="26116BBB"/>
    <w:rsid w:val="26121868"/>
    <w:rsid w:val="2617014B"/>
    <w:rsid w:val="26170C2C"/>
    <w:rsid w:val="261902CB"/>
    <w:rsid w:val="261B04D1"/>
    <w:rsid w:val="261B6ABC"/>
    <w:rsid w:val="2635304B"/>
    <w:rsid w:val="263649B3"/>
    <w:rsid w:val="26392447"/>
    <w:rsid w:val="263E088F"/>
    <w:rsid w:val="264E5B47"/>
    <w:rsid w:val="26663540"/>
    <w:rsid w:val="266C3B75"/>
    <w:rsid w:val="2677273A"/>
    <w:rsid w:val="267B395C"/>
    <w:rsid w:val="26812549"/>
    <w:rsid w:val="268F2EB8"/>
    <w:rsid w:val="269313D4"/>
    <w:rsid w:val="2698099F"/>
    <w:rsid w:val="26B446CD"/>
    <w:rsid w:val="26C012C4"/>
    <w:rsid w:val="26C11752"/>
    <w:rsid w:val="26F30D56"/>
    <w:rsid w:val="26F37412"/>
    <w:rsid w:val="26F77BBD"/>
    <w:rsid w:val="2708609A"/>
    <w:rsid w:val="27143053"/>
    <w:rsid w:val="271D3DCF"/>
    <w:rsid w:val="272514F0"/>
    <w:rsid w:val="27326734"/>
    <w:rsid w:val="273A5DF5"/>
    <w:rsid w:val="274243CE"/>
    <w:rsid w:val="274F1A8E"/>
    <w:rsid w:val="2753422E"/>
    <w:rsid w:val="27704AA1"/>
    <w:rsid w:val="277057A2"/>
    <w:rsid w:val="27862D48"/>
    <w:rsid w:val="279409CC"/>
    <w:rsid w:val="279420CB"/>
    <w:rsid w:val="27947C40"/>
    <w:rsid w:val="27AA33F7"/>
    <w:rsid w:val="27AC35F6"/>
    <w:rsid w:val="27CA2623"/>
    <w:rsid w:val="27CC19B5"/>
    <w:rsid w:val="27DE4570"/>
    <w:rsid w:val="27E86D24"/>
    <w:rsid w:val="280D4F67"/>
    <w:rsid w:val="280F7216"/>
    <w:rsid w:val="281556A3"/>
    <w:rsid w:val="28175083"/>
    <w:rsid w:val="281D62A2"/>
    <w:rsid w:val="28222077"/>
    <w:rsid w:val="282706B2"/>
    <w:rsid w:val="282826BE"/>
    <w:rsid w:val="282D51B1"/>
    <w:rsid w:val="28342CAB"/>
    <w:rsid w:val="283830DC"/>
    <w:rsid w:val="283F07FB"/>
    <w:rsid w:val="284D4DD9"/>
    <w:rsid w:val="285443B9"/>
    <w:rsid w:val="285F4EAE"/>
    <w:rsid w:val="28642123"/>
    <w:rsid w:val="287812CD"/>
    <w:rsid w:val="28814B50"/>
    <w:rsid w:val="28846321"/>
    <w:rsid w:val="288640F1"/>
    <w:rsid w:val="288B40B1"/>
    <w:rsid w:val="28904CC6"/>
    <w:rsid w:val="289135B6"/>
    <w:rsid w:val="28940C5A"/>
    <w:rsid w:val="28A16ED3"/>
    <w:rsid w:val="28A95D87"/>
    <w:rsid w:val="28B704A4"/>
    <w:rsid w:val="28C02EC2"/>
    <w:rsid w:val="28C826B1"/>
    <w:rsid w:val="28DE153F"/>
    <w:rsid w:val="28E009CD"/>
    <w:rsid w:val="28E46157"/>
    <w:rsid w:val="28ED24D4"/>
    <w:rsid w:val="28ED4736"/>
    <w:rsid w:val="29015BC3"/>
    <w:rsid w:val="290E7196"/>
    <w:rsid w:val="291471FF"/>
    <w:rsid w:val="29155EC0"/>
    <w:rsid w:val="291833B1"/>
    <w:rsid w:val="29191F31"/>
    <w:rsid w:val="291D0C4F"/>
    <w:rsid w:val="29206EB8"/>
    <w:rsid w:val="29244385"/>
    <w:rsid w:val="292A0185"/>
    <w:rsid w:val="292A36CE"/>
    <w:rsid w:val="293A6401"/>
    <w:rsid w:val="293D4E4D"/>
    <w:rsid w:val="294A543B"/>
    <w:rsid w:val="29580844"/>
    <w:rsid w:val="29595666"/>
    <w:rsid w:val="29650483"/>
    <w:rsid w:val="29670BA5"/>
    <w:rsid w:val="296B2593"/>
    <w:rsid w:val="296D367F"/>
    <w:rsid w:val="29874881"/>
    <w:rsid w:val="298C3F25"/>
    <w:rsid w:val="29966FCF"/>
    <w:rsid w:val="29B517FD"/>
    <w:rsid w:val="29BE37C1"/>
    <w:rsid w:val="29C02D41"/>
    <w:rsid w:val="29CE019B"/>
    <w:rsid w:val="29CF0DE9"/>
    <w:rsid w:val="29D0699A"/>
    <w:rsid w:val="29DE2928"/>
    <w:rsid w:val="29E325E0"/>
    <w:rsid w:val="29E4351B"/>
    <w:rsid w:val="29E53986"/>
    <w:rsid w:val="29E94589"/>
    <w:rsid w:val="29F334D4"/>
    <w:rsid w:val="29FC1E31"/>
    <w:rsid w:val="2A0E2346"/>
    <w:rsid w:val="2A1619A1"/>
    <w:rsid w:val="2A3224D8"/>
    <w:rsid w:val="2A33345F"/>
    <w:rsid w:val="2A37408C"/>
    <w:rsid w:val="2A452503"/>
    <w:rsid w:val="2A4E52D0"/>
    <w:rsid w:val="2A52423E"/>
    <w:rsid w:val="2A55059E"/>
    <w:rsid w:val="2A581813"/>
    <w:rsid w:val="2A5C7555"/>
    <w:rsid w:val="2A641325"/>
    <w:rsid w:val="2A6C0975"/>
    <w:rsid w:val="2A743366"/>
    <w:rsid w:val="2A762F7B"/>
    <w:rsid w:val="2A7A5C2D"/>
    <w:rsid w:val="2A81555D"/>
    <w:rsid w:val="2A823C72"/>
    <w:rsid w:val="2A9362CE"/>
    <w:rsid w:val="2A9919A7"/>
    <w:rsid w:val="2A9C0162"/>
    <w:rsid w:val="2AB52686"/>
    <w:rsid w:val="2AC93B5E"/>
    <w:rsid w:val="2AD134EB"/>
    <w:rsid w:val="2AD37D79"/>
    <w:rsid w:val="2AD56FF7"/>
    <w:rsid w:val="2AD62479"/>
    <w:rsid w:val="2AD92954"/>
    <w:rsid w:val="2AEE4D35"/>
    <w:rsid w:val="2AFA0B1C"/>
    <w:rsid w:val="2B0103D6"/>
    <w:rsid w:val="2B0A0D5F"/>
    <w:rsid w:val="2B0C0F7B"/>
    <w:rsid w:val="2B204A27"/>
    <w:rsid w:val="2B2524EE"/>
    <w:rsid w:val="2B4A7FE2"/>
    <w:rsid w:val="2B5A62A8"/>
    <w:rsid w:val="2B5C1D20"/>
    <w:rsid w:val="2B6F240F"/>
    <w:rsid w:val="2B7128C3"/>
    <w:rsid w:val="2B74502C"/>
    <w:rsid w:val="2B762899"/>
    <w:rsid w:val="2B7B7478"/>
    <w:rsid w:val="2B874618"/>
    <w:rsid w:val="2B9B68F9"/>
    <w:rsid w:val="2BA56CDA"/>
    <w:rsid w:val="2BA936A8"/>
    <w:rsid w:val="2BAD7335"/>
    <w:rsid w:val="2BAF6B8A"/>
    <w:rsid w:val="2BC1277E"/>
    <w:rsid w:val="2BC26E2B"/>
    <w:rsid w:val="2BC5737C"/>
    <w:rsid w:val="2BD15027"/>
    <w:rsid w:val="2BDE3F9A"/>
    <w:rsid w:val="2BE2146F"/>
    <w:rsid w:val="2BEB02BC"/>
    <w:rsid w:val="2BF14700"/>
    <w:rsid w:val="2BFF4565"/>
    <w:rsid w:val="2C0003B4"/>
    <w:rsid w:val="2C080D24"/>
    <w:rsid w:val="2C0E7F04"/>
    <w:rsid w:val="2C106849"/>
    <w:rsid w:val="2C1354E0"/>
    <w:rsid w:val="2C165D58"/>
    <w:rsid w:val="2C2911D7"/>
    <w:rsid w:val="2C315A5A"/>
    <w:rsid w:val="2C367CBA"/>
    <w:rsid w:val="2C3B13EC"/>
    <w:rsid w:val="2C3E04B2"/>
    <w:rsid w:val="2C444A69"/>
    <w:rsid w:val="2C46226B"/>
    <w:rsid w:val="2C464019"/>
    <w:rsid w:val="2C4B1C25"/>
    <w:rsid w:val="2C4E2ECE"/>
    <w:rsid w:val="2C602C01"/>
    <w:rsid w:val="2C61432D"/>
    <w:rsid w:val="2C6C5774"/>
    <w:rsid w:val="2C6D5A4A"/>
    <w:rsid w:val="2C6E6CBB"/>
    <w:rsid w:val="2C764671"/>
    <w:rsid w:val="2C7A48C9"/>
    <w:rsid w:val="2C9233B6"/>
    <w:rsid w:val="2C934D84"/>
    <w:rsid w:val="2C9649A2"/>
    <w:rsid w:val="2C97396A"/>
    <w:rsid w:val="2C9C067B"/>
    <w:rsid w:val="2CA32987"/>
    <w:rsid w:val="2CA80EF8"/>
    <w:rsid w:val="2CC01F2B"/>
    <w:rsid w:val="2CC63CD8"/>
    <w:rsid w:val="2CC872DF"/>
    <w:rsid w:val="2CD21D51"/>
    <w:rsid w:val="2CDB7071"/>
    <w:rsid w:val="2CDC665A"/>
    <w:rsid w:val="2CE72AB2"/>
    <w:rsid w:val="2CF14AAA"/>
    <w:rsid w:val="2CF33223"/>
    <w:rsid w:val="2CFD7DCF"/>
    <w:rsid w:val="2CFF241A"/>
    <w:rsid w:val="2D00096F"/>
    <w:rsid w:val="2D0A2003"/>
    <w:rsid w:val="2D11485C"/>
    <w:rsid w:val="2D172DB1"/>
    <w:rsid w:val="2D1A3D65"/>
    <w:rsid w:val="2D22596E"/>
    <w:rsid w:val="2D267460"/>
    <w:rsid w:val="2D3B78F6"/>
    <w:rsid w:val="2D3E35E5"/>
    <w:rsid w:val="2D4349FC"/>
    <w:rsid w:val="2D4A7B39"/>
    <w:rsid w:val="2D5467A6"/>
    <w:rsid w:val="2D622CF6"/>
    <w:rsid w:val="2D684D9A"/>
    <w:rsid w:val="2D746EF7"/>
    <w:rsid w:val="2D773D42"/>
    <w:rsid w:val="2D79777D"/>
    <w:rsid w:val="2D7F5397"/>
    <w:rsid w:val="2D876A24"/>
    <w:rsid w:val="2D99286E"/>
    <w:rsid w:val="2D9E56F5"/>
    <w:rsid w:val="2DA2171B"/>
    <w:rsid w:val="2DAB0EC7"/>
    <w:rsid w:val="2DAF2D35"/>
    <w:rsid w:val="2DB31B82"/>
    <w:rsid w:val="2DB84C15"/>
    <w:rsid w:val="2DD218DC"/>
    <w:rsid w:val="2DD5345C"/>
    <w:rsid w:val="2DDA12DD"/>
    <w:rsid w:val="2DDA6B1D"/>
    <w:rsid w:val="2DDD275B"/>
    <w:rsid w:val="2DEA4514"/>
    <w:rsid w:val="2DF108E3"/>
    <w:rsid w:val="2E07092A"/>
    <w:rsid w:val="2E076890"/>
    <w:rsid w:val="2E0940C9"/>
    <w:rsid w:val="2E147429"/>
    <w:rsid w:val="2E1E2E94"/>
    <w:rsid w:val="2E1E4AC5"/>
    <w:rsid w:val="2E334A71"/>
    <w:rsid w:val="2E424CB4"/>
    <w:rsid w:val="2E4C4F25"/>
    <w:rsid w:val="2E4D51B5"/>
    <w:rsid w:val="2E4F0AB3"/>
    <w:rsid w:val="2E617578"/>
    <w:rsid w:val="2E624BF9"/>
    <w:rsid w:val="2E6266D9"/>
    <w:rsid w:val="2E667F96"/>
    <w:rsid w:val="2E6B2713"/>
    <w:rsid w:val="2E71479D"/>
    <w:rsid w:val="2E7713DD"/>
    <w:rsid w:val="2E7E7554"/>
    <w:rsid w:val="2E810A57"/>
    <w:rsid w:val="2E8226AB"/>
    <w:rsid w:val="2E834A79"/>
    <w:rsid w:val="2E956A7A"/>
    <w:rsid w:val="2E97166C"/>
    <w:rsid w:val="2EAB014D"/>
    <w:rsid w:val="2EAC2152"/>
    <w:rsid w:val="2EAE29CA"/>
    <w:rsid w:val="2EB77450"/>
    <w:rsid w:val="2ECA6E12"/>
    <w:rsid w:val="2EDA32F0"/>
    <w:rsid w:val="2EDE6568"/>
    <w:rsid w:val="2EE205A6"/>
    <w:rsid w:val="2EE5628B"/>
    <w:rsid w:val="2EE8585B"/>
    <w:rsid w:val="2EEB0EA8"/>
    <w:rsid w:val="2EF07CC5"/>
    <w:rsid w:val="2EF57B70"/>
    <w:rsid w:val="2EF82832"/>
    <w:rsid w:val="2F0D7070"/>
    <w:rsid w:val="2F0F103A"/>
    <w:rsid w:val="2F121DE3"/>
    <w:rsid w:val="2F18251B"/>
    <w:rsid w:val="2F1B0556"/>
    <w:rsid w:val="2F322268"/>
    <w:rsid w:val="2F3623CE"/>
    <w:rsid w:val="2F397E65"/>
    <w:rsid w:val="2F3A4338"/>
    <w:rsid w:val="2F3B28B9"/>
    <w:rsid w:val="2F3E547B"/>
    <w:rsid w:val="2F4231B5"/>
    <w:rsid w:val="2F57227D"/>
    <w:rsid w:val="2F5877D3"/>
    <w:rsid w:val="2F59444C"/>
    <w:rsid w:val="2F5E5B1E"/>
    <w:rsid w:val="2F6173BC"/>
    <w:rsid w:val="2F672776"/>
    <w:rsid w:val="2F672D0C"/>
    <w:rsid w:val="2F761215"/>
    <w:rsid w:val="2F7F4ABD"/>
    <w:rsid w:val="2F81180C"/>
    <w:rsid w:val="2F8D7E4B"/>
    <w:rsid w:val="2FB86ACA"/>
    <w:rsid w:val="2FCC4306"/>
    <w:rsid w:val="2FD065E6"/>
    <w:rsid w:val="2FD16DC5"/>
    <w:rsid w:val="2FD45BA7"/>
    <w:rsid w:val="2FD96870"/>
    <w:rsid w:val="2FDD5A21"/>
    <w:rsid w:val="2FF445EE"/>
    <w:rsid w:val="2FFB336C"/>
    <w:rsid w:val="30017B36"/>
    <w:rsid w:val="30025994"/>
    <w:rsid w:val="30034980"/>
    <w:rsid w:val="300426F1"/>
    <w:rsid w:val="30092EA2"/>
    <w:rsid w:val="30104E4D"/>
    <w:rsid w:val="304002C7"/>
    <w:rsid w:val="304016E7"/>
    <w:rsid w:val="30473E35"/>
    <w:rsid w:val="30502ECC"/>
    <w:rsid w:val="30580BC9"/>
    <w:rsid w:val="30647164"/>
    <w:rsid w:val="306535FD"/>
    <w:rsid w:val="30655C24"/>
    <w:rsid w:val="30676ADC"/>
    <w:rsid w:val="306C3891"/>
    <w:rsid w:val="306C7FDB"/>
    <w:rsid w:val="306F23BC"/>
    <w:rsid w:val="307A328B"/>
    <w:rsid w:val="307B6093"/>
    <w:rsid w:val="30805E29"/>
    <w:rsid w:val="30870E8A"/>
    <w:rsid w:val="308725A7"/>
    <w:rsid w:val="3087275D"/>
    <w:rsid w:val="30891471"/>
    <w:rsid w:val="30897A5F"/>
    <w:rsid w:val="30907F59"/>
    <w:rsid w:val="30933D65"/>
    <w:rsid w:val="309358A3"/>
    <w:rsid w:val="30947B21"/>
    <w:rsid w:val="30B40D15"/>
    <w:rsid w:val="30B755D1"/>
    <w:rsid w:val="30B95DB5"/>
    <w:rsid w:val="30C30C93"/>
    <w:rsid w:val="30C9346B"/>
    <w:rsid w:val="30CB21CD"/>
    <w:rsid w:val="30CE6CD3"/>
    <w:rsid w:val="30E60C1A"/>
    <w:rsid w:val="30E80EF8"/>
    <w:rsid w:val="30EB77A1"/>
    <w:rsid w:val="30F860E0"/>
    <w:rsid w:val="30F93D50"/>
    <w:rsid w:val="310802C0"/>
    <w:rsid w:val="311A5A74"/>
    <w:rsid w:val="311E2ED7"/>
    <w:rsid w:val="31215055"/>
    <w:rsid w:val="31255814"/>
    <w:rsid w:val="312D54CE"/>
    <w:rsid w:val="31306B17"/>
    <w:rsid w:val="314350F7"/>
    <w:rsid w:val="31460FA1"/>
    <w:rsid w:val="31502FBE"/>
    <w:rsid w:val="31504356"/>
    <w:rsid w:val="315619EE"/>
    <w:rsid w:val="315C1E36"/>
    <w:rsid w:val="315C449C"/>
    <w:rsid w:val="31600067"/>
    <w:rsid w:val="31690D45"/>
    <w:rsid w:val="316F3947"/>
    <w:rsid w:val="316F5C83"/>
    <w:rsid w:val="316F6600"/>
    <w:rsid w:val="3181294D"/>
    <w:rsid w:val="319D04B7"/>
    <w:rsid w:val="319D33E7"/>
    <w:rsid w:val="31A00FAE"/>
    <w:rsid w:val="31A33CBC"/>
    <w:rsid w:val="31A87524"/>
    <w:rsid w:val="31A97CD4"/>
    <w:rsid w:val="31AA329C"/>
    <w:rsid w:val="31B06076"/>
    <w:rsid w:val="31B25CAD"/>
    <w:rsid w:val="31B82709"/>
    <w:rsid w:val="31B92AED"/>
    <w:rsid w:val="31C66C85"/>
    <w:rsid w:val="31D05482"/>
    <w:rsid w:val="31D917B3"/>
    <w:rsid w:val="31E139E1"/>
    <w:rsid w:val="31EA5447"/>
    <w:rsid w:val="31F321FE"/>
    <w:rsid w:val="31F56E59"/>
    <w:rsid w:val="32001D00"/>
    <w:rsid w:val="320102B5"/>
    <w:rsid w:val="3202443C"/>
    <w:rsid w:val="32037661"/>
    <w:rsid w:val="32084B53"/>
    <w:rsid w:val="320F730F"/>
    <w:rsid w:val="321D46FF"/>
    <w:rsid w:val="32231F6E"/>
    <w:rsid w:val="3226690F"/>
    <w:rsid w:val="3227268C"/>
    <w:rsid w:val="322F7182"/>
    <w:rsid w:val="323B0AA0"/>
    <w:rsid w:val="32400B34"/>
    <w:rsid w:val="3250369B"/>
    <w:rsid w:val="32627887"/>
    <w:rsid w:val="326C27D8"/>
    <w:rsid w:val="326E7E26"/>
    <w:rsid w:val="32701DFC"/>
    <w:rsid w:val="327B6E8F"/>
    <w:rsid w:val="32831F1F"/>
    <w:rsid w:val="329E6876"/>
    <w:rsid w:val="329F734D"/>
    <w:rsid w:val="32A042D2"/>
    <w:rsid w:val="32A277E4"/>
    <w:rsid w:val="32AC4DF2"/>
    <w:rsid w:val="32B06690"/>
    <w:rsid w:val="32B63A55"/>
    <w:rsid w:val="32BA306B"/>
    <w:rsid w:val="32BC11EF"/>
    <w:rsid w:val="32BC4C9D"/>
    <w:rsid w:val="32C3438B"/>
    <w:rsid w:val="32CC008D"/>
    <w:rsid w:val="32D44F5D"/>
    <w:rsid w:val="32F010B6"/>
    <w:rsid w:val="32F12805"/>
    <w:rsid w:val="331A7FAD"/>
    <w:rsid w:val="33270098"/>
    <w:rsid w:val="332E1CAB"/>
    <w:rsid w:val="333015F2"/>
    <w:rsid w:val="33340462"/>
    <w:rsid w:val="33425C4C"/>
    <w:rsid w:val="334B6320"/>
    <w:rsid w:val="334B7A74"/>
    <w:rsid w:val="33554D42"/>
    <w:rsid w:val="3356516A"/>
    <w:rsid w:val="33582884"/>
    <w:rsid w:val="335A5793"/>
    <w:rsid w:val="33697713"/>
    <w:rsid w:val="336D096D"/>
    <w:rsid w:val="33746ECD"/>
    <w:rsid w:val="337D0287"/>
    <w:rsid w:val="337D4D04"/>
    <w:rsid w:val="338251CF"/>
    <w:rsid w:val="338B4C95"/>
    <w:rsid w:val="33993AA7"/>
    <w:rsid w:val="33A20484"/>
    <w:rsid w:val="33B15B92"/>
    <w:rsid w:val="33B20E12"/>
    <w:rsid w:val="33B51E35"/>
    <w:rsid w:val="33CB12A8"/>
    <w:rsid w:val="33D5131F"/>
    <w:rsid w:val="33D934D4"/>
    <w:rsid w:val="33DE6F61"/>
    <w:rsid w:val="33E83C08"/>
    <w:rsid w:val="33FB1B8D"/>
    <w:rsid w:val="33FE2F6A"/>
    <w:rsid w:val="3400304F"/>
    <w:rsid w:val="34052A0C"/>
    <w:rsid w:val="340E07E5"/>
    <w:rsid w:val="34152F1C"/>
    <w:rsid w:val="34173E29"/>
    <w:rsid w:val="34186248"/>
    <w:rsid w:val="342002E1"/>
    <w:rsid w:val="34235BF7"/>
    <w:rsid w:val="342D5018"/>
    <w:rsid w:val="343318A3"/>
    <w:rsid w:val="344277BC"/>
    <w:rsid w:val="344B4545"/>
    <w:rsid w:val="344D6161"/>
    <w:rsid w:val="3454481F"/>
    <w:rsid w:val="34572997"/>
    <w:rsid w:val="34585026"/>
    <w:rsid w:val="34592D57"/>
    <w:rsid w:val="345C562A"/>
    <w:rsid w:val="345E3ECA"/>
    <w:rsid w:val="34694A1D"/>
    <w:rsid w:val="34753860"/>
    <w:rsid w:val="347831DE"/>
    <w:rsid w:val="3479517A"/>
    <w:rsid w:val="347C131E"/>
    <w:rsid w:val="347F3686"/>
    <w:rsid w:val="34802092"/>
    <w:rsid w:val="34806536"/>
    <w:rsid w:val="34860910"/>
    <w:rsid w:val="348A2F11"/>
    <w:rsid w:val="34991662"/>
    <w:rsid w:val="34A93442"/>
    <w:rsid w:val="34AA046C"/>
    <w:rsid w:val="34BB756E"/>
    <w:rsid w:val="34E0563C"/>
    <w:rsid w:val="34EB6554"/>
    <w:rsid w:val="35001BFA"/>
    <w:rsid w:val="35092088"/>
    <w:rsid w:val="350D34A2"/>
    <w:rsid w:val="3518676F"/>
    <w:rsid w:val="351C3FB8"/>
    <w:rsid w:val="35386E11"/>
    <w:rsid w:val="353E4E8E"/>
    <w:rsid w:val="35480CAE"/>
    <w:rsid w:val="354E655F"/>
    <w:rsid w:val="355157DD"/>
    <w:rsid w:val="355919E3"/>
    <w:rsid w:val="356B2D42"/>
    <w:rsid w:val="3577656E"/>
    <w:rsid w:val="358838F4"/>
    <w:rsid w:val="358856A2"/>
    <w:rsid w:val="358A7BE5"/>
    <w:rsid w:val="358A7CC6"/>
    <w:rsid w:val="358C5FA8"/>
    <w:rsid w:val="359978AF"/>
    <w:rsid w:val="35A172CA"/>
    <w:rsid w:val="35A52744"/>
    <w:rsid w:val="35A908E1"/>
    <w:rsid w:val="35B02D42"/>
    <w:rsid w:val="35C15DF1"/>
    <w:rsid w:val="35C42453"/>
    <w:rsid w:val="35C6312A"/>
    <w:rsid w:val="35CD07EC"/>
    <w:rsid w:val="35CD5577"/>
    <w:rsid w:val="35D404CA"/>
    <w:rsid w:val="35D63A1A"/>
    <w:rsid w:val="35DF3B9A"/>
    <w:rsid w:val="35E30B2B"/>
    <w:rsid w:val="35E76CF9"/>
    <w:rsid w:val="35EA0C4D"/>
    <w:rsid w:val="35ED45A3"/>
    <w:rsid w:val="35F0352E"/>
    <w:rsid w:val="36074A7F"/>
    <w:rsid w:val="361C403D"/>
    <w:rsid w:val="3624187A"/>
    <w:rsid w:val="36280C33"/>
    <w:rsid w:val="36296084"/>
    <w:rsid w:val="362A04E0"/>
    <w:rsid w:val="362C6A62"/>
    <w:rsid w:val="36315D3A"/>
    <w:rsid w:val="363C16DB"/>
    <w:rsid w:val="36462E68"/>
    <w:rsid w:val="36541A28"/>
    <w:rsid w:val="365B3E4B"/>
    <w:rsid w:val="365D08DD"/>
    <w:rsid w:val="367125DA"/>
    <w:rsid w:val="367A450C"/>
    <w:rsid w:val="367A6D66"/>
    <w:rsid w:val="367E74E1"/>
    <w:rsid w:val="368057C9"/>
    <w:rsid w:val="368946CB"/>
    <w:rsid w:val="368B7564"/>
    <w:rsid w:val="36923549"/>
    <w:rsid w:val="369A73DC"/>
    <w:rsid w:val="36A24EDC"/>
    <w:rsid w:val="36A8235C"/>
    <w:rsid w:val="36B629EE"/>
    <w:rsid w:val="36B75FBF"/>
    <w:rsid w:val="36BB5604"/>
    <w:rsid w:val="36BD0C45"/>
    <w:rsid w:val="36BD137C"/>
    <w:rsid w:val="36C42D91"/>
    <w:rsid w:val="36C962B6"/>
    <w:rsid w:val="36C96F41"/>
    <w:rsid w:val="36D935FC"/>
    <w:rsid w:val="36DB5CA6"/>
    <w:rsid w:val="36EA5EEE"/>
    <w:rsid w:val="36F40BE6"/>
    <w:rsid w:val="37030C64"/>
    <w:rsid w:val="37040B1B"/>
    <w:rsid w:val="37040D59"/>
    <w:rsid w:val="370451FC"/>
    <w:rsid w:val="37184E13"/>
    <w:rsid w:val="371B0F79"/>
    <w:rsid w:val="372A42BA"/>
    <w:rsid w:val="373B667F"/>
    <w:rsid w:val="373E3439"/>
    <w:rsid w:val="374E074C"/>
    <w:rsid w:val="37527DAF"/>
    <w:rsid w:val="37637A04"/>
    <w:rsid w:val="3773603C"/>
    <w:rsid w:val="377834F5"/>
    <w:rsid w:val="378C062D"/>
    <w:rsid w:val="378C38F5"/>
    <w:rsid w:val="37982761"/>
    <w:rsid w:val="379A6E32"/>
    <w:rsid w:val="379E4330"/>
    <w:rsid w:val="37A10C9D"/>
    <w:rsid w:val="37A72A7D"/>
    <w:rsid w:val="37B71C22"/>
    <w:rsid w:val="37BD53AB"/>
    <w:rsid w:val="37BE4E98"/>
    <w:rsid w:val="37C43DED"/>
    <w:rsid w:val="37C87FD8"/>
    <w:rsid w:val="37CC4E57"/>
    <w:rsid w:val="37D90437"/>
    <w:rsid w:val="37D95E72"/>
    <w:rsid w:val="37E00298"/>
    <w:rsid w:val="37E4021A"/>
    <w:rsid w:val="37E82428"/>
    <w:rsid w:val="37EB6260"/>
    <w:rsid w:val="37EE7000"/>
    <w:rsid w:val="37F012DD"/>
    <w:rsid w:val="37F47AD3"/>
    <w:rsid w:val="37F517B8"/>
    <w:rsid w:val="37F84D6D"/>
    <w:rsid w:val="37FF59C4"/>
    <w:rsid w:val="38074FA9"/>
    <w:rsid w:val="38144DA2"/>
    <w:rsid w:val="38174ABC"/>
    <w:rsid w:val="381B1D4A"/>
    <w:rsid w:val="38392C84"/>
    <w:rsid w:val="384F4255"/>
    <w:rsid w:val="3851621F"/>
    <w:rsid w:val="38615D63"/>
    <w:rsid w:val="386A7CCC"/>
    <w:rsid w:val="388C0E59"/>
    <w:rsid w:val="38967818"/>
    <w:rsid w:val="38AA25F3"/>
    <w:rsid w:val="38B302F9"/>
    <w:rsid w:val="38BC3F52"/>
    <w:rsid w:val="38C058EE"/>
    <w:rsid w:val="38C6570A"/>
    <w:rsid w:val="38C74FF5"/>
    <w:rsid w:val="38D155B2"/>
    <w:rsid w:val="38D66725"/>
    <w:rsid w:val="38E65928"/>
    <w:rsid w:val="38EE08E2"/>
    <w:rsid w:val="38EE7F12"/>
    <w:rsid w:val="38F06C4F"/>
    <w:rsid w:val="38F12CD3"/>
    <w:rsid w:val="38F17DEA"/>
    <w:rsid w:val="38F60BFD"/>
    <w:rsid w:val="38F94775"/>
    <w:rsid w:val="39096EC3"/>
    <w:rsid w:val="39137926"/>
    <w:rsid w:val="3914724D"/>
    <w:rsid w:val="391A2E3D"/>
    <w:rsid w:val="391C0A56"/>
    <w:rsid w:val="391C2D8E"/>
    <w:rsid w:val="391F00CC"/>
    <w:rsid w:val="39215BDF"/>
    <w:rsid w:val="39290F4A"/>
    <w:rsid w:val="392971ED"/>
    <w:rsid w:val="392C27E9"/>
    <w:rsid w:val="392E3856"/>
    <w:rsid w:val="39302928"/>
    <w:rsid w:val="39325651"/>
    <w:rsid w:val="393E073A"/>
    <w:rsid w:val="39457CAC"/>
    <w:rsid w:val="39475874"/>
    <w:rsid w:val="39564D18"/>
    <w:rsid w:val="395A1104"/>
    <w:rsid w:val="39631C54"/>
    <w:rsid w:val="396E4BAF"/>
    <w:rsid w:val="39766134"/>
    <w:rsid w:val="397D0F25"/>
    <w:rsid w:val="39874483"/>
    <w:rsid w:val="39893DBB"/>
    <w:rsid w:val="398A6389"/>
    <w:rsid w:val="398B5119"/>
    <w:rsid w:val="3990387E"/>
    <w:rsid w:val="39914D8E"/>
    <w:rsid w:val="3992166C"/>
    <w:rsid w:val="39923C01"/>
    <w:rsid w:val="399652AF"/>
    <w:rsid w:val="39A84565"/>
    <w:rsid w:val="39B3430B"/>
    <w:rsid w:val="39BE1BE5"/>
    <w:rsid w:val="39BE3638"/>
    <w:rsid w:val="39C46996"/>
    <w:rsid w:val="39C4762B"/>
    <w:rsid w:val="39D3481C"/>
    <w:rsid w:val="39D54C2E"/>
    <w:rsid w:val="39D57A2D"/>
    <w:rsid w:val="39DE3C18"/>
    <w:rsid w:val="39F32DDC"/>
    <w:rsid w:val="39F536A6"/>
    <w:rsid w:val="39FA4F8C"/>
    <w:rsid w:val="3A013AE2"/>
    <w:rsid w:val="3A02332D"/>
    <w:rsid w:val="3A10219E"/>
    <w:rsid w:val="3A104AA6"/>
    <w:rsid w:val="3A1669B1"/>
    <w:rsid w:val="3A1E64BE"/>
    <w:rsid w:val="3A35045F"/>
    <w:rsid w:val="3A392BDB"/>
    <w:rsid w:val="3A436745"/>
    <w:rsid w:val="3A443B62"/>
    <w:rsid w:val="3A45246D"/>
    <w:rsid w:val="3A54022F"/>
    <w:rsid w:val="3A5F1324"/>
    <w:rsid w:val="3A6429E9"/>
    <w:rsid w:val="3A701774"/>
    <w:rsid w:val="3A720424"/>
    <w:rsid w:val="3A7B3A28"/>
    <w:rsid w:val="3A8640ED"/>
    <w:rsid w:val="3A870DA3"/>
    <w:rsid w:val="3A872856"/>
    <w:rsid w:val="3A8E7CB4"/>
    <w:rsid w:val="3A9E3450"/>
    <w:rsid w:val="3A9F1AE0"/>
    <w:rsid w:val="3AA978EF"/>
    <w:rsid w:val="3AB27FC1"/>
    <w:rsid w:val="3AC0541D"/>
    <w:rsid w:val="3AD06FA0"/>
    <w:rsid w:val="3AD145D1"/>
    <w:rsid w:val="3AD60676"/>
    <w:rsid w:val="3AD72FA4"/>
    <w:rsid w:val="3AD73DA3"/>
    <w:rsid w:val="3ADD52D8"/>
    <w:rsid w:val="3AE21092"/>
    <w:rsid w:val="3AE761B6"/>
    <w:rsid w:val="3AEA02C5"/>
    <w:rsid w:val="3AF61300"/>
    <w:rsid w:val="3AF64FD7"/>
    <w:rsid w:val="3B0C3552"/>
    <w:rsid w:val="3B145EB9"/>
    <w:rsid w:val="3B16331A"/>
    <w:rsid w:val="3B2613FE"/>
    <w:rsid w:val="3B3763D1"/>
    <w:rsid w:val="3B3C3EF3"/>
    <w:rsid w:val="3B3F0447"/>
    <w:rsid w:val="3B4E253B"/>
    <w:rsid w:val="3B6338CD"/>
    <w:rsid w:val="3B7C08F0"/>
    <w:rsid w:val="3B8248A0"/>
    <w:rsid w:val="3B881B73"/>
    <w:rsid w:val="3B936B4F"/>
    <w:rsid w:val="3B9558F2"/>
    <w:rsid w:val="3B9D352A"/>
    <w:rsid w:val="3BAA095B"/>
    <w:rsid w:val="3BB34468"/>
    <w:rsid w:val="3BB44539"/>
    <w:rsid w:val="3BB833BF"/>
    <w:rsid w:val="3BBF5B96"/>
    <w:rsid w:val="3BD170F0"/>
    <w:rsid w:val="3BD442B2"/>
    <w:rsid w:val="3BDF3B42"/>
    <w:rsid w:val="3BE5269C"/>
    <w:rsid w:val="3BEB01DC"/>
    <w:rsid w:val="3BED1010"/>
    <w:rsid w:val="3BF258B8"/>
    <w:rsid w:val="3BF26F51"/>
    <w:rsid w:val="3C060031"/>
    <w:rsid w:val="3C265C06"/>
    <w:rsid w:val="3C272004"/>
    <w:rsid w:val="3C2854E9"/>
    <w:rsid w:val="3C2B322B"/>
    <w:rsid w:val="3C2D66EC"/>
    <w:rsid w:val="3C2F6E1E"/>
    <w:rsid w:val="3C31009A"/>
    <w:rsid w:val="3C3B276F"/>
    <w:rsid w:val="3C4F64BA"/>
    <w:rsid w:val="3C5938F5"/>
    <w:rsid w:val="3C7166BC"/>
    <w:rsid w:val="3C8C66A3"/>
    <w:rsid w:val="3C9506EC"/>
    <w:rsid w:val="3C9568F7"/>
    <w:rsid w:val="3C9B51E5"/>
    <w:rsid w:val="3CA17809"/>
    <w:rsid w:val="3CA7601D"/>
    <w:rsid w:val="3CAF79B9"/>
    <w:rsid w:val="3CB14F31"/>
    <w:rsid w:val="3CB21257"/>
    <w:rsid w:val="3CBB45AF"/>
    <w:rsid w:val="3CCA65A0"/>
    <w:rsid w:val="3CD016DD"/>
    <w:rsid w:val="3CDA245A"/>
    <w:rsid w:val="3CDB1B29"/>
    <w:rsid w:val="3CDE3DFA"/>
    <w:rsid w:val="3CDF6F42"/>
    <w:rsid w:val="3CE039FF"/>
    <w:rsid w:val="3CE15FA5"/>
    <w:rsid w:val="3CE54EBA"/>
    <w:rsid w:val="3CEE644C"/>
    <w:rsid w:val="3CFC719C"/>
    <w:rsid w:val="3D0B55FE"/>
    <w:rsid w:val="3D152858"/>
    <w:rsid w:val="3D1D72CE"/>
    <w:rsid w:val="3D1E06B7"/>
    <w:rsid w:val="3D2130B2"/>
    <w:rsid w:val="3D24055D"/>
    <w:rsid w:val="3D266485"/>
    <w:rsid w:val="3D2A5291"/>
    <w:rsid w:val="3D322801"/>
    <w:rsid w:val="3D3A18B6"/>
    <w:rsid w:val="3D495A76"/>
    <w:rsid w:val="3D4F63CE"/>
    <w:rsid w:val="3D561E10"/>
    <w:rsid w:val="3D605157"/>
    <w:rsid w:val="3D665664"/>
    <w:rsid w:val="3D667BC5"/>
    <w:rsid w:val="3D7152B5"/>
    <w:rsid w:val="3D765CE8"/>
    <w:rsid w:val="3D77319E"/>
    <w:rsid w:val="3D826068"/>
    <w:rsid w:val="3D9707B2"/>
    <w:rsid w:val="3DA71E6E"/>
    <w:rsid w:val="3DAF10E5"/>
    <w:rsid w:val="3DB15EF0"/>
    <w:rsid w:val="3DB548AA"/>
    <w:rsid w:val="3DB9059F"/>
    <w:rsid w:val="3DC203E6"/>
    <w:rsid w:val="3DC2115D"/>
    <w:rsid w:val="3DC54FBA"/>
    <w:rsid w:val="3DC70D32"/>
    <w:rsid w:val="3DCC459A"/>
    <w:rsid w:val="3DDA0E2F"/>
    <w:rsid w:val="3DDB371D"/>
    <w:rsid w:val="3DDD67A7"/>
    <w:rsid w:val="3DDD76F0"/>
    <w:rsid w:val="3DE23DBE"/>
    <w:rsid w:val="3DED7CB6"/>
    <w:rsid w:val="3E06151A"/>
    <w:rsid w:val="3E262116"/>
    <w:rsid w:val="3E4A2B6A"/>
    <w:rsid w:val="3E502D8E"/>
    <w:rsid w:val="3E510116"/>
    <w:rsid w:val="3E606C4D"/>
    <w:rsid w:val="3E774854"/>
    <w:rsid w:val="3E815385"/>
    <w:rsid w:val="3E86299B"/>
    <w:rsid w:val="3E86529B"/>
    <w:rsid w:val="3E8C0269"/>
    <w:rsid w:val="3E93265B"/>
    <w:rsid w:val="3EA01CAF"/>
    <w:rsid w:val="3EB6189B"/>
    <w:rsid w:val="3EC075D9"/>
    <w:rsid w:val="3EC3257A"/>
    <w:rsid w:val="3EC6799A"/>
    <w:rsid w:val="3ED472C1"/>
    <w:rsid w:val="3EDA0523"/>
    <w:rsid w:val="3EDC080D"/>
    <w:rsid w:val="3EE6168C"/>
    <w:rsid w:val="3EE64519"/>
    <w:rsid w:val="3EF47797"/>
    <w:rsid w:val="3EFB5137"/>
    <w:rsid w:val="3EFE257B"/>
    <w:rsid w:val="3F0111C3"/>
    <w:rsid w:val="3F0C10F2"/>
    <w:rsid w:val="3F117B9D"/>
    <w:rsid w:val="3F161F71"/>
    <w:rsid w:val="3F1F26AC"/>
    <w:rsid w:val="3F22290B"/>
    <w:rsid w:val="3F25167E"/>
    <w:rsid w:val="3F376398"/>
    <w:rsid w:val="3F387A53"/>
    <w:rsid w:val="3F4B7D4A"/>
    <w:rsid w:val="3F5A1C88"/>
    <w:rsid w:val="3F5B3EE6"/>
    <w:rsid w:val="3F600210"/>
    <w:rsid w:val="3F6660E0"/>
    <w:rsid w:val="3F6A7679"/>
    <w:rsid w:val="3F7153F9"/>
    <w:rsid w:val="3F777D79"/>
    <w:rsid w:val="3F7B0B40"/>
    <w:rsid w:val="3F7D5B4C"/>
    <w:rsid w:val="3FA05CDE"/>
    <w:rsid w:val="3FA35EC9"/>
    <w:rsid w:val="3FA96941"/>
    <w:rsid w:val="3FAB4115"/>
    <w:rsid w:val="3FAE100B"/>
    <w:rsid w:val="3FB143F3"/>
    <w:rsid w:val="3FB41FFD"/>
    <w:rsid w:val="3FBD419A"/>
    <w:rsid w:val="3FD9785C"/>
    <w:rsid w:val="3FE2553A"/>
    <w:rsid w:val="3FFB1F03"/>
    <w:rsid w:val="3FFE65A7"/>
    <w:rsid w:val="4000422C"/>
    <w:rsid w:val="400242A3"/>
    <w:rsid w:val="40093A14"/>
    <w:rsid w:val="401F4384"/>
    <w:rsid w:val="40201299"/>
    <w:rsid w:val="4021297B"/>
    <w:rsid w:val="403B3924"/>
    <w:rsid w:val="403E451E"/>
    <w:rsid w:val="403F0BE7"/>
    <w:rsid w:val="40417378"/>
    <w:rsid w:val="40447D36"/>
    <w:rsid w:val="40677D34"/>
    <w:rsid w:val="40735C32"/>
    <w:rsid w:val="40752A5B"/>
    <w:rsid w:val="407631C5"/>
    <w:rsid w:val="407A6407"/>
    <w:rsid w:val="40802ECC"/>
    <w:rsid w:val="40866C82"/>
    <w:rsid w:val="40910C68"/>
    <w:rsid w:val="40991C3E"/>
    <w:rsid w:val="409E221E"/>
    <w:rsid w:val="40A5799B"/>
    <w:rsid w:val="40BB67C2"/>
    <w:rsid w:val="40CB6D8B"/>
    <w:rsid w:val="40D514AA"/>
    <w:rsid w:val="40E54378"/>
    <w:rsid w:val="40EF2A79"/>
    <w:rsid w:val="40FE2B4E"/>
    <w:rsid w:val="410353D4"/>
    <w:rsid w:val="410D746C"/>
    <w:rsid w:val="41120D1D"/>
    <w:rsid w:val="411843BD"/>
    <w:rsid w:val="41200E85"/>
    <w:rsid w:val="4124398E"/>
    <w:rsid w:val="4125649B"/>
    <w:rsid w:val="412F4F08"/>
    <w:rsid w:val="413235C1"/>
    <w:rsid w:val="413572FA"/>
    <w:rsid w:val="413640C3"/>
    <w:rsid w:val="413944D9"/>
    <w:rsid w:val="413D4376"/>
    <w:rsid w:val="41414B61"/>
    <w:rsid w:val="41526B64"/>
    <w:rsid w:val="41601281"/>
    <w:rsid w:val="416074D3"/>
    <w:rsid w:val="41683AB7"/>
    <w:rsid w:val="417662C5"/>
    <w:rsid w:val="417E5BAB"/>
    <w:rsid w:val="41955B7E"/>
    <w:rsid w:val="419D7696"/>
    <w:rsid w:val="41B24A2D"/>
    <w:rsid w:val="41C52AA1"/>
    <w:rsid w:val="41D27E27"/>
    <w:rsid w:val="41D67795"/>
    <w:rsid w:val="41EC0683"/>
    <w:rsid w:val="41EC3725"/>
    <w:rsid w:val="41EE0F83"/>
    <w:rsid w:val="41F374E8"/>
    <w:rsid w:val="4200449D"/>
    <w:rsid w:val="420C026B"/>
    <w:rsid w:val="420C0FEE"/>
    <w:rsid w:val="421F55D2"/>
    <w:rsid w:val="422315BA"/>
    <w:rsid w:val="42237EFE"/>
    <w:rsid w:val="42261B80"/>
    <w:rsid w:val="42291FBB"/>
    <w:rsid w:val="423000C9"/>
    <w:rsid w:val="42342D2C"/>
    <w:rsid w:val="423A3BCC"/>
    <w:rsid w:val="423D7C47"/>
    <w:rsid w:val="4240790A"/>
    <w:rsid w:val="42467FE4"/>
    <w:rsid w:val="424E57D2"/>
    <w:rsid w:val="424F1B85"/>
    <w:rsid w:val="42554263"/>
    <w:rsid w:val="42597107"/>
    <w:rsid w:val="425D524B"/>
    <w:rsid w:val="4265079F"/>
    <w:rsid w:val="42784D1B"/>
    <w:rsid w:val="427E2307"/>
    <w:rsid w:val="42884E78"/>
    <w:rsid w:val="42A5553A"/>
    <w:rsid w:val="42A8722B"/>
    <w:rsid w:val="42A965FF"/>
    <w:rsid w:val="42AC7206"/>
    <w:rsid w:val="42AD6184"/>
    <w:rsid w:val="42B26C49"/>
    <w:rsid w:val="42B36831"/>
    <w:rsid w:val="42CC4B76"/>
    <w:rsid w:val="42D50A61"/>
    <w:rsid w:val="42D55C9F"/>
    <w:rsid w:val="42EB18EE"/>
    <w:rsid w:val="42F04887"/>
    <w:rsid w:val="42F53A50"/>
    <w:rsid w:val="42FE6FA4"/>
    <w:rsid w:val="43013FD9"/>
    <w:rsid w:val="430F11B1"/>
    <w:rsid w:val="43127223"/>
    <w:rsid w:val="431F136C"/>
    <w:rsid w:val="432B2EF9"/>
    <w:rsid w:val="432D0D1B"/>
    <w:rsid w:val="432D63C5"/>
    <w:rsid w:val="43362BE2"/>
    <w:rsid w:val="433A6FE6"/>
    <w:rsid w:val="43400F37"/>
    <w:rsid w:val="43480868"/>
    <w:rsid w:val="434B2D37"/>
    <w:rsid w:val="434F6062"/>
    <w:rsid w:val="4350713C"/>
    <w:rsid w:val="4354348B"/>
    <w:rsid w:val="43587F44"/>
    <w:rsid w:val="435E4F5B"/>
    <w:rsid w:val="43634EF3"/>
    <w:rsid w:val="436653E0"/>
    <w:rsid w:val="43675A04"/>
    <w:rsid w:val="43677131"/>
    <w:rsid w:val="43691B6D"/>
    <w:rsid w:val="436E7A83"/>
    <w:rsid w:val="437F4916"/>
    <w:rsid w:val="439C6A4C"/>
    <w:rsid w:val="439D0E30"/>
    <w:rsid w:val="439D2430"/>
    <w:rsid w:val="43A53412"/>
    <w:rsid w:val="43C4431A"/>
    <w:rsid w:val="43DA5C97"/>
    <w:rsid w:val="43E208A7"/>
    <w:rsid w:val="43E53CC0"/>
    <w:rsid w:val="43E705E8"/>
    <w:rsid w:val="43EF015E"/>
    <w:rsid w:val="43F32881"/>
    <w:rsid w:val="4400388A"/>
    <w:rsid w:val="44071E88"/>
    <w:rsid w:val="440A0D76"/>
    <w:rsid w:val="440D0C25"/>
    <w:rsid w:val="44190522"/>
    <w:rsid w:val="441D35F1"/>
    <w:rsid w:val="442B2E06"/>
    <w:rsid w:val="443F7874"/>
    <w:rsid w:val="444B6F67"/>
    <w:rsid w:val="445C4F4F"/>
    <w:rsid w:val="446217B4"/>
    <w:rsid w:val="44691A9E"/>
    <w:rsid w:val="446C4D30"/>
    <w:rsid w:val="44710941"/>
    <w:rsid w:val="44742D6A"/>
    <w:rsid w:val="449053D3"/>
    <w:rsid w:val="44936637"/>
    <w:rsid w:val="4496320C"/>
    <w:rsid w:val="44973D4D"/>
    <w:rsid w:val="44A616A1"/>
    <w:rsid w:val="44A973E3"/>
    <w:rsid w:val="44B7603C"/>
    <w:rsid w:val="44B951CC"/>
    <w:rsid w:val="44BE1474"/>
    <w:rsid w:val="44BF19D6"/>
    <w:rsid w:val="44CD14E0"/>
    <w:rsid w:val="44EA36A2"/>
    <w:rsid w:val="44EC0F3D"/>
    <w:rsid w:val="44ED5E27"/>
    <w:rsid w:val="44F20B0B"/>
    <w:rsid w:val="44F943A3"/>
    <w:rsid w:val="44FE5AC3"/>
    <w:rsid w:val="45085EB8"/>
    <w:rsid w:val="45131C52"/>
    <w:rsid w:val="4519609A"/>
    <w:rsid w:val="45267A0D"/>
    <w:rsid w:val="45285849"/>
    <w:rsid w:val="452D47A4"/>
    <w:rsid w:val="452E5F4C"/>
    <w:rsid w:val="452F6CDD"/>
    <w:rsid w:val="45336CAD"/>
    <w:rsid w:val="453B25D8"/>
    <w:rsid w:val="45467BF7"/>
    <w:rsid w:val="454F132E"/>
    <w:rsid w:val="454F7F8B"/>
    <w:rsid w:val="45525385"/>
    <w:rsid w:val="45560175"/>
    <w:rsid w:val="455D2986"/>
    <w:rsid w:val="45612018"/>
    <w:rsid w:val="45622B78"/>
    <w:rsid w:val="45634846"/>
    <w:rsid w:val="45651B7F"/>
    <w:rsid w:val="45726472"/>
    <w:rsid w:val="45750C0F"/>
    <w:rsid w:val="457C68A6"/>
    <w:rsid w:val="457F003D"/>
    <w:rsid w:val="458071E8"/>
    <w:rsid w:val="45862323"/>
    <w:rsid w:val="458946E9"/>
    <w:rsid w:val="45942176"/>
    <w:rsid w:val="45A47C0E"/>
    <w:rsid w:val="45AA2653"/>
    <w:rsid w:val="45B7094D"/>
    <w:rsid w:val="45B7168C"/>
    <w:rsid w:val="45BD1572"/>
    <w:rsid w:val="45D854EC"/>
    <w:rsid w:val="45ED6BED"/>
    <w:rsid w:val="45F702E1"/>
    <w:rsid w:val="45FF2D59"/>
    <w:rsid w:val="46080139"/>
    <w:rsid w:val="460A62B9"/>
    <w:rsid w:val="460E6F54"/>
    <w:rsid w:val="46353B46"/>
    <w:rsid w:val="46367005"/>
    <w:rsid w:val="46392D25"/>
    <w:rsid w:val="463E4D11"/>
    <w:rsid w:val="46407634"/>
    <w:rsid w:val="46577FD6"/>
    <w:rsid w:val="466C5EC0"/>
    <w:rsid w:val="46701213"/>
    <w:rsid w:val="4674600D"/>
    <w:rsid w:val="467C4DAF"/>
    <w:rsid w:val="46893E4C"/>
    <w:rsid w:val="469C7200"/>
    <w:rsid w:val="46A240EA"/>
    <w:rsid w:val="46A83551"/>
    <w:rsid w:val="46B31EAB"/>
    <w:rsid w:val="46B43C28"/>
    <w:rsid w:val="46BA36DB"/>
    <w:rsid w:val="46C2191C"/>
    <w:rsid w:val="46C528C3"/>
    <w:rsid w:val="46CD363E"/>
    <w:rsid w:val="46D02A05"/>
    <w:rsid w:val="46D41B1D"/>
    <w:rsid w:val="46D87D9E"/>
    <w:rsid w:val="46D955A7"/>
    <w:rsid w:val="46DD1A9B"/>
    <w:rsid w:val="46DE4B3C"/>
    <w:rsid w:val="46E9029E"/>
    <w:rsid w:val="46EF502B"/>
    <w:rsid w:val="47072195"/>
    <w:rsid w:val="470E5CD9"/>
    <w:rsid w:val="47133957"/>
    <w:rsid w:val="4714323A"/>
    <w:rsid w:val="47310DEC"/>
    <w:rsid w:val="474510D0"/>
    <w:rsid w:val="475226E7"/>
    <w:rsid w:val="47523FC2"/>
    <w:rsid w:val="475353E4"/>
    <w:rsid w:val="47607AA6"/>
    <w:rsid w:val="47631ACB"/>
    <w:rsid w:val="476A181D"/>
    <w:rsid w:val="476A4649"/>
    <w:rsid w:val="477E4B57"/>
    <w:rsid w:val="478832E0"/>
    <w:rsid w:val="479779C7"/>
    <w:rsid w:val="47A07E0C"/>
    <w:rsid w:val="47A81BD4"/>
    <w:rsid w:val="47B23B74"/>
    <w:rsid w:val="47C018DD"/>
    <w:rsid w:val="47C3362C"/>
    <w:rsid w:val="47C540BD"/>
    <w:rsid w:val="47D961EF"/>
    <w:rsid w:val="47DB29B5"/>
    <w:rsid w:val="47EC6216"/>
    <w:rsid w:val="47EC759F"/>
    <w:rsid w:val="47ED2FE5"/>
    <w:rsid w:val="47F723EB"/>
    <w:rsid w:val="47F81BC3"/>
    <w:rsid w:val="48014C45"/>
    <w:rsid w:val="480768FB"/>
    <w:rsid w:val="481F481F"/>
    <w:rsid w:val="4824274C"/>
    <w:rsid w:val="48253552"/>
    <w:rsid w:val="482A7D64"/>
    <w:rsid w:val="4835194E"/>
    <w:rsid w:val="483B0352"/>
    <w:rsid w:val="484437C6"/>
    <w:rsid w:val="48482A6F"/>
    <w:rsid w:val="4854078E"/>
    <w:rsid w:val="48595A72"/>
    <w:rsid w:val="485D3281"/>
    <w:rsid w:val="48627FD5"/>
    <w:rsid w:val="486C1F93"/>
    <w:rsid w:val="4870272E"/>
    <w:rsid w:val="48723EB1"/>
    <w:rsid w:val="48846EF1"/>
    <w:rsid w:val="4893018E"/>
    <w:rsid w:val="489F5311"/>
    <w:rsid w:val="48A201D3"/>
    <w:rsid w:val="48A42A08"/>
    <w:rsid w:val="48A7185A"/>
    <w:rsid w:val="48A979B2"/>
    <w:rsid w:val="48D86234"/>
    <w:rsid w:val="48DA400F"/>
    <w:rsid w:val="48EC583F"/>
    <w:rsid w:val="49013890"/>
    <w:rsid w:val="490523FE"/>
    <w:rsid w:val="49143AC3"/>
    <w:rsid w:val="4918172B"/>
    <w:rsid w:val="49217DF9"/>
    <w:rsid w:val="4929464F"/>
    <w:rsid w:val="49296D2D"/>
    <w:rsid w:val="492A07DE"/>
    <w:rsid w:val="492E7EB7"/>
    <w:rsid w:val="49337E80"/>
    <w:rsid w:val="495918BC"/>
    <w:rsid w:val="495D488E"/>
    <w:rsid w:val="49696F6A"/>
    <w:rsid w:val="496F7A11"/>
    <w:rsid w:val="49743271"/>
    <w:rsid w:val="49765C9B"/>
    <w:rsid w:val="497B34B6"/>
    <w:rsid w:val="4983200C"/>
    <w:rsid w:val="49833345"/>
    <w:rsid w:val="49883A6B"/>
    <w:rsid w:val="498902F7"/>
    <w:rsid w:val="498D5F6A"/>
    <w:rsid w:val="49900B72"/>
    <w:rsid w:val="499C04BE"/>
    <w:rsid w:val="49B12727"/>
    <w:rsid w:val="49B40E47"/>
    <w:rsid w:val="49B54134"/>
    <w:rsid w:val="49C8310A"/>
    <w:rsid w:val="49C950C1"/>
    <w:rsid w:val="49D0011E"/>
    <w:rsid w:val="49D942C7"/>
    <w:rsid w:val="49D96075"/>
    <w:rsid w:val="49DC7715"/>
    <w:rsid w:val="49DE69F3"/>
    <w:rsid w:val="49EC4162"/>
    <w:rsid w:val="49EF3AEA"/>
    <w:rsid w:val="49F92D8A"/>
    <w:rsid w:val="49FA0C53"/>
    <w:rsid w:val="49FA2BDB"/>
    <w:rsid w:val="49FA691D"/>
    <w:rsid w:val="49FC7FB5"/>
    <w:rsid w:val="4A023139"/>
    <w:rsid w:val="4A042085"/>
    <w:rsid w:val="4A103E82"/>
    <w:rsid w:val="4A1A6683"/>
    <w:rsid w:val="4A1D7B6C"/>
    <w:rsid w:val="4A3264B9"/>
    <w:rsid w:val="4A370B46"/>
    <w:rsid w:val="4A3C6604"/>
    <w:rsid w:val="4A4B5028"/>
    <w:rsid w:val="4A551387"/>
    <w:rsid w:val="4A58343D"/>
    <w:rsid w:val="4A5C2802"/>
    <w:rsid w:val="4A617FE4"/>
    <w:rsid w:val="4A6A6EB1"/>
    <w:rsid w:val="4A740A99"/>
    <w:rsid w:val="4A745D9D"/>
    <w:rsid w:val="4A7B576F"/>
    <w:rsid w:val="4A7C1707"/>
    <w:rsid w:val="4A8172DE"/>
    <w:rsid w:val="4A8532D5"/>
    <w:rsid w:val="4A8D57EB"/>
    <w:rsid w:val="4A9E1EBD"/>
    <w:rsid w:val="4AA36345"/>
    <w:rsid w:val="4AAA13E1"/>
    <w:rsid w:val="4AB97F2B"/>
    <w:rsid w:val="4ABD4F47"/>
    <w:rsid w:val="4AC42881"/>
    <w:rsid w:val="4AC62BC0"/>
    <w:rsid w:val="4AC72B86"/>
    <w:rsid w:val="4ACD0FD0"/>
    <w:rsid w:val="4AD430F4"/>
    <w:rsid w:val="4AD60806"/>
    <w:rsid w:val="4AE623AF"/>
    <w:rsid w:val="4AF561A9"/>
    <w:rsid w:val="4AF65903"/>
    <w:rsid w:val="4AFE5F78"/>
    <w:rsid w:val="4B01192F"/>
    <w:rsid w:val="4B074E64"/>
    <w:rsid w:val="4B0C271E"/>
    <w:rsid w:val="4B154DFB"/>
    <w:rsid w:val="4B194F4C"/>
    <w:rsid w:val="4B210D16"/>
    <w:rsid w:val="4B2257F9"/>
    <w:rsid w:val="4B2B68B6"/>
    <w:rsid w:val="4B2E20E3"/>
    <w:rsid w:val="4B310C69"/>
    <w:rsid w:val="4B42219E"/>
    <w:rsid w:val="4B4B18CC"/>
    <w:rsid w:val="4B4B3C69"/>
    <w:rsid w:val="4B4D08DD"/>
    <w:rsid w:val="4B547465"/>
    <w:rsid w:val="4B5538D6"/>
    <w:rsid w:val="4B5C0D0B"/>
    <w:rsid w:val="4B7031AD"/>
    <w:rsid w:val="4B717577"/>
    <w:rsid w:val="4B751DCD"/>
    <w:rsid w:val="4B8A6ACD"/>
    <w:rsid w:val="4B8E10E1"/>
    <w:rsid w:val="4B907663"/>
    <w:rsid w:val="4B942733"/>
    <w:rsid w:val="4B981C8D"/>
    <w:rsid w:val="4B9F6120"/>
    <w:rsid w:val="4BC97A64"/>
    <w:rsid w:val="4BCD32A4"/>
    <w:rsid w:val="4BD66F05"/>
    <w:rsid w:val="4BDA4326"/>
    <w:rsid w:val="4BE832CF"/>
    <w:rsid w:val="4BF52F0E"/>
    <w:rsid w:val="4BF9034D"/>
    <w:rsid w:val="4C044CA2"/>
    <w:rsid w:val="4C0D3812"/>
    <w:rsid w:val="4C0E7749"/>
    <w:rsid w:val="4C1D5C05"/>
    <w:rsid w:val="4C46456E"/>
    <w:rsid w:val="4C497552"/>
    <w:rsid w:val="4C4A0649"/>
    <w:rsid w:val="4C575977"/>
    <w:rsid w:val="4C5D1363"/>
    <w:rsid w:val="4C635E39"/>
    <w:rsid w:val="4C6E0076"/>
    <w:rsid w:val="4C7E5ECA"/>
    <w:rsid w:val="4C801B49"/>
    <w:rsid w:val="4C87625C"/>
    <w:rsid w:val="4C876AA5"/>
    <w:rsid w:val="4C9C683E"/>
    <w:rsid w:val="4C9D4B1B"/>
    <w:rsid w:val="4C9D71BD"/>
    <w:rsid w:val="4CAA5AA7"/>
    <w:rsid w:val="4CB73BD7"/>
    <w:rsid w:val="4CB76DE0"/>
    <w:rsid w:val="4CBB1996"/>
    <w:rsid w:val="4CCA439B"/>
    <w:rsid w:val="4CD90FF8"/>
    <w:rsid w:val="4CE92A73"/>
    <w:rsid w:val="4CEF416E"/>
    <w:rsid w:val="4CF8075B"/>
    <w:rsid w:val="4CF835BE"/>
    <w:rsid w:val="4CF87FA5"/>
    <w:rsid w:val="4D027691"/>
    <w:rsid w:val="4D076DF2"/>
    <w:rsid w:val="4D0B0E96"/>
    <w:rsid w:val="4D0B3DC4"/>
    <w:rsid w:val="4D0C6761"/>
    <w:rsid w:val="4D0E00FB"/>
    <w:rsid w:val="4D176606"/>
    <w:rsid w:val="4D2C1219"/>
    <w:rsid w:val="4D4201A6"/>
    <w:rsid w:val="4D4244E7"/>
    <w:rsid w:val="4D482C03"/>
    <w:rsid w:val="4D561AD0"/>
    <w:rsid w:val="4D6E292D"/>
    <w:rsid w:val="4D764FEC"/>
    <w:rsid w:val="4D783DF7"/>
    <w:rsid w:val="4D86700D"/>
    <w:rsid w:val="4D8C33FE"/>
    <w:rsid w:val="4D9549A9"/>
    <w:rsid w:val="4D9F3C11"/>
    <w:rsid w:val="4DAB5F7A"/>
    <w:rsid w:val="4DAF7614"/>
    <w:rsid w:val="4DB03590"/>
    <w:rsid w:val="4DCE1C69"/>
    <w:rsid w:val="4DD14002"/>
    <w:rsid w:val="4DD440AA"/>
    <w:rsid w:val="4DE565ED"/>
    <w:rsid w:val="4DE70FB6"/>
    <w:rsid w:val="4DE93F5D"/>
    <w:rsid w:val="4DEC4FB0"/>
    <w:rsid w:val="4E034154"/>
    <w:rsid w:val="4E075D8A"/>
    <w:rsid w:val="4E2A4103"/>
    <w:rsid w:val="4E316530"/>
    <w:rsid w:val="4E451F2B"/>
    <w:rsid w:val="4E4752EF"/>
    <w:rsid w:val="4E481A1B"/>
    <w:rsid w:val="4E5401B4"/>
    <w:rsid w:val="4E565762"/>
    <w:rsid w:val="4E5869CD"/>
    <w:rsid w:val="4E6034E4"/>
    <w:rsid w:val="4E7032A3"/>
    <w:rsid w:val="4E72289C"/>
    <w:rsid w:val="4E80084D"/>
    <w:rsid w:val="4E85196F"/>
    <w:rsid w:val="4E8862C9"/>
    <w:rsid w:val="4E93430C"/>
    <w:rsid w:val="4E94701A"/>
    <w:rsid w:val="4E9F56B3"/>
    <w:rsid w:val="4EA628BA"/>
    <w:rsid w:val="4EAD0C11"/>
    <w:rsid w:val="4EBB21ED"/>
    <w:rsid w:val="4EBE49F8"/>
    <w:rsid w:val="4EC00FAD"/>
    <w:rsid w:val="4ED137BE"/>
    <w:rsid w:val="4EDB0903"/>
    <w:rsid w:val="4F003091"/>
    <w:rsid w:val="4F01762D"/>
    <w:rsid w:val="4F095FFE"/>
    <w:rsid w:val="4F0B1FD5"/>
    <w:rsid w:val="4F18089D"/>
    <w:rsid w:val="4F1B4E81"/>
    <w:rsid w:val="4F1D7F1C"/>
    <w:rsid w:val="4F245F7B"/>
    <w:rsid w:val="4F31595E"/>
    <w:rsid w:val="4F3354BB"/>
    <w:rsid w:val="4F3D70A6"/>
    <w:rsid w:val="4F5874FC"/>
    <w:rsid w:val="4F613271"/>
    <w:rsid w:val="4F616A1C"/>
    <w:rsid w:val="4F626B0C"/>
    <w:rsid w:val="4F742F59"/>
    <w:rsid w:val="4F7A20A8"/>
    <w:rsid w:val="4F7C5BA3"/>
    <w:rsid w:val="4F887240"/>
    <w:rsid w:val="4F8A6438"/>
    <w:rsid w:val="4F8D4D59"/>
    <w:rsid w:val="4F922F57"/>
    <w:rsid w:val="4F9843DC"/>
    <w:rsid w:val="4FA83605"/>
    <w:rsid w:val="4FB27182"/>
    <w:rsid w:val="4FB35BC0"/>
    <w:rsid w:val="4FB37368"/>
    <w:rsid w:val="4FBF07C1"/>
    <w:rsid w:val="4FC62A8C"/>
    <w:rsid w:val="4FC6709B"/>
    <w:rsid w:val="4FD47897"/>
    <w:rsid w:val="4FD72579"/>
    <w:rsid w:val="4FDA75BC"/>
    <w:rsid w:val="4FE20F0D"/>
    <w:rsid w:val="4FE51552"/>
    <w:rsid w:val="50006BE9"/>
    <w:rsid w:val="500660EC"/>
    <w:rsid w:val="500D4CCA"/>
    <w:rsid w:val="50123612"/>
    <w:rsid w:val="50160FEC"/>
    <w:rsid w:val="501C7D9B"/>
    <w:rsid w:val="502B7A1D"/>
    <w:rsid w:val="503313AD"/>
    <w:rsid w:val="503D2C4E"/>
    <w:rsid w:val="50504C4B"/>
    <w:rsid w:val="505E5526"/>
    <w:rsid w:val="505E616B"/>
    <w:rsid w:val="506348EA"/>
    <w:rsid w:val="50723E43"/>
    <w:rsid w:val="508D2300"/>
    <w:rsid w:val="508D4C3A"/>
    <w:rsid w:val="509176A9"/>
    <w:rsid w:val="509C6E7C"/>
    <w:rsid w:val="509E5922"/>
    <w:rsid w:val="509F4F62"/>
    <w:rsid w:val="50DB6B76"/>
    <w:rsid w:val="50E45FBA"/>
    <w:rsid w:val="50E83041"/>
    <w:rsid w:val="50EA500B"/>
    <w:rsid w:val="50EC1EC5"/>
    <w:rsid w:val="50FE1712"/>
    <w:rsid w:val="50FE62EE"/>
    <w:rsid w:val="5107293F"/>
    <w:rsid w:val="51081D09"/>
    <w:rsid w:val="510E0CFA"/>
    <w:rsid w:val="51131632"/>
    <w:rsid w:val="5124653C"/>
    <w:rsid w:val="51270325"/>
    <w:rsid w:val="512E185C"/>
    <w:rsid w:val="512F7D01"/>
    <w:rsid w:val="51347FD9"/>
    <w:rsid w:val="51372589"/>
    <w:rsid w:val="51403283"/>
    <w:rsid w:val="51450C65"/>
    <w:rsid w:val="514C72F7"/>
    <w:rsid w:val="515D57DD"/>
    <w:rsid w:val="5162104E"/>
    <w:rsid w:val="51651EBE"/>
    <w:rsid w:val="516A1BD9"/>
    <w:rsid w:val="517448D5"/>
    <w:rsid w:val="517B0995"/>
    <w:rsid w:val="517B2107"/>
    <w:rsid w:val="517C3F4F"/>
    <w:rsid w:val="51831D23"/>
    <w:rsid w:val="51916A23"/>
    <w:rsid w:val="51957A2F"/>
    <w:rsid w:val="51966226"/>
    <w:rsid w:val="51A404F0"/>
    <w:rsid w:val="51B67968"/>
    <w:rsid w:val="51CF6818"/>
    <w:rsid w:val="51D70186"/>
    <w:rsid w:val="51DD3BEB"/>
    <w:rsid w:val="51F25CD6"/>
    <w:rsid w:val="51F34ABA"/>
    <w:rsid w:val="51F85506"/>
    <w:rsid w:val="51FC5E66"/>
    <w:rsid w:val="51FF0B8E"/>
    <w:rsid w:val="52005654"/>
    <w:rsid w:val="520B071F"/>
    <w:rsid w:val="521222C6"/>
    <w:rsid w:val="52141D9C"/>
    <w:rsid w:val="521E103E"/>
    <w:rsid w:val="521F2DC8"/>
    <w:rsid w:val="52224331"/>
    <w:rsid w:val="52282AB6"/>
    <w:rsid w:val="523464FC"/>
    <w:rsid w:val="523C584B"/>
    <w:rsid w:val="523D3DDC"/>
    <w:rsid w:val="52446F6F"/>
    <w:rsid w:val="5245699D"/>
    <w:rsid w:val="524B3200"/>
    <w:rsid w:val="525B252C"/>
    <w:rsid w:val="52650DED"/>
    <w:rsid w:val="52691F60"/>
    <w:rsid w:val="526E18E2"/>
    <w:rsid w:val="527032EE"/>
    <w:rsid w:val="527B7428"/>
    <w:rsid w:val="528172E2"/>
    <w:rsid w:val="52850C18"/>
    <w:rsid w:val="52853C10"/>
    <w:rsid w:val="528A6EAF"/>
    <w:rsid w:val="529E33EE"/>
    <w:rsid w:val="52A76957"/>
    <w:rsid w:val="52AB07CA"/>
    <w:rsid w:val="52B7716F"/>
    <w:rsid w:val="52BD326C"/>
    <w:rsid w:val="52CF0ECD"/>
    <w:rsid w:val="52D647A9"/>
    <w:rsid w:val="52D90E94"/>
    <w:rsid w:val="52DA2EC4"/>
    <w:rsid w:val="52DA3931"/>
    <w:rsid w:val="52EC1142"/>
    <w:rsid w:val="52EF4B5B"/>
    <w:rsid w:val="52FE2C4E"/>
    <w:rsid w:val="5303124D"/>
    <w:rsid w:val="53066D20"/>
    <w:rsid w:val="530C74BB"/>
    <w:rsid w:val="531F68DA"/>
    <w:rsid w:val="53204028"/>
    <w:rsid w:val="53264247"/>
    <w:rsid w:val="5326563F"/>
    <w:rsid w:val="532D7163"/>
    <w:rsid w:val="533026AA"/>
    <w:rsid w:val="53370B35"/>
    <w:rsid w:val="5338150C"/>
    <w:rsid w:val="534327B1"/>
    <w:rsid w:val="53486019"/>
    <w:rsid w:val="53496EC5"/>
    <w:rsid w:val="53516BF1"/>
    <w:rsid w:val="535A12C3"/>
    <w:rsid w:val="536A2433"/>
    <w:rsid w:val="537771F6"/>
    <w:rsid w:val="537806AC"/>
    <w:rsid w:val="53794425"/>
    <w:rsid w:val="537D2167"/>
    <w:rsid w:val="538057B3"/>
    <w:rsid w:val="538664F2"/>
    <w:rsid w:val="53962C9E"/>
    <w:rsid w:val="53996EAE"/>
    <w:rsid w:val="53A039CC"/>
    <w:rsid w:val="53A1505A"/>
    <w:rsid w:val="53AA4825"/>
    <w:rsid w:val="53AB1CF9"/>
    <w:rsid w:val="53AE3427"/>
    <w:rsid w:val="53B266F7"/>
    <w:rsid w:val="53B84F4D"/>
    <w:rsid w:val="53C03E0F"/>
    <w:rsid w:val="53C30C8D"/>
    <w:rsid w:val="53C47D96"/>
    <w:rsid w:val="53CC5083"/>
    <w:rsid w:val="53F51CFD"/>
    <w:rsid w:val="53F8443B"/>
    <w:rsid w:val="54063E08"/>
    <w:rsid w:val="5415720C"/>
    <w:rsid w:val="541865A3"/>
    <w:rsid w:val="541B5A8C"/>
    <w:rsid w:val="541E0E92"/>
    <w:rsid w:val="541E7226"/>
    <w:rsid w:val="542315E1"/>
    <w:rsid w:val="542425E2"/>
    <w:rsid w:val="542E4D92"/>
    <w:rsid w:val="543437E8"/>
    <w:rsid w:val="543C3DD0"/>
    <w:rsid w:val="54422A68"/>
    <w:rsid w:val="544773A1"/>
    <w:rsid w:val="54483FC5"/>
    <w:rsid w:val="54543F81"/>
    <w:rsid w:val="545C6528"/>
    <w:rsid w:val="545E76AA"/>
    <w:rsid w:val="54672977"/>
    <w:rsid w:val="54760DEE"/>
    <w:rsid w:val="54764E7F"/>
    <w:rsid w:val="548E3850"/>
    <w:rsid w:val="54952B5B"/>
    <w:rsid w:val="549F610D"/>
    <w:rsid w:val="54A454D1"/>
    <w:rsid w:val="54B870E1"/>
    <w:rsid w:val="54BA0D48"/>
    <w:rsid w:val="54C17E31"/>
    <w:rsid w:val="54C5144C"/>
    <w:rsid w:val="54C93FA5"/>
    <w:rsid w:val="54CB7F1E"/>
    <w:rsid w:val="54CC2F9D"/>
    <w:rsid w:val="54CC5154"/>
    <w:rsid w:val="54D6501D"/>
    <w:rsid w:val="54D80B85"/>
    <w:rsid w:val="54D9517B"/>
    <w:rsid w:val="54DC4007"/>
    <w:rsid w:val="54E7540B"/>
    <w:rsid w:val="54F322E2"/>
    <w:rsid w:val="54F73313"/>
    <w:rsid w:val="54F80955"/>
    <w:rsid w:val="55005FB0"/>
    <w:rsid w:val="55073BE1"/>
    <w:rsid w:val="55094239"/>
    <w:rsid w:val="550965BE"/>
    <w:rsid w:val="5511192B"/>
    <w:rsid w:val="552F6762"/>
    <w:rsid w:val="55474E28"/>
    <w:rsid w:val="5549127B"/>
    <w:rsid w:val="554A42CB"/>
    <w:rsid w:val="555170A7"/>
    <w:rsid w:val="555C3226"/>
    <w:rsid w:val="555C5410"/>
    <w:rsid w:val="556F788D"/>
    <w:rsid w:val="55771F73"/>
    <w:rsid w:val="55805F3E"/>
    <w:rsid w:val="5587536D"/>
    <w:rsid w:val="5589787B"/>
    <w:rsid w:val="558A38DC"/>
    <w:rsid w:val="559B174B"/>
    <w:rsid w:val="55A5338B"/>
    <w:rsid w:val="55AF19EF"/>
    <w:rsid w:val="55BB5C2C"/>
    <w:rsid w:val="55C04FDA"/>
    <w:rsid w:val="55C237F6"/>
    <w:rsid w:val="55C53951"/>
    <w:rsid w:val="55CC5DDD"/>
    <w:rsid w:val="55CE0CF4"/>
    <w:rsid w:val="55CE4A2D"/>
    <w:rsid w:val="55E36EE6"/>
    <w:rsid w:val="55E464CD"/>
    <w:rsid w:val="55E738C7"/>
    <w:rsid w:val="55EB1D19"/>
    <w:rsid w:val="55F15BA5"/>
    <w:rsid w:val="55FE6724"/>
    <w:rsid w:val="560A5D7B"/>
    <w:rsid w:val="561548BD"/>
    <w:rsid w:val="56176FF1"/>
    <w:rsid w:val="561E110F"/>
    <w:rsid w:val="56223C41"/>
    <w:rsid w:val="562B2188"/>
    <w:rsid w:val="56312AF7"/>
    <w:rsid w:val="56333CCD"/>
    <w:rsid w:val="56336B0D"/>
    <w:rsid w:val="563A60ED"/>
    <w:rsid w:val="563E32A2"/>
    <w:rsid w:val="56480CF8"/>
    <w:rsid w:val="564F04F9"/>
    <w:rsid w:val="56644F18"/>
    <w:rsid w:val="568D48D7"/>
    <w:rsid w:val="569357FD"/>
    <w:rsid w:val="569F0646"/>
    <w:rsid w:val="56A13C33"/>
    <w:rsid w:val="56B22A9C"/>
    <w:rsid w:val="56BF09C1"/>
    <w:rsid w:val="56C46453"/>
    <w:rsid w:val="56C73918"/>
    <w:rsid w:val="56D560E5"/>
    <w:rsid w:val="56E20856"/>
    <w:rsid w:val="56EC67F5"/>
    <w:rsid w:val="56F05B62"/>
    <w:rsid w:val="570B6129"/>
    <w:rsid w:val="571526B6"/>
    <w:rsid w:val="571F7091"/>
    <w:rsid w:val="57233C85"/>
    <w:rsid w:val="57243E77"/>
    <w:rsid w:val="57250B4B"/>
    <w:rsid w:val="57285A2F"/>
    <w:rsid w:val="572E1BAE"/>
    <w:rsid w:val="573064A0"/>
    <w:rsid w:val="573B2DDC"/>
    <w:rsid w:val="574344FC"/>
    <w:rsid w:val="57435475"/>
    <w:rsid w:val="575D6537"/>
    <w:rsid w:val="57605808"/>
    <w:rsid w:val="57626D08"/>
    <w:rsid w:val="57646731"/>
    <w:rsid w:val="577264AF"/>
    <w:rsid w:val="577E7445"/>
    <w:rsid w:val="57882E88"/>
    <w:rsid w:val="5797131D"/>
    <w:rsid w:val="57996E43"/>
    <w:rsid w:val="57A14C30"/>
    <w:rsid w:val="57A81B4F"/>
    <w:rsid w:val="57AC1A79"/>
    <w:rsid w:val="57B72A76"/>
    <w:rsid w:val="57BC4E71"/>
    <w:rsid w:val="57C2150B"/>
    <w:rsid w:val="57C3426C"/>
    <w:rsid w:val="57CA55C9"/>
    <w:rsid w:val="57CE1F93"/>
    <w:rsid w:val="57D65757"/>
    <w:rsid w:val="57DF7C5F"/>
    <w:rsid w:val="57E62AB9"/>
    <w:rsid w:val="57F74AEB"/>
    <w:rsid w:val="581A4428"/>
    <w:rsid w:val="582239B1"/>
    <w:rsid w:val="58227FA1"/>
    <w:rsid w:val="58305B05"/>
    <w:rsid w:val="583358A1"/>
    <w:rsid w:val="5836417F"/>
    <w:rsid w:val="583A6878"/>
    <w:rsid w:val="58475C93"/>
    <w:rsid w:val="584C035A"/>
    <w:rsid w:val="5853793A"/>
    <w:rsid w:val="58606524"/>
    <w:rsid w:val="58740946"/>
    <w:rsid w:val="587836D4"/>
    <w:rsid w:val="587C0C3F"/>
    <w:rsid w:val="587D0513"/>
    <w:rsid w:val="588743D1"/>
    <w:rsid w:val="5887701A"/>
    <w:rsid w:val="58920462"/>
    <w:rsid w:val="589400E7"/>
    <w:rsid w:val="589E1064"/>
    <w:rsid w:val="58A12453"/>
    <w:rsid w:val="58A13375"/>
    <w:rsid w:val="58A9755A"/>
    <w:rsid w:val="58AB6611"/>
    <w:rsid w:val="58AF2EB9"/>
    <w:rsid w:val="58B54151"/>
    <w:rsid w:val="58C07A2B"/>
    <w:rsid w:val="58C96A6C"/>
    <w:rsid w:val="58D6588E"/>
    <w:rsid w:val="58E32A6C"/>
    <w:rsid w:val="58E86387"/>
    <w:rsid w:val="58E94BB5"/>
    <w:rsid w:val="58E97C2C"/>
    <w:rsid w:val="58F741A0"/>
    <w:rsid w:val="58F84874"/>
    <w:rsid w:val="59002040"/>
    <w:rsid w:val="59116E4E"/>
    <w:rsid w:val="591B2227"/>
    <w:rsid w:val="591B3D19"/>
    <w:rsid w:val="595C42E3"/>
    <w:rsid w:val="5963595B"/>
    <w:rsid w:val="597A049D"/>
    <w:rsid w:val="598E50E7"/>
    <w:rsid w:val="59912998"/>
    <w:rsid w:val="59A81BA6"/>
    <w:rsid w:val="59B241EC"/>
    <w:rsid w:val="59B76C5B"/>
    <w:rsid w:val="59BA330C"/>
    <w:rsid w:val="59C0439F"/>
    <w:rsid w:val="59C53F20"/>
    <w:rsid w:val="59C867CF"/>
    <w:rsid w:val="59CF2FF0"/>
    <w:rsid w:val="59E85E60"/>
    <w:rsid w:val="59EC76FE"/>
    <w:rsid w:val="59EF4EA9"/>
    <w:rsid w:val="59F716C4"/>
    <w:rsid w:val="59FB6AE6"/>
    <w:rsid w:val="5A085BEB"/>
    <w:rsid w:val="5A0E3173"/>
    <w:rsid w:val="5A183FED"/>
    <w:rsid w:val="5A1854E3"/>
    <w:rsid w:val="5A211A8E"/>
    <w:rsid w:val="5A2231BD"/>
    <w:rsid w:val="5A23531B"/>
    <w:rsid w:val="5A2D19B3"/>
    <w:rsid w:val="5A2F648A"/>
    <w:rsid w:val="5A341CC9"/>
    <w:rsid w:val="5A37260A"/>
    <w:rsid w:val="5A3A589F"/>
    <w:rsid w:val="5A3A72BD"/>
    <w:rsid w:val="5A451D02"/>
    <w:rsid w:val="5A4A2112"/>
    <w:rsid w:val="5A4B1E80"/>
    <w:rsid w:val="5A4C2BEF"/>
    <w:rsid w:val="5A7140A7"/>
    <w:rsid w:val="5A762D88"/>
    <w:rsid w:val="5A786C2A"/>
    <w:rsid w:val="5A9A36C4"/>
    <w:rsid w:val="5A9C47FB"/>
    <w:rsid w:val="5AB52C6E"/>
    <w:rsid w:val="5AB84EAA"/>
    <w:rsid w:val="5ABA63D4"/>
    <w:rsid w:val="5ABB2555"/>
    <w:rsid w:val="5ABE2233"/>
    <w:rsid w:val="5AC02D86"/>
    <w:rsid w:val="5AC22F58"/>
    <w:rsid w:val="5AC5432B"/>
    <w:rsid w:val="5AC96735"/>
    <w:rsid w:val="5ACB7C53"/>
    <w:rsid w:val="5ACF4B5D"/>
    <w:rsid w:val="5ADB7B72"/>
    <w:rsid w:val="5ADF1011"/>
    <w:rsid w:val="5AF11EC8"/>
    <w:rsid w:val="5AF77819"/>
    <w:rsid w:val="5B0075B6"/>
    <w:rsid w:val="5B111E69"/>
    <w:rsid w:val="5B1769FD"/>
    <w:rsid w:val="5B2619EF"/>
    <w:rsid w:val="5B295FB0"/>
    <w:rsid w:val="5B305D11"/>
    <w:rsid w:val="5B345801"/>
    <w:rsid w:val="5B363095"/>
    <w:rsid w:val="5B3C0FA6"/>
    <w:rsid w:val="5B3C507F"/>
    <w:rsid w:val="5B440962"/>
    <w:rsid w:val="5B461903"/>
    <w:rsid w:val="5B51179D"/>
    <w:rsid w:val="5B6F4A8B"/>
    <w:rsid w:val="5B8C2182"/>
    <w:rsid w:val="5B9124C2"/>
    <w:rsid w:val="5B977B3E"/>
    <w:rsid w:val="5B993134"/>
    <w:rsid w:val="5B9A0A8F"/>
    <w:rsid w:val="5B9B294C"/>
    <w:rsid w:val="5BA50348"/>
    <w:rsid w:val="5BA830B6"/>
    <w:rsid w:val="5BC1645D"/>
    <w:rsid w:val="5BC621D1"/>
    <w:rsid w:val="5BC85C6B"/>
    <w:rsid w:val="5BCC2B28"/>
    <w:rsid w:val="5BDF5D95"/>
    <w:rsid w:val="5BFE7528"/>
    <w:rsid w:val="5BFF581E"/>
    <w:rsid w:val="5C020D75"/>
    <w:rsid w:val="5C044480"/>
    <w:rsid w:val="5C046914"/>
    <w:rsid w:val="5C0A68F9"/>
    <w:rsid w:val="5C0E6052"/>
    <w:rsid w:val="5C0F2C68"/>
    <w:rsid w:val="5C0F5926"/>
    <w:rsid w:val="5C1504DE"/>
    <w:rsid w:val="5C1B0F0A"/>
    <w:rsid w:val="5C3122D0"/>
    <w:rsid w:val="5C3B2BBF"/>
    <w:rsid w:val="5C425B40"/>
    <w:rsid w:val="5C453FA4"/>
    <w:rsid w:val="5C5A1297"/>
    <w:rsid w:val="5C5D1481"/>
    <w:rsid w:val="5C6B4AA6"/>
    <w:rsid w:val="5C851596"/>
    <w:rsid w:val="5C9612B9"/>
    <w:rsid w:val="5C985442"/>
    <w:rsid w:val="5CA73DB1"/>
    <w:rsid w:val="5CAF244F"/>
    <w:rsid w:val="5CB768C6"/>
    <w:rsid w:val="5CBE7B42"/>
    <w:rsid w:val="5CBF10FA"/>
    <w:rsid w:val="5CC22998"/>
    <w:rsid w:val="5CCD0D12"/>
    <w:rsid w:val="5CCD61CB"/>
    <w:rsid w:val="5CD51F7E"/>
    <w:rsid w:val="5CD7681B"/>
    <w:rsid w:val="5CDC7EFE"/>
    <w:rsid w:val="5CDD337D"/>
    <w:rsid w:val="5CE9036D"/>
    <w:rsid w:val="5CE943C9"/>
    <w:rsid w:val="5CE96AB8"/>
    <w:rsid w:val="5CF662A5"/>
    <w:rsid w:val="5D186DA5"/>
    <w:rsid w:val="5D1A5F8E"/>
    <w:rsid w:val="5D1F23C9"/>
    <w:rsid w:val="5D26561D"/>
    <w:rsid w:val="5D2967F0"/>
    <w:rsid w:val="5D303F19"/>
    <w:rsid w:val="5D47256A"/>
    <w:rsid w:val="5D545550"/>
    <w:rsid w:val="5D617650"/>
    <w:rsid w:val="5D663C6C"/>
    <w:rsid w:val="5D695D87"/>
    <w:rsid w:val="5D6B77D9"/>
    <w:rsid w:val="5D722610"/>
    <w:rsid w:val="5D7C4A1B"/>
    <w:rsid w:val="5D835DA4"/>
    <w:rsid w:val="5D8400BF"/>
    <w:rsid w:val="5D8410F1"/>
    <w:rsid w:val="5D851169"/>
    <w:rsid w:val="5D8D2FA6"/>
    <w:rsid w:val="5D8D3526"/>
    <w:rsid w:val="5DA45C25"/>
    <w:rsid w:val="5DA7029B"/>
    <w:rsid w:val="5DA86032"/>
    <w:rsid w:val="5DAA7FFC"/>
    <w:rsid w:val="5DB25C95"/>
    <w:rsid w:val="5DB76275"/>
    <w:rsid w:val="5DB87461"/>
    <w:rsid w:val="5DC32E6C"/>
    <w:rsid w:val="5DCF73F1"/>
    <w:rsid w:val="5DE66B5A"/>
    <w:rsid w:val="5DF02C3C"/>
    <w:rsid w:val="5DF17D07"/>
    <w:rsid w:val="5DF406CB"/>
    <w:rsid w:val="5DF45C30"/>
    <w:rsid w:val="5DF86B86"/>
    <w:rsid w:val="5DF9694A"/>
    <w:rsid w:val="5E021BE6"/>
    <w:rsid w:val="5E055233"/>
    <w:rsid w:val="5E0A0384"/>
    <w:rsid w:val="5E0C65C1"/>
    <w:rsid w:val="5E1271A8"/>
    <w:rsid w:val="5E1D4C3B"/>
    <w:rsid w:val="5E2467F1"/>
    <w:rsid w:val="5E263D0B"/>
    <w:rsid w:val="5E27682A"/>
    <w:rsid w:val="5E325998"/>
    <w:rsid w:val="5E35580D"/>
    <w:rsid w:val="5E3E3A04"/>
    <w:rsid w:val="5E453881"/>
    <w:rsid w:val="5E5C0A2E"/>
    <w:rsid w:val="5E5F57D9"/>
    <w:rsid w:val="5E6463FD"/>
    <w:rsid w:val="5E6B43FB"/>
    <w:rsid w:val="5E746D3A"/>
    <w:rsid w:val="5E846400"/>
    <w:rsid w:val="5E847CE6"/>
    <w:rsid w:val="5E8C7E9E"/>
    <w:rsid w:val="5E9A0327"/>
    <w:rsid w:val="5E9A5872"/>
    <w:rsid w:val="5EA031AD"/>
    <w:rsid w:val="5EAC08FB"/>
    <w:rsid w:val="5EAD6A4D"/>
    <w:rsid w:val="5EBF74DB"/>
    <w:rsid w:val="5EC10BD9"/>
    <w:rsid w:val="5ECD53BC"/>
    <w:rsid w:val="5ECD64F0"/>
    <w:rsid w:val="5ED052C1"/>
    <w:rsid w:val="5ED35331"/>
    <w:rsid w:val="5ED94431"/>
    <w:rsid w:val="5EDA7DE2"/>
    <w:rsid w:val="5EDD1354"/>
    <w:rsid w:val="5EE7474A"/>
    <w:rsid w:val="5EF90CE2"/>
    <w:rsid w:val="5F18146C"/>
    <w:rsid w:val="5F1815A1"/>
    <w:rsid w:val="5F1A2B43"/>
    <w:rsid w:val="5F1B2B11"/>
    <w:rsid w:val="5F224EC2"/>
    <w:rsid w:val="5F2479A8"/>
    <w:rsid w:val="5F2F3C61"/>
    <w:rsid w:val="5F3502E9"/>
    <w:rsid w:val="5F374522"/>
    <w:rsid w:val="5F40158F"/>
    <w:rsid w:val="5F417728"/>
    <w:rsid w:val="5F426012"/>
    <w:rsid w:val="5F49226B"/>
    <w:rsid w:val="5F4B4EC7"/>
    <w:rsid w:val="5F5E109E"/>
    <w:rsid w:val="5F611427"/>
    <w:rsid w:val="5F762DBA"/>
    <w:rsid w:val="5F7A475C"/>
    <w:rsid w:val="5F7D4849"/>
    <w:rsid w:val="5F7F2DC3"/>
    <w:rsid w:val="5F8A071A"/>
    <w:rsid w:val="5F8D1984"/>
    <w:rsid w:val="5F9347C8"/>
    <w:rsid w:val="5FA77839"/>
    <w:rsid w:val="5FB527AE"/>
    <w:rsid w:val="5FB837BB"/>
    <w:rsid w:val="5FB95E5F"/>
    <w:rsid w:val="5FC614C6"/>
    <w:rsid w:val="5FCE3E5E"/>
    <w:rsid w:val="5FD1399C"/>
    <w:rsid w:val="5FDE0A5B"/>
    <w:rsid w:val="5FE70BD1"/>
    <w:rsid w:val="5FE94095"/>
    <w:rsid w:val="5FEB66AA"/>
    <w:rsid w:val="5FEE6835"/>
    <w:rsid w:val="5FEE6D38"/>
    <w:rsid w:val="5FF46D36"/>
    <w:rsid w:val="6005776C"/>
    <w:rsid w:val="60101F30"/>
    <w:rsid w:val="60142EC5"/>
    <w:rsid w:val="60145E23"/>
    <w:rsid w:val="6017742A"/>
    <w:rsid w:val="601F5D28"/>
    <w:rsid w:val="60375E3E"/>
    <w:rsid w:val="603911C4"/>
    <w:rsid w:val="60544F6C"/>
    <w:rsid w:val="605B379C"/>
    <w:rsid w:val="605E0C2A"/>
    <w:rsid w:val="606E0B3C"/>
    <w:rsid w:val="607E0191"/>
    <w:rsid w:val="6083524C"/>
    <w:rsid w:val="608B3864"/>
    <w:rsid w:val="60972D03"/>
    <w:rsid w:val="609B06BE"/>
    <w:rsid w:val="60A129A5"/>
    <w:rsid w:val="60B57F7E"/>
    <w:rsid w:val="60C94BDE"/>
    <w:rsid w:val="60CC405A"/>
    <w:rsid w:val="60CE2BDC"/>
    <w:rsid w:val="60E25FF8"/>
    <w:rsid w:val="60ED1E67"/>
    <w:rsid w:val="610537C5"/>
    <w:rsid w:val="61061B74"/>
    <w:rsid w:val="610F74B2"/>
    <w:rsid w:val="61110DB5"/>
    <w:rsid w:val="61120392"/>
    <w:rsid w:val="611C35AA"/>
    <w:rsid w:val="611F7516"/>
    <w:rsid w:val="61257B48"/>
    <w:rsid w:val="61267457"/>
    <w:rsid w:val="612B7CA0"/>
    <w:rsid w:val="61333ED1"/>
    <w:rsid w:val="613748CD"/>
    <w:rsid w:val="614C3178"/>
    <w:rsid w:val="614C4DA4"/>
    <w:rsid w:val="614E73EE"/>
    <w:rsid w:val="61580AB1"/>
    <w:rsid w:val="6164634C"/>
    <w:rsid w:val="61706E67"/>
    <w:rsid w:val="61774699"/>
    <w:rsid w:val="617B4581"/>
    <w:rsid w:val="619D39D4"/>
    <w:rsid w:val="61AD00BB"/>
    <w:rsid w:val="61B74A96"/>
    <w:rsid w:val="61B75687"/>
    <w:rsid w:val="61BF3DDD"/>
    <w:rsid w:val="61C25FD2"/>
    <w:rsid w:val="61C277CE"/>
    <w:rsid w:val="61C86CA3"/>
    <w:rsid w:val="61CB0541"/>
    <w:rsid w:val="61CE2221"/>
    <w:rsid w:val="61D70210"/>
    <w:rsid w:val="61D72E65"/>
    <w:rsid w:val="61DC39D8"/>
    <w:rsid w:val="61DC44EC"/>
    <w:rsid w:val="61DE5D37"/>
    <w:rsid w:val="61E17D65"/>
    <w:rsid w:val="61E215D8"/>
    <w:rsid w:val="61E91312"/>
    <w:rsid w:val="61F04433"/>
    <w:rsid w:val="61F77588"/>
    <w:rsid w:val="62040A2E"/>
    <w:rsid w:val="62151957"/>
    <w:rsid w:val="621604FF"/>
    <w:rsid w:val="62193498"/>
    <w:rsid w:val="621B3775"/>
    <w:rsid w:val="622540F5"/>
    <w:rsid w:val="623205C0"/>
    <w:rsid w:val="62364782"/>
    <w:rsid w:val="624204D3"/>
    <w:rsid w:val="624B588B"/>
    <w:rsid w:val="62555298"/>
    <w:rsid w:val="626A76BB"/>
    <w:rsid w:val="627B3C63"/>
    <w:rsid w:val="628506B4"/>
    <w:rsid w:val="628A3F58"/>
    <w:rsid w:val="628F2015"/>
    <w:rsid w:val="629628FD"/>
    <w:rsid w:val="629B183E"/>
    <w:rsid w:val="62A81381"/>
    <w:rsid w:val="62AF376B"/>
    <w:rsid w:val="62B20D9C"/>
    <w:rsid w:val="62BB2364"/>
    <w:rsid w:val="62D3036B"/>
    <w:rsid w:val="62D602F2"/>
    <w:rsid w:val="62F64A26"/>
    <w:rsid w:val="62F6792A"/>
    <w:rsid w:val="62FD2816"/>
    <w:rsid w:val="63097573"/>
    <w:rsid w:val="631B2E02"/>
    <w:rsid w:val="632550B7"/>
    <w:rsid w:val="632829E2"/>
    <w:rsid w:val="632B4AC2"/>
    <w:rsid w:val="633B34A5"/>
    <w:rsid w:val="633B4A20"/>
    <w:rsid w:val="633F13EC"/>
    <w:rsid w:val="63426FCC"/>
    <w:rsid w:val="63452AE3"/>
    <w:rsid w:val="634F1B41"/>
    <w:rsid w:val="63534C92"/>
    <w:rsid w:val="636339C6"/>
    <w:rsid w:val="636447A9"/>
    <w:rsid w:val="6367429A"/>
    <w:rsid w:val="6369376B"/>
    <w:rsid w:val="636A7EAB"/>
    <w:rsid w:val="636D354D"/>
    <w:rsid w:val="63760293"/>
    <w:rsid w:val="637623B5"/>
    <w:rsid w:val="638345D0"/>
    <w:rsid w:val="63843AA9"/>
    <w:rsid w:val="63871156"/>
    <w:rsid w:val="638B442C"/>
    <w:rsid w:val="6394356A"/>
    <w:rsid w:val="639B7BD6"/>
    <w:rsid w:val="639D31EB"/>
    <w:rsid w:val="63A85BD9"/>
    <w:rsid w:val="63A94710"/>
    <w:rsid w:val="63B15515"/>
    <w:rsid w:val="63B85707"/>
    <w:rsid w:val="63BC7657"/>
    <w:rsid w:val="63C61B2C"/>
    <w:rsid w:val="63CD4BDA"/>
    <w:rsid w:val="63D40BE9"/>
    <w:rsid w:val="63D763D0"/>
    <w:rsid w:val="63D95197"/>
    <w:rsid w:val="63E21890"/>
    <w:rsid w:val="63E56E61"/>
    <w:rsid w:val="63E923CB"/>
    <w:rsid w:val="63EF118B"/>
    <w:rsid w:val="6401453F"/>
    <w:rsid w:val="64073FC8"/>
    <w:rsid w:val="640A2189"/>
    <w:rsid w:val="64102431"/>
    <w:rsid w:val="64163F89"/>
    <w:rsid w:val="64234664"/>
    <w:rsid w:val="64264155"/>
    <w:rsid w:val="64287ECD"/>
    <w:rsid w:val="64315F99"/>
    <w:rsid w:val="643229C8"/>
    <w:rsid w:val="643957F1"/>
    <w:rsid w:val="64414AEB"/>
    <w:rsid w:val="644724BF"/>
    <w:rsid w:val="64542A70"/>
    <w:rsid w:val="645544BE"/>
    <w:rsid w:val="6472739A"/>
    <w:rsid w:val="64770DAE"/>
    <w:rsid w:val="647B2352"/>
    <w:rsid w:val="647B624F"/>
    <w:rsid w:val="64824B42"/>
    <w:rsid w:val="64850E7B"/>
    <w:rsid w:val="648B5B81"/>
    <w:rsid w:val="64917F83"/>
    <w:rsid w:val="649221DF"/>
    <w:rsid w:val="64A2200C"/>
    <w:rsid w:val="64A31746"/>
    <w:rsid w:val="64A5243A"/>
    <w:rsid w:val="64A83A6C"/>
    <w:rsid w:val="64A85A82"/>
    <w:rsid w:val="64AC465A"/>
    <w:rsid w:val="64AD3F2E"/>
    <w:rsid w:val="64BF4DED"/>
    <w:rsid w:val="64C93ECA"/>
    <w:rsid w:val="64CD6821"/>
    <w:rsid w:val="64D771FD"/>
    <w:rsid w:val="64E04304"/>
    <w:rsid w:val="64E60F7F"/>
    <w:rsid w:val="64F20531"/>
    <w:rsid w:val="64F531DE"/>
    <w:rsid w:val="650B3A0C"/>
    <w:rsid w:val="650F1A5D"/>
    <w:rsid w:val="65205629"/>
    <w:rsid w:val="65235ED9"/>
    <w:rsid w:val="65267CFC"/>
    <w:rsid w:val="653228A3"/>
    <w:rsid w:val="65373578"/>
    <w:rsid w:val="653D45D2"/>
    <w:rsid w:val="65451ACC"/>
    <w:rsid w:val="654A5B37"/>
    <w:rsid w:val="655A242F"/>
    <w:rsid w:val="655D3558"/>
    <w:rsid w:val="655E75A8"/>
    <w:rsid w:val="65695A1C"/>
    <w:rsid w:val="656C203B"/>
    <w:rsid w:val="65703021"/>
    <w:rsid w:val="6576421D"/>
    <w:rsid w:val="657809E0"/>
    <w:rsid w:val="65791F4E"/>
    <w:rsid w:val="657C0CFB"/>
    <w:rsid w:val="65832956"/>
    <w:rsid w:val="659E4D09"/>
    <w:rsid w:val="659F21F0"/>
    <w:rsid w:val="65A45331"/>
    <w:rsid w:val="65AD00C0"/>
    <w:rsid w:val="65AD60A7"/>
    <w:rsid w:val="65BC1E48"/>
    <w:rsid w:val="65BD7A51"/>
    <w:rsid w:val="65D248F6"/>
    <w:rsid w:val="65E47E23"/>
    <w:rsid w:val="65F809FF"/>
    <w:rsid w:val="660027F1"/>
    <w:rsid w:val="66034420"/>
    <w:rsid w:val="66036FE2"/>
    <w:rsid w:val="660D56B7"/>
    <w:rsid w:val="6626795D"/>
    <w:rsid w:val="66286CD3"/>
    <w:rsid w:val="662D36E2"/>
    <w:rsid w:val="663F2EF7"/>
    <w:rsid w:val="66454C79"/>
    <w:rsid w:val="665F41A2"/>
    <w:rsid w:val="667635FA"/>
    <w:rsid w:val="66805D9E"/>
    <w:rsid w:val="669C425A"/>
    <w:rsid w:val="669D3016"/>
    <w:rsid w:val="66A601AC"/>
    <w:rsid w:val="66AB175B"/>
    <w:rsid w:val="66AB2F71"/>
    <w:rsid w:val="66AB639F"/>
    <w:rsid w:val="66AE0620"/>
    <w:rsid w:val="66BA1819"/>
    <w:rsid w:val="66C22463"/>
    <w:rsid w:val="66CF4630"/>
    <w:rsid w:val="66E05FA6"/>
    <w:rsid w:val="66E11508"/>
    <w:rsid w:val="66F57901"/>
    <w:rsid w:val="66F810A2"/>
    <w:rsid w:val="66F9395E"/>
    <w:rsid w:val="66FB3E37"/>
    <w:rsid w:val="67042FDB"/>
    <w:rsid w:val="67053094"/>
    <w:rsid w:val="6715797F"/>
    <w:rsid w:val="671604B0"/>
    <w:rsid w:val="67191CD7"/>
    <w:rsid w:val="671C79D7"/>
    <w:rsid w:val="671F124A"/>
    <w:rsid w:val="67216E80"/>
    <w:rsid w:val="67284204"/>
    <w:rsid w:val="6731099D"/>
    <w:rsid w:val="67335D67"/>
    <w:rsid w:val="673921D1"/>
    <w:rsid w:val="673E2598"/>
    <w:rsid w:val="674C013B"/>
    <w:rsid w:val="674C5C80"/>
    <w:rsid w:val="675F0460"/>
    <w:rsid w:val="67605A5A"/>
    <w:rsid w:val="6764082F"/>
    <w:rsid w:val="67700F1C"/>
    <w:rsid w:val="6778148D"/>
    <w:rsid w:val="677A33C6"/>
    <w:rsid w:val="678278F4"/>
    <w:rsid w:val="6784541A"/>
    <w:rsid w:val="678B25BA"/>
    <w:rsid w:val="67937A3D"/>
    <w:rsid w:val="67BE19D6"/>
    <w:rsid w:val="67C312AD"/>
    <w:rsid w:val="67CB11AE"/>
    <w:rsid w:val="67D619EE"/>
    <w:rsid w:val="67DB02A6"/>
    <w:rsid w:val="67E75799"/>
    <w:rsid w:val="67EB0E87"/>
    <w:rsid w:val="67F27A65"/>
    <w:rsid w:val="67F6528F"/>
    <w:rsid w:val="67FB1B7E"/>
    <w:rsid w:val="68000819"/>
    <w:rsid w:val="68064081"/>
    <w:rsid w:val="681232EC"/>
    <w:rsid w:val="681943BC"/>
    <w:rsid w:val="681A18DB"/>
    <w:rsid w:val="681A3612"/>
    <w:rsid w:val="681A7646"/>
    <w:rsid w:val="681F6961"/>
    <w:rsid w:val="6821545C"/>
    <w:rsid w:val="6825011B"/>
    <w:rsid w:val="682D1897"/>
    <w:rsid w:val="68304E69"/>
    <w:rsid w:val="68305636"/>
    <w:rsid w:val="68451E71"/>
    <w:rsid w:val="68531C91"/>
    <w:rsid w:val="686023E2"/>
    <w:rsid w:val="68610A2F"/>
    <w:rsid w:val="686226DB"/>
    <w:rsid w:val="68805514"/>
    <w:rsid w:val="68837FD6"/>
    <w:rsid w:val="6885603B"/>
    <w:rsid w:val="68894AFD"/>
    <w:rsid w:val="689C0FA2"/>
    <w:rsid w:val="68B51829"/>
    <w:rsid w:val="68BA116D"/>
    <w:rsid w:val="68BC67E4"/>
    <w:rsid w:val="68BF4B7A"/>
    <w:rsid w:val="68C16F60"/>
    <w:rsid w:val="68C22923"/>
    <w:rsid w:val="68C40A85"/>
    <w:rsid w:val="68D306AF"/>
    <w:rsid w:val="68DD6592"/>
    <w:rsid w:val="68DD7EDB"/>
    <w:rsid w:val="68E13F49"/>
    <w:rsid w:val="68E13F70"/>
    <w:rsid w:val="68E50D27"/>
    <w:rsid w:val="68E55A1F"/>
    <w:rsid w:val="68F17EB2"/>
    <w:rsid w:val="68F93778"/>
    <w:rsid w:val="68FB69AC"/>
    <w:rsid w:val="6901242C"/>
    <w:rsid w:val="69142D7A"/>
    <w:rsid w:val="691602F4"/>
    <w:rsid w:val="6923634F"/>
    <w:rsid w:val="69294999"/>
    <w:rsid w:val="692E7D33"/>
    <w:rsid w:val="693115D2"/>
    <w:rsid w:val="69316E2F"/>
    <w:rsid w:val="693B6868"/>
    <w:rsid w:val="69401443"/>
    <w:rsid w:val="6940327E"/>
    <w:rsid w:val="6942733B"/>
    <w:rsid w:val="69467F71"/>
    <w:rsid w:val="694E2071"/>
    <w:rsid w:val="69553C11"/>
    <w:rsid w:val="69561384"/>
    <w:rsid w:val="69590704"/>
    <w:rsid w:val="69686408"/>
    <w:rsid w:val="696E471E"/>
    <w:rsid w:val="69766163"/>
    <w:rsid w:val="697A3B33"/>
    <w:rsid w:val="697B2D3C"/>
    <w:rsid w:val="69895945"/>
    <w:rsid w:val="698C463A"/>
    <w:rsid w:val="69967687"/>
    <w:rsid w:val="699D3C78"/>
    <w:rsid w:val="69AF1C0D"/>
    <w:rsid w:val="69B76804"/>
    <w:rsid w:val="69BD3298"/>
    <w:rsid w:val="69CB598D"/>
    <w:rsid w:val="69D106BF"/>
    <w:rsid w:val="69D44760"/>
    <w:rsid w:val="69D75182"/>
    <w:rsid w:val="69D930A1"/>
    <w:rsid w:val="69DD0D02"/>
    <w:rsid w:val="69DD3507"/>
    <w:rsid w:val="69DD7345"/>
    <w:rsid w:val="69ED0F76"/>
    <w:rsid w:val="69F30635"/>
    <w:rsid w:val="6A092CB0"/>
    <w:rsid w:val="6A0A6348"/>
    <w:rsid w:val="6A0E3E33"/>
    <w:rsid w:val="6A142D3C"/>
    <w:rsid w:val="6A2069F6"/>
    <w:rsid w:val="6A2825AD"/>
    <w:rsid w:val="6A2B7301"/>
    <w:rsid w:val="6A305323"/>
    <w:rsid w:val="6A4728D8"/>
    <w:rsid w:val="6A4C3E1C"/>
    <w:rsid w:val="6A520EC7"/>
    <w:rsid w:val="6A733103"/>
    <w:rsid w:val="6A780118"/>
    <w:rsid w:val="6A874925"/>
    <w:rsid w:val="6A964135"/>
    <w:rsid w:val="6A9950DE"/>
    <w:rsid w:val="6A9C3ED8"/>
    <w:rsid w:val="6AA47B81"/>
    <w:rsid w:val="6AB21ECF"/>
    <w:rsid w:val="6ABB15B5"/>
    <w:rsid w:val="6ABB2DD0"/>
    <w:rsid w:val="6ABD7D4C"/>
    <w:rsid w:val="6ABE50E7"/>
    <w:rsid w:val="6AD631DB"/>
    <w:rsid w:val="6ADB7A47"/>
    <w:rsid w:val="6AF2635D"/>
    <w:rsid w:val="6AF27B8C"/>
    <w:rsid w:val="6AF87E20"/>
    <w:rsid w:val="6AF91C7B"/>
    <w:rsid w:val="6B002807"/>
    <w:rsid w:val="6B013226"/>
    <w:rsid w:val="6B031A80"/>
    <w:rsid w:val="6B164461"/>
    <w:rsid w:val="6B2A075F"/>
    <w:rsid w:val="6B322639"/>
    <w:rsid w:val="6B423310"/>
    <w:rsid w:val="6B4548E0"/>
    <w:rsid w:val="6B480E55"/>
    <w:rsid w:val="6B534A22"/>
    <w:rsid w:val="6B6749AF"/>
    <w:rsid w:val="6B700FA8"/>
    <w:rsid w:val="6B80414A"/>
    <w:rsid w:val="6B97756C"/>
    <w:rsid w:val="6BA8033A"/>
    <w:rsid w:val="6BAF40AC"/>
    <w:rsid w:val="6BB34520"/>
    <w:rsid w:val="6BB40298"/>
    <w:rsid w:val="6BB71229"/>
    <w:rsid w:val="6BBC5C13"/>
    <w:rsid w:val="6BCA4792"/>
    <w:rsid w:val="6BDB0948"/>
    <w:rsid w:val="6BEB6328"/>
    <w:rsid w:val="6BF6605B"/>
    <w:rsid w:val="6BF9053F"/>
    <w:rsid w:val="6C2B055A"/>
    <w:rsid w:val="6C2B2882"/>
    <w:rsid w:val="6C343FE7"/>
    <w:rsid w:val="6C3A69EF"/>
    <w:rsid w:val="6C3C4104"/>
    <w:rsid w:val="6C42579D"/>
    <w:rsid w:val="6C45685B"/>
    <w:rsid w:val="6C487252"/>
    <w:rsid w:val="6C5C7A22"/>
    <w:rsid w:val="6C636C38"/>
    <w:rsid w:val="6C702411"/>
    <w:rsid w:val="6C8D1356"/>
    <w:rsid w:val="6C934B84"/>
    <w:rsid w:val="6CAF118B"/>
    <w:rsid w:val="6CB467A2"/>
    <w:rsid w:val="6CC0451D"/>
    <w:rsid w:val="6CCC33F6"/>
    <w:rsid w:val="6CCE3443"/>
    <w:rsid w:val="6CE10C19"/>
    <w:rsid w:val="6CEA74FF"/>
    <w:rsid w:val="6CF30D5D"/>
    <w:rsid w:val="6D001653"/>
    <w:rsid w:val="6D052A92"/>
    <w:rsid w:val="6D056FEF"/>
    <w:rsid w:val="6D1D2973"/>
    <w:rsid w:val="6D2437F8"/>
    <w:rsid w:val="6D30394E"/>
    <w:rsid w:val="6D315B34"/>
    <w:rsid w:val="6D3C6CC4"/>
    <w:rsid w:val="6D400035"/>
    <w:rsid w:val="6D495027"/>
    <w:rsid w:val="6D561607"/>
    <w:rsid w:val="6D60479B"/>
    <w:rsid w:val="6D6E4110"/>
    <w:rsid w:val="6D6F4477"/>
    <w:rsid w:val="6D716441"/>
    <w:rsid w:val="6D7221B9"/>
    <w:rsid w:val="6D7472EA"/>
    <w:rsid w:val="6D827BAE"/>
    <w:rsid w:val="6D8B6DD7"/>
    <w:rsid w:val="6D906DD5"/>
    <w:rsid w:val="6DA32372"/>
    <w:rsid w:val="6DB34098"/>
    <w:rsid w:val="6DB545B6"/>
    <w:rsid w:val="6DBB4BFB"/>
    <w:rsid w:val="6DC44239"/>
    <w:rsid w:val="6DCE5641"/>
    <w:rsid w:val="6DCE6BF2"/>
    <w:rsid w:val="6DE02FB4"/>
    <w:rsid w:val="6DE81AC0"/>
    <w:rsid w:val="6DEC47E1"/>
    <w:rsid w:val="6E014891"/>
    <w:rsid w:val="6E0A7F32"/>
    <w:rsid w:val="6E166FE8"/>
    <w:rsid w:val="6E302B36"/>
    <w:rsid w:val="6E455F22"/>
    <w:rsid w:val="6E4A6DAE"/>
    <w:rsid w:val="6E4E22DE"/>
    <w:rsid w:val="6E514CED"/>
    <w:rsid w:val="6E522C25"/>
    <w:rsid w:val="6E5F4335"/>
    <w:rsid w:val="6E693F43"/>
    <w:rsid w:val="6E6B5ADD"/>
    <w:rsid w:val="6E7A21AF"/>
    <w:rsid w:val="6E7A2A0E"/>
    <w:rsid w:val="6E851A78"/>
    <w:rsid w:val="6E896EA8"/>
    <w:rsid w:val="6E9F307A"/>
    <w:rsid w:val="6EA01056"/>
    <w:rsid w:val="6EA05E5C"/>
    <w:rsid w:val="6EB02F99"/>
    <w:rsid w:val="6EB563D5"/>
    <w:rsid w:val="6EB84995"/>
    <w:rsid w:val="6EB945FB"/>
    <w:rsid w:val="6EC74B56"/>
    <w:rsid w:val="6ED02582"/>
    <w:rsid w:val="6ED92677"/>
    <w:rsid w:val="6EE3511C"/>
    <w:rsid w:val="6EE55678"/>
    <w:rsid w:val="6EE90986"/>
    <w:rsid w:val="6EE92007"/>
    <w:rsid w:val="6EF6073B"/>
    <w:rsid w:val="6F04446E"/>
    <w:rsid w:val="6F173018"/>
    <w:rsid w:val="6F225983"/>
    <w:rsid w:val="6F287F6F"/>
    <w:rsid w:val="6F377216"/>
    <w:rsid w:val="6F420EF4"/>
    <w:rsid w:val="6F4247C4"/>
    <w:rsid w:val="6F5805B7"/>
    <w:rsid w:val="6F5B7D32"/>
    <w:rsid w:val="6F651FD5"/>
    <w:rsid w:val="6F656CDC"/>
    <w:rsid w:val="6F720FF8"/>
    <w:rsid w:val="6F7246F2"/>
    <w:rsid w:val="6F742218"/>
    <w:rsid w:val="6F747259"/>
    <w:rsid w:val="6F7C7C3D"/>
    <w:rsid w:val="6F834209"/>
    <w:rsid w:val="6F842A15"/>
    <w:rsid w:val="6F946416"/>
    <w:rsid w:val="6F992A76"/>
    <w:rsid w:val="6F9A3937"/>
    <w:rsid w:val="6FAC1096"/>
    <w:rsid w:val="6FAD74D8"/>
    <w:rsid w:val="6FB46AB9"/>
    <w:rsid w:val="6FC00FB9"/>
    <w:rsid w:val="6FC62348"/>
    <w:rsid w:val="6FD256EB"/>
    <w:rsid w:val="6FE5272B"/>
    <w:rsid w:val="6FE8518E"/>
    <w:rsid w:val="6FEA24DA"/>
    <w:rsid w:val="6FEE436C"/>
    <w:rsid w:val="6FEF189F"/>
    <w:rsid w:val="6FFB0CA0"/>
    <w:rsid w:val="6FFC5590"/>
    <w:rsid w:val="70003D90"/>
    <w:rsid w:val="700417EE"/>
    <w:rsid w:val="700A5D51"/>
    <w:rsid w:val="701C34FD"/>
    <w:rsid w:val="701F3DAE"/>
    <w:rsid w:val="70231548"/>
    <w:rsid w:val="702851B6"/>
    <w:rsid w:val="702966B0"/>
    <w:rsid w:val="703B5010"/>
    <w:rsid w:val="704D1BB3"/>
    <w:rsid w:val="70504EE3"/>
    <w:rsid w:val="70671D7D"/>
    <w:rsid w:val="706856BC"/>
    <w:rsid w:val="706D1DD0"/>
    <w:rsid w:val="7073737B"/>
    <w:rsid w:val="707945F2"/>
    <w:rsid w:val="707D6CFE"/>
    <w:rsid w:val="70820965"/>
    <w:rsid w:val="70856B87"/>
    <w:rsid w:val="70871AD7"/>
    <w:rsid w:val="70873A01"/>
    <w:rsid w:val="708D0632"/>
    <w:rsid w:val="708D0CC5"/>
    <w:rsid w:val="7098222D"/>
    <w:rsid w:val="709A0BC4"/>
    <w:rsid w:val="70A2124C"/>
    <w:rsid w:val="70A42F80"/>
    <w:rsid w:val="70AD3C34"/>
    <w:rsid w:val="70B0102E"/>
    <w:rsid w:val="70B14DA6"/>
    <w:rsid w:val="70BD6F53"/>
    <w:rsid w:val="70C44AD9"/>
    <w:rsid w:val="70C71BC5"/>
    <w:rsid w:val="70D527EE"/>
    <w:rsid w:val="70DA1F96"/>
    <w:rsid w:val="70DC2A92"/>
    <w:rsid w:val="70E042A1"/>
    <w:rsid w:val="70E96F9C"/>
    <w:rsid w:val="71033AE0"/>
    <w:rsid w:val="710B6BAC"/>
    <w:rsid w:val="710C3FE4"/>
    <w:rsid w:val="711E68DF"/>
    <w:rsid w:val="71201B49"/>
    <w:rsid w:val="71215AFF"/>
    <w:rsid w:val="71290DE0"/>
    <w:rsid w:val="71314370"/>
    <w:rsid w:val="71325012"/>
    <w:rsid w:val="71420B55"/>
    <w:rsid w:val="714D30AE"/>
    <w:rsid w:val="715A543E"/>
    <w:rsid w:val="715B5300"/>
    <w:rsid w:val="7160289B"/>
    <w:rsid w:val="716158DB"/>
    <w:rsid w:val="716C61FC"/>
    <w:rsid w:val="716D10DD"/>
    <w:rsid w:val="71896B4C"/>
    <w:rsid w:val="71925D28"/>
    <w:rsid w:val="719D1DA6"/>
    <w:rsid w:val="719E17CE"/>
    <w:rsid w:val="719E25CC"/>
    <w:rsid w:val="71A26F30"/>
    <w:rsid w:val="71A33B87"/>
    <w:rsid w:val="71A442F1"/>
    <w:rsid w:val="71AF334B"/>
    <w:rsid w:val="71C50F80"/>
    <w:rsid w:val="71C54335"/>
    <w:rsid w:val="71CB23A3"/>
    <w:rsid w:val="71CF6311"/>
    <w:rsid w:val="71D1530D"/>
    <w:rsid w:val="71D27F8A"/>
    <w:rsid w:val="71DB1FBC"/>
    <w:rsid w:val="71DF320F"/>
    <w:rsid w:val="71E17B50"/>
    <w:rsid w:val="71E371E1"/>
    <w:rsid w:val="71E829A7"/>
    <w:rsid w:val="71ED7727"/>
    <w:rsid w:val="71FA2269"/>
    <w:rsid w:val="71FE7167"/>
    <w:rsid w:val="720338CA"/>
    <w:rsid w:val="720B5EA7"/>
    <w:rsid w:val="7212767E"/>
    <w:rsid w:val="72277CC7"/>
    <w:rsid w:val="722E0A35"/>
    <w:rsid w:val="72312642"/>
    <w:rsid w:val="72391175"/>
    <w:rsid w:val="72393B1B"/>
    <w:rsid w:val="723E3948"/>
    <w:rsid w:val="7243433A"/>
    <w:rsid w:val="724C35E6"/>
    <w:rsid w:val="72553024"/>
    <w:rsid w:val="725D3437"/>
    <w:rsid w:val="72690611"/>
    <w:rsid w:val="727F45A8"/>
    <w:rsid w:val="72815739"/>
    <w:rsid w:val="728A13AF"/>
    <w:rsid w:val="729447A4"/>
    <w:rsid w:val="72A21935"/>
    <w:rsid w:val="72A7433D"/>
    <w:rsid w:val="72AA5080"/>
    <w:rsid w:val="72C47013"/>
    <w:rsid w:val="72D2478B"/>
    <w:rsid w:val="72D305D9"/>
    <w:rsid w:val="72DD1E82"/>
    <w:rsid w:val="72DF772F"/>
    <w:rsid w:val="72E107E0"/>
    <w:rsid w:val="72E17BC5"/>
    <w:rsid w:val="72E82F61"/>
    <w:rsid w:val="72EF5723"/>
    <w:rsid w:val="72F1592E"/>
    <w:rsid w:val="72FA6ED8"/>
    <w:rsid w:val="730309B3"/>
    <w:rsid w:val="73093B02"/>
    <w:rsid w:val="73122968"/>
    <w:rsid w:val="731F5D5E"/>
    <w:rsid w:val="73295F24"/>
    <w:rsid w:val="732A3A85"/>
    <w:rsid w:val="732F18A5"/>
    <w:rsid w:val="734343DB"/>
    <w:rsid w:val="73530536"/>
    <w:rsid w:val="735465E8"/>
    <w:rsid w:val="73641F8C"/>
    <w:rsid w:val="736F3422"/>
    <w:rsid w:val="737A5699"/>
    <w:rsid w:val="737C06FC"/>
    <w:rsid w:val="73833A6E"/>
    <w:rsid w:val="73842CB0"/>
    <w:rsid w:val="73AD43B3"/>
    <w:rsid w:val="73AE5CC9"/>
    <w:rsid w:val="73AF7670"/>
    <w:rsid w:val="73BD5FCC"/>
    <w:rsid w:val="73C51AD5"/>
    <w:rsid w:val="73CC6CA5"/>
    <w:rsid w:val="73CF6A1B"/>
    <w:rsid w:val="73D50144"/>
    <w:rsid w:val="73F25E01"/>
    <w:rsid w:val="73F86908"/>
    <w:rsid w:val="74024296"/>
    <w:rsid w:val="74030359"/>
    <w:rsid w:val="740C2BAD"/>
    <w:rsid w:val="74156C0C"/>
    <w:rsid w:val="741D60E7"/>
    <w:rsid w:val="741E793C"/>
    <w:rsid w:val="744463F3"/>
    <w:rsid w:val="744B6BEE"/>
    <w:rsid w:val="744D6EFB"/>
    <w:rsid w:val="74542618"/>
    <w:rsid w:val="745641D9"/>
    <w:rsid w:val="745D45FF"/>
    <w:rsid w:val="745E3944"/>
    <w:rsid w:val="74622532"/>
    <w:rsid w:val="746265F9"/>
    <w:rsid w:val="7467234B"/>
    <w:rsid w:val="746C7CA8"/>
    <w:rsid w:val="74715A2C"/>
    <w:rsid w:val="7482436D"/>
    <w:rsid w:val="74842EFD"/>
    <w:rsid w:val="74866CC7"/>
    <w:rsid w:val="74897266"/>
    <w:rsid w:val="749B0247"/>
    <w:rsid w:val="749F787C"/>
    <w:rsid w:val="74AC6666"/>
    <w:rsid w:val="74B5116F"/>
    <w:rsid w:val="74B97CDB"/>
    <w:rsid w:val="74BE4261"/>
    <w:rsid w:val="74C031CD"/>
    <w:rsid w:val="74C257D4"/>
    <w:rsid w:val="74C43FE4"/>
    <w:rsid w:val="74C57072"/>
    <w:rsid w:val="74CE5DEF"/>
    <w:rsid w:val="74D13E3E"/>
    <w:rsid w:val="74EF3F9F"/>
    <w:rsid w:val="74F529F2"/>
    <w:rsid w:val="74FD05BA"/>
    <w:rsid w:val="751275F4"/>
    <w:rsid w:val="75140D38"/>
    <w:rsid w:val="75205D9A"/>
    <w:rsid w:val="75265D63"/>
    <w:rsid w:val="75345731"/>
    <w:rsid w:val="75456FFC"/>
    <w:rsid w:val="75585B0E"/>
    <w:rsid w:val="75662603"/>
    <w:rsid w:val="7569258E"/>
    <w:rsid w:val="75752F8D"/>
    <w:rsid w:val="75786F12"/>
    <w:rsid w:val="757D0F1B"/>
    <w:rsid w:val="757E5B9F"/>
    <w:rsid w:val="757F0B28"/>
    <w:rsid w:val="75927037"/>
    <w:rsid w:val="75975B91"/>
    <w:rsid w:val="759D2027"/>
    <w:rsid w:val="759D409B"/>
    <w:rsid w:val="75A126E1"/>
    <w:rsid w:val="75AC31E1"/>
    <w:rsid w:val="75B23A9A"/>
    <w:rsid w:val="75B32764"/>
    <w:rsid w:val="75B34170"/>
    <w:rsid w:val="75B52C54"/>
    <w:rsid w:val="75B909E3"/>
    <w:rsid w:val="75C03A54"/>
    <w:rsid w:val="75C612F4"/>
    <w:rsid w:val="75CA1C7B"/>
    <w:rsid w:val="75DD762C"/>
    <w:rsid w:val="75F22F33"/>
    <w:rsid w:val="7601057E"/>
    <w:rsid w:val="76045978"/>
    <w:rsid w:val="760472A1"/>
    <w:rsid w:val="761024BB"/>
    <w:rsid w:val="76144E41"/>
    <w:rsid w:val="76155113"/>
    <w:rsid w:val="761D616A"/>
    <w:rsid w:val="7621477C"/>
    <w:rsid w:val="762229CE"/>
    <w:rsid w:val="762451EA"/>
    <w:rsid w:val="76282643"/>
    <w:rsid w:val="762D1373"/>
    <w:rsid w:val="762F092F"/>
    <w:rsid w:val="7635099D"/>
    <w:rsid w:val="76404C02"/>
    <w:rsid w:val="765863F0"/>
    <w:rsid w:val="76684159"/>
    <w:rsid w:val="76685F07"/>
    <w:rsid w:val="7671125F"/>
    <w:rsid w:val="7673058E"/>
    <w:rsid w:val="767821B1"/>
    <w:rsid w:val="768A0F6F"/>
    <w:rsid w:val="76906E66"/>
    <w:rsid w:val="76911902"/>
    <w:rsid w:val="7691545E"/>
    <w:rsid w:val="76933041"/>
    <w:rsid w:val="769A1C06"/>
    <w:rsid w:val="76BD44A5"/>
    <w:rsid w:val="76C47022"/>
    <w:rsid w:val="76C94A5B"/>
    <w:rsid w:val="76D208F4"/>
    <w:rsid w:val="76E01F41"/>
    <w:rsid w:val="76F57C54"/>
    <w:rsid w:val="76F83289"/>
    <w:rsid w:val="76FF24C3"/>
    <w:rsid w:val="770548E4"/>
    <w:rsid w:val="7712347D"/>
    <w:rsid w:val="771948E4"/>
    <w:rsid w:val="771953B8"/>
    <w:rsid w:val="772C0835"/>
    <w:rsid w:val="773E720C"/>
    <w:rsid w:val="77516CA3"/>
    <w:rsid w:val="77553269"/>
    <w:rsid w:val="77563501"/>
    <w:rsid w:val="775A7F45"/>
    <w:rsid w:val="775B2C07"/>
    <w:rsid w:val="776B2153"/>
    <w:rsid w:val="776B3A31"/>
    <w:rsid w:val="776D5ECB"/>
    <w:rsid w:val="7774454F"/>
    <w:rsid w:val="77762421"/>
    <w:rsid w:val="778D15C0"/>
    <w:rsid w:val="77970C59"/>
    <w:rsid w:val="77A677F0"/>
    <w:rsid w:val="77A92677"/>
    <w:rsid w:val="77AE203F"/>
    <w:rsid w:val="77B27D81"/>
    <w:rsid w:val="77B56B1F"/>
    <w:rsid w:val="77BD0ACC"/>
    <w:rsid w:val="77C522E0"/>
    <w:rsid w:val="77D56EBC"/>
    <w:rsid w:val="77DF1BEA"/>
    <w:rsid w:val="77ED0728"/>
    <w:rsid w:val="77F03C03"/>
    <w:rsid w:val="77F4039A"/>
    <w:rsid w:val="77F93F69"/>
    <w:rsid w:val="77FC6364"/>
    <w:rsid w:val="780B7492"/>
    <w:rsid w:val="780F09F4"/>
    <w:rsid w:val="781379F5"/>
    <w:rsid w:val="781E6817"/>
    <w:rsid w:val="781F6CC7"/>
    <w:rsid w:val="7826607A"/>
    <w:rsid w:val="782859AC"/>
    <w:rsid w:val="782E34CF"/>
    <w:rsid w:val="783267CC"/>
    <w:rsid w:val="78372663"/>
    <w:rsid w:val="783C3B9C"/>
    <w:rsid w:val="785B3F75"/>
    <w:rsid w:val="7876453C"/>
    <w:rsid w:val="78823229"/>
    <w:rsid w:val="788627DB"/>
    <w:rsid w:val="78A90480"/>
    <w:rsid w:val="78A969F2"/>
    <w:rsid w:val="78AA2018"/>
    <w:rsid w:val="78B13B17"/>
    <w:rsid w:val="78B44E91"/>
    <w:rsid w:val="78BB46F9"/>
    <w:rsid w:val="78C657D8"/>
    <w:rsid w:val="78CD2184"/>
    <w:rsid w:val="78D21041"/>
    <w:rsid w:val="78DA7590"/>
    <w:rsid w:val="78E65B43"/>
    <w:rsid w:val="78F5185E"/>
    <w:rsid w:val="790463BB"/>
    <w:rsid w:val="790E2F6A"/>
    <w:rsid w:val="791C749F"/>
    <w:rsid w:val="79201516"/>
    <w:rsid w:val="792076FE"/>
    <w:rsid w:val="79246A5D"/>
    <w:rsid w:val="79270F41"/>
    <w:rsid w:val="79393B8B"/>
    <w:rsid w:val="79442C5B"/>
    <w:rsid w:val="79455C17"/>
    <w:rsid w:val="794B31B5"/>
    <w:rsid w:val="795D38CC"/>
    <w:rsid w:val="7961380D"/>
    <w:rsid w:val="797352EE"/>
    <w:rsid w:val="797B3489"/>
    <w:rsid w:val="797E18EB"/>
    <w:rsid w:val="797E48C6"/>
    <w:rsid w:val="7986195D"/>
    <w:rsid w:val="798A4C3D"/>
    <w:rsid w:val="799356A1"/>
    <w:rsid w:val="799514BD"/>
    <w:rsid w:val="79966ECD"/>
    <w:rsid w:val="79980F99"/>
    <w:rsid w:val="79A506AC"/>
    <w:rsid w:val="79A62938"/>
    <w:rsid w:val="79AA4599"/>
    <w:rsid w:val="79AC2DBE"/>
    <w:rsid w:val="79B44D75"/>
    <w:rsid w:val="79B843D8"/>
    <w:rsid w:val="79C43D9C"/>
    <w:rsid w:val="79D14E67"/>
    <w:rsid w:val="79DF4732"/>
    <w:rsid w:val="79E15291"/>
    <w:rsid w:val="79E173C3"/>
    <w:rsid w:val="79E31283"/>
    <w:rsid w:val="79E3408B"/>
    <w:rsid w:val="79EB0EB8"/>
    <w:rsid w:val="79F05E32"/>
    <w:rsid w:val="7A291E51"/>
    <w:rsid w:val="7A2F1838"/>
    <w:rsid w:val="7A364017"/>
    <w:rsid w:val="7A3D7DFA"/>
    <w:rsid w:val="7A454579"/>
    <w:rsid w:val="7A4C2473"/>
    <w:rsid w:val="7A4C4DD4"/>
    <w:rsid w:val="7A5275FA"/>
    <w:rsid w:val="7A5906B8"/>
    <w:rsid w:val="7A5A3D19"/>
    <w:rsid w:val="7A725A33"/>
    <w:rsid w:val="7A74560C"/>
    <w:rsid w:val="7A7C1C5A"/>
    <w:rsid w:val="7A8265E1"/>
    <w:rsid w:val="7A8D23E0"/>
    <w:rsid w:val="7A943B43"/>
    <w:rsid w:val="7A953422"/>
    <w:rsid w:val="7A984522"/>
    <w:rsid w:val="7A9A1334"/>
    <w:rsid w:val="7AA02113"/>
    <w:rsid w:val="7AA65703"/>
    <w:rsid w:val="7AA942AA"/>
    <w:rsid w:val="7AAE7045"/>
    <w:rsid w:val="7AB506C9"/>
    <w:rsid w:val="7AC27647"/>
    <w:rsid w:val="7ACC115A"/>
    <w:rsid w:val="7ACF201F"/>
    <w:rsid w:val="7AD037C6"/>
    <w:rsid w:val="7AD7044B"/>
    <w:rsid w:val="7ADA0DA4"/>
    <w:rsid w:val="7AF45ADA"/>
    <w:rsid w:val="7AF95DF1"/>
    <w:rsid w:val="7B046B46"/>
    <w:rsid w:val="7B072A15"/>
    <w:rsid w:val="7B153CD5"/>
    <w:rsid w:val="7B1F2090"/>
    <w:rsid w:val="7B2520F9"/>
    <w:rsid w:val="7B285B4E"/>
    <w:rsid w:val="7B456A20"/>
    <w:rsid w:val="7B4938A5"/>
    <w:rsid w:val="7B4F58E7"/>
    <w:rsid w:val="7B560A24"/>
    <w:rsid w:val="7B5A3446"/>
    <w:rsid w:val="7B6124A0"/>
    <w:rsid w:val="7B66335D"/>
    <w:rsid w:val="7B686D42"/>
    <w:rsid w:val="7B8101C5"/>
    <w:rsid w:val="7B8414C9"/>
    <w:rsid w:val="7B841746"/>
    <w:rsid w:val="7B8676D8"/>
    <w:rsid w:val="7B981213"/>
    <w:rsid w:val="7B9C6D7F"/>
    <w:rsid w:val="7B9D44DD"/>
    <w:rsid w:val="7B9D65B2"/>
    <w:rsid w:val="7B9F0C04"/>
    <w:rsid w:val="7BAB166D"/>
    <w:rsid w:val="7BAE06FE"/>
    <w:rsid w:val="7BD65980"/>
    <w:rsid w:val="7BDA1655"/>
    <w:rsid w:val="7BE50213"/>
    <w:rsid w:val="7BE70C45"/>
    <w:rsid w:val="7BEA396E"/>
    <w:rsid w:val="7BFC2A96"/>
    <w:rsid w:val="7C013CB8"/>
    <w:rsid w:val="7C015A36"/>
    <w:rsid w:val="7C07182A"/>
    <w:rsid w:val="7C0E70CD"/>
    <w:rsid w:val="7C253574"/>
    <w:rsid w:val="7C274500"/>
    <w:rsid w:val="7C2902C5"/>
    <w:rsid w:val="7C3201A0"/>
    <w:rsid w:val="7C3818F4"/>
    <w:rsid w:val="7C3A120F"/>
    <w:rsid w:val="7C3B30AD"/>
    <w:rsid w:val="7C3D3992"/>
    <w:rsid w:val="7C3D3FF9"/>
    <w:rsid w:val="7C3D7180"/>
    <w:rsid w:val="7C43369E"/>
    <w:rsid w:val="7C484A4B"/>
    <w:rsid w:val="7C4C1AC8"/>
    <w:rsid w:val="7C4D1E27"/>
    <w:rsid w:val="7C605E43"/>
    <w:rsid w:val="7C6C02EB"/>
    <w:rsid w:val="7C6C5AC7"/>
    <w:rsid w:val="7C7001DE"/>
    <w:rsid w:val="7C714FF8"/>
    <w:rsid w:val="7C78621B"/>
    <w:rsid w:val="7C7E28E7"/>
    <w:rsid w:val="7C7F41E6"/>
    <w:rsid w:val="7CA24E23"/>
    <w:rsid w:val="7CB60B67"/>
    <w:rsid w:val="7CC6544B"/>
    <w:rsid w:val="7CD30CFC"/>
    <w:rsid w:val="7CD459DA"/>
    <w:rsid w:val="7CD928E0"/>
    <w:rsid w:val="7CDD5F0E"/>
    <w:rsid w:val="7CDE5893"/>
    <w:rsid w:val="7CF10E5E"/>
    <w:rsid w:val="7D010348"/>
    <w:rsid w:val="7D0239FF"/>
    <w:rsid w:val="7D0F3580"/>
    <w:rsid w:val="7D1B7C84"/>
    <w:rsid w:val="7D2144F8"/>
    <w:rsid w:val="7D2863F0"/>
    <w:rsid w:val="7D2B2BA1"/>
    <w:rsid w:val="7D3E76C3"/>
    <w:rsid w:val="7D4D5E56"/>
    <w:rsid w:val="7D4E3192"/>
    <w:rsid w:val="7D520713"/>
    <w:rsid w:val="7D533B34"/>
    <w:rsid w:val="7D5710FC"/>
    <w:rsid w:val="7D5B0FB5"/>
    <w:rsid w:val="7D5B7984"/>
    <w:rsid w:val="7D5E40CD"/>
    <w:rsid w:val="7D5E4334"/>
    <w:rsid w:val="7D6065E3"/>
    <w:rsid w:val="7D621902"/>
    <w:rsid w:val="7D630815"/>
    <w:rsid w:val="7D6D7DCE"/>
    <w:rsid w:val="7D72164A"/>
    <w:rsid w:val="7D7417A3"/>
    <w:rsid w:val="7D750491"/>
    <w:rsid w:val="7D7539AD"/>
    <w:rsid w:val="7D755AD9"/>
    <w:rsid w:val="7D7653AD"/>
    <w:rsid w:val="7D796C4C"/>
    <w:rsid w:val="7D7D2FB2"/>
    <w:rsid w:val="7D7F6537"/>
    <w:rsid w:val="7D853842"/>
    <w:rsid w:val="7D90142D"/>
    <w:rsid w:val="7D965121"/>
    <w:rsid w:val="7D980CB5"/>
    <w:rsid w:val="7DA151C3"/>
    <w:rsid w:val="7DB55ED6"/>
    <w:rsid w:val="7DBA6684"/>
    <w:rsid w:val="7DCD56F2"/>
    <w:rsid w:val="7DCE6F97"/>
    <w:rsid w:val="7DD62491"/>
    <w:rsid w:val="7DD93F7C"/>
    <w:rsid w:val="7DDD71DA"/>
    <w:rsid w:val="7DEB5D9B"/>
    <w:rsid w:val="7DF64C65"/>
    <w:rsid w:val="7DF86D11"/>
    <w:rsid w:val="7E0043DD"/>
    <w:rsid w:val="7E15060F"/>
    <w:rsid w:val="7E1E33F5"/>
    <w:rsid w:val="7E236173"/>
    <w:rsid w:val="7E301A00"/>
    <w:rsid w:val="7E484F9C"/>
    <w:rsid w:val="7E4D7032"/>
    <w:rsid w:val="7E521976"/>
    <w:rsid w:val="7E546002"/>
    <w:rsid w:val="7E593494"/>
    <w:rsid w:val="7E643E29"/>
    <w:rsid w:val="7E6C1868"/>
    <w:rsid w:val="7E6D084A"/>
    <w:rsid w:val="7E725B75"/>
    <w:rsid w:val="7E7538B7"/>
    <w:rsid w:val="7E7933A7"/>
    <w:rsid w:val="7E7A2580"/>
    <w:rsid w:val="7E8104F7"/>
    <w:rsid w:val="7E8A243F"/>
    <w:rsid w:val="7E95144F"/>
    <w:rsid w:val="7EA7730B"/>
    <w:rsid w:val="7EB668EB"/>
    <w:rsid w:val="7EC27586"/>
    <w:rsid w:val="7ED54FAA"/>
    <w:rsid w:val="7EDF09EF"/>
    <w:rsid w:val="7EE67829"/>
    <w:rsid w:val="7EEA116F"/>
    <w:rsid w:val="7EEF71EA"/>
    <w:rsid w:val="7EF41C12"/>
    <w:rsid w:val="7EF42786"/>
    <w:rsid w:val="7F001CE7"/>
    <w:rsid w:val="7F1B620C"/>
    <w:rsid w:val="7F1D7A39"/>
    <w:rsid w:val="7F243F59"/>
    <w:rsid w:val="7F25474F"/>
    <w:rsid w:val="7F2C21C7"/>
    <w:rsid w:val="7F303862"/>
    <w:rsid w:val="7F345520"/>
    <w:rsid w:val="7F372393"/>
    <w:rsid w:val="7F374DB1"/>
    <w:rsid w:val="7F3B1D39"/>
    <w:rsid w:val="7F4736ED"/>
    <w:rsid w:val="7F497047"/>
    <w:rsid w:val="7F4C3665"/>
    <w:rsid w:val="7F50169C"/>
    <w:rsid w:val="7F5753A0"/>
    <w:rsid w:val="7F5B29B0"/>
    <w:rsid w:val="7F5D5590"/>
    <w:rsid w:val="7F6700FE"/>
    <w:rsid w:val="7F6F39C2"/>
    <w:rsid w:val="7F737DF6"/>
    <w:rsid w:val="7F753A5C"/>
    <w:rsid w:val="7F780FFA"/>
    <w:rsid w:val="7F9016EF"/>
    <w:rsid w:val="7F9B74A5"/>
    <w:rsid w:val="7FA51D84"/>
    <w:rsid w:val="7FB04DEA"/>
    <w:rsid w:val="7FB14F0C"/>
    <w:rsid w:val="7FC27C35"/>
    <w:rsid w:val="7FC40652"/>
    <w:rsid w:val="7FC74552"/>
    <w:rsid w:val="7FC8660A"/>
    <w:rsid w:val="7FDA60C7"/>
    <w:rsid w:val="7FE47E50"/>
    <w:rsid w:val="7FFA619E"/>
    <w:rsid w:val="7FFB26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name="index 1" w:locked="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ocked="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39" w:semiHidden="0" w:name="toc 9"/>
    <w:lsdException w:qFormat="1" w:unhideWhenUsed="0" w:uiPriority="99" w:semiHidden="0" w:name="Normal Indent" w:locked="1"/>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ocked="1"/>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ocked="1"/>
    <w:lsdException w:uiPriority="99" w:name="endnote reference"/>
    <w:lsdException w:uiPriority="99" w:name="endnote text"/>
    <w:lsdException w:unhideWhenUsed="0" w:uiPriority="0" w:semiHidden="0" w:name="table of authorities" w:locked="1"/>
    <w:lsdException w:uiPriority="99" w:name="macro"/>
    <w:lsdException w:uiPriority="99" w:name="toa heading"/>
    <w:lsdException w:qFormat="1" w:unhideWhenUsed="0" w:uiPriority="99" w:semiHidden="0" w:name="List" w:locked="1"/>
    <w:lsdException w:unhideWhenUsed="0" w:uiPriority="0" w:semiHidden="0" w:name="List Bullet" w:locked="1"/>
    <w:lsdException w:uiPriority="99" w:name="List Number"/>
    <w:lsdException w:uiPriority="99" w:name="List 2"/>
    <w:lsdException w:uiPriority="99" w:name="List 3"/>
    <w:lsdException w:uiPriority="99" w:name="List 4"/>
    <w:lsdException w:uiPriority="99" w:name="List 5"/>
    <w:lsdException w:qFormat="1" w:unhideWhenUsed="0" w:uiPriority="99" w:semiHidden="0" w:name="List Bullet 2" w:locked="1"/>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99" w:name="Message Header"/>
    <w:lsdException w:qFormat="1" w:unhideWhenUsed="0" w:uiPriority="11" w:semiHidden="0" w:name="Subtitle"/>
    <w:lsdException w:qFormat="1" w:unhideWhenUsed="0"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ocked="1"/>
    <w:lsdException w:uiPriority="99" w:name="Note Heading"/>
    <w:lsdException w:qFormat="1" w:unhideWhenUsed="0" w:uiPriority="99" w:semiHidden="0" w:name="Body Text 2" w:locked="1"/>
    <w:lsdException w:uiPriority="99" w:name="Body Text 3"/>
    <w:lsdException w:qFormat="1" w:unhideWhenUsed="0" w:uiPriority="99" w:semiHidden="0" w:name="Body Text Indent 2" w:locked="1"/>
    <w:lsdException w:qFormat="1" w:unhideWhenUsed="0" w:uiPriority="99" w:semiHidden="0" w:name="Body Text Indent 3" w:locked="1"/>
    <w:lsdException w:qFormat="1" w:unhideWhenUsed="0" w:uiPriority="99" w:semiHidden="0" w:name="Block Text" w:locked="1"/>
    <w:lsdException w:qFormat="1" w:uiPriority="99" w:name="Hyperlink"/>
    <w:lsdException w:uiPriority="99" w:name="FollowedHyperlink"/>
    <w:lsdException w:qFormat="1" w:unhideWhenUsed="0" w:uiPriority="99" w:semiHidden="0" w:name="Strong" w:locked="1"/>
    <w:lsdException w:qFormat="1" w:unhideWhenUsed="0" w:uiPriority="99" w:semiHidden="0" w:name="Emphasis" w:locked="1"/>
    <w:lsdException w:qFormat="1" w:unhideWhenUsed="0" w:uiPriority="99" w:name="Document Map" w:locked="1"/>
    <w:lsdException w:qFormat="1" w:unhideWhenUsed="0" w:uiPriority="99" w:semiHidden="0" w:name="Plain Text" w:locked="1"/>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5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6">
    <w:name w:val="heading 2"/>
    <w:basedOn w:val="1"/>
    <w:next w:val="1"/>
    <w:link w:val="52"/>
    <w:qFormat/>
    <w:locked/>
    <w:uiPriority w:val="99"/>
    <w:pPr>
      <w:keepNext/>
      <w:keepLines/>
      <w:spacing w:before="260" w:after="260" w:line="416" w:lineRule="auto"/>
      <w:outlineLvl w:val="1"/>
    </w:pPr>
    <w:rPr>
      <w:rFonts w:ascii="Cambria" w:hAnsi="Cambria" w:cs="Cambria"/>
      <w:b/>
      <w:bCs/>
      <w:sz w:val="32"/>
      <w:szCs w:val="32"/>
    </w:rPr>
  </w:style>
  <w:style w:type="paragraph" w:styleId="7">
    <w:name w:val="heading 3"/>
    <w:basedOn w:val="1"/>
    <w:next w:val="1"/>
    <w:link w:val="53"/>
    <w:qFormat/>
    <w:locked/>
    <w:uiPriority w:val="99"/>
    <w:pPr>
      <w:keepNext/>
      <w:keepLines/>
      <w:widowControl/>
      <w:spacing w:before="260" w:after="260" w:line="416" w:lineRule="auto"/>
      <w:jc w:val="left"/>
      <w:outlineLvl w:val="2"/>
    </w:pPr>
    <w:rPr>
      <w:rFonts w:ascii="宋体" w:hAnsi="宋体" w:cs="宋体"/>
      <w:b/>
      <w:bCs/>
      <w:color w:val="000000"/>
      <w:kern w:val="0"/>
      <w:sz w:val="32"/>
      <w:szCs w:val="32"/>
    </w:rPr>
  </w:style>
  <w:style w:type="paragraph" w:styleId="8">
    <w:name w:val="heading 4"/>
    <w:basedOn w:val="1"/>
    <w:next w:val="1"/>
    <w:link w:val="54"/>
    <w:qFormat/>
    <w:locked/>
    <w:uiPriority w:val="99"/>
    <w:pPr>
      <w:keepNext/>
      <w:keepLines/>
      <w:spacing w:before="280" w:after="290" w:line="376" w:lineRule="auto"/>
      <w:outlineLvl w:val="3"/>
    </w:pPr>
    <w:rPr>
      <w:rFonts w:ascii="Cambria" w:hAnsi="Cambria" w:cs="Cambria"/>
      <w:b/>
      <w:bCs/>
      <w:sz w:val="28"/>
      <w:szCs w:val="28"/>
    </w:rPr>
  </w:style>
  <w:style w:type="paragraph" w:styleId="9">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40">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7"/>
    <w:qFormat/>
    <w:uiPriority w:val="99"/>
    <w:pPr>
      <w:widowControl/>
      <w:snapToGrid w:val="0"/>
      <w:spacing w:before="60" w:after="160" w:line="259" w:lineRule="auto"/>
      <w:ind w:right="113"/>
    </w:pPr>
    <w:rPr>
      <w:kern w:val="0"/>
      <w:sz w:val="18"/>
      <w:szCs w:val="18"/>
    </w:rPr>
  </w:style>
  <w:style w:type="paragraph" w:customStyle="1" w:styleId="3">
    <w:name w:val="xl27"/>
    <w:basedOn w:val="1"/>
    <w:next w:val="4"/>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4"/>
      <w:szCs w:val="34"/>
    </w:rPr>
  </w:style>
  <w:style w:type="paragraph" w:customStyle="1" w:styleId="4">
    <w:name w:val="A正文"/>
    <w:basedOn w:val="1"/>
    <w:qFormat/>
    <w:uiPriority w:val="99"/>
    <w:pPr>
      <w:spacing w:line="360" w:lineRule="auto"/>
      <w:ind w:firstLine="480" w:firstLineChars="200"/>
      <w:jc w:val="left"/>
    </w:pPr>
    <w:rPr>
      <w:rFonts w:ascii="宋体" w:hAnsi="宋体" w:cs="宋体"/>
      <w:sz w:val="24"/>
      <w:szCs w:val="24"/>
    </w:rPr>
  </w:style>
  <w:style w:type="paragraph" w:styleId="10">
    <w:name w:val="Normal Indent"/>
    <w:basedOn w:val="1"/>
    <w:next w:val="1"/>
    <w:qFormat/>
    <w:locked/>
    <w:uiPriority w:val="99"/>
    <w:pPr>
      <w:adjustRightInd w:val="0"/>
      <w:ind w:firstLine="420" w:firstLineChars="200"/>
      <w:textAlignment w:val="baseline"/>
    </w:pPr>
    <w:rPr>
      <w:rFonts w:ascii="宋体" w:hAnsi="宋体" w:cs="宋体"/>
      <w:sz w:val="24"/>
      <w:szCs w:val="24"/>
    </w:rPr>
  </w:style>
  <w:style w:type="paragraph" w:styleId="11">
    <w:name w:val="Document Map"/>
    <w:basedOn w:val="1"/>
    <w:link w:val="55"/>
    <w:semiHidden/>
    <w:qFormat/>
    <w:locked/>
    <w:uiPriority w:val="99"/>
    <w:rPr>
      <w:rFonts w:ascii="宋体" w:cs="宋体"/>
      <w:sz w:val="18"/>
      <w:szCs w:val="18"/>
    </w:rPr>
  </w:style>
  <w:style w:type="paragraph" w:styleId="12">
    <w:name w:val="annotation text"/>
    <w:basedOn w:val="1"/>
    <w:link w:val="56"/>
    <w:semiHidden/>
    <w:qFormat/>
    <w:uiPriority w:val="99"/>
    <w:pPr>
      <w:jc w:val="left"/>
    </w:pPr>
    <w:rPr>
      <w:kern w:val="0"/>
      <w:sz w:val="24"/>
      <w:szCs w:val="24"/>
    </w:rPr>
  </w:style>
  <w:style w:type="paragraph" w:styleId="13">
    <w:name w:val="Salutation"/>
    <w:basedOn w:val="1"/>
    <w:next w:val="1"/>
    <w:semiHidden/>
    <w:qFormat/>
    <w:uiPriority w:val="99"/>
    <w:pPr>
      <w:pBdr>
        <w:top w:val="single" w:color="auto" w:sz="4" w:space="1"/>
      </w:pBdr>
      <w:adjustRightInd w:val="0"/>
      <w:spacing w:line="360" w:lineRule="atLeast"/>
      <w:jc w:val="left"/>
      <w:textAlignment w:val="baseline"/>
    </w:pPr>
    <w:rPr>
      <w:kern w:val="0"/>
      <w:sz w:val="24"/>
      <w:szCs w:val="24"/>
    </w:rPr>
  </w:style>
  <w:style w:type="paragraph" w:styleId="14">
    <w:name w:val="Body Text Indent"/>
    <w:basedOn w:val="1"/>
    <w:next w:val="15"/>
    <w:link w:val="58"/>
    <w:qFormat/>
    <w:uiPriority w:val="99"/>
    <w:pPr>
      <w:spacing w:after="120"/>
      <w:ind w:left="420" w:leftChars="200"/>
    </w:pPr>
    <w:rPr>
      <w:kern w:val="0"/>
      <w:sz w:val="24"/>
      <w:szCs w:val="24"/>
    </w:rPr>
  </w:style>
  <w:style w:type="paragraph" w:customStyle="1" w:styleId="15">
    <w:name w:val="样式 正文文本缩进 + 行距: 1.5 倍行距"/>
    <w:basedOn w:val="16"/>
    <w:autoRedefine/>
    <w:qFormat/>
    <w:uiPriority w:val="0"/>
    <w:pPr>
      <w:ind w:left="90" w:leftChars="32" w:firstLine="560" w:firstLineChars="200"/>
    </w:pPr>
    <w:rPr>
      <w:rFonts w:cs="宋体"/>
    </w:rPr>
  </w:style>
  <w:style w:type="paragraph" w:customStyle="1" w:styleId="16">
    <w:name w:val="Body Text Indent"/>
    <w:basedOn w:val="1"/>
    <w:next w:val="15"/>
    <w:autoRedefine/>
    <w:qFormat/>
    <w:uiPriority w:val="0"/>
    <w:pPr>
      <w:spacing w:after="120" w:afterLines="0"/>
      <w:ind w:left="420" w:leftChars="200"/>
    </w:pPr>
    <w:rPr>
      <w:rFonts w:ascii="Times New Roman" w:hAnsi="Times New Roman" w:eastAsia="宋体"/>
      <w:sz w:val="24"/>
    </w:rPr>
  </w:style>
  <w:style w:type="paragraph" w:styleId="17">
    <w:name w:val="Block Text"/>
    <w:basedOn w:val="1"/>
    <w:qFormat/>
    <w:locked/>
    <w:uiPriority w:val="99"/>
    <w:pPr>
      <w:adjustRightInd w:val="0"/>
      <w:spacing w:line="500" w:lineRule="exact"/>
      <w:ind w:left="147" w:leftChars="70" w:right="160" w:rightChars="76"/>
    </w:pPr>
    <w:rPr>
      <w:rFonts w:ascii="宋体" w:hAnsi="宋体" w:cs="宋体"/>
    </w:rPr>
  </w:style>
  <w:style w:type="paragraph" w:styleId="18">
    <w:name w:val="List Bullet 2"/>
    <w:basedOn w:val="1"/>
    <w:qFormat/>
    <w:locked/>
    <w:uiPriority w:val="99"/>
    <w:pPr>
      <w:widowControl/>
      <w:tabs>
        <w:tab w:val="left" w:pos="780"/>
      </w:tabs>
      <w:ind w:left="780" w:leftChars="200" w:hanging="360" w:hangingChars="200"/>
      <w:jc w:val="left"/>
    </w:pPr>
    <w:rPr>
      <w:rFonts w:ascii="宋体" w:hAnsi="宋体" w:eastAsia="等线" w:cs="宋体"/>
      <w:color w:val="000000"/>
      <w:kern w:val="0"/>
    </w:rPr>
  </w:style>
  <w:style w:type="paragraph" w:styleId="19">
    <w:name w:val="Plain Text"/>
    <w:basedOn w:val="1"/>
    <w:next w:val="13"/>
    <w:link w:val="61"/>
    <w:qFormat/>
    <w:locked/>
    <w:uiPriority w:val="99"/>
    <w:rPr>
      <w:rFonts w:ascii="宋体" w:hAnsi="Courier New" w:cs="宋体"/>
    </w:rPr>
  </w:style>
  <w:style w:type="paragraph" w:styleId="20">
    <w:name w:val="List Bullet 5"/>
    <w:basedOn w:val="1"/>
    <w:semiHidden/>
    <w:unhideWhenUsed/>
    <w:qFormat/>
    <w:uiPriority w:val="99"/>
    <w:pPr>
      <w:numPr>
        <w:ilvl w:val="0"/>
        <w:numId w:val="1"/>
      </w:numPr>
    </w:pPr>
  </w:style>
  <w:style w:type="paragraph" w:styleId="21">
    <w:name w:val="Date"/>
    <w:basedOn w:val="1"/>
    <w:next w:val="1"/>
    <w:link w:val="62"/>
    <w:qFormat/>
    <w:uiPriority w:val="99"/>
    <w:pPr>
      <w:ind w:left="100" w:leftChars="2500"/>
    </w:pPr>
    <w:rPr>
      <w:kern w:val="0"/>
      <w:sz w:val="24"/>
      <w:szCs w:val="24"/>
    </w:rPr>
  </w:style>
  <w:style w:type="paragraph" w:styleId="22">
    <w:name w:val="Body Text Indent 2"/>
    <w:basedOn w:val="1"/>
    <w:next w:val="23"/>
    <w:link w:val="59"/>
    <w:qFormat/>
    <w:locked/>
    <w:uiPriority w:val="99"/>
    <w:pPr>
      <w:spacing w:after="120" w:line="480" w:lineRule="auto"/>
      <w:ind w:left="420" w:leftChars="200"/>
    </w:pPr>
  </w:style>
  <w:style w:type="paragraph" w:styleId="23">
    <w:name w:val="Body Text First Indent 2"/>
    <w:basedOn w:val="14"/>
    <w:next w:val="1"/>
    <w:link w:val="60"/>
    <w:qFormat/>
    <w:locked/>
    <w:uiPriority w:val="99"/>
    <w:pPr>
      <w:ind w:firstLine="420" w:firstLineChars="200"/>
    </w:pPr>
  </w:style>
  <w:style w:type="paragraph" w:styleId="24">
    <w:name w:val="Balloon Text"/>
    <w:basedOn w:val="1"/>
    <w:link w:val="63"/>
    <w:semiHidden/>
    <w:qFormat/>
    <w:uiPriority w:val="99"/>
    <w:rPr>
      <w:kern w:val="0"/>
      <w:sz w:val="18"/>
      <w:szCs w:val="18"/>
    </w:rPr>
  </w:style>
  <w:style w:type="paragraph" w:styleId="25">
    <w:name w:val="footer"/>
    <w:basedOn w:val="1"/>
    <w:link w:val="64"/>
    <w:qFormat/>
    <w:uiPriority w:val="99"/>
    <w:pPr>
      <w:tabs>
        <w:tab w:val="center" w:pos="4153"/>
        <w:tab w:val="right" w:pos="8306"/>
      </w:tabs>
      <w:snapToGrid w:val="0"/>
      <w:jc w:val="left"/>
    </w:pPr>
    <w:rPr>
      <w:kern w:val="0"/>
      <w:sz w:val="18"/>
      <w:szCs w:val="18"/>
    </w:rPr>
  </w:style>
  <w:style w:type="paragraph" w:styleId="26">
    <w:name w:val="header"/>
    <w:basedOn w:val="1"/>
    <w:next w:val="2"/>
    <w:link w:val="65"/>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semiHidden/>
    <w:qFormat/>
    <w:locked/>
    <w:uiPriority w:val="99"/>
    <w:pPr>
      <w:spacing w:before="120" w:after="120"/>
      <w:jc w:val="left"/>
    </w:pPr>
    <w:rPr>
      <w:b/>
      <w:bCs/>
      <w:caps/>
      <w:sz w:val="20"/>
      <w:szCs w:val="20"/>
    </w:rPr>
  </w:style>
  <w:style w:type="paragraph" w:styleId="28">
    <w:name w:val="index heading"/>
    <w:basedOn w:val="1"/>
    <w:next w:val="29"/>
    <w:semiHidden/>
    <w:qFormat/>
    <w:locked/>
    <w:uiPriority w:val="99"/>
    <w:pPr>
      <w:spacing w:line="480" w:lineRule="exact"/>
    </w:pPr>
    <w:rPr>
      <w:rFonts w:ascii="Arial" w:hAnsi="Arial" w:cs="Arial"/>
      <w:b/>
      <w:bCs/>
      <w:sz w:val="24"/>
      <w:szCs w:val="24"/>
    </w:rPr>
  </w:style>
  <w:style w:type="paragraph" w:styleId="29">
    <w:name w:val="index 1"/>
    <w:basedOn w:val="1"/>
    <w:next w:val="1"/>
    <w:semiHidden/>
    <w:qFormat/>
    <w:locked/>
    <w:uiPriority w:val="99"/>
  </w:style>
  <w:style w:type="paragraph" w:styleId="30">
    <w:name w:val="List"/>
    <w:basedOn w:val="1"/>
    <w:qFormat/>
    <w:locked/>
    <w:uiPriority w:val="99"/>
    <w:pPr>
      <w:ind w:left="200" w:hanging="200" w:hangingChars="200"/>
    </w:pPr>
  </w:style>
  <w:style w:type="paragraph" w:styleId="31">
    <w:name w:val="Body Text Indent 3"/>
    <w:basedOn w:val="1"/>
    <w:link w:val="66"/>
    <w:qFormat/>
    <w:locked/>
    <w:uiPriority w:val="99"/>
    <w:pPr>
      <w:spacing w:after="120"/>
      <w:ind w:left="420" w:leftChars="200"/>
    </w:pPr>
    <w:rPr>
      <w:sz w:val="16"/>
      <w:szCs w:val="16"/>
    </w:rPr>
  </w:style>
  <w:style w:type="paragraph" w:styleId="32">
    <w:name w:val="toc 9"/>
    <w:basedOn w:val="1"/>
    <w:next w:val="1"/>
    <w:qFormat/>
    <w:uiPriority w:val="39"/>
    <w:pPr>
      <w:spacing w:line="360" w:lineRule="auto"/>
      <w:ind w:firstLine="480" w:firstLineChars="200"/>
    </w:pPr>
    <w:rPr>
      <w:sz w:val="24"/>
      <w:szCs w:val="28"/>
    </w:rPr>
  </w:style>
  <w:style w:type="paragraph" w:styleId="33">
    <w:name w:val="Body Text 2"/>
    <w:basedOn w:val="1"/>
    <w:next w:val="1"/>
    <w:link w:val="67"/>
    <w:qFormat/>
    <w:locked/>
    <w:uiPriority w:val="99"/>
    <w:pPr>
      <w:spacing w:after="120" w:line="480" w:lineRule="auto"/>
    </w:pPr>
    <w:rPr>
      <w:kern w:val="0"/>
      <w:sz w:val="24"/>
      <w:szCs w:val="24"/>
    </w:rPr>
  </w:style>
  <w:style w:type="paragraph" w:styleId="34">
    <w:name w:val="Normal (Web)"/>
    <w:basedOn w:val="1"/>
    <w:link w:val="71"/>
    <w:qFormat/>
    <w:uiPriority w:val="99"/>
    <w:pPr>
      <w:widowControl/>
      <w:spacing w:before="100" w:beforeAutospacing="1" w:after="100" w:afterAutospacing="1"/>
      <w:jc w:val="left"/>
    </w:pPr>
    <w:rPr>
      <w:rFonts w:ascii="宋体" w:hAnsi="宋体" w:cs="宋体"/>
      <w:kern w:val="0"/>
      <w:sz w:val="24"/>
      <w:szCs w:val="24"/>
    </w:rPr>
  </w:style>
  <w:style w:type="paragraph" w:styleId="35">
    <w:name w:val="annotation subject"/>
    <w:basedOn w:val="12"/>
    <w:next w:val="12"/>
    <w:link w:val="68"/>
    <w:semiHidden/>
    <w:qFormat/>
    <w:uiPriority w:val="99"/>
    <w:rPr>
      <w:b/>
      <w:bCs/>
      <w:kern w:val="2"/>
    </w:rPr>
  </w:style>
  <w:style w:type="paragraph" w:styleId="36">
    <w:name w:val="Body Text First Indent"/>
    <w:basedOn w:val="2"/>
    <w:next w:val="1"/>
    <w:qFormat/>
    <w:uiPriority w:val="0"/>
    <w:pPr>
      <w:spacing w:before="120" w:after="240"/>
      <w:ind w:left="100" w:leftChars="100" w:firstLine="420" w:firstLineChars="100"/>
    </w:pPr>
  </w:style>
  <w:style w:type="table" w:styleId="38">
    <w:name w:val="Table Grid"/>
    <w:basedOn w:val="3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9">
    <w:name w:val="Table Grid 5"/>
    <w:basedOn w:val="3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vAlign w:val="center"/>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41">
    <w:name w:val="Strong"/>
    <w:qFormat/>
    <w:locked/>
    <w:uiPriority w:val="99"/>
    <w:rPr>
      <w:b/>
      <w:bCs/>
    </w:rPr>
  </w:style>
  <w:style w:type="character" w:styleId="42">
    <w:name w:val="page number"/>
    <w:basedOn w:val="40"/>
    <w:qFormat/>
    <w:locked/>
    <w:uiPriority w:val="99"/>
  </w:style>
  <w:style w:type="character" w:styleId="43">
    <w:name w:val="Emphasis"/>
    <w:qFormat/>
    <w:locked/>
    <w:uiPriority w:val="99"/>
    <w:rPr>
      <w:i/>
      <w:iCs/>
    </w:rPr>
  </w:style>
  <w:style w:type="character" w:styleId="44">
    <w:name w:val="Hyperlink"/>
    <w:basedOn w:val="40"/>
    <w:semiHidden/>
    <w:unhideWhenUsed/>
    <w:qFormat/>
    <w:uiPriority w:val="99"/>
    <w:rPr>
      <w:color w:val="0000FF"/>
      <w:u w:val="single"/>
    </w:rPr>
  </w:style>
  <w:style w:type="character" w:styleId="45">
    <w:name w:val="annotation reference"/>
    <w:semiHidden/>
    <w:qFormat/>
    <w:uiPriority w:val="99"/>
    <w:rPr>
      <w:sz w:val="21"/>
      <w:szCs w:val="21"/>
    </w:rPr>
  </w:style>
  <w:style w:type="paragraph" w:customStyle="1" w:styleId="46">
    <w:name w:val="Default"/>
    <w:basedOn w:val="47"/>
    <w:next w:val="48"/>
    <w:qFormat/>
    <w:uiPriority w:val="99"/>
    <w:pPr>
      <w:autoSpaceDE w:val="0"/>
      <w:autoSpaceDN w:val="0"/>
    </w:pPr>
    <w:rPr>
      <w:rFonts w:ascii="Times New Roman" w:hAnsi="Times New Roman"/>
      <w:color w:val="000000"/>
      <w:kern w:val="0"/>
      <w:sz w:val="24"/>
      <w:szCs w:val="24"/>
    </w:rPr>
  </w:style>
  <w:style w:type="paragraph" w:customStyle="1" w:styleId="47">
    <w:name w:val="纯文本1"/>
    <w:basedOn w:val="1"/>
    <w:qFormat/>
    <w:uiPriority w:val="0"/>
    <w:pPr>
      <w:adjustRightInd w:val="0"/>
    </w:pPr>
    <w:rPr>
      <w:rFonts w:ascii="宋体" w:hAnsi="Courier New"/>
      <w:szCs w:val="20"/>
    </w:rPr>
  </w:style>
  <w:style w:type="paragraph" w:customStyle="1" w:styleId="48">
    <w:name w:val="样式1"/>
    <w:basedOn w:val="28"/>
    <w:next w:val="1"/>
    <w:qFormat/>
    <w:uiPriority w:val="99"/>
    <w:pPr>
      <w:tabs>
        <w:tab w:val="right" w:leader="dot" w:pos="9061"/>
        <w:tab w:val="right" w:leader="dot" w:pos="9459"/>
      </w:tabs>
      <w:adjustRightInd w:val="0"/>
      <w:spacing w:line="360" w:lineRule="auto"/>
      <w:outlineLvl w:val="0"/>
    </w:pPr>
    <w:rPr>
      <w:sz w:val="28"/>
      <w:szCs w:val="28"/>
    </w:rPr>
  </w:style>
  <w:style w:type="paragraph" w:customStyle="1" w:styleId="49">
    <w:name w:val="文本"/>
    <w:basedOn w:val="1"/>
    <w:next w:val="1"/>
    <w:qFormat/>
    <w:uiPriority w:val="0"/>
    <w:pPr>
      <w:autoSpaceDE w:val="0"/>
      <w:autoSpaceDN w:val="0"/>
      <w:ind w:firstLine="480"/>
    </w:pPr>
    <w:rPr>
      <w:lang w:val="zh-CN"/>
    </w:rPr>
  </w:style>
  <w:style w:type="paragraph" w:customStyle="1" w:styleId="50">
    <w:name w:val="标题2"/>
    <w:basedOn w:val="1"/>
    <w:next w:val="6"/>
    <w:autoRedefine/>
    <w:qFormat/>
    <w:uiPriority w:val="0"/>
    <w:rPr>
      <w:rFonts w:ascii="宋体" w:hAnsi="宋体"/>
      <w:b/>
      <w:kern w:val="0"/>
      <w:sz w:val="24"/>
    </w:rPr>
  </w:style>
  <w:style w:type="character" w:customStyle="1" w:styleId="51">
    <w:name w:val="标题 1 字符"/>
    <w:link w:val="5"/>
    <w:qFormat/>
    <w:uiPriority w:val="9"/>
    <w:rPr>
      <w:b/>
      <w:bCs/>
      <w:kern w:val="44"/>
      <w:sz w:val="44"/>
      <w:szCs w:val="44"/>
    </w:rPr>
  </w:style>
  <w:style w:type="character" w:customStyle="1" w:styleId="52">
    <w:name w:val="标题 2 字符"/>
    <w:link w:val="6"/>
    <w:qFormat/>
    <w:locked/>
    <w:uiPriority w:val="99"/>
    <w:rPr>
      <w:rFonts w:ascii="Cambria" w:hAnsi="Cambria" w:eastAsia="宋体" w:cs="Cambria"/>
      <w:b/>
      <w:bCs/>
      <w:kern w:val="2"/>
      <w:sz w:val="32"/>
      <w:szCs w:val="32"/>
    </w:rPr>
  </w:style>
  <w:style w:type="character" w:customStyle="1" w:styleId="53">
    <w:name w:val="标题 3 字符"/>
    <w:link w:val="7"/>
    <w:qFormat/>
    <w:locked/>
    <w:uiPriority w:val="99"/>
    <w:rPr>
      <w:rFonts w:ascii="宋体" w:eastAsia="宋体" w:cs="宋体"/>
      <w:b/>
      <w:bCs/>
      <w:color w:val="000000"/>
      <w:sz w:val="32"/>
      <w:szCs w:val="32"/>
    </w:rPr>
  </w:style>
  <w:style w:type="character" w:customStyle="1" w:styleId="54">
    <w:name w:val="标题 4 字符"/>
    <w:link w:val="8"/>
    <w:semiHidden/>
    <w:qFormat/>
    <w:locked/>
    <w:uiPriority w:val="99"/>
    <w:rPr>
      <w:rFonts w:ascii="Cambria" w:hAnsi="Cambria" w:eastAsia="宋体" w:cs="Cambria"/>
      <w:b/>
      <w:bCs/>
      <w:kern w:val="2"/>
      <w:sz w:val="28"/>
      <w:szCs w:val="28"/>
    </w:rPr>
  </w:style>
  <w:style w:type="character" w:customStyle="1" w:styleId="55">
    <w:name w:val="文档结构图 字符"/>
    <w:link w:val="11"/>
    <w:qFormat/>
    <w:locked/>
    <w:uiPriority w:val="99"/>
    <w:rPr>
      <w:rFonts w:ascii="宋体" w:cs="宋体"/>
      <w:kern w:val="2"/>
      <w:sz w:val="18"/>
      <w:szCs w:val="18"/>
    </w:rPr>
  </w:style>
  <w:style w:type="character" w:customStyle="1" w:styleId="56">
    <w:name w:val="批注文字 字符"/>
    <w:link w:val="12"/>
    <w:qFormat/>
    <w:locked/>
    <w:uiPriority w:val="99"/>
    <w:rPr>
      <w:rFonts w:ascii="Times New Roman" w:hAnsi="Times New Roman" w:eastAsia="宋体" w:cs="Times New Roman"/>
      <w:sz w:val="24"/>
      <w:szCs w:val="24"/>
    </w:rPr>
  </w:style>
  <w:style w:type="character" w:customStyle="1" w:styleId="57">
    <w:name w:val="正文文本 字符"/>
    <w:link w:val="2"/>
    <w:qFormat/>
    <w:locked/>
    <w:uiPriority w:val="99"/>
    <w:rPr>
      <w:sz w:val="18"/>
      <w:szCs w:val="18"/>
    </w:rPr>
  </w:style>
  <w:style w:type="character" w:customStyle="1" w:styleId="58">
    <w:name w:val="正文文本缩进 字符"/>
    <w:link w:val="14"/>
    <w:semiHidden/>
    <w:qFormat/>
    <w:locked/>
    <w:uiPriority w:val="99"/>
    <w:rPr>
      <w:rFonts w:ascii="Times New Roman" w:hAnsi="Times New Roman" w:eastAsia="宋体" w:cs="Times New Roman"/>
      <w:sz w:val="24"/>
      <w:szCs w:val="24"/>
    </w:rPr>
  </w:style>
  <w:style w:type="character" w:customStyle="1" w:styleId="59">
    <w:name w:val="正文文本缩进 2 字符"/>
    <w:link w:val="22"/>
    <w:qFormat/>
    <w:locked/>
    <w:uiPriority w:val="99"/>
    <w:rPr>
      <w:kern w:val="2"/>
      <w:sz w:val="24"/>
      <w:szCs w:val="24"/>
    </w:rPr>
  </w:style>
  <w:style w:type="character" w:customStyle="1" w:styleId="60">
    <w:name w:val="正文首行缩进 2 字符"/>
    <w:link w:val="23"/>
    <w:qFormat/>
    <w:locked/>
    <w:uiPriority w:val="99"/>
    <w:rPr>
      <w:rFonts w:ascii="Times New Roman" w:hAnsi="Times New Roman" w:eastAsia="宋体" w:cs="Times New Roman"/>
      <w:kern w:val="2"/>
      <w:sz w:val="24"/>
      <w:szCs w:val="24"/>
    </w:rPr>
  </w:style>
  <w:style w:type="character" w:customStyle="1" w:styleId="61">
    <w:name w:val="纯文本 字符"/>
    <w:link w:val="19"/>
    <w:semiHidden/>
    <w:qFormat/>
    <w:uiPriority w:val="99"/>
    <w:rPr>
      <w:rFonts w:ascii="宋体" w:hAnsi="Courier New" w:cs="Courier New"/>
      <w:szCs w:val="21"/>
    </w:rPr>
  </w:style>
  <w:style w:type="character" w:customStyle="1" w:styleId="62">
    <w:name w:val="日期 字符1"/>
    <w:link w:val="21"/>
    <w:qFormat/>
    <w:locked/>
    <w:uiPriority w:val="99"/>
    <w:rPr>
      <w:rFonts w:ascii="Times New Roman" w:hAnsi="Times New Roman" w:eastAsia="宋体" w:cs="Times New Roman"/>
      <w:sz w:val="24"/>
      <w:szCs w:val="24"/>
    </w:rPr>
  </w:style>
  <w:style w:type="character" w:customStyle="1" w:styleId="63">
    <w:name w:val="批注框文本 字符"/>
    <w:link w:val="24"/>
    <w:semiHidden/>
    <w:qFormat/>
    <w:locked/>
    <w:uiPriority w:val="99"/>
    <w:rPr>
      <w:rFonts w:ascii="Times New Roman" w:hAnsi="Times New Roman" w:eastAsia="宋体" w:cs="Times New Roman"/>
      <w:sz w:val="18"/>
      <w:szCs w:val="18"/>
    </w:rPr>
  </w:style>
  <w:style w:type="character" w:customStyle="1" w:styleId="64">
    <w:name w:val="页脚 字符1"/>
    <w:link w:val="25"/>
    <w:qFormat/>
    <w:locked/>
    <w:uiPriority w:val="99"/>
    <w:rPr>
      <w:sz w:val="18"/>
      <w:szCs w:val="18"/>
    </w:rPr>
  </w:style>
  <w:style w:type="character" w:customStyle="1" w:styleId="65">
    <w:name w:val="页眉 字符"/>
    <w:link w:val="26"/>
    <w:qFormat/>
    <w:locked/>
    <w:uiPriority w:val="99"/>
    <w:rPr>
      <w:sz w:val="18"/>
      <w:szCs w:val="18"/>
    </w:rPr>
  </w:style>
  <w:style w:type="character" w:customStyle="1" w:styleId="66">
    <w:name w:val="正文文本缩进 3 字符"/>
    <w:link w:val="31"/>
    <w:semiHidden/>
    <w:qFormat/>
    <w:uiPriority w:val="99"/>
    <w:rPr>
      <w:sz w:val="16"/>
      <w:szCs w:val="16"/>
    </w:rPr>
  </w:style>
  <w:style w:type="character" w:customStyle="1" w:styleId="67">
    <w:name w:val="正文文本 2 字符"/>
    <w:link w:val="33"/>
    <w:qFormat/>
    <w:locked/>
    <w:uiPriority w:val="99"/>
    <w:rPr>
      <w:sz w:val="24"/>
      <w:szCs w:val="24"/>
    </w:rPr>
  </w:style>
  <w:style w:type="character" w:customStyle="1" w:styleId="68">
    <w:name w:val="批注主题 字符"/>
    <w:link w:val="35"/>
    <w:semiHidden/>
    <w:qFormat/>
    <w:locked/>
    <w:uiPriority w:val="99"/>
    <w:rPr>
      <w:rFonts w:ascii="Times New Roman" w:hAnsi="Times New Roman" w:eastAsia="宋体" w:cs="Times New Roman"/>
      <w:b/>
      <w:bCs/>
      <w:kern w:val="2"/>
      <w:sz w:val="24"/>
      <w:szCs w:val="24"/>
    </w:rPr>
  </w:style>
  <w:style w:type="paragraph" w:customStyle="1" w:styleId="69">
    <w:name w:val="T正文"/>
    <w:qFormat/>
    <w:uiPriority w:val="99"/>
    <w:pPr>
      <w:widowControl w:val="0"/>
      <w:adjustRightInd w:val="0"/>
      <w:snapToGrid w:val="0"/>
      <w:spacing w:line="360" w:lineRule="auto"/>
      <w:ind w:firstLine="200" w:firstLineChars="200"/>
      <w:jc w:val="both"/>
    </w:pPr>
    <w:rPr>
      <w:rFonts w:ascii="Times New Roman" w:hAnsi="Times New Roman" w:eastAsia="仿宋_GB2312" w:cs="Times New Roman"/>
      <w:sz w:val="28"/>
      <w:szCs w:val="28"/>
      <w:lang w:val="en-US" w:eastAsia="zh-CN" w:bidi="ar-SA"/>
    </w:rPr>
  </w:style>
  <w:style w:type="character" w:customStyle="1" w:styleId="70">
    <w:name w:val="页脚 字符"/>
    <w:basedOn w:val="40"/>
    <w:qFormat/>
    <w:uiPriority w:val="99"/>
  </w:style>
  <w:style w:type="character" w:customStyle="1" w:styleId="71">
    <w:name w:val="普通(网站) 字符1"/>
    <w:link w:val="34"/>
    <w:qFormat/>
    <w:locked/>
    <w:uiPriority w:val="99"/>
    <w:rPr>
      <w:rFonts w:ascii="宋体" w:hAnsi="宋体" w:eastAsia="宋体" w:cs="宋体"/>
      <w:sz w:val="24"/>
      <w:szCs w:val="24"/>
    </w:rPr>
  </w:style>
  <w:style w:type="character" w:customStyle="1" w:styleId="72">
    <w:name w:val="正文文本 字符1"/>
    <w:semiHidden/>
    <w:qFormat/>
    <w:uiPriority w:val="99"/>
    <w:rPr>
      <w:rFonts w:ascii="Times New Roman" w:hAnsi="Times New Roman" w:eastAsia="宋体" w:cs="Times New Roman"/>
      <w:sz w:val="24"/>
      <w:szCs w:val="24"/>
    </w:rPr>
  </w:style>
  <w:style w:type="character" w:customStyle="1" w:styleId="73">
    <w:name w:val="表格 Char"/>
    <w:link w:val="74"/>
    <w:qFormat/>
    <w:locked/>
    <w:uiPriority w:val="99"/>
    <w:rPr>
      <w:rFonts w:ascii="宋体" w:cs="宋体"/>
      <w:sz w:val="21"/>
      <w:szCs w:val="21"/>
    </w:rPr>
  </w:style>
  <w:style w:type="paragraph" w:customStyle="1" w:styleId="74">
    <w:name w:val="表格"/>
    <w:basedOn w:val="75"/>
    <w:next w:val="1"/>
    <w:link w:val="73"/>
    <w:qFormat/>
    <w:uiPriority w:val="99"/>
    <w:pPr>
      <w:adjustRightInd w:val="0"/>
      <w:snapToGrid w:val="0"/>
      <w:spacing w:beforeLines="10" w:afterLines="10" w:line="259" w:lineRule="auto"/>
    </w:pPr>
    <w:rPr>
      <w:rFonts w:cs="宋体"/>
      <w:kern w:val="0"/>
    </w:rPr>
  </w:style>
  <w:style w:type="paragraph" w:customStyle="1" w:styleId="75">
    <w:name w:val="表头"/>
    <w:basedOn w:val="76"/>
    <w:next w:val="1"/>
    <w:link w:val="106"/>
    <w:qFormat/>
    <w:uiPriority w:val="99"/>
    <w:pPr>
      <w:spacing w:line="480" w:lineRule="exact"/>
      <w:ind w:firstLine="200" w:firstLineChars="200"/>
    </w:pPr>
    <w:rPr>
      <w:rFonts w:eastAsia="黑体"/>
      <w:sz w:val="24"/>
      <w:szCs w:val="24"/>
    </w:rPr>
  </w:style>
  <w:style w:type="paragraph" w:customStyle="1" w:styleId="76">
    <w:name w:val="正文1"/>
    <w:basedOn w:val="1"/>
    <w:link w:val="82"/>
    <w:qFormat/>
    <w:uiPriority w:val="99"/>
    <w:pPr>
      <w:widowControl/>
      <w:adjustRightInd w:val="0"/>
      <w:snapToGrid w:val="0"/>
      <w:spacing w:line="480" w:lineRule="exact"/>
      <w:ind w:firstLine="200" w:firstLineChars="200"/>
      <w:jc w:val="left"/>
    </w:pPr>
    <w:rPr>
      <w:sz w:val="24"/>
      <w:szCs w:val="24"/>
    </w:rPr>
  </w:style>
  <w:style w:type="paragraph" w:customStyle="1" w:styleId="77">
    <w:name w:val="表格式"/>
    <w:basedOn w:val="30"/>
    <w:qFormat/>
    <w:uiPriority w:val="0"/>
    <w:pPr>
      <w:spacing w:before="60" w:after="100" w:line="320" w:lineRule="exact"/>
      <w:ind w:left="0" w:firstLine="0" w:firstLineChars="0"/>
      <w:jc w:val="center"/>
    </w:pPr>
    <w:rPr>
      <w:rFonts w:ascii="宋体" w:hAnsi="Brush Script MT"/>
      <w:szCs w:val="20"/>
    </w:rPr>
  </w:style>
  <w:style w:type="character" w:customStyle="1" w:styleId="78">
    <w:name w:val="日期 字符"/>
    <w:semiHidden/>
    <w:qFormat/>
    <w:uiPriority w:val="99"/>
    <w:rPr>
      <w:rFonts w:ascii="Times New Roman" w:hAnsi="Times New Roman" w:eastAsia="宋体" w:cs="Times New Roman"/>
      <w:sz w:val="24"/>
      <w:szCs w:val="24"/>
    </w:rPr>
  </w:style>
  <w:style w:type="character" w:customStyle="1" w:styleId="79">
    <w:name w:val="批注文字 字符1"/>
    <w:semiHidden/>
    <w:qFormat/>
    <w:uiPriority w:val="99"/>
    <w:rPr>
      <w:rFonts w:ascii="Times New Roman" w:hAnsi="Times New Roman" w:eastAsia="宋体" w:cs="Times New Roman"/>
      <w:sz w:val="24"/>
      <w:szCs w:val="24"/>
    </w:rPr>
  </w:style>
  <w:style w:type="paragraph" w:customStyle="1" w:styleId="80">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1">
    <w:name w:val="普通(网站)2"/>
    <w:basedOn w:val="1"/>
    <w:qFormat/>
    <w:uiPriority w:val="99"/>
    <w:pPr>
      <w:widowControl/>
      <w:spacing w:before="100" w:beforeAutospacing="1" w:after="100" w:afterAutospacing="1"/>
      <w:jc w:val="left"/>
    </w:pPr>
    <w:rPr>
      <w:rFonts w:ascii="宋体" w:hAnsi="宋体" w:cs="宋体"/>
      <w:sz w:val="24"/>
      <w:szCs w:val="24"/>
    </w:rPr>
  </w:style>
  <w:style w:type="character" w:customStyle="1" w:styleId="82">
    <w:name w:val="正文1 Char"/>
    <w:link w:val="76"/>
    <w:qFormat/>
    <w:locked/>
    <w:uiPriority w:val="99"/>
    <w:rPr>
      <w:kern w:val="2"/>
      <w:sz w:val="24"/>
      <w:szCs w:val="24"/>
    </w:rPr>
  </w:style>
  <w:style w:type="paragraph" w:customStyle="1" w:styleId="83">
    <w:name w:val="p0"/>
    <w:basedOn w:val="1"/>
    <w:qFormat/>
    <w:uiPriority w:val="99"/>
    <w:pPr>
      <w:widowControl/>
    </w:pPr>
    <w:rPr>
      <w:kern w:val="0"/>
    </w:rPr>
  </w:style>
  <w:style w:type="character" w:customStyle="1" w:styleId="84">
    <w:name w:val="标题 2 Char Char"/>
    <w:qFormat/>
    <w:uiPriority w:val="99"/>
    <w:rPr>
      <w:rFonts w:eastAsia="宋体"/>
      <w:b/>
      <w:bCs/>
      <w:sz w:val="24"/>
      <w:szCs w:val="24"/>
      <w:lang w:val="en-US" w:eastAsia="zh-CN"/>
    </w:rPr>
  </w:style>
  <w:style w:type="table" w:customStyle="1" w:styleId="85">
    <w:name w:val="Table Normal1"/>
    <w:semiHidden/>
    <w:qFormat/>
    <w:uiPriority w:val="99"/>
    <w:pPr>
      <w:widowControl w:val="0"/>
      <w:autoSpaceDE w:val="0"/>
      <w:autoSpaceDN w:val="0"/>
    </w:pPr>
    <w:rPr>
      <w:rFonts w:ascii="Calibri" w:hAnsi="Calibri" w:cs="Calibri"/>
      <w:sz w:val="22"/>
      <w:lang w:eastAsia="en-US"/>
    </w:rPr>
    <w:tblPr>
      <w:tblCellMar>
        <w:top w:w="0" w:type="dxa"/>
        <w:left w:w="0" w:type="dxa"/>
        <w:bottom w:w="0" w:type="dxa"/>
        <w:right w:w="0" w:type="dxa"/>
      </w:tblCellMar>
    </w:tblPr>
  </w:style>
  <w:style w:type="paragraph" w:customStyle="1" w:styleId="86">
    <w:name w:val="D图表标题"/>
    <w:basedOn w:val="30"/>
    <w:next w:val="1"/>
    <w:link w:val="87"/>
    <w:qFormat/>
    <w:uiPriority w:val="99"/>
    <w:pPr>
      <w:spacing w:after="100"/>
      <w:ind w:left="0" w:firstLine="0" w:firstLineChars="0"/>
      <w:jc w:val="center"/>
    </w:pPr>
    <w:rPr>
      <w:b/>
      <w:bCs/>
    </w:rPr>
  </w:style>
  <w:style w:type="character" w:customStyle="1" w:styleId="87">
    <w:name w:val="D图表标题 字符"/>
    <w:link w:val="86"/>
    <w:qFormat/>
    <w:locked/>
    <w:uiPriority w:val="99"/>
    <w:rPr>
      <w:b/>
      <w:bCs/>
      <w:kern w:val="2"/>
      <w:sz w:val="21"/>
      <w:szCs w:val="21"/>
    </w:rPr>
  </w:style>
  <w:style w:type="paragraph" w:customStyle="1" w:styleId="88">
    <w:name w:val="D图表内容"/>
    <w:basedOn w:val="1"/>
    <w:next w:val="1"/>
    <w:link w:val="89"/>
    <w:qFormat/>
    <w:uiPriority w:val="99"/>
    <w:pPr>
      <w:widowControl/>
      <w:jc w:val="center"/>
    </w:pPr>
  </w:style>
  <w:style w:type="character" w:customStyle="1" w:styleId="89">
    <w:name w:val="D图表内容 字符"/>
    <w:link w:val="88"/>
    <w:qFormat/>
    <w:locked/>
    <w:uiPriority w:val="99"/>
    <w:rPr>
      <w:kern w:val="2"/>
      <w:sz w:val="18"/>
      <w:szCs w:val="18"/>
    </w:rPr>
  </w:style>
  <w:style w:type="paragraph" w:styleId="90">
    <w:name w:val="List Paragraph"/>
    <w:basedOn w:val="1"/>
    <w:qFormat/>
    <w:uiPriority w:val="99"/>
    <w:pPr>
      <w:ind w:firstLine="420" w:firstLineChars="200"/>
    </w:pPr>
  </w:style>
  <w:style w:type="character" w:customStyle="1" w:styleId="91">
    <w:name w:val="font31"/>
    <w:qFormat/>
    <w:uiPriority w:val="99"/>
    <w:rPr>
      <w:rFonts w:ascii="宋体" w:hAnsi="宋体" w:eastAsia="宋体" w:cs="宋体"/>
      <w:color w:val="000000"/>
      <w:sz w:val="24"/>
      <w:szCs w:val="24"/>
      <w:u w:val="none"/>
    </w:rPr>
  </w:style>
  <w:style w:type="character" w:customStyle="1" w:styleId="92">
    <w:name w:val="font21"/>
    <w:qFormat/>
    <w:uiPriority w:val="99"/>
    <w:rPr>
      <w:rFonts w:ascii="Times New Roman" w:hAnsi="Times New Roman" w:cs="Times New Roman"/>
      <w:color w:val="000000"/>
      <w:sz w:val="24"/>
      <w:szCs w:val="24"/>
      <w:u w:val="none"/>
    </w:rPr>
  </w:style>
  <w:style w:type="character" w:customStyle="1" w:styleId="93">
    <w:name w:val="正文 4 Char"/>
    <w:link w:val="94"/>
    <w:qFormat/>
    <w:locked/>
    <w:uiPriority w:val="99"/>
    <w:rPr>
      <w:sz w:val="24"/>
      <w:szCs w:val="24"/>
    </w:rPr>
  </w:style>
  <w:style w:type="paragraph" w:customStyle="1" w:styleId="94">
    <w:name w:val="正文 4"/>
    <w:basedOn w:val="1"/>
    <w:link w:val="93"/>
    <w:qFormat/>
    <w:uiPriority w:val="99"/>
    <w:pPr>
      <w:autoSpaceDE w:val="0"/>
      <w:autoSpaceDN w:val="0"/>
      <w:adjustRightInd w:val="0"/>
      <w:snapToGrid w:val="0"/>
      <w:spacing w:line="360" w:lineRule="auto"/>
      <w:ind w:firstLine="480" w:firstLineChars="200"/>
    </w:pPr>
    <w:rPr>
      <w:kern w:val="0"/>
      <w:sz w:val="24"/>
      <w:szCs w:val="24"/>
    </w:rPr>
  </w:style>
  <w:style w:type="character" w:customStyle="1" w:styleId="95">
    <w:name w:val="可研报告正文 Char"/>
    <w:link w:val="96"/>
    <w:qFormat/>
    <w:locked/>
    <w:uiPriority w:val="99"/>
    <w:rPr>
      <w:kern w:val="2"/>
      <w:sz w:val="28"/>
      <w:szCs w:val="28"/>
    </w:rPr>
  </w:style>
  <w:style w:type="paragraph" w:customStyle="1" w:styleId="96">
    <w:name w:val="可研报告正文"/>
    <w:basedOn w:val="1"/>
    <w:link w:val="95"/>
    <w:qFormat/>
    <w:uiPriority w:val="99"/>
    <w:pPr>
      <w:snapToGrid w:val="0"/>
      <w:spacing w:line="540" w:lineRule="exact"/>
      <w:ind w:firstLine="200" w:firstLineChars="200"/>
    </w:pPr>
    <w:rPr>
      <w:sz w:val="28"/>
      <w:szCs w:val="28"/>
    </w:rPr>
  </w:style>
  <w:style w:type="paragraph" w:customStyle="1" w:styleId="97">
    <w:name w:val="报告"/>
    <w:basedOn w:val="1"/>
    <w:qFormat/>
    <w:uiPriority w:val="99"/>
    <w:pPr>
      <w:adjustRightInd w:val="0"/>
      <w:spacing w:line="560" w:lineRule="exact"/>
      <w:ind w:firstLine="200" w:firstLineChars="200"/>
      <w:textAlignment w:val="baseline"/>
    </w:pPr>
    <w:rPr>
      <w:kern w:val="0"/>
      <w:sz w:val="28"/>
      <w:szCs w:val="28"/>
    </w:rPr>
  </w:style>
  <w:style w:type="paragraph" w:customStyle="1" w:styleId="98">
    <w:name w:val="报告书正文"/>
    <w:basedOn w:val="1"/>
    <w:link w:val="99"/>
    <w:qFormat/>
    <w:uiPriority w:val="99"/>
    <w:pPr>
      <w:autoSpaceDE w:val="0"/>
      <w:autoSpaceDN w:val="0"/>
      <w:spacing w:line="520" w:lineRule="exact"/>
      <w:ind w:firstLine="200" w:firstLineChars="200"/>
    </w:pPr>
    <w:rPr>
      <w:sz w:val="28"/>
      <w:szCs w:val="28"/>
    </w:rPr>
  </w:style>
  <w:style w:type="character" w:customStyle="1" w:styleId="99">
    <w:name w:val="报告书正文 Char"/>
    <w:link w:val="98"/>
    <w:qFormat/>
    <w:locked/>
    <w:uiPriority w:val="99"/>
    <w:rPr>
      <w:kern w:val="2"/>
      <w:sz w:val="28"/>
      <w:szCs w:val="28"/>
    </w:rPr>
  </w:style>
  <w:style w:type="character" w:customStyle="1" w:styleId="100">
    <w:name w:val="常用表格样式 Char1"/>
    <w:link w:val="101"/>
    <w:qFormat/>
    <w:locked/>
    <w:uiPriority w:val="99"/>
    <w:rPr>
      <w:rFonts w:ascii="宋体" w:hAnsi="新宋体" w:eastAsia="Times New Roman" w:cs="宋体"/>
      <w:spacing w:val="2"/>
      <w:kern w:val="2"/>
      <w:sz w:val="24"/>
      <w:szCs w:val="24"/>
    </w:rPr>
  </w:style>
  <w:style w:type="paragraph" w:customStyle="1" w:styleId="101">
    <w:name w:val="常用表格样式"/>
    <w:basedOn w:val="1"/>
    <w:next w:val="1"/>
    <w:link w:val="100"/>
    <w:qFormat/>
    <w:uiPriority w:val="99"/>
    <w:pPr>
      <w:jc w:val="center"/>
    </w:pPr>
    <w:rPr>
      <w:rFonts w:ascii="宋体" w:hAnsi="新宋体" w:eastAsia="Times New Roman" w:cs="宋体"/>
      <w:spacing w:val="2"/>
      <w:sz w:val="24"/>
      <w:szCs w:val="24"/>
    </w:rPr>
  </w:style>
  <w:style w:type="paragraph" w:customStyle="1" w:styleId="102">
    <w:name w:val="表格内容"/>
    <w:basedOn w:val="103"/>
    <w:next w:val="1"/>
    <w:qFormat/>
    <w:uiPriority w:val="99"/>
    <w:pPr>
      <w:spacing w:line="240" w:lineRule="atLeast"/>
    </w:pPr>
    <w:rPr>
      <w:rFonts w:eastAsia="宋体"/>
      <w:sz w:val="21"/>
      <w:szCs w:val="21"/>
    </w:rPr>
  </w:style>
  <w:style w:type="paragraph" w:customStyle="1" w:styleId="103">
    <w:name w:val="表格标题"/>
    <w:basedOn w:val="36"/>
    <w:next w:val="102"/>
    <w:qFormat/>
    <w:uiPriority w:val="99"/>
    <w:pPr>
      <w:spacing w:line="360" w:lineRule="auto"/>
      <w:jc w:val="center"/>
    </w:pPr>
    <w:rPr>
      <w:rFonts w:eastAsia="黑体"/>
      <w:sz w:val="24"/>
      <w:szCs w:val="24"/>
    </w:rPr>
  </w:style>
  <w:style w:type="paragraph" w:customStyle="1" w:styleId="104">
    <w:name w:val="表内"/>
    <w:basedOn w:val="1"/>
    <w:qFormat/>
    <w:uiPriority w:val="99"/>
    <w:pPr>
      <w:jc w:val="center"/>
    </w:pPr>
  </w:style>
  <w:style w:type="paragraph" w:customStyle="1" w:styleId="105">
    <w:name w:val="表"/>
    <w:basedOn w:val="1"/>
    <w:next w:val="1"/>
    <w:qFormat/>
    <w:uiPriority w:val="0"/>
    <w:pPr>
      <w:adjustRightInd w:val="0"/>
      <w:spacing w:line="400" w:lineRule="exact"/>
      <w:jc w:val="center"/>
    </w:pPr>
    <w:rPr>
      <w:rFonts w:ascii="宋体"/>
      <w:sz w:val="24"/>
      <w:szCs w:val="20"/>
    </w:rPr>
  </w:style>
  <w:style w:type="character" w:customStyle="1" w:styleId="106">
    <w:name w:val="表头 Char Char"/>
    <w:link w:val="75"/>
    <w:qFormat/>
    <w:locked/>
    <w:uiPriority w:val="99"/>
    <w:rPr>
      <w:rFonts w:eastAsia="黑体"/>
      <w:snapToGrid w:val="0"/>
      <w:kern w:val="2"/>
      <w:sz w:val="24"/>
      <w:szCs w:val="24"/>
    </w:rPr>
  </w:style>
  <w:style w:type="character" w:customStyle="1" w:styleId="107">
    <w:name w:val="表格标题 Exact"/>
    <w:qFormat/>
    <w:uiPriority w:val="99"/>
    <w:rPr>
      <w:rFonts w:ascii="宋体" w:hAnsi="宋体" w:eastAsia="宋体" w:cs="宋体"/>
      <w:sz w:val="22"/>
      <w:szCs w:val="22"/>
      <w:u w:val="none"/>
    </w:rPr>
  </w:style>
  <w:style w:type="paragraph" w:customStyle="1" w:styleId="108">
    <w:name w:val="正文 首行缩进:  2 字符"/>
    <w:basedOn w:val="1"/>
    <w:qFormat/>
    <w:uiPriority w:val="99"/>
    <w:pPr>
      <w:ind w:firstLine="579"/>
    </w:pPr>
  </w:style>
  <w:style w:type="character" w:customStyle="1" w:styleId="109">
    <w:name w:val="普通(网站) 字符"/>
    <w:qFormat/>
    <w:uiPriority w:val="99"/>
    <w:rPr>
      <w:sz w:val="24"/>
      <w:szCs w:val="24"/>
    </w:rPr>
  </w:style>
  <w:style w:type="paragraph" w:customStyle="1" w:styleId="110">
    <w:name w:val="报告表内字"/>
    <w:qFormat/>
    <w:uiPriority w:val="99"/>
    <w:pPr>
      <w:spacing w:line="320" w:lineRule="exact"/>
      <w:jc w:val="center"/>
    </w:pPr>
    <w:rPr>
      <w:rFonts w:ascii="Times New Roman" w:hAnsi="Times New Roman" w:eastAsia="宋体" w:cs="Times New Roman"/>
      <w:kern w:val="2"/>
      <w:sz w:val="21"/>
      <w:szCs w:val="21"/>
      <w:lang w:val="en-US" w:eastAsia="zh-CN" w:bidi="ar-SA"/>
    </w:rPr>
  </w:style>
  <w:style w:type="paragraph" w:customStyle="1" w:styleId="111">
    <w:name w:val="Table Paragraph"/>
    <w:basedOn w:val="1"/>
    <w:qFormat/>
    <w:uiPriority w:val="99"/>
    <w:pPr>
      <w:autoSpaceDE w:val="0"/>
      <w:autoSpaceDN w:val="0"/>
      <w:jc w:val="left"/>
    </w:pPr>
    <w:rPr>
      <w:rFonts w:ascii="宋体" w:hAnsi="宋体" w:cs="宋体"/>
      <w:kern w:val="0"/>
      <w:sz w:val="22"/>
      <w:szCs w:val="22"/>
      <w:lang w:val="zh-CN"/>
    </w:rPr>
  </w:style>
  <w:style w:type="paragraph" w:customStyle="1" w:styleId="112">
    <w:name w:val="表内容"/>
    <w:basedOn w:val="1"/>
    <w:qFormat/>
    <w:uiPriority w:val="99"/>
    <w:pPr>
      <w:spacing w:line="360" w:lineRule="exact"/>
      <w:jc w:val="center"/>
    </w:pPr>
  </w:style>
  <w:style w:type="character" w:customStyle="1" w:styleId="113">
    <w:name w:val="表格正文 Char1"/>
    <w:link w:val="114"/>
    <w:qFormat/>
    <w:locked/>
    <w:uiPriority w:val="99"/>
  </w:style>
  <w:style w:type="paragraph" w:customStyle="1" w:styleId="114">
    <w:name w:val="表格正文"/>
    <w:basedOn w:val="10"/>
    <w:link w:val="113"/>
    <w:qFormat/>
    <w:uiPriority w:val="99"/>
    <w:pPr>
      <w:widowControl/>
      <w:snapToGrid w:val="0"/>
      <w:jc w:val="center"/>
    </w:pPr>
    <w:rPr>
      <w:kern w:val="0"/>
      <w:sz w:val="20"/>
      <w:szCs w:val="20"/>
    </w:rPr>
  </w:style>
  <w:style w:type="character" w:customStyle="1" w:styleId="115">
    <w:name w:val="页眉 Char21"/>
    <w:qFormat/>
    <w:uiPriority w:val="99"/>
    <w:rPr>
      <w:rFonts w:ascii="Times New Roman" w:hAnsi="Times New Roman" w:eastAsia="宋体" w:cs="Times New Roman"/>
      <w:kern w:val="2"/>
      <w:sz w:val="18"/>
      <w:szCs w:val="18"/>
      <w:lang w:val="en-US" w:eastAsia="zh-CN"/>
    </w:rPr>
  </w:style>
  <w:style w:type="character" w:customStyle="1" w:styleId="116">
    <w:name w:val="正文文本 2 字符1"/>
    <w:semiHidden/>
    <w:qFormat/>
    <w:uiPriority w:val="99"/>
    <w:rPr>
      <w:kern w:val="2"/>
      <w:sz w:val="24"/>
      <w:szCs w:val="24"/>
    </w:rPr>
  </w:style>
  <w:style w:type="paragraph" w:customStyle="1" w:styleId="117">
    <w:name w:val="Char Char Char1 Char Char Char Char Char Char Char"/>
    <w:basedOn w:val="1"/>
    <w:qFormat/>
    <w:uiPriority w:val="99"/>
    <w:rPr>
      <w:rFonts w:ascii="等线" w:hAnsi="等线" w:cs="等线"/>
      <w:spacing w:val="-2"/>
      <w:kern w:val="0"/>
    </w:rPr>
  </w:style>
  <w:style w:type="paragraph" w:customStyle="1" w:styleId="118">
    <w:name w:val="表中文字"/>
    <w:basedOn w:val="1"/>
    <w:qFormat/>
    <w:uiPriority w:val="99"/>
    <w:pPr>
      <w:adjustRightInd w:val="0"/>
      <w:snapToGrid w:val="0"/>
      <w:jc w:val="center"/>
    </w:pPr>
  </w:style>
  <w:style w:type="paragraph" w:customStyle="1" w:styleId="119">
    <w:name w:val="我的正文"/>
    <w:basedOn w:val="76"/>
    <w:qFormat/>
    <w:uiPriority w:val="99"/>
    <w:pPr>
      <w:ind w:firstLine="480"/>
    </w:pPr>
  </w:style>
  <w:style w:type="paragraph" w:customStyle="1" w:styleId="120">
    <w:name w:val="中文报告书样式"/>
    <w:basedOn w:val="1"/>
    <w:qFormat/>
    <w:uiPriority w:val="99"/>
    <w:pPr>
      <w:adjustRightInd w:val="0"/>
      <w:spacing w:line="480" w:lineRule="atLeast"/>
      <w:ind w:firstLine="482"/>
      <w:textAlignment w:val="baseline"/>
    </w:pPr>
    <w:rPr>
      <w:kern w:val="24"/>
      <w:sz w:val="24"/>
      <w:szCs w:val="24"/>
    </w:rPr>
  </w:style>
  <w:style w:type="paragraph" w:customStyle="1" w:styleId="121">
    <w:name w:val="样式35"/>
    <w:basedOn w:val="1"/>
    <w:qFormat/>
    <w:uiPriority w:val="0"/>
    <w:pPr>
      <w:adjustRightInd w:val="0"/>
      <w:spacing w:line="312" w:lineRule="auto"/>
      <w:ind w:firstLine="567"/>
    </w:pPr>
    <w:rPr>
      <w:rFonts w:ascii="宋体"/>
      <w:kern w:val="0"/>
      <w:sz w:val="28"/>
      <w:szCs w:val="20"/>
    </w:rPr>
  </w:style>
  <w:style w:type="paragraph" w:customStyle="1" w:styleId="122">
    <w:name w:val="正文20110920"/>
    <w:basedOn w:val="123"/>
    <w:qFormat/>
    <w:uiPriority w:val="0"/>
    <w:pPr>
      <w:ind w:firstLine="480"/>
    </w:pPr>
  </w:style>
  <w:style w:type="paragraph" w:customStyle="1" w:styleId="123">
    <w:name w:val="样式 正文20110824 + 宋体 首行缩进:  2 字符"/>
    <w:basedOn w:val="124"/>
    <w:qFormat/>
    <w:uiPriority w:val="0"/>
    <w:rPr>
      <w:rFonts w:cs="宋体"/>
    </w:rPr>
  </w:style>
  <w:style w:type="paragraph" w:customStyle="1" w:styleId="124">
    <w:name w:val="正文20110824"/>
    <w:basedOn w:val="1"/>
    <w:qFormat/>
    <w:uiPriority w:val="0"/>
    <w:pPr>
      <w:spacing w:line="360" w:lineRule="auto"/>
      <w:ind w:firstLine="200" w:firstLineChars="200"/>
    </w:pPr>
    <w:rPr>
      <w:color w:val="000000"/>
      <w:sz w:val="24"/>
    </w:rPr>
  </w:style>
  <w:style w:type="paragraph" w:customStyle="1" w:styleId="125">
    <w:name w:val="图、表内容"/>
    <w:basedOn w:val="1"/>
    <w:qFormat/>
    <w:uiPriority w:val="0"/>
    <w:pPr>
      <w:adjustRightInd w:val="0"/>
      <w:snapToGrid w:val="0"/>
      <w:jc w:val="center"/>
    </w:pPr>
    <w:rPr>
      <w:rFonts w:cs="宋体"/>
      <w:spacing w:val="-2"/>
      <w:kern w:val="0"/>
      <w:szCs w:val="20"/>
    </w:rPr>
  </w:style>
  <w:style w:type="paragraph" w:customStyle="1" w:styleId="126">
    <w:name w:val="Other|1"/>
    <w:basedOn w:val="1"/>
    <w:qFormat/>
    <w:uiPriority w:val="0"/>
    <w:pPr>
      <w:jc w:val="center"/>
    </w:pPr>
    <w:rPr>
      <w:rFonts w:ascii="宋体" w:hAnsi="宋体" w:cs="宋体"/>
      <w:sz w:val="20"/>
      <w:szCs w:val="20"/>
      <w:lang w:val="zh-TW" w:eastAsia="zh-TW" w:bidi="zh-TW"/>
    </w:rPr>
  </w:style>
  <w:style w:type="paragraph" w:customStyle="1" w:styleId="127">
    <w:name w:val="正文2"/>
    <w:basedOn w:val="1"/>
    <w:qFormat/>
    <w:uiPriority w:val="0"/>
    <w:pPr>
      <w:adjustRightInd w:val="0"/>
      <w:spacing w:line="360" w:lineRule="auto"/>
      <w:ind w:firstLine="480" w:firstLineChars="200"/>
      <w:textAlignment w:val="baseline"/>
    </w:pPr>
    <w:rPr>
      <w:rFonts w:ascii="宋体" w:hAnsi="宋体" w:cs="宋体"/>
      <w:kern w:val="21"/>
      <w:sz w:val="24"/>
    </w:rPr>
  </w:style>
  <w:style w:type="character" w:customStyle="1" w:styleId="128">
    <w:name w:val="fontstyle01"/>
    <w:basedOn w:val="40"/>
    <w:qFormat/>
    <w:uiPriority w:val="0"/>
    <w:rPr>
      <w:rFonts w:hint="eastAsia" w:ascii="宋体" w:hAnsi="宋体" w:eastAsia="宋体" w:cs="宋体"/>
      <w:color w:val="000000"/>
      <w:sz w:val="24"/>
      <w:szCs w:val="24"/>
    </w:rPr>
  </w:style>
  <w:style w:type="character" w:customStyle="1" w:styleId="129">
    <w:name w:val="fontstyle21"/>
    <w:qFormat/>
    <w:uiPriority w:val="0"/>
    <w:rPr>
      <w:rFonts w:hint="default" w:ascii="Times New Roman" w:hAnsi="Times New Roman" w:cs="Times New Roman"/>
      <w:color w:val="000000"/>
      <w:sz w:val="24"/>
      <w:szCs w:val="24"/>
    </w:rPr>
  </w:style>
  <w:style w:type="character" w:customStyle="1" w:styleId="130">
    <w:name w:val="font181"/>
    <w:qFormat/>
    <w:uiPriority w:val="0"/>
    <w:rPr>
      <w:rFonts w:hint="eastAsia" w:ascii="仿宋" w:hAnsi="仿宋" w:eastAsia="仿宋" w:cs="仿宋"/>
      <w:b/>
      <w:color w:val="000000"/>
      <w:sz w:val="22"/>
      <w:szCs w:val="22"/>
      <w:u w:val="none"/>
    </w:rPr>
  </w:style>
  <w:style w:type="paragraph" w:customStyle="1" w:styleId="131">
    <w:name w:val="表体"/>
    <w:qFormat/>
    <w:uiPriority w:val="0"/>
    <w:pPr>
      <w:adjustRightInd w:val="0"/>
      <w:snapToGrid w:val="0"/>
      <w:jc w:val="center"/>
    </w:pPr>
    <w:rPr>
      <w:rFonts w:ascii="宋体" w:hAnsi="Times New Roman" w:eastAsia="宋体" w:cs="Times New Roman"/>
      <w:color w:val="000080"/>
      <w:kern w:val="2"/>
      <w:sz w:val="21"/>
      <w:szCs w:val="24"/>
      <w:lang w:val="en-US" w:eastAsia="zh-CN" w:bidi="ar-SA"/>
    </w:rPr>
  </w:style>
  <w:style w:type="paragraph" w:customStyle="1" w:styleId="132">
    <w:name w:val="1正文段落"/>
    <w:basedOn w:val="1"/>
    <w:autoRedefine/>
    <w:qFormat/>
    <w:uiPriority w:val="0"/>
    <w:pPr>
      <w:spacing w:line="360" w:lineRule="auto"/>
      <w:ind w:firstLine="480" w:firstLineChars="200"/>
      <w:jc w:val="left"/>
    </w:pPr>
    <w:rPr>
      <w:snapToGrid w:val="0"/>
      <w:kern w:val="0"/>
      <w:sz w:val="24"/>
    </w:rPr>
  </w:style>
  <w:style w:type="paragraph" w:customStyle="1" w:styleId="133">
    <w:name w:val="Default1"/>
    <w:basedOn w:val="1"/>
    <w:qFormat/>
    <w:uiPriority w:val="0"/>
    <w:pPr>
      <w:autoSpaceDE w:val="0"/>
      <w:autoSpaceDN w:val="0"/>
      <w:adjustRightInd w:val="0"/>
      <w:jc w:val="left"/>
    </w:pPr>
    <w:rPr>
      <w:rFonts w:ascii="宋体" w:hAnsi="宋体" w:cs="宋体"/>
      <w:color w:val="000000"/>
      <w:kern w:val="0"/>
      <w:sz w:val="24"/>
    </w:rPr>
  </w:style>
  <w:style w:type="paragraph" w:customStyle="1" w:styleId="134">
    <w:name w:val="正文 + 仿宋_GB2312"/>
    <w:basedOn w:val="1"/>
    <w:autoRedefine/>
    <w:qFormat/>
    <w:uiPriority w:val="99"/>
    <w:pPr>
      <w:ind w:firstLine="480" w:firstLineChars="200"/>
    </w:pPr>
    <w:rPr>
      <w:rFonts w:ascii="仿宋_GB2312" w:hAnsi="Calibri" w:eastAsia="仿宋_GB2312" w:cs="Times New Roman"/>
      <w:sz w:val="24"/>
    </w:rPr>
  </w:style>
  <w:style w:type="table" w:customStyle="1" w:styleId="135">
    <w:name w:val="lily 表格1"/>
    <w:basedOn w:val="37"/>
    <w:qFormat/>
    <w:uiPriority w:val="59"/>
    <w:pPr>
      <w:widowControl w:val="0"/>
      <w:jc w:val="both"/>
    </w:pPr>
    <w:rPr>
      <w:rFonts w:ascii="Calibri" w:hAnsi="Calibri"/>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paragraph" w:customStyle="1" w:styleId="136">
    <w:name w:val="4表头、图头格式"/>
    <w:basedOn w:val="1"/>
    <w:qFormat/>
    <w:uiPriority w:val="0"/>
    <w:pPr>
      <w:jc w:val="center"/>
    </w:pPr>
    <w:rPr>
      <w:rFonts w:cs="Calibri"/>
      <w:b/>
      <w:kern w:val="0"/>
      <w:szCs w:val="21"/>
    </w:rPr>
  </w:style>
  <w:style w:type="paragraph" w:customStyle="1" w:styleId="137">
    <w:name w:val="表格文字（241）"/>
    <w:basedOn w:val="1"/>
    <w:semiHidden/>
    <w:qFormat/>
    <w:uiPriority w:val="0"/>
    <w:pPr>
      <w:autoSpaceDE w:val="0"/>
      <w:autoSpaceDN w:val="0"/>
      <w:adjustRightInd w:val="0"/>
      <w:jc w:val="center"/>
    </w:pPr>
    <w:rPr>
      <w:bCs/>
      <w:kern w:val="0"/>
      <w:szCs w:val="21"/>
    </w:rPr>
  </w:style>
  <w:style w:type="paragraph" w:customStyle="1" w:styleId="138">
    <w:name w:val="6表内容"/>
    <w:basedOn w:val="1"/>
    <w:qFormat/>
    <w:uiPriority w:val="0"/>
    <w:pPr>
      <w:spacing w:line="240" w:lineRule="auto"/>
      <w:ind w:firstLine="0" w:firstLineChars="0"/>
      <w:jc w:val="center"/>
    </w:pPr>
    <w:rPr>
      <w:rFonts w:eastAsia="宋体" w:cs="宋体"/>
      <w:color w:val="000000"/>
      <w:sz w:val="21"/>
      <w:szCs w:val="20"/>
    </w:rPr>
  </w:style>
  <w:style w:type="paragraph" w:customStyle="1" w:styleId="139">
    <w:name w:val="0☆☆☆正文"/>
    <w:basedOn w:val="1"/>
    <w:autoRedefine/>
    <w:unhideWhenUsed/>
    <w:qFormat/>
    <w:uiPriority w:val="99"/>
    <w:pPr>
      <w:widowControl/>
      <w:snapToGrid w:val="0"/>
      <w:spacing w:line="360" w:lineRule="auto"/>
      <w:ind w:firstLine="480" w:firstLineChars="200"/>
      <w:jc w:val="left"/>
    </w:pPr>
    <w:rPr>
      <w:rFonts w:ascii="Times New Roman" w:hAnsi="Times New Roman" w:cs="Times New Roman"/>
      <w:kern w:val="0"/>
      <w:szCs w:val="24"/>
    </w:rPr>
  </w:style>
  <w:style w:type="paragraph" w:customStyle="1" w:styleId="140">
    <w:name w:val="样式 加粗 居中"/>
    <w:basedOn w:val="1"/>
    <w:autoRedefine/>
    <w:qFormat/>
    <w:uiPriority w:val="0"/>
    <w:pPr>
      <w:spacing w:line="440" w:lineRule="exact"/>
      <w:jc w:val="center"/>
    </w:pPr>
    <w:rPr>
      <w:rFonts w:cs="宋体"/>
      <w:b/>
      <w:bCs/>
      <w:sz w:val="24"/>
    </w:rPr>
  </w:style>
  <w:style w:type="paragraph" w:customStyle="1" w:styleId="141">
    <w:name w:val="正文（小四）"/>
    <w:qFormat/>
    <w:uiPriority w:val="0"/>
    <w:pPr>
      <w:spacing w:line="360" w:lineRule="auto"/>
      <w:ind w:firstLine="200" w:firstLineChars="200"/>
      <w:jc w:val="both"/>
    </w:pPr>
    <w:rPr>
      <w:rFonts w:ascii="Times New Roman" w:hAnsi="Times New Roman" w:eastAsia="宋体" w:cs="Times New Roman"/>
      <w:bCs/>
      <w:color w:val="000000"/>
      <w:kern w:val="2"/>
      <w:sz w:val="24"/>
      <w:szCs w:val="32"/>
      <w:lang w:val="en-US" w:eastAsia="zh-CN" w:bidi="ar-SA"/>
    </w:rPr>
  </w:style>
  <w:style w:type="paragraph" w:customStyle="1" w:styleId="142">
    <w:name w:val="Table Text"/>
    <w:basedOn w:val="1"/>
    <w:autoRedefine/>
    <w:semiHidden/>
    <w:qFormat/>
    <w:uiPriority w:val="99"/>
    <w:rPr>
      <w:sz w:val="24"/>
      <w:szCs w:val="24"/>
      <w:lang w:eastAsia="en-US"/>
    </w:rPr>
  </w:style>
  <w:style w:type="table" w:customStyle="1" w:styleId="143">
    <w:name w:val="Table Normal"/>
    <w:autoRedefine/>
    <w:semiHidden/>
    <w:unhideWhenUsed/>
    <w:qFormat/>
    <w:uiPriority w:val="0"/>
    <w:tblPr>
      <w:tblCellMar>
        <w:top w:w="0" w:type="dxa"/>
        <w:left w:w="0" w:type="dxa"/>
        <w:bottom w:w="0" w:type="dxa"/>
        <w:right w:w="0" w:type="dxa"/>
      </w:tblCellMar>
    </w:tblPr>
  </w:style>
  <w:style w:type="paragraph" w:customStyle="1" w:styleId="144">
    <w:name w:val="表标题"/>
    <w:basedOn w:val="1"/>
    <w:next w:val="1"/>
    <w:autoRedefine/>
    <w:qFormat/>
    <w:uiPriority w:val="0"/>
    <w:pPr>
      <w:jc w:val="center"/>
    </w:pPr>
    <w:rPr>
      <w:rFonts w:hint="eastAsia"/>
      <w:b/>
    </w:rPr>
  </w:style>
  <w:style w:type="paragraph" w:customStyle="1" w:styleId="145">
    <w:name w:val="表格文字"/>
    <w:basedOn w:val="10"/>
    <w:autoRedefine/>
    <w:qFormat/>
    <w:uiPriority w:val="0"/>
    <w:pPr>
      <w:ind w:firstLine="0" w:firstLineChars="0"/>
      <w:jc w:val="center"/>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footer" Target="footer2.xml"/><Relationship Id="rId39" Type="http://schemas.openxmlformats.org/officeDocument/2006/relationships/customXml" Target="../customXml/item1.xml"/><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er" Target="footer1.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jpeg"/><Relationship Id="rId11" Type="http://schemas.openxmlformats.org/officeDocument/2006/relationships/image" Target="media/image4.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72</Pages>
  <Words>9713</Words>
  <Characters>10206</Characters>
  <Lines>193</Lines>
  <Paragraphs>54</Paragraphs>
  <TotalTime>2</TotalTime>
  <ScaleCrop>false</ScaleCrop>
  <LinksUpToDate>false</LinksUpToDate>
  <CharactersWithSpaces>10309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2022-01-14T02:16:00Z</dcterms:created>
  <dc:creator>lhj</dc:creator>
  <cp:lastModifiedBy>WPS_1689736603</cp:lastModifiedBy>
  <cp:lastPrinted>2025-07-29T08:30:00Z</cp:lastPrinted>
  <dcterms:modified xsi:type="dcterms:W3CDTF">2025-09-03T09:36:23Z</dcterms:modified>
  <dc:title>附件2</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7725A1EB615649DEA92CDBE5376E37FB_13</vt:lpwstr>
  </property>
  <property fmtid="{D5CDD505-2E9C-101B-9397-08002B2CF9AE}" pid="4" name="KSOTemplateDocerSaveRecord">
    <vt:lpwstr>eyJoZGlkIjoiMWY2Mjg4NmJlNzQyYmM2YjhhNTk1MmI1NDNhMzIzMWMiLCJ1c2VySWQiOiIxNTEzNDEwNDUwIn0=</vt:lpwstr>
  </property>
</Properties>
</file>