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0"/>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960" w:type="dxa"/>
            <w:noWrap w:val="0"/>
            <w:vAlign w:val="center"/>
          </w:tcPr>
          <w:p>
            <w:pPr>
              <w:spacing w:line="800" w:lineRule="exact"/>
              <w:jc w:val="distribute"/>
              <w:rPr>
                <w:rFonts w:hint="eastAsia" w:ascii="方正小标宋简体" w:eastAsia="方正小标宋简体"/>
                <w:color w:val="FF0000"/>
                <w:sz w:val="60"/>
                <w:szCs w:val="60"/>
              </w:rPr>
            </w:pPr>
            <w:r>
              <w:rPr>
                <w:rFonts w:hint="eastAsia" w:ascii="方正小标宋简体" w:eastAsia="方正小标宋简体"/>
                <w:color w:val="FF0000"/>
                <w:sz w:val="60"/>
                <w:szCs w:val="60"/>
                <w:lang w:eastAsia="zh-CN"/>
              </w:rPr>
              <w:t>濉溪县</w:t>
            </w:r>
            <w:r>
              <w:rPr>
                <w:rFonts w:hint="eastAsia" w:ascii="方正小标宋简体" w:eastAsia="方正小标宋简体"/>
                <w:color w:val="FF0000"/>
                <w:sz w:val="60"/>
                <w:szCs w:val="60"/>
              </w:rPr>
              <w:t>发展和改革委员会</w:t>
            </w:r>
          </w:p>
          <w:p>
            <w:pPr>
              <w:spacing w:line="800" w:lineRule="exact"/>
              <w:jc w:val="distribute"/>
              <w:rPr>
                <w:rFonts w:hint="eastAsia" w:ascii="方正小标宋简体" w:eastAsia="方正小标宋简体"/>
                <w:color w:val="FF0000"/>
                <w:sz w:val="60"/>
                <w:szCs w:val="60"/>
                <w:lang w:eastAsia="zh-CN"/>
              </w:rPr>
            </w:pPr>
            <w:r>
              <w:rPr>
                <w:rFonts w:hint="eastAsia" w:ascii="方正小标宋简体" w:eastAsia="方正小标宋简体"/>
                <w:color w:val="FF0000"/>
                <w:sz w:val="60"/>
                <w:szCs w:val="60"/>
                <w:lang w:eastAsia="zh-CN"/>
              </w:rPr>
              <w:t>濉溪县公安局</w:t>
            </w:r>
          </w:p>
          <w:p>
            <w:pPr>
              <w:spacing w:line="800" w:lineRule="exact"/>
              <w:jc w:val="distribute"/>
              <w:rPr>
                <w:rFonts w:hint="eastAsia" w:ascii="方正小标宋简体" w:eastAsia="方正小标宋简体"/>
                <w:color w:val="FF0000"/>
                <w:w w:val="80"/>
                <w:sz w:val="60"/>
                <w:szCs w:val="60"/>
                <w:lang w:eastAsia="zh-CN"/>
              </w:rPr>
            </w:pPr>
            <w:r>
              <w:rPr>
                <w:rFonts w:hint="eastAsia" w:ascii="方正小标宋简体" w:eastAsia="方正小标宋简体"/>
                <w:color w:val="FF0000"/>
                <w:w w:val="80"/>
                <w:sz w:val="60"/>
                <w:szCs w:val="60"/>
                <w:lang w:eastAsia="zh-CN"/>
              </w:rPr>
              <w:t>濉溪县自然资源和规划局</w:t>
            </w:r>
          </w:p>
          <w:p>
            <w:pPr>
              <w:spacing w:line="800" w:lineRule="exact"/>
              <w:jc w:val="distribute"/>
              <w:rPr>
                <w:rFonts w:hint="eastAsia" w:eastAsia="仿宋"/>
                <w:color w:val="FF0000"/>
                <w:lang w:eastAsia="zh-CN"/>
              </w:rPr>
            </w:pPr>
            <w:r>
              <w:rPr>
                <w:rFonts w:hint="eastAsia" w:ascii="方正小标宋简体" w:eastAsia="方正小标宋简体"/>
                <w:color w:val="FF0000"/>
                <w:sz w:val="60"/>
                <w:szCs w:val="60"/>
                <w:lang w:eastAsia="zh-CN"/>
              </w:rPr>
              <w:t>濉溪县住房和城乡建设局濉溪县交通运输局</w:t>
            </w:r>
          </w:p>
        </w:tc>
        <w:tc>
          <w:tcPr>
            <w:tcW w:w="1701" w:type="dxa"/>
            <w:noWrap w:val="0"/>
            <w:vAlign w:val="center"/>
          </w:tcPr>
          <w:p>
            <w:pPr>
              <w:jc w:val="center"/>
              <w:rPr>
                <w:rFonts w:hint="eastAsia"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c>
      </w:tr>
    </w:tbl>
    <w:p>
      <w:pPr>
        <w:spacing w:line="580" w:lineRule="exact"/>
        <w:rPr>
          <w:rFonts w:hint="eastAsia"/>
        </w:rPr>
      </w:pPr>
    </w:p>
    <w:p>
      <w:pPr>
        <w:spacing w:line="580" w:lineRule="exact"/>
        <w:jc w:val="center"/>
        <w:rPr>
          <w:rFonts w:hint="eastAsia" w:eastAsia="仿宋_GB2312"/>
        </w:rPr>
      </w:pPr>
      <w:r>
        <w:rPr>
          <w:rFonts w:hint="eastAsia" w:eastAsia="仿宋_GB2312"/>
          <w:lang w:eastAsia="zh-CN"/>
        </w:rPr>
        <w:t>濉</w:t>
      </w:r>
      <w:r>
        <w:rPr>
          <w:rFonts w:eastAsia="仿宋_GB2312"/>
        </w:rPr>
        <w:t>发改〔2</w:t>
      </w:r>
      <w:r>
        <w:rPr>
          <w:rFonts w:hint="eastAsia" w:eastAsia="仿宋_GB2312"/>
          <w:lang w:val="en-US" w:eastAsia="zh-CN"/>
        </w:rPr>
        <w:t>022</w:t>
      </w:r>
      <w:r>
        <w:rPr>
          <w:rFonts w:eastAsia="仿宋_GB2312"/>
        </w:rPr>
        <w:t>〕</w:t>
      </w:r>
      <w:r>
        <w:rPr>
          <w:rFonts w:hint="eastAsia" w:eastAsia="仿宋_GB2312"/>
          <w:lang w:val="en-US" w:eastAsia="zh-CN"/>
        </w:rPr>
        <w:t xml:space="preserve"> </w:t>
      </w:r>
      <w:r>
        <w:rPr>
          <w:rFonts w:eastAsia="仿宋_GB2312"/>
        </w:rPr>
        <w:t>号</w:t>
      </w:r>
    </w:p>
    <w:p>
      <w:pPr>
        <w:spacing w:line="580" w:lineRule="exact"/>
        <w:jc w:val="center"/>
        <w:rPr>
          <w:rFonts w:hint="eastAsia" w:eastAsia="仿宋_GB2312"/>
        </w:rPr>
      </w:pPr>
      <w:r>
        <w:rPr>
          <w:rFonts w:hint="eastAsia" w:eastAsia="仿宋_GB2312"/>
          <w:snapToGrid/>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43180</wp:posOffset>
                </wp:positionV>
                <wp:extent cx="5600700" cy="0"/>
                <wp:effectExtent l="0" t="10795" r="0" b="17780"/>
                <wp:wrapNone/>
                <wp:docPr id="1" name="直线 4"/>
                <wp:cNvGraphicFramePr/>
                <a:graphic xmlns:a="http://schemas.openxmlformats.org/drawingml/2006/main">
                  <a:graphicData uri="http://schemas.microsoft.com/office/word/2010/wordprocessingShape">
                    <wps:wsp>
                      <wps:cNvCnPr/>
                      <wps:spPr>
                        <a:xfrm>
                          <a:off x="0" y="0"/>
                          <a:ext cx="56007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65pt;margin-top:3.4pt;height:0pt;width:441pt;z-index:251659264;mso-width-relative:page;mso-height-relative:page;" filled="f" stroked="t" coordsize="21600,21600" o:gfxdata="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YS+cNIAAAAF&#10;AQAADwAAAAAAAAABACAAAAAiAAAAZHJzL2Rvd25yZXYueG1sUEsBAhQAFAAAAAgAh07iQCBW1mPp&#10;AQAA3AMAAA4AAAAAAAAAAQAgAAAAIQEAAGRycy9lMm9Eb2MueG1sUEsFBgAAAAAGAAYAWQEAAHwF&#10;AAAAAA==&#10;">
                <v:fill on="f" focussize="0,0"/>
                <v:stroke weight="1.7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濉溪县</w:t>
      </w:r>
      <w:r>
        <w:rPr>
          <w:rFonts w:hint="eastAsia" w:ascii="方正小标宋简体" w:hAnsi="方正小标宋简体" w:eastAsia="方正小标宋简体" w:cs="方正小标宋简体"/>
          <w:sz w:val="44"/>
          <w:szCs w:val="44"/>
        </w:rPr>
        <w:t>供(排)水、供电、燃气、</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通信外线接入工程告知承诺制及并联审批</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eastAsia"/>
        </w:rPr>
      </w:pPr>
      <w:r>
        <w:rPr>
          <w:rFonts w:hint="eastAsia" w:ascii="方正小标宋简体" w:hAnsi="方正小标宋简体" w:eastAsia="方正小标宋简体" w:cs="方正小标宋简体"/>
          <w:sz w:val="44"/>
          <w:szCs w:val="44"/>
        </w:rPr>
        <w:t>实施办法(2022版)》的通知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各镇（园区）、</w:t>
      </w:r>
      <w:r>
        <w:rPr>
          <w:rFonts w:hint="eastAsia" w:ascii="仿宋_GB2312" w:hAnsi="仿宋_GB2312" w:eastAsia="仿宋_GB2312" w:cs="仿宋_GB2312"/>
        </w:rPr>
        <w:t>各有关单位：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为贯彻党中央、国务院，省委、省政府</w:t>
      </w:r>
      <w:r>
        <w:rPr>
          <w:rFonts w:hint="eastAsia" w:ascii="仿宋_GB2312" w:hAnsi="仿宋_GB2312" w:eastAsia="仿宋_GB2312" w:cs="仿宋_GB2312"/>
          <w:lang w:eastAsia="zh-CN"/>
        </w:rPr>
        <w:t>，</w:t>
      </w:r>
      <w:r>
        <w:rPr>
          <w:rFonts w:hint="eastAsia" w:ascii="仿宋_GB2312" w:hAnsi="仿宋_GB2312" w:eastAsia="仿宋_GB2312" w:cs="仿宋_GB2312"/>
        </w:rPr>
        <w:t>市委、市政府</w:t>
      </w:r>
      <w:r>
        <w:rPr>
          <w:rFonts w:hint="eastAsia" w:ascii="仿宋_GB2312" w:hAnsi="仿宋_GB2312" w:eastAsia="仿宋_GB2312" w:cs="仿宋_GB2312"/>
          <w:lang w:eastAsia="zh-CN"/>
        </w:rPr>
        <w:t>及县委、县政府</w:t>
      </w:r>
      <w:r>
        <w:rPr>
          <w:rFonts w:hint="eastAsia" w:ascii="仿宋_GB2312" w:hAnsi="仿宋_GB2312" w:eastAsia="仿宋_GB2312" w:cs="仿宋_GB2312"/>
        </w:rPr>
        <w:t>关于深化“放管服”改革优化营商环境决策部署，</w:t>
      </w:r>
      <w:r>
        <w:rPr>
          <w:rFonts w:hint="eastAsia" w:ascii="仿宋_GB2312" w:hAnsi="仿宋_GB2312" w:eastAsia="仿宋_GB2312" w:cs="仿宋_GB2312"/>
          <w:lang w:eastAsia="zh-CN"/>
        </w:rPr>
        <w:t>落实</w:t>
      </w:r>
      <w:r>
        <w:rPr>
          <w:rFonts w:hint="eastAsia" w:ascii="仿宋_GB2312" w:hAnsi="仿宋_GB2312" w:eastAsia="仿宋_GB2312" w:cs="仿宋_GB2312"/>
        </w:rPr>
        <w:t>有关要求，切实简化供(排)水、供电、燃气、通信接入工程审批流程，压减审批时间，</w:t>
      </w:r>
      <w:r>
        <w:rPr>
          <w:rFonts w:hint="eastAsia" w:ascii="仿宋_GB2312" w:hAnsi="仿宋_GB2312" w:eastAsia="仿宋_GB2312" w:cs="仿宋_GB2312"/>
          <w:lang w:eastAsia="zh-CN"/>
        </w:rPr>
        <w:t>特</w:t>
      </w:r>
      <w:r>
        <w:rPr>
          <w:rFonts w:hint="eastAsia" w:ascii="仿宋_GB2312" w:hAnsi="仿宋_GB2312" w:eastAsia="仿宋_GB2312" w:cs="仿宋_GB2312"/>
        </w:rPr>
        <w:t>制定《淮北市供（排）水、供电、燃气、通信外线接入工程告知承诺制及并联审批实施办法（2022版）》，现印发给你们，请认真贯彻落实。</w:t>
      </w:r>
    </w:p>
    <w:p>
      <w:pPr>
        <w:pStyle w:val="2"/>
        <w:rPr>
          <w:rFonts w:hint="eastAsia" w:ascii="仿宋_GB2312" w:hAnsi="仿宋_GB2312" w:eastAsia="仿宋_GB2312" w:cs="仿宋_GB2312"/>
        </w:rPr>
      </w:pPr>
    </w:p>
    <w:p>
      <w:pPr>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濉溪县发展和改革委员会</w:t>
      </w:r>
      <w:r>
        <w:rPr>
          <w:rFonts w:hint="eastAsia" w:ascii="仿宋_GB2312" w:hAnsi="仿宋_GB2312" w:eastAsia="仿宋_GB2312" w:cs="仿宋_GB2312"/>
          <w:lang w:val="en-US" w:eastAsia="zh-CN"/>
        </w:rPr>
        <w:t xml:space="preserve">              濉溪县公安局</w:t>
      </w:r>
    </w:p>
    <w:p>
      <w:pPr>
        <w:pStyle w:val="2"/>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rPr>
          <w:rFonts w:hint="eastAsia"/>
          <w:lang w:val="en-US" w:eastAsia="zh-CN"/>
        </w:rPr>
      </w:pPr>
    </w:p>
    <w:p>
      <w:pPr>
        <w:rPr>
          <w:rFonts w:hint="eastAsia"/>
          <w:lang w:val="en-US" w:eastAsia="zh-CN"/>
        </w:rPr>
      </w:pPr>
    </w:p>
    <w:p>
      <w:pPr>
        <w:pStyle w:val="2"/>
        <w:ind w:left="0" w:leftChars="0" w:firstLine="320" w:firstLineChars="1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濉溪县自然资源和规划局         濉溪县住房和城乡建设局 </w:t>
      </w:r>
    </w:p>
    <w:p>
      <w:pPr>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2"/>
        <w:rPr>
          <w:rFonts w:hint="eastAsia"/>
          <w:lang w:val="en-US" w:eastAsia="zh-CN"/>
        </w:rPr>
      </w:pPr>
    </w:p>
    <w:p>
      <w:pPr>
        <w:pStyle w:val="2"/>
        <w:rPr>
          <w:rFonts w:hint="default"/>
          <w:lang w:val="en-US" w:eastAsia="zh-CN"/>
        </w:rPr>
      </w:pPr>
    </w:p>
    <w:p>
      <w:pPr>
        <w:ind w:firstLine="320" w:firstLineChars="100"/>
        <w:rPr>
          <w:rFonts w:hint="eastAsia" w:ascii="仿宋_GB2312" w:hAnsi="仿宋_GB2312" w:eastAsia="仿宋_GB2312" w:cs="仿宋_GB2312"/>
          <w:lang w:val="en-US" w:eastAsia="zh-CN"/>
        </w:rPr>
      </w:pPr>
      <w:bookmarkStart w:id="0" w:name="_GoBack"/>
      <w:bookmarkEnd w:id="0"/>
      <w:r>
        <w:rPr>
          <w:rFonts w:hint="eastAsia" w:ascii="仿宋_GB2312" w:hAnsi="仿宋_GB2312" w:eastAsia="仿宋_GB2312" w:cs="仿宋_GB2312"/>
          <w:lang w:val="en-US" w:eastAsia="zh-CN"/>
        </w:rPr>
        <w:t xml:space="preserve">濉溪县交通运输局                  </w:t>
      </w:r>
    </w:p>
    <w:p>
      <w:pPr>
        <w:keepNext w:val="0"/>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rPr>
      </w:pPr>
    </w:p>
    <w:p>
      <w:pPr>
        <w:keepNext w:val="0"/>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rPr>
      </w:pPr>
    </w:p>
    <w:p>
      <w:pPr>
        <w:keepNext w:val="0"/>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rPr>
      </w:pPr>
      <w:r>
        <w:rPr>
          <w:rFonts w:hint="eastAsia" w:ascii="仿宋_GB2312" w:hAnsi="仿宋_GB2312" w:eastAsia="仿宋_GB2312" w:cs="仿宋_GB2312"/>
        </w:rPr>
        <w:t>2022年11月</w:t>
      </w:r>
      <w:r>
        <w:rPr>
          <w:rFonts w:hint="eastAsia" w:ascii="仿宋_GB2312" w:hAnsi="仿宋_GB2312" w:eastAsia="仿宋_GB2312" w:cs="仿宋_GB2312"/>
          <w:lang w:val="en-US" w:eastAsia="zh-CN"/>
        </w:rPr>
        <w:t>15</w:t>
      </w:r>
      <w:r>
        <w:rPr>
          <w:rFonts w:hint="eastAsia" w:ascii="仿宋_GB2312" w:hAnsi="仿宋_GB2312" w:eastAsia="仿宋_GB2312" w:cs="仿宋_GB2312"/>
        </w:rPr>
        <w:t>日</w:t>
      </w: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rPr>
        <w:sectPr>
          <w:pgSz w:w="11906" w:h="16840" w:orient="landscape"/>
          <w:pgMar w:top="1985" w:right="1531" w:bottom="1985" w:left="1531" w:header="851" w:footer="1134" w:gutter="0"/>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before="240" w:after="24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濉溪县</w:t>
      </w:r>
      <w:r>
        <w:rPr>
          <w:rFonts w:hint="eastAsia" w:ascii="方正小标宋简体" w:hAnsi="方正小标宋简体" w:eastAsia="方正小标宋简体" w:cs="方正小标宋简体"/>
          <w:sz w:val="44"/>
          <w:szCs w:val="44"/>
        </w:rPr>
        <w:t>供(排)水、供电、燃气、通信</w:t>
      </w:r>
    </w:p>
    <w:p>
      <w:pPr>
        <w:keepNext w:val="0"/>
        <w:keepLines w:val="0"/>
        <w:pageBreakBefore w:val="0"/>
        <w:widowControl/>
        <w:kinsoku/>
        <w:wordWrap/>
        <w:overflowPunct/>
        <w:topLinePunct w:val="0"/>
        <w:autoSpaceDE/>
        <w:autoSpaceDN/>
        <w:bidi w:val="0"/>
        <w:adjustRightInd/>
        <w:snapToGrid/>
        <w:spacing w:before="240" w:after="24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外线接入工程告知承诺制及并联审批</w:t>
      </w:r>
    </w:p>
    <w:p>
      <w:pPr>
        <w:keepNext w:val="0"/>
        <w:keepLines w:val="0"/>
        <w:pageBreakBefore w:val="0"/>
        <w:widowControl/>
        <w:kinsoku/>
        <w:wordWrap/>
        <w:overflowPunct/>
        <w:topLinePunct w:val="0"/>
        <w:autoSpaceDE/>
        <w:autoSpaceDN/>
        <w:bidi w:val="0"/>
        <w:adjustRightInd/>
        <w:snapToGrid/>
        <w:spacing w:before="240" w:after="24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实施办法(2022版)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一、目标任务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实行告知承诺制、并联审批制，由工程建设单位承诺破路、破绿、占路保护不低于原设计标准的恢复方式即可先行施工，政府相关部门加强事中事后监管，将供(排)水、供电、燃气、通信外线工程涉及的工程规划许可、绿化许可、涉路施工许可、占掘路许可等多部门并联办理，实行“一窗受理、集成服务、并联审批、联合踏勘、统一出件”模式时间压缩至2个工作日以内。</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二、适用范围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濉溪县</w:t>
      </w:r>
      <w:r>
        <w:rPr>
          <w:rFonts w:hint="eastAsia" w:ascii="仿宋_GB2312" w:hAnsi="仿宋_GB2312" w:eastAsia="仿宋_GB2312" w:cs="仿宋_GB2312"/>
        </w:rPr>
        <w:t>范围内由供(排)水、供电、燃气、通信企业建设或受托承建的供(排)水、供电、燃气、通信市政公用设施接入的供(排)水、供电、燃气、通信工程，实行告知承诺制适用于开挖城市道路和临时占用绿地长度小于等于300米的市政外线接入工程，其</w:t>
      </w:r>
      <w:r>
        <w:rPr>
          <w:rFonts w:hint="eastAsia" w:ascii="仿宋_GB2312" w:hAnsi="仿宋_GB2312" w:eastAsia="仿宋_GB2312" w:cs="仿宋_GB2312"/>
          <w:lang w:eastAsia="zh-CN"/>
        </w:rPr>
        <w:t>它</w:t>
      </w:r>
      <w:r>
        <w:rPr>
          <w:rFonts w:hint="eastAsia" w:ascii="仿宋_GB2312" w:hAnsi="仿宋_GB2312" w:eastAsia="仿宋_GB2312" w:cs="仿宋_GB2312"/>
        </w:rPr>
        <w:t>情况适用于并联审批。涉及城市主干道、快速路、高速公路、国省干线公路、交通量较大的农村公路，占用林地、采伐林木等情况不适用告知承诺，应按规定办理相关行政审批。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三、告知承诺办理流程和时限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楷体_GB2312" w:hAnsi="楷体_GB2312" w:eastAsia="楷体_GB2312" w:cs="楷体_GB2312"/>
        </w:rPr>
        <w:t>(一)告知环节。发起分为企业申请办件和自动发起办件</w:t>
      </w:r>
      <w:r>
        <w:rPr>
          <w:rFonts w:hint="eastAsia"/>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1.企业申请:</w:t>
      </w:r>
      <w:r>
        <w:rPr>
          <w:rFonts w:hint="eastAsia" w:ascii="仿宋_GB2312" w:hAnsi="仿宋_GB2312" w:eastAsia="仿宋_GB2312" w:cs="仿宋_GB2312"/>
        </w:rPr>
        <w:t>企业可在政务网、皖事通APP、工改系统、水电气信官网、微信等渠道进行申请水电气信报装，办件均会转到水电气信报装并联办理系统，由水电气信专员在0.5个工作日内告知相关审批人员适用范围。(即办件)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2.自动发起:</w:t>
      </w:r>
      <w:r>
        <w:rPr>
          <w:rFonts w:hint="eastAsia" w:ascii="仿宋_GB2312" w:hAnsi="仿宋_GB2312" w:eastAsia="仿宋_GB2312" w:cs="仿宋_GB2312"/>
        </w:rPr>
        <w:t>企业在申请施工许可证或供(排)水、供电、燃气、通信企业发起前置服务的同时，系统自动发起水电气信报装及规划、绿化、占掘路等许可事项申请，实行告知承诺方式，由水电气信专员在0.5个工作日内告知相关审批人员适用范围。(即办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3.申请材料:</w:t>
      </w:r>
      <w:r>
        <w:rPr>
          <w:rFonts w:hint="eastAsia" w:ascii="仿宋_GB2312" w:hAnsi="仿宋_GB2312" w:eastAsia="仿宋_GB2312" w:cs="仿宋_GB2312"/>
        </w:rPr>
        <w:t>零材料。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(二)审批环节。</w:t>
      </w:r>
      <w:r>
        <w:rPr>
          <w:rFonts w:hint="eastAsia" w:ascii="仿宋_GB2312" w:hAnsi="仿宋_GB2312" w:eastAsia="仿宋_GB2312" w:cs="仿宋_GB2312"/>
        </w:rPr>
        <w:t>系统获取信息后，由</w:t>
      </w:r>
      <w:r>
        <w:rPr>
          <w:rFonts w:hint="eastAsia" w:ascii="仿宋_GB2312" w:hAnsi="仿宋_GB2312" w:eastAsia="仿宋_GB2312" w:cs="仿宋_GB2312"/>
          <w:lang w:eastAsia="zh-CN"/>
        </w:rPr>
        <w:t>县</w:t>
      </w:r>
      <w:r>
        <w:rPr>
          <w:rFonts w:hint="eastAsia" w:ascii="仿宋_GB2312" w:hAnsi="仿宋_GB2312" w:eastAsia="仿宋_GB2312" w:cs="仿宋_GB2312"/>
        </w:rPr>
        <w:t>自然资源和规划局、</w:t>
      </w:r>
      <w:r>
        <w:rPr>
          <w:rFonts w:hint="eastAsia" w:ascii="仿宋_GB2312" w:hAnsi="仿宋_GB2312" w:eastAsia="仿宋_GB2312" w:cs="仿宋_GB2312"/>
          <w:lang w:eastAsia="zh-CN"/>
        </w:rPr>
        <w:t>县</w:t>
      </w:r>
      <w:r>
        <w:rPr>
          <w:rFonts w:hint="eastAsia" w:ascii="仿宋_GB2312" w:hAnsi="仿宋_GB2312" w:eastAsia="仿宋_GB2312" w:cs="仿宋_GB2312"/>
        </w:rPr>
        <w:t>住房城乡建设局、</w:t>
      </w:r>
      <w:r>
        <w:rPr>
          <w:rFonts w:hint="eastAsia" w:ascii="仿宋_GB2312" w:hAnsi="仿宋_GB2312" w:eastAsia="仿宋_GB2312" w:cs="仿宋_GB2312"/>
          <w:lang w:eastAsia="zh-CN"/>
        </w:rPr>
        <w:t>县</w:t>
      </w:r>
      <w:r>
        <w:rPr>
          <w:rFonts w:hint="eastAsia" w:ascii="仿宋_GB2312" w:hAnsi="仿宋_GB2312" w:eastAsia="仿宋_GB2312" w:cs="仿宋_GB2312"/>
        </w:rPr>
        <w:t>公安局、</w:t>
      </w:r>
      <w:r>
        <w:rPr>
          <w:rFonts w:hint="eastAsia" w:ascii="仿宋_GB2312" w:hAnsi="仿宋_GB2312" w:eastAsia="仿宋_GB2312" w:cs="仿宋_GB2312"/>
          <w:lang w:eastAsia="zh-CN"/>
        </w:rPr>
        <w:t>县</w:t>
      </w:r>
      <w:r>
        <w:rPr>
          <w:rFonts w:hint="eastAsia" w:ascii="仿宋_GB2312" w:hAnsi="仿宋_GB2312" w:eastAsia="仿宋_GB2312" w:cs="仿宋_GB2312"/>
        </w:rPr>
        <w:t>交通运输局等相关部门审批人员进行确认，同时出具行政许可通知书，供(排)水、供电、供气企业获取审批信息后，便可实施。(即办件)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楷体_GB2312" w:hAnsi="楷体_GB2312" w:eastAsia="楷体_GB2312" w:cs="楷体_GB2312"/>
        </w:rPr>
        <w:t>(三)批后监管。</w:t>
      </w:r>
      <w:r>
        <w:rPr>
          <w:rFonts w:hint="eastAsia" w:ascii="仿宋_GB2312" w:hAnsi="仿宋_GB2312" w:eastAsia="仿宋_GB2312" w:cs="仿宋_GB2312"/>
        </w:rPr>
        <w:t>供(排)水、供电、燃气、通信企业应出具长期承诺书或单项工程承诺书，不低于原设计标准的恢复方式，项目完成后由相关涉及的审批部门进行验收。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四、并联审批办理流程和时限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(一)发起与受理。发起分为企业申请办件和自动发起办件。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1.企业申请</w:t>
      </w:r>
      <w:r>
        <w:rPr>
          <w:rFonts w:hint="eastAsia"/>
        </w:rPr>
        <w:t>:</w:t>
      </w:r>
      <w:r>
        <w:rPr>
          <w:rFonts w:hint="eastAsia" w:ascii="仿宋_GB2312" w:hAnsi="仿宋_GB2312" w:eastAsia="仿宋_GB2312" w:cs="仿宋_GB2312"/>
        </w:rPr>
        <w:t>企业可在微信、政务网、皖事通APP、工改系统、官网、微信等渠道进行申请水电气信报装，各种渠道的水电气信报装办件均会流转到水电气信报装并联办理系统，实行先实施后审批的方式，直接受理出具行政许可通知单;(即办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2.自动发起:</w:t>
      </w:r>
      <w:r>
        <w:rPr>
          <w:rFonts w:hint="eastAsia" w:ascii="仿宋_GB2312" w:hAnsi="仿宋_GB2312" w:eastAsia="仿宋_GB2312" w:cs="仿宋_GB2312"/>
        </w:rPr>
        <w:t>企业在申请施工许可证或供(排)水、供电、燃气、通信企业发起前置服务的同时，系统自动发起水电气信报装及规划、交通、绿化、占掘路等许可事项申请，实行先实施后审批的并联审批方式，直接受理出具行政许可通知单。(即办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3.申请材料:</w:t>
      </w:r>
      <w:r>
        <w:rPr>
          <w:rFonts w:hint="eastAsia" w:ascii="仿宋_GB2312" w:hAnsi="仿宋_GB2312" w:eastAsia="仿宋_GB2312" w:cs="仿宋_GB2312"/>
        </w:rPr>
        <w:t>零材料。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(二)联合勘验。</w:t>
      </w:r>
      <w:r>
        <w:rPr>
          <w:rFonts w:hint="eastAsia" w:ascii="仿宋_GB2312" w:hAnsi="仿宋_GB2312" w:eastAsia="仿宋_GB2312" w:cs="仿宋_GB2312"/>
        </w:rPr>
        <w:t>行政许可通知单下达后，由</w:t>
      </w:r>
      <w:r>
        <w:rPr>
          <w:rFonts w:hint="eastAsia" w:ascii="仿宋_GB2312" w:hAnsi="仿宋_GB2312" w:eastAsia="仿宋_GB2312" w:cs="仿宋_GB2312"/>
          <w:lang w:eastAsia="zh-CN"/>
        </w:rPr>
        <w:t>县</w:t>
      </w:r>
      <w:r>
        <w:rPr>
          <w:rFonts w:hint="eastAsia" w:ascii="仿宋_GB2312" w:hAnsi="仿宋_GB2312" w:eastAsia="仿宋_GB2312" w:cs="仿宋_GB2312"/>
        </w:rPr>
        <w:t>住房城乡建设局牵头组织</w:t>
      </w:r>
      <w:r>
        <w:rPr>
          <w:rFonts w:hint="eastAsia" w:ascii="仿宋_GB2312" w:hAnsi="仿宋_GB2312" w:eastAsia="仿宋_GB2312" w:cs="仿宋_GB2312"/>
          <w:lang w:eastAsia="zh-CN"/>
        </w:rPr>
        <w:t>县</w:t>
      </w:r>
      <w:r>
        <w:rPr>
          <w:rFonts w:hint="eastAsia" w:ascii="仿宋_GB2312" w:hAnsi="仿宋_GB2312" w:eastAsia="仿宋_GB2312" w:cs="仿宋_GB2312"/>
        </w:rPr>
        <w:t>自然资源和规划局、</w:t>
      </w:r>
      <w:r>
        <w:rPr>
          <w:rFonts w:hint="eastAsia" w:ascii="仿宋_GB2312" w:hAnsi="仿宋_GB2312" w:eastAsia="仿宋_GB2312" w:cs="仿宋_GB2312"/>
          <w:lang w:eastAsia="zh-CN"/>
        </w:rPr>
        <w:t>县</w:t>
      </w:r>
      <w:r>
        <w:rPr>
          <w:rFonts w:hint="eastAsia" w:ascii="仿宋_GB2312" w:hAnsi="仿宋_GB2312" w:eastAsia="仿宋_GB2312" w:cs="仿宋_GB2312"/>
        </w:rPr>
        <w:t>公安局、</w:t>
      </w:r>
      <w:r>
        <w:rPr>
          <w:rFonts w:hint="eastAsia" w:ascii="仿宋_GB2312" w:hAnsi="仿宋_GB2312" w:eastAsia="仿宋_GB2312" w:cs="仿宋_GB2312"/>
          <w:lang w:eastAsia="zh-CN"/>
        </w:rPr>
        <w:t>县</w:t>
      </w:r>
      <w:r>
        <w:rPr>
          <w:rFonts w:hint="eastAsia" w:ascii="仿宋_GB2312" w:hAnsi="仿宋_GB2312" w:eastAsia="仿宋_GB2312" w:cs="仿宋_GB2312"/>
        </w:rPr>
        <w:t>交通运输局、</w:t>
      </w:r>
      <w:r>
        <w:rPr>
          <w:rFonts w:hint="eastAsia" w:ascii="仿宋_GB2312" w:hAnsi="仿宋_GB2312" w:eastAsia="仿宋_GB2312" w:cs="仿宋_GB2312"/>
          <w:lang w:eastAsia="zh-CN"/>
        </w:rPr>
        <w:t>县</w:t>
      </w:r>
      <w:r>
        <w:rPr>
          <w:rFonts w:hint="eastAsia" w:ascii="仿宋_GB2312" w:hAnsi="仿宋_GB2312" w:eastAsia="仿宋_GB2312" w:cs="仿宋_GB2312"/>
        </w:rPr>
        <w:t>供(排)水公司、</w:t>
      </w:r>
      <w:r>
        <w:rPr>
          <w:rFonts w:hint="eastAsia" w:ascii="仿宋_GB2312" w:hAnsi="仿宋_GB2312" w:eastAsia="仿宋_GB2312" w:cs="仿宋_GB2312"/>
          <w:lang w:eastAsia="zh-CN"/>
        </w:rPr>
        <w:t>县</w:t>
      </w:r>
      <w:r>
        <w:rPr>
          <w:rFonts w:hint="eastAsia" w:ascii="仿宋_GB2312" w:hAnsi="仿宋_GB2312" w:eastAsia="仿宋_GB2312" w:cs="仿宋_GB2312"/>
        </w:rPr>
        <w:t>供电公司、华润燃气公司等相关单位进行联合勘验现场，现场确认管线的实施方案，形成勘察笔录，部门未派人参与联合勘验视为默认，由此产生的后果由该部门承担。(1个工作日)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(三)上传勘查笔录。</w:t>
      </w:r>
      <w:r>
        <w:rPr>
          <w:rFonts w:hint="eastAsia" w:ascii="仿宋_GB2312" w:hAnsi="仿宋_GB2312" w:eastAsia="仿宋_GB2312" w:cs="仿宋_GB2312"/>
        </w:rPr>
        <w:t>联合勘验后，各部门在水电气信报装并联办理系统上及时反馈意见和上传勘察笔录，逾期视为默认。(0.5个工作日)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五、优化政务服务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（一）线下“一窗受理”。</w:t>
      </w:r>
      <w:r>
        <w:rPr>
          <w:rFonts w:hint="eastAsia" w:ascii="楷体_GB2312" w:hAnsi="楷体_GB2312" w:eastAsia="楷体_GB2312" w:cs="楷体_GB2312"/>
          <w:lang w:eastAsia="zh-CN"/>
        </w:rPr>
        <w:t>县</w:t>
      </w:r>
      <w:r>
        <w:rPr>
          <w:rFonts w:hint="eastAsia" w:ascii="仿宋_GB2312" w:hAnsi="仿宋_GB2312" w:eastAsia="仿宋_GB2312" w:cs="仿宋_GB2312"/>
        </w:rPr>
        <w:t>住房城乡建设局在行政服务大厅设立水电气信报装并联办理窗口，实行线下全过程一</w:t>
      </w:r>
      <w:r>
        <w:rPr>
          <w:rFonts w:hint="eastAsia" w:ascii="仿宋_GB2312" w:hAnsi="仿宋_GB2312" w:eastAsia="仿宋_GB2312" w:cs="仿宋_GB2312"/>
          <w:lang w:eastAsia="zh-CN"/>
        </w:rPr>
        <w:t>窗</w:t>
      </w:r>
      <w:r>
        <w:rPr>
          <w:rFonts w:hint="eastAsia" w:ascii="仿宋_GB2312" w:hAnsi="仿宋_GB2312" w:eastAsia="仿宋_GB2312" w:cs="仿宋_GB2312"/>
        </w:rPr>
        <w:t>式集成服务，负责受理线下水电气信报装和企业咨询解答业务，同时提供帮办服务。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（二）线上“全程网办”。</w:t>
      </w:r>
      <w:r>
        <w:rPr>
          <w:rFonts w:hint="eastAsia" w:ascii="仿宋_GB2312" w:hAnsi="仿宋_GB2312" w:eastAsia="仿宋_GB2312" w:cs="仿宋_GB2312"/>
          <w:highlight w:val="none"/>
        </w:rPr>
        <w:t>依托安徽政务服务网</w:t>
      </w:r>
      <w:r>
        <w:rPr>
          <w:rFonts w:hint="eastAsia" w:ascii="仿宋_GB2312" w:hAnsi="仿宋_GB2312" w:eastAsia="仿宋_GB2312" w:cs="仿宋_GB2312"/>
          <w:highlight w:val="none"/>
          <w:lang w:eastAsia="zh-CN"/>
        </w:rPr>
        <w:t>濉溪</w:t>
      </w:r>
      <w:r>
        <w:rPr>
          <w:rFonts w:hint="eastAsia" w:ascii="仿宋_GB2312" w:hAnsi="仿宋_GB2312" w:eastAsia="仿宋_GB2312" w:cs="仿宋_GB2312"/>
          <w:highlight w:val="none"/>
        </w:rPr>
        <w:t>分厅建立市政公用服务(供(排)水、供电、燃气、通信)</w:t>
      </w:r>
      <w:r>
        <w:rPr>
          <w:rFonts w:hint="eastAsia" w:ascii="仿宋_GB2312" w:hAnsi="仿宋_GB2312" w:eastAsia="仿宋_GB2312" w:cs="仿宋_GB2312"/>
        </w:rPr>
        <w:t>外线接入工程网上审批平台，由水电气信报装并联办理窗口统一受理、分办、归集、出件，相关部门同步实施备案、并联审批。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（三）减免相关费用。</w:t>
      </w:r>
      <w:r>
        <w:rPr>
          <w:rFonts w:hint="eastAsia" w:ascii="仿宋_GB2312" w:hAnsi="仿宋_GB2312" w:eastAsia="仿宋_GB2312" w:cs="仿宋_GB2312"/>
        </w:rPr>
        <w:t>免收供(排)水、供电、燃气、通信涉及的报装费、开工费、开户费、接入费等相关收费，取消涉及建筑区划红线外的城市道路占用、挖掘修复、绿化迁移管养等相关费用。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六、保障措施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楷体_GB2312" w:hAnsi="楷体_GB2312" w:eastAsia="楷体_GB2312" w:cs="楷体_GB2312"/>
        </w:rPr>
        <w:t>(一)强化组织领导。</w:t>
      </w:r>
      <w:r>
        <w:rPr>
          <w:rFonts w:hint="eastAsia" w:ascii="仿宋_GB2312" w:hAnsi="仿宋_GB2312" w:eastAsia="仿宋_GB2312" w:cs="仿宋_GB2312"/>
        </w:rPr>
        <w:t>各相关部门和供(排)水、供电、燃气、通信企业要提高政治站位，推进供(排)水、供电、燃气、通信外线接入工程，切实优化营商环境，按照规定的办理流程、办理时限和职责分工推进工作落实，确保水电气信报装及相关并联审批在2个工作日内办理完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(二)协调推进服务。</w:t>
      </w:r>
      <w:r>
        <w:rPr>
          <w:rFonts w:hint="eastAsia" w:ascii="仿宋_GB2312" w:hAnsi="仿宋_GB2312" w:eastAsia="仿宋_GB2312" w:cs="仿宋_GB2312"/>
        </w:rPr>
        <w:t>各相关部门要明确专人负责，同时加强联系、密切配合，采用内部流转、共同勘察、协同监管等方式畅通内循环，为办事企业提供高效优质服务。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(三)加强事中事后监管。</w:t>
      </w:r>
      <w:r>
        <w:rPr>
          <w:rFonts w:hint="eastAsia" w:ascii="仿宋_GB2312" w:hAnsi="仿宋_GB2312" w:eastAsia="仿宋_GB2312" w:cs="仿宋_GB2312"/>
        </w:rPr>
        <w:t>供(排)水、供电、燃气、通信企业负责按照相关审批部门要求进行市政和园林设施前期移植与后期恢复工作，应当建立质量管理制度，明确专人负责，保障恢复质量不低于原设计标准。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附件：水电气信接入工程并联审批事项清单</w:t>
      </w:r>
    </w:p>
    <w:p>
      <w:pPr>
        <w:pStyle w:val="4"/>
        <w:keepNext w:val="0"/>
        <w:keepLines w:val="0"/>
        <w:pageBreakBefore w:val="0"/>
        <w:widowControl w:val="0"/>
        <w:kinsoku/>
        <w:wordWrap/>
        <w:overflowPunct/>
        <w:topLinePunct w:val="0"/>
        <w:autoSpaceDE/>
        <w:autoSpaceDN/>
        <w:bidi w:val="0"/>
        <w:adjustRightInd/>
        <w:snapToGrid/>
        <w:spacing w:after="120" w:line="240" w:lineRule="auto"/>
        <w:ind w:firstLine="160" w:firstLineChars="50"/>
        <w:jc w:val="both"/>
        <w:textAlignment w:val="auto"/>
        <w:rPr>
          <w:rFonts w:hint="eastAsia" w:eastAsia="方正小标宋简体"/>
          <w:lang w:eastAsia="zh-CN"/>
        </w:rPr>
      </w:pPr>
      <w:r>
        <w:rPr>
          <w:rFonts w:hint="eastAsia"/>
        </w:rPr>
        <w:br w:type="page"/>
      </w:r>
      <w:r>
        <w:rPr>
          <w:rFonts w:hint="eastAsia" w:ascii="方正小标宋简体" w:hAnsi="方正小标宋简体" w:eastAsia="方正小标宋简体" w:cs="方正小标宋简体"/>
          <w:sz w:val="36"/>
          <w:szCs w:val="36"/>
          <w:vertAlign w:val="baseline"/>
          <w:lang w:eastAsia="zh-CN"/>
        </w:rPr>
        <w:t>附件：</w:t>
      </w:r>
    </w:p>
    <w:p>
      <w:pPr>
        <w:pStyle w:val="4"/>
        <w:keepNext w:val="0"/>
        <w:keepLines w:val="0"/>
        <w:pageBreakBefore w:val="0"/>
        <w:widowControl w:val="0"/>
        <w:kinsoku/>
        <w:wordWrap/>
        <w:overflowPunct/>
        <w:topLinePunct w:val="0"/>
        <w:autoSpaceDE/>
        <w:autoSpaceDN/>
        <w:bidi w:val="0"/>
        <w:adjustRightInd/>
        <w:snapToGrid/>
        <w:spacing w:line="240" w:lineRule="auto"/>
        <w:ind w:firstLine="220" w:firstLineChars="5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水电气信接入工程并联审批事项清单</w:t>
      </w:r>
    </w:p>
    <w:tbl>
      <w:tblPr>
        <w:tblStyle w:val="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819"/>
        <w:gridCol w:w="6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序号</w:t>
            </w:r>
          </w:p>
        </w:tc>
        <w:tc>
          <w:tcPr>
            <w:tcW w:w="1819"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审批部门</w:t>
            </w:r>
          </w:p>
        </w:tc>
        <w:tc>
          <w:tcPr>
            <w:tcW w:w="6122"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w:t>
            </w:r>
          </w:p>
        </w:tc>
        <w:tc>
          <w:tcPr>
            <w:tcW w:w="1819" w:type="dxa"/>
            <w:vMerge w:val="restart"/>
            <w:noWrap w:val="0"/>
            <w:vAlign w:val="center"/>
          </w:tcPr>
          <w:p>
            <w:pPr>
              <w:spacing w:line="320" w:lineRule="exact"/>
              <w:jc w:val="center"/>
              <w:rPr>
                <w:rFonts w:eastAsia="仿宋_GB2312"/>
                <w:sz w:val="24"/>
              </w:rPr>
            </w:pPr>
            <w:r>
              <w:rPr>
                <w:rFonts w:hint="eastAsia" w:eastAsia="仿宋_GB2312"/>
                <w:sz w:val="24"/>
                <w:lang w:eastAsia="zh-CN"/>
              </w:rPr>
              <w:t>县</w:t>
            </w:r>
            <w:r>
              <w:rPr>
                <w:rFonts w:hint="eastAsia" w:eastAsia="仿宋_GB2312"/>
                <w:sz w:val="24"/>
              </w:rPr>
              <w:t>自然资源和</w:t>
            </w:r>
          </w:p>
          <w:p>
            <w:pPr>
              <w:spacing w:line="320" w:lineRule="exact"/>
              <w:jc w:val="center"/>
              <w:rPr>
                <w:rFonts w:eastAsia="仿宋_GB2312"/>
                <w:sz w:val="24"/>
              </w:rPr>
            </w:pPr>
            <w:r>
              <w:rPr>
                <w:rFonts w:hint="eastAsia" w:eastAsia="仿宋_GB2312"/>
                <w:sz w:val="24"/>
              </w:rPr>
              <w:t>规划局</w:t>
            </w:r>
          </w:p>
        </w:tc>
        <w:tc>
          <w:tcPr>
            <w:tcW w:w="6122" w:type="dxa"/>
            <w:noWrap w:val="0"/>
            <w:vAlign w:val="center"/>
          </w:tcPr>
          <w:p>
            <w:pPr>
              <w:spacing w:line="320" w:lineRule="exact"/>
              <w:rPr>
                <w:rFonts w:eastAsia="仿宋_GB2312"/>
                <w:sz w:val="24"/>
              </w:rPr>
            </w:pPr>
            <w:r>
              <w:rPr>
                <w:rFonts w:hint="eastAsia" w:eastAsia="仿宋_GB2312"/>
                <w:sz w:val="24"/>
              </w:rPr>
              <w:t>建设工程（含临时建设）规划许可证核发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eastAsia" w:ascii="仿宋" w:hAnsi="仿宋" w:eastAsia="仿宋" w:cs="仿宋"/>
                <w:sz w:val="24"/>
                <w:lang w:val="en-US" w:eastAsia="zh-CN"/>
              </w:rPr>
            </w:pPr>
            <w:r>
              <w:rPr>
                <w:rFonts w:hint="eastAsia" w:ascii="仿宋" w:hAnsi="仿宋" w:cs="仿宋"/>
                <w:sz w:val="24"/>
                <w:lang w:val="en-US" w:eastAsia="zh-CN"/>
              </w:rPr>
              <w:t>2</w:t>
            </w:r>
          </w:p>
        </w:tc>
        <w:tc>
          <w:tcPr>
            <w:tcW w:w="1819" w:type="dxa"/>
            <w:vMerge w:val="continue"/>
            <w:noWrap w:val="0"/>
            <w:vAlign w:val="center"/>
          </w:tcPr>
          <w:p>
            <w:pPr>
              <w:spacing w:line="320" w:lineRule="exact"/>
              <w:jc w:val="center"/>
              <w:rPr>
                <w:rFonts w:hint="eastAsia" w:eastAsia="仿宋_GB2312"/>
                <w:sz w:val="24"/>
              </w:rPr>
            </w:pPr>
          </w:p>
        </w:tc>
        <w:tc>
          <w:tcPr>
            <w:tcW w:w="6122" w:type="dxa"/>
            <w:noWrap w:val="0"/>
            <w:vAlign w:val="center"/>
          </w:tcPr>
          <w:p>
            <w:pPr>
              <w:spacing w:line="320" w:lineRule="exact"/>
              <w:rPr>
                <w:rFonts w:hint="eastAsia" w:eastAsia="仿宋_GB2312"/>
                <w:sz w:val="24"/>
              </w:rPr>
            </w:pPr>
            <w:r>
              <w:rPr>
                <w:rFonts w:hint="eastAsia" w:eastAsia="仿宋_GB2312"/>
                <w:sz w:val="24"/>
              </w:rPr>
              <w:t>临时使用林地审批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eastAsia" w:ascii="仿宋" w:hAnsi="仿宋" w:eastAsia="仿宋" w:cs="仿宋"/>
                <w:sz w:val="24"/>
                <w:lang w:val="en-US" w:eastAsia="zh-CN"/>
              </w:rPr>
            </w:pPr>
            <w:r>
              <w:rPr>
                <w:rFonts w:hint="eastAsia" w:ascii="仿宋" w:hAnsi="仿宋" w:cs="仿宋"/>
                <w:sz w:val="24"/>
                <w:lang w:val="en-US" w:eastAsia="zh-CN"/>
              </w:rPr>
              <w:t>3</w:t>
            </w:r>
          </w:p>
        </w:tc>
        <w:tc>
          <w:tcPr>
            <w:tcW w:w="1819" w:type="dxa"/>
            <w:vMerge w:val="continue"/>
            <w:noWrap w:val="0"/>
            <w:vAlign w:val="center"/>
          </w:tcPr>
          <w:p>
            <w:pPr>
              <w:spacing w:line="320" w:lineRule="exact"/>
              <w:jc w:val="center"/>
              <w:rPr>
                <w:rFonts w:hint="eastAsia" w:eastAsia="仿宋_GB2312"/>
                <w:sz w:val="24"/>
              </w:rPr>
            </w:pPr>
          </w:p>
        </w:tc>
        <w:tc>
          <w:tcPr>
            <w:tcW w:w="6122" w:type="dxa"/>
            <w:noWrap w:val="0"/>
            <w:vAlign w:val="center"/>
          </w:tcPr>
          <w:p>
            <w:pPr>
              <w:spacing w:line="320" w:lineRule="exact"/>
              <w:rPr>
                <w:rFonts w:hint="eastAsia" w:eastAsia="仿宋_GB2312"/>
                <w:sz w:val="24"/>
              </w:rPr>
            </w:pPr>
            <w:r>
              <w:rPr>
                <w:rFonts w:hint="eastAsia" w:eastAsia="仿宋_GB2312"/>
                <w:sz w:val="24"/>
              </w:rPr>
              <w:t>林木采伐许可证核发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eastAsia" w:ascii="仿宋" w:hAnsi="仿宋" w:eastAsia="仿宋" w:cs="仿宋"/>
                <w:sz w:val="24"/>
                <w:lang w:eastAsia="zh-CN"/>
              </w:rPr>
            </w:pPr>
            <w:r>
              <w:rPr>
                <w:rFonts w:hint="eastAsia" w:ascii="仿宋" w:hAnsi="仿宋" w:cs="仿宋"/>
                <w:sz w:val="24"/>
                <w:lang w:val="en-US" w:eastAsia="zh-CN"/>
              </w:rPr>
              <w:t>4</w:t>
            </w:r>
          </w:p>
        </w:tc>
        <w:tc>
          <w:tcPr>
            <w:tcW w:w="1819" w:type="dxa"/>
            <w:vMerge w:val="restart"/>
            <w:noWrap w:val="0"/>
            <w:vAlign w:val="center"/>
          </w:tcPr>
          <w:p>
            <w:pPr>
              <w:spacing w:line="320" w:lineRule="exact"/>
              <w:jc w:val="center"/>
              <w:rPr>
                <w:rFonts w:eastAsia="仿宋_GB2312"/>
                <w:sz w:val="24"/>
              </w:rPr>
            </w:pPr>
            <w:r>
              <w:rPr>
                <w:rFonts w:hint="eastAsia" w:eastAsia="仿宋_GB2312"/>
                <w:sz w:val="24"/>
                <w:lang w:eastAsia="zh-CN"/>
              </w:rPr>
              <w:t>县</w:t>
            </w:r>
            <w:r>
              <w:rPr>
                <w:rFonts w:hint="eastAsia" w:eastAsia="仿宋_GB2312"/>
                <w:sz w:val="24"/>
              </w:rPr>
              <w:t>住房城乡建设局</w:t>
            </w:r>
          </w:p>
        </w:tc>
        <w:tc>
          <w:tcPr>
            <w:tcW w:w="6122" w:type="dxa"/>
            <w:noWrap w:val="0"/>
            <w:vAlign w:val="center"/>
          </w:tcPr>
          <w:p>
            <w:pPr>
              <w:spacing w:line="320" w:lineRule="exact"/>
              <w:rPr>
                <w:rFonts w:eastAsia="仿宋_GB2312"/>
                <w:sz w:val="24"/>
              </w:rPr>
            </w:pPr>
            <w:r>
              <w:rPr>
                <w:rFonts w:hint="eastAsia" w:eastAsia="仿宋_GB2312"/>
                <w:sz w:val="24"/>
              </w:rPr>
              <w:t>占用、挖掘城市道路审批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eastAsia" w:ascii="仿宋" w:hAnsi="仿宋" w:eastAsia="仿宋" w:cs="仿宋"/>
                <w:sz w:val="24"/>
                <w:lang w:eastAsia="zh-CN"/>
              </w:rPr>
            </w:pPr>
            <w:r>
              <w:rPr>
                <w:rFonts w:hint="eastAsia" w:ascii="仿宋" w:hAnsi="仿宋" w:cs="仿宋"/>
                <w:sz w:val="24"/>
                <w:lang w:val="en-US" w:eastAsia="zh-CN"/>
              </w:rPr>
              <w:t>5</w:t>
            </w:r>
          </w:p>
        </w:tc>
        <w:tc>
          <w:tcPr>
            <w:tcW w:w="1819" w:type="dxa"/>
            <w:vMerge w:val="continue"/>
            <w:noWrap w:val="0"/>
            <w:vAlign w:val="center"/>
          </w:tcPr>
          <w:p>
            <w:pPr>
              <w:spacing w:line="320" w:lineRule="exact"/>
              <w:jc w:val="center"/>
              <w:rPr>
                <w:rFonts w:eastAsia="仿宋_GB2312"/>
                <w:sz w:val="24"/>
              </w:rPr>
            </w:pPr>
          </w:p>
        </w:tc>
        <w:tc>
          <w:tcPr>
            <w:tcW w:w="6122" w:type="dxa"/>
            <w:noWrap w:val="0"/>
            <w:vAlign w:val="center"/>
          </w:tcPr>
          <w:p>
            <w:pPr>
              <w:spacing w:line="320" w:lineRule="exact"/>
              <w:rPr>
                <w:rFonts w:eastAsia="仿宋_GB2312"/>
                <w:sz w:val="24"/>
              </w:rPr>
            </w:pPr>
            <w:r>
              <w:rPr>
                <w:rFonts w:hint="eastAsia" w:eastAsia="仿宋_GB2312"/>
                <w:sz w:val="24"/>
              </w:rPr>
              <w:t>临时占用城市绿化用地审批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eastAsia" w:ascii="仿宋" w:hAnsi="仿宋" w:eastAsia="仿宋" w:cs="仿宋"/>
                <w:sz w:val="24"/>
                <w:lang w:eastAsia="zh-CN"/>
              </w:rPr>
            </w:pPr>
            <w:r>
              <w:rPr>
                <w:rFonts w:hint="eastAsia" w:ascii="仿宋" w:hAnsi="仿宋" w:cs="仿宋"/>
                <w:sz w:val="24"/>
                <w:lang w:val="en-US" w:eastAsia="zh-CN"/>
              </w:rPr>
              <w:t>6</w:t>
            </w:r>
          </w:p>
        </w:tc>
        <w:tc>
          <w:tcPr>
            <w:tcW w:w="1819" w:type="dxa"/>
            <w:vMerge w:val="continue"/>
            <w:noWrap w:val="0"/>
            <w:vAlign w:val="center"/>
          </w:tcPr>
          <w:p>
            <w:pPr>
              <w:spacing w:line="320" w:lineRule="exact"/>
              <w:jc w:val="center"/>
              <w:rPr>
                <w:rFonts w:eastAsia="仿宋_GB2312"/>
                <w:sz w:val="24"/>
              </w:rPr>
            </w:pPr>
          </w:p>
        </w:tc>
        <w:tc>
          <w:tcPr>
            <w:tcW w:w="6122" w:type="dxa"/>
            <w:noWrap w:val="0"/>
            <w:vAlign w:val="center"/>
          </w:tcPr>
          <w:p>
            <w:pPr>
              <w:spacing w:line="320" w:lineRule="exact"/>
              <w:rPr>
                <w:rFonts w:eastAsia="仿宋_GB2312"/>
                <w:sz w:val="24"/>
              </w:rPr>
            </w:pPr>
            <w:r>
              <w:rPr>
                <w:rFonts w:hint="eastAsia" w:eastAsia="仿宋_GB2312"/>
                <w:sz w:val="24"/>
              </w:rPr>
              <w:t>砍伐、迁移城市树木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eastAsia" w:ascii="仿宋" w:hAnsi="仿宋" w:eastAsia="仿宋" w:cs="仿宋"/>
                <w:sz w:val="24"/>
                <w:lang w:eastAsia="zh-CN"/>
              </w:rPr>
            </w:pPr>
            <w:r>
              <w:rPr>
                <w:rFonts w:hint="eastAsia" w:ascii="仿宋" w:hAnsi="仿宋" w:cs="仿宋"/>
                <w:sz w:val="24"/>
                <w:lang w:val="en-US" w:eastAsia="zh-CN"/>
              </w:rPr>
              <w:t>7</w:t>
            </w:r>
          </w:p>
        </w:tc>
        <w:tc>
          <w:tcPr>
            <w:tcW w:w="1819" w:type="dxa"/>
            <w:vMerge w:val="continue"/>
            <w:noWrap w:val="0"/>
            <w:vAlign w:val="center"/>
          </w:tcPr>
          <w:p>
            <w:pPr>
              <w:spacing w:line="320" w:lineRule="exact"/>
              <w:jc w:val="center"/>
              <w:rPr>
                <w:rFonts w:eastAsia="仿宋_GB2312"/>
                <w:sz w:val="24"/>
              </w:rPr>
            </w:pPr>
          </w:p>
        </w:tc>
        <w:tc>
          <w:tcPr>
            <w:tcW w:w="6122" w:type="dxa"/>
            <w:noWrap w:val="0"/>
            <w:vAlign w:val="center"/>
          </w:tcPr>
          <w:p>
            <w:pPr>
              <w:spacing w:line="320" w:lineRule="exact"/>
              <w:rPr>
                <w:rFonts w:eastAsia="仿宋_GB2312"/>
                <w:sz w:val="24"/>
              </w:rPr>
            </w:pPr>
            <w:r>
              <w:rPr>
                <w:rFonts w:hint="eastAsia" w:eastAsia="仿宋_GB2312"/>
                <w:sz w:val="24"/>
              </w:rPr>
              <w:t>市政建设类审批（行政区域内依附于城市道路建设各种管线、杆线等设施审批）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eastAsia" w:ascii="仿宋" w:hAnsi="仿宋" w:eastAsia="仿宋" w:cs="仿宋"/>
                <w:sz w:val="24"/>
                <w:lang w:eastAsia="zh-CN"/>
              </w:rPr>
            </w:pPr>
            <w:r>
              <w:rPr>
                <w:rFonts w:hint="eastAsia" w:ascii="仿宋" w:hAnsi="仿宋" w:cs="仿宋"/>
                <w:sz w:val="24"/>
                <w:lang w:val="en-US" w:eastAsia="zh-CN"/>
              </w:rPr>
              <w:t>8</w:t>
            </w:r>
          </w:p>
        </w:tc>
        <w:tc>
          <w:tcPr>
            <w:tcW w:w="1819" w:type="dxa"/>
            <w:vMerge w:val="continue"/>
            <w:noWrap w:val="0"/>
            <w:vAlign w:val="center"/>
          </w:tcPr>
          <w:p>
            <w:pPr>
              <w:spacing w:line="320" w:lineRule="exact"/>
              <w:jc w:val="center"/>
              <w:rPr>
                <w:rFonts w:eastAsia="仿宋_GB2312"/>
                <w:sz w:val="24"/>
              </w:rPr>
            </w:pPr>
          </w:p>
        </w:tc>
        <w:tc>
          <w:tcPr>
            <w:tcW w:w="6122" w:type="dxa"/>
            <w:noWrap w:val="0"/>
            <w:vAlign w:val="center"/>
          </w:tcPr>
          <w:p>
            <w:pPr>
              <w:spacing w:line="320" w:lineRule="exact"/>
              <w:rPr>
                <w:rFonts w:eastAsia="仿宋_GB2312"/>
                <w:sz w:val="24"/>
              </w:rPr>
            </w:pPr>
            <w:r>
              <w:rPr>
                <w:rFonts w:hint="eastAsia" w:eastAsia="仿宋_GB2312"/>
                <w:sz w:val="24"/>
              </w:rPr>
              <w:t>城市桥梁上架设各类市政管线审批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eastAsia" w:ascii="仿宋" w:hAnsi="仿宋" w:eastAsia="仿宋" w:cs="仿宋"/>
                <w:sz w:val="24"/>
                <w:lang w:eastAsia="zh-CN"/>
              </w:rPr>
            </w:pPr>
            <w:r>
              <w:rPr>
                <w:rFonts w:hint="eastAsia" w:ascii="仿宋" w:hAnsi="仿宋" w:cs="仿宋"/>
                <w:sz w:val="24"/>
                <w:lang w:val="en-US" w:eastAsia="zh-CN"/>
              </w:rPr>
              <w:t>9</w:t>
            </w:r>
          </w:p>
        </w:tc>
        <w:tc>
          <w:tcPr>
            <w:tcW w:w="1819" w:type="dxa"/>
            <w:vMerge w:val="continue"/>
            <w:noWrap w:val="0"/>
            <w:vAlign w:val="center"/>
          </w:tcPr>
          <w:p>
            <w:pPr>
              <w:spacing w:line="320" w:lineRule="exact"/>
              <w:jc w:val="center"/>
              <w:rPr>
                <w:rFonts w:eastAsia="仿宋_GB2312"/>
                <w:sz w:val="24"/>
              </w:rPr>
            </w:pPr>
          </w:p>
        </w:tc>
        <w:tc>
          <w:tcPr>
            <w:tcW w:w="6122" w:type="dxa"/>
            <w:noWrap w:val="0"/>
            <w:vAlign w:val="center"/>
          </w:tcPr>
          <w:p>
            <w:pPr>
              <w:spacing w:line="320" w:lineRule="exact"/>
              <w:rPr>
                <w:rFonts w:eastAsia="仿宋_GB2312"/>
                <w:sz w:val="24"/>
              </w:rPr>
            </w:pPr>
            <w:r>
              <w:rPr>
                <w:rFonts w:hint="eastAsia" w:eastAsia="仿宋_GB2312"/>
                <w:sz w:val="24"/>
              </w:rPr>
              <w:t>临时性建筑物搭建、堆放物料、占道施工审批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default" w:ascii="仿宋" w:hAnsi="仿宋" w:eastAsia="仿宋" w:cs="仿宋"/>
                <w:sz w:val="24"/>
                <w:lang w:val="en-US" w:eastAsia="zh-CN"/>
              </w:rPr>
            </w:pPr>
            <w:r>
              <w:rPr>
                <w:rFonts w:hint="eastAsia" w:ascii="仿宋" w:hAnsi="仿宋" w:cs="仿宋"/>
                <w:sz w:val="24"/>
                <w:lang w:val="en-US" w:eastAsia="zh-CN"/>
              </w:rPr>
              <w:t>10</w:t>
            </w:r>
          </w:p>
        </w:tc>
        <w:tc>
          <w:tcPr>
            <w:tcW w:w="1819" w:type="dxa"/>
            <w:vMerge w:val="continue"/>
            <w:noWrap w:val="0"/>
            <w:vAlign w:val="center"/>
          </w:tcPr>
          <w:p>
            <w:pPr>
              <w:spacing w:line="320" w:lineRule="exact"/>
              <w:jc w:val="center"/>
              <w:rPr>
                <w:rFonts w:eastAsia="仿宋_GB2312"/>
                <w:sz w:val="24"/>
              </w:rPr>
            </w:pPr>
          </w:p>
        </w:tc>
        <w:tc>
          <w:tcPr>
            <w:tcW w:w="6122" w:type="dxa"/>
            <w:noWrap w:val="0"/>
            <w:vAlign w:val="center"/>
          </w:tcPr>
          <w:p>
            <w:pPr>
              <w:spacing w:line="320" w:lineRule="exact"/>
              <w:rPr>
                <w:rFonts w:eastAsia="仿宋_GB2312"/>
                <w:sz w:val="24"/>
              </w:rPr>
            </w:pPr>
            <w:r>
              <w:rPr>
                <w:rFonts w:hint="eastAsia" w:eastAsia="仿宋_GB2312"/>
                <w:sz w:val="24"/>
              </w:rPr>
              <w:t>城市道路占用费、挖掘修复费征收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default" w:ascii="仿宋" w:hAnsi="仿宋" w:eastAsia="仿宋" w:cs="仿宋"/>
                <w:sz w:val="24"/>
                <w:lang w:val="en-US" w:eastAsia="zh-CN"/>
              </w:rPr>
            </w:pPr>
            <w:r>
              <w:rPr>
                <w:rFonts w:hint="eastAsia" w:ascii="仿宋" w:hAnsi="仿宋" w:cs="仿宋"/>
                <w:sz w:val="24"/>
                <w:lang w:val="en-US" w:eastAsia="zh-CN"/>
              </w:rPr>
              <w:t>11</w:t>
            </w:r>
          </w:p>
        </w:tc>
        <w:tc>
          <w:tcPr>
            <w:tcW w:w="1819" w:type="dxa"/>
            <w:noWrap w:val="0"/>
            <w:vAlign w:val="center"/>
          </w:tcPr>
          <w:p>
            <w:pPr>
              <w:spacing w:line="320" w:lineRule="exact"/>
              <w:jc w:val="center"/>
              <w:rPr>
                <w:rFonts w:eastAsia="仿宋_GB2312"/>
                <w:sz w:val="24"/>
              </w:rPr>
            </w:pPr>
            <w:r>
              <w:rPr>
                <w:rFonts w:hint="eastAsia" w:eastAsia="仿宋_GB2312"/>
                <w:sz w:val="24"/>
                <w:lang w:eastAsia="zh-CN"/>
              </w:rPr>
              <w:t>县</w:t>
            </w:r>
            <w:r>
              <w:rPr>
                <w:rFonts w:hint="eastAsia" w:eastAsia="仿宋_GB2312"/>
                <w:sz w:val="24"/>
              </w:rPr>
              <w:t>公安局</w:t>
            </w:r>
          </w:p>
        </w:tc>
        <w:tc>
          <w:tcPr>
            <w:tcW w:w="6122" w:type="dxa"/>
            <w:noWrap w:val="0"/>
            <w:vAlign w:val="center"/>
          </w:tcPr>
          <w:p>
            <w:pPr>
              <w:spacing w:line="320" w:lineRule="exact"/>
              <w:rPr>
                <w:rFonts w:eastAsia="仿宋_GB2312"/>
                <w:sz w:val="24"/>
              </w:rPr>
            </w:pPr>
            <w:r>
              <w:rPr>
                <w:rFonts w:hint="eastAsia" w:eastAsia="仿宋_GB2312"/>
                <w:sz w:val="24"/>
              </w:rPr>
              <w:t>占破路审核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default" w:ascii="仿宋" w:hAnsi="仿宋" w:eastAsia="仿宋" w:cs="仿宋"/>
                <w:sz w:val="24"/>
                <w:lang w:val="en-US" w:eastAsia="zh-CN"/>
              </w:rPr>
            </w:pPr>
            <w:r>
              <w:rPr>
                <w:rFonts w:hint="eastAsia" w:ascii="仿宋" w:hAnsi="仿宋" w:cs="仿宋"/>
                <w:sz w:val="24"/>
                <w:lang w:val="en-US" w:eastAsia="zh-CN"/>
              </w:rPr>
              <w:t>12</w:t>
            </w:r>
          </w:p>
        </w:tc>
        <w:tc>
          <w:tcPr>
            <w:tcW w:w="1819" w:type="dxa"/>
            <w:vMerge w:val="restart"/>
            <w:noWrap w:val="0"/>
            <w:vAlign w:val="center"/>
          </w:tcPr>
          <w:p>
            <w:pPr>
              <w:spacing w:line="320" w:lineRule="exact"/>
              <w:jc w:val="center"/>
              <w:rPr>
                <w:rFonts w:eastAsia="仿宋_GB2312"/>
                <w:sz w:val="24"/>
              </w:rPr>
            </w:pPr>
            <w:r>
              <w:rPr>
                <w:rFonts w:hint="eastAsia" w:eastAsia="仿宋_GB2312"/>
                <w:sz w:val="24"/>
                <w:lang w:eastAsia="zh-CN"/>
              </w:rPr>
              <w:t>县</w:t>
            </w:r>
            <w:r>
              <w:rPr>
                <w:rFonts w:hint="eastAsia" w:eastAsia="仿宋_GB2312"/>
                <w:sz w:val="24"/>
              </w:rPr>
              <w:t>交通运输局</w:t>
            </w:r>
          </w:p>
        </w:tc>
        <w:tc>
          <w:tcPr>
            <w:tcW w:w="6122" w:type="dxa"/>
            <w:noWrap w:val="0"/>
            <w:vAlign w:val="center"/>
          </w:tcPr>
          <w:p>
            <w:pPr>
              <w:spacing w:line="320" w:lineRule="exact"/>
              <w:rPr>
                <w:rFonts w:eastAsia="仿宋_GB2312"/>
                <w:sz w:val="24"/>
              </w:rPr>
            </w:pPr>
            <w:r>
              <w:rPr>
                <w:rFonts w:hint="eastAsia" w:eastAsia="仿宋_GB2312"/>
                <w:sz w:val="24"/>
              </w:rPr>
              <w:t>在公路（高速公路除外）用地范围内架设、埋设管线、电缆等设施审批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default" w:ascii="仿宋" w:hAnsi="仿宋" w:eastAsia="仿宋" w:cs="仿宋"/>
                <w:sz w:val="24"/>
                <w:lang w:val="en-US" w:eastAsia="zh-CN"/>
              </w:rPr>
            </w:pPr>
            <w:r>
              <w:rPr>
                <w:rFonts w:hint="eastAsia" w:ascii="仿宋" w:hAnsi="仿宋" w:cs="仿宋"/>
                <w:sz w:val="24"/>
                <w:lang w:val="en-US" w:eastAsia="zh-CN"/>
              </w:rPr>
              <w:t>13</w:t>
            </w:r>
          </w:p>
        </w:tc>
        <w:tc>
          <w:tcPr>
            <w:tcW w:w="1819" w:type="dxa"/>
            <w:vMerge w:val="continue"/>
            <w:noWrap w:val="0"/>
            <w:vAlign w:val="center"/>
          </w:tcPr>
          <w:p>
            <w:pPr>
              <w:spacing w:line="320" w:lineRule="exact"/>
              <w:rPr>
                <w:rFonts w:eastAsia="仿宋_GB2312"/>
                <w:sz w:val="24"/>
              </w:rPr>
            </w:pPr>
          </w:p>
        </w:tc>
        <w:tc>
          <w:tcPr>
            <w:tcW w:w="6122" w:type="dxa"/>
            <w:noWrap w:val="0"/>
            <w:vAlign w:val="center"/>
          </w:tcPr>
          <w:p>
            <w:pPr>
              <w:spacing w:line="320" w:lineRule="exact"/>
              <w:rPr>
                <w:rFonts w:eastAsia="仿宋_GB2312"/>
                <w:sz w:val="24"/>
              </w:rPr>
            </w:pPr>
            <w:r>
              <w:rPr>
                <w:rFonts w:hint="eastAsia" w:eastAsia="仿宋_GB2312"/>
                <w:sz w:val="24"/>
              </w:rPr>
              <w:t>在公路（高速公路除外）控制区内埋设管线、电缆等设施审批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default" w:ascii="仿宋" w:hAnsi="仿宋" w:eastAsia="仿宋" w:cs="仿宋"/>
                <w:sz w:val="24"/>
                <w:lang w:val="en-US" w:eastAsia="zh-CN"/>
              </w:rPr>
            </w:pPr>
            <w:r>
              <w:rPr>
                <w:rFonts w:hint="eastAsia" w:ascii="仿宋" w:hAnsi="仿宋" w:cs="仿宋"/>
                <w:sz w:val="24"/>
                <w:lang w:val="en-US" w:eastAsia="zh-CN"/>
              </w:rPr>
              <w:t>14</w:t>
            </w:r>
          </w:p>
        </w:tc>
        <w:tc>
          <w:tcPr>
            <w:tcW w:w="1819" w:type="dxa"/>
            <w:vMerge w:val="continue"/>
            <w:noWrap w:val="0"/>
            <w:vAlign w:val="center"/>
          </w:tcPr>
          <w:p>
            <w:pPr>
              <w:spacing w:line="320" w:lineRule="exact"/>
              <w:rPr>
                <w:rFonts w:eastAsia="仿宋_GB2312"/>
                <w:sz w:val="24"/>
              </w:rPr>
            </w:pPr>
          </w:p>
        </w:tc>
        <w:tc>
          <w:tcPr>
            <w:tcW w:w="6122" w:type="dxa"/>
            <w:noWrap w:val="0"/>
            <w:vAlign w:val="center"/>
          </w:tcPr>
          <w:p>
            <w:pPr>
              <w:spacing w:line="320" w:lineRule="exact"/>
              <w:rPr>
                <w:rFonts w:eastAsia="仿宋_GB2312"/>
                <w:sz w:val="24"/>
              </w:rPr>
            </w:pPr>
            <w:r>
              <w:rPr>
                <w:rFonts w:hint="eastAsia" w:eastAsia="仿宋_GB2312"/>
                <w:sz w:val="24"/>
              </w:rPr>
              <w:t>跨越、穿越公路（高速公路除外）修建桥梁、渡槽或者架设、埋设管线等设施审批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default" w:ascii="仿宋" w:hAnsi="仿宋" w:eastAsia="仿宋" w:cs="仿宋"/>
                <w:sz w:val="24"/>
                <w:lang w:val="en-US" w:eastAsia="zh-CN"/>
              </w:rPr>
            </w:pPr>
            <w:r>
              <w:rPr>
                <w:rFonts w:hint="eastAsia" w:ascii="仿宋" w:hAnsi="仿宋" w:cs="仿宋"/>
                <w:sz w:val="24"/>
                <w:lang w:val="en-US" w:eastAsia="zh-CN"/>
              </w:rPr>
              <w:t>15</w:t>
            </w:r>
          </w:p>
        </w:tc>
        <w:tc>
          <w:tcPr>
            <w:tcW w:w="1819" w:type="dxa"/>
            <w:vMerge w:val="continue"/>
            <w:noWrap w:val="0"/>
            <w:vAlign w:val="center"/>
          </w:tcPr>
          <w:p>
            <w:pPr>
              <w:spacing w:line="320" w:lineRule="exact"/>
              <w:rPr>
                <w:rFonts w:eastAsia="仿宋_GB2312"/>
                <w:sz w:val="24"/>
              </w:rPr>
            </w:pPr>
          </w:p>
        </w:tc>
        <w:tc>
          <w:tcPr>
            <w:tcW w:w="6122" w:type="dxa"/>
            <w:noWrap w:val="0"/>
            <w:vAlign w:val="center"/>
          </w:tcPr>
          <w:p>
            <w:pPr>
              <w:spacing w:line="320" w:lineRule="exact"/>
              <w:rPr>
                <w:rFonts w:eastAsia="仿宋_GB2312"/>
                <w:sz w:val="24"/>
              </w:rPr>
            </w:pPr>
            <w:r>
              <w:rPr>
                <w:rFonts w:hint="eastAsia" w:eastAsia="仿宋_GB2312"/>
                <w:sz w:val="24"/>
              </w:rPr>
              <w:t>利用公路（高速公路除外）桥梁、公路隧道、涵洞铺设电缆等设施审批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53" w:type="dxa"/>
            <w:noWrap w:val="0"/>
            <w:vAlign w:val="center"/>
          </w:tcPr>
          <w:p>
            <w:pPr>
              <w:spacing w:line="320" w:lineRule="exact"/>
              <w:jc w:val="center"/>
              <w:rPr>
                <w:rFonts w:hint="default" w:ascii="仿宋" w:hAnsi="仿宋" w:eastAsia="仿宋" w:cs="仿宋"/>
                <w:sz w:val="24"/>
                <w:lang w:val="en-US" w:eastAsia="zh-CN"/>
              </w:rPr>
            </w:pPr>
            <w:r>
              <w:rPr>
                <w:rFonts w:hint="eastAsia" w:ascii="仿宋" w:hAnsi="仿宋" w:cs="仿宋"/>
                <w:sz w:val="24"/>
                <w:lang w:val="en-US" w:eastAsia="zh-CN"/>
              </w:rPr>
              <w:t>16</w:t>
            </w:r>
          </w:p>
        </w:tc>
        <w:tc>
          <w:tcPr>
            <w:tcW w:w="1819" w:type="dxa"/>
            <w:vMerge w:val="continue"/>
            <w:noWrap w:val="0"/>
            <w:vAlign w:val="center"/>
          </w:tcPr>
          <w:p>
            <w:pPr>
              <w:spacing w:line="320" w:lineRule="exact"/>
              <w:rPr>
                <w:rFonts w:eastAsia="仿宋_GB2312"/>
                <w:sz w:val="24"/>
              </w:rPr>
            </w:pPr>
          </w:p>
        </w:tc>
        <w:tc>
          <w:tcPr>
            <w:tcW w:w="6122" w:type="dxa"/>
            <w:noWrap w:val="0"/>
            <w:vAlign w:val="center"/>
          </w:tcPr>
          <w:p>
            <w:pPr>
              <w:spacing w:line="320" w:lineRule="exact"/>
              <w:rPr>
                <w:rFonts w:eastAsia="仿宋_GB2312"/>
                <w:sz w:val="24"/>
              </w:rPr>
            </w:pPr>
            <w:r>
              <w:rPr>
                <w:rFonts w:hint="eastAsia" w:eastAsia="仿宋_GB2312"/>
                <w:sz w:val="24"/>
              </w:rPr>
              <w:t>占用、挖掘公路（高速公路除外）、公路用地或者使公路改线审批</w:t>
            </w:r>
          </w:p>
        </w:tc>
      </w:tr>
    </w:tbl>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rPr>
      </w:pPr>
    </w:p>
    <w:sectPr>
      <w:pgSz w:w="11906" w:h="16840" w:orient="landscape"/>
      <w:pgMar w:top="1985" w:right="1531" w:bottom="1985" w:left="1531"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TY2MmE5ZDllNjU0ZWU3ZGI1YzkzMjAzN2YxMzAifQ=="/>
  </w:docVars>
  <w:rsids>
    <w:rsidRoot w:val="005661A4"/>
    <w:rsid w:val="000E0D2C"/>
    <w:rsid w:val="00126D05"/>
    <w:rsid w:val="001443D3"/>
    <w:rsid w:val="00235996"/>
    <w:rsid w:val="004F38FD"/>
    <w:rsid w:val="005661A4"/>
    <w:rsid w:val="0079699F"/>
    <w:rsid w:val="007B5899"/>
    <w:rsid w:val="0091568B"/>
    <w:rsid w:val="009A4B4D"/>
    <w:rsid w:val="009D1EB4"/>
    <w:rsid w:val="00AF005F"/>
    <w:rsid w:val="00C4716B"/>
    <w:rsid w:val="00F32C17"/>
    <w:rsid w:val="01C0002E"/>
    <w:rsid w:val="04B33DE8"/>
    <w:rsid w:val="075D6382"/>
    <w:rsid w:val="0CE112B1"/>
    <w:rsid w:val="0F8E4190"/>
    <w:rsid w:val="109F9FAA"/>
    <w:rsid w:val="12CF48DA"/>
    <w:rsid w:val="15B71C57"/>
    <w:rsid w:val="1729453C"/>
    <w:rsid w:val="1BA64C58"/>
    <w:rsid w:val="1DD106B2"/>
    <w:rsid w:val="24726842"/>
    <w:rsid w:val="2537EB95"/>
    <w:rsid w:val="29785F05"/>
    <w:rsid w:val="2A4A7052"/>
    <w:rsid w:val="2EB74646"/>
    <w:rsid w:val="34592D57"/>
    <w:rsid w:val="35EF6EEE"/>
    <w:rsid w:val="4766765D"/>
    <w:rsid w:val="4DFC5713"/>
    <w:rsid w:val="4E905A00"/>
    <w:rsid w:val="4FDB347E"/>
    <w:rsid w:val="52657CBB"/>
    <w:rsid w:val="52B21AD1"/>
    <w:rsid w:val="5B92076E"/>
    <w:rsid w:val="5C8A31FF"/>
    <w:rsid w:val="5D4F77B6"/>
    <w:rsid w:val="5D8C26E9"/>
    <w:rsid w:val="5F451411"/>
    <w:rsid w:val="607E0B3E"/>
    <w:rsid w:val="60B34A3E"/>
    <w:rsid w:val="60F23893"/>
    <w:rsid w:val="64F50EE0"/>
    <w:rsid w:val="678014FF"/>
    <w:rsid w:val="6983228E"/>
    <w:rsid w:val="6FBE46A0"/>
    <w:rsid w:val="6FFCC810"/>
    <w:rsid w:val="74DF49AE"/>
    <w:rsid w:val="7E36AA3C"/>
    <w:rsid w:val="7E7B3A93"/>
    <w:rsid w:val="7EAD6DC6"/>
    <w:rsid w:val="7FA54EF2"/>
    <w:rsid w:val="7FCDA175"/>
    <w:rsid w:val="7FD75339"/>
    <w:rsid w:val="7FFB800E"/>
    <w:rsid w:val="7FFFCC49"/>
    <w:rsid w:val="AF7FD568"/>
    <w:rsid w:val="BEA5C770"/>
    <w:rsid w:val="BFFE4009"/>
    <w:rsid w:val="CFDEFA3C"/>
    <w:rsid w:val="DD6FA917"/>
    <w:rsid w:val="DFBEC30A"/>
    <w:rsid w:val="EB7D9409"/>
    <w:rsid w:val="EBED7C96"/>
    <w:rsid w:val="EF45355B"/>
    <w:rsid w:val="FBFF4EFC"/>
    <w:rsid w:val="FEDE9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snapToGrid w:val="0"/>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Normal Indent"/>
    <w:basedOn w:val="1"/>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rFonts w:ascii="Calibri" w:hAnsi="Calibri" w:eastAsia="宋体"/>
      <w:snapToGrid/>
      <w:kern w:val="2"/>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7</Pages>
  <Words>2637</Words>
  <Characters>2684</Characters>
  <Lines>1</Lines>
  <Paragraphs>1</Paragraphs>
  <TotalTime>20</TotalTime>
  <ScaleCrop>false</ScaleCrop>
  <LinksUpToDate>false</LinksUpToDate>
  <CharactersWithSpaces>2727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2020-02-27T01:08:00Z</dcterms:created>
  <dc:creator>User</dc:creator>
  <cp:lastModifiedBy>Administrator</cp:lastModifiedBy>
  <cp:lastPrinted>2022-11-15T00:52:00Z</cp:lastPrinted>
  <dcterms:modified xsi:type="dcterms:W3CDTF">2022-11-15T00:58:20Z</dcterms:modified>
  <dc:title>淮北市发展和改革委员会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E927692E2F124E90A53EBA737DDDAD70</vt:lpwstr>
  </property>
</Properties>
</file>