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305F1">
      <w:pPr>
        <w:pStyle w:val="6"/>
        <w:spacing w:before="2"/>
        <w:rPr>
          <w:rFonts w:ascii="Times New Roman"/>
          <w:sz w:val="17"/>
        </w:rPr>
      </w:pPr>
      <w:bookmarkStart w:id="156" w:name="_GoBack"/>
      <w:bookmarkEnd w:id="156"/>
    </w:p>
    <w:p w14:paraId="215E9687">
      <w:pPr>
        <w:spacing w:before="37" w:line="384" w:lineRule="auto"/>
        <w:ind w:left="3768" w:right="1337" w:hanging="2424"/>
        <w:jc w:val="left"/>
        <w:rPr>
          <w:b/>
          <w:sz w:val="44"/>
        </w:rPr>
      </w:pPr>
      <w:r>
        <w:rPr>
          <w:b/>
          <w:w w:val="95"/>
          <w:sz w:val="44"/>
        </w:rPr>
        <w:t>濉溪县“十四五”生态环境保护规划</w:t>
      </w:r>
      <w:r>
        <w:rPr>
          <w:b/>
          <w:sz w:val="44"/>
        </w:rPr>
        <w:t>2021</w:t>
      </w:r>
      <w:r>
        <w:rPr>
          <w:rFonts w:hint="eastAsia" w:ascii="宋体" w:hAnsi="宋体" w:eastAsia="宋体"/>
          <w:b/>
          <w:sz w:val="44"/>
        </w:rPr>
        <w:t>～</w:t>
      </w:r>
      <w:r>
        <w:rPr>
          <w:b/>
          <w:sz w:val="44"/>
        </w:rPr>
        <w:t>2025</w:t>
      </w:r>
    </w:p>
    <w:p w14:paraId="74E80B5C">
      <w:pPr>
        <w:pStyle w:val="6"/>
        <w:rPr>
          <w:b/>
          <w:sz w:val="44"/>
        </w:rPr>
      </w:pPr>
    </w:p>
    <w:p w14:paraId="6F034B19">
      <w:pPr>
        <w:pStyle w:val="6"/>
        <w:rPr>
          <w:b/>
          <w:sz w:val="44"/>
        </w:rPr>
      </w:pPr>
    </w:p>
    <w:p w14:paraId="45A35520">
      <w:pPr>
        <w:pStyle w:val="6"/>
        <w:rPr>
          <w:b/>
          <w:sz w:val="44"/>
        </w:rPr>
      </w:pPr>
    </w:p>
    <w:p w14:paraId="45738C71">
      <w:pPr>
        <w:pStyle w:val="6"/>
        <w:rPr>
          <w:rFonts w:hint="eastAsia" w:eastAsia="仿宋"/>
          <w:b/>
          <w:sz w:val="44"/>
          <w:lang w:val="en-US" w:eastAsia="zh-CN"/>
        </w:rPr>
      </w:pPr>
      <w:r>
        <w:rPr>
          <w:rFonts w:hint="eastAsia"/>
          <w:b/>
          <w:sz w:val="44"/>
          <w:lang w:val="en-US" w:eastAsia="zh-CN"/>
        </w:rPr>
        <w:t xml:space="preserve"> </w:t>
      </w:r>
    </w:p>
    <w:p w14:paraId="036233F0">
      <w:pPr>
        <w:pStyle w:val="6"/>
        <w:rPr>
          <w:b/>
          <w:sz w:val="44"/>
        </w:rPr>
      </w:pPr>
    </w:p>
    <w:p w14:paraId="1A669D27">
      <w:pPr>
        <w:pStyle w:val="6"/>
        <w:rPr>
          <w:b/>
          <w:sz w:val="44"/>
        </w:rPr>
      </w:pPr>
    </w:p>
    <w:p w14:paraId="630D2C6A">
      <w:pPr>
        <w:pStyle w:val="6"/>
        <w:rPr>
          <w:b/>
          <w:sz w:val="44"/>
        </w:rPr>
      </w:pPr>
    </w:p>
    <w:p w14:paraId="7E610933">
      <w:pPr>
        <w:spacing w:before="389" w:line="316" w:lineRule="auto"/>
        <w:ind w:right="2306"/>
        <w:jc w:val="center"/>
        <w:rPr>
          <w:rFonts w:hint="eastAsia" w:ascii="楷体" w:eastAsia="楷体"/>
          <w:b/>
          <w:sz w:val="32"/>
          <w:lang w:val="en-US" w:eastAsia="zh-CN"/>
        </w:rPr>
      </w:pPr>
      <w:r>
        <w:rPr>
          <w:rFonts w:hint="eastAsia" w:ascii="楷体" w:eastAsia="楷体"/>
          <w:b/>
          <w:sz w:val="32"/>
          <w:lang w:val="en-US" w:eastAsia="zh-CN"/>
        </w:rPr>
        <w:t xml:space="preserve">         </w:t>
      </w:r>
    </w:p>
    <w:p w14:paraId="365D69D5">
      <w:pPr>
        <w:spacing w:before="389" w:line="316" w:lineRule="auto"/>
        <w:ind w:right="2306"/>
        <w:jc w:val="center"/>
        <w:rPr>
          <w:rFonts w:hint="eastAsia" w:ascii="楷体" w:eastAsia="楷体"/>
          <w:b/>
          <w:sz w:val="32"/>
          <w:lang w:eastAsia="zh-CN"/>
        </w:rPr>
      </w:pPr>
      <w:r>
        <w:rPr>
          <w:rFonts w:hint="eastAsia" w:ascii="楷体" w:eastAsia="楷体"/>
          <w:b/>
          <w:sz w:val="32"/>
          <w:lang w:val="en-US" w:eastAsia="zh-CN"/>
        </w:rPr>
        <w:t xml:space="preserve">             </w:t>
      </w:r>
      <w:r>
        <w:rPr>
          <w:rFonts w:hint="eastAsia" w:ascii="楷体" w:eastAsia="楷体"/>
          <w:b/>
          <w:sz w:val="32"/>
        </w:rPr>
        <w:t>编制主体：濉溪县</w:t>
      </w:r>
      <w:r>
        <w:rPr>
          <w:rFonts w:hint="eastAsia" w:ascii="楷体" w:eastAsia="楷体"/>
          <w:b/>
          <w:sz w:val="32"/>
          <w:lang w:eastAsia="zh-CN"/>
        </w:rPr>
        <w:t>环委会办公室</w:t>
      </w:r>
    </w:p>
    <w:p w14:paraId="17E7CA01">
      <w:pPr>
        <w:spacing w:before="389" w:line="316" w:lineRule="auto"/>
        <w:ind w:right="2306"/>
        <w:jc w:val="center"/>
        <w:rPr>
          <w:rFonts w:hint="eastAsia" w:ascii="楷体" w:eastAsia="楷体"/>
          <w:b/>
          <w:sz w:val="32"/>
        </w:rPr>
      </w:pPr>
      <w:r>
        <w:rPr>
          <w:rFonts w:hint="eastAsia" w:ascii="楷体" w:eastAsia="楷体"/>
          <w:b/>
          <w:sz w:val="32"/>
          <w:lang w:val="en-US" w:eastAsia="zh-CN"/>
        </w:rPr>
        <w:t xml:space="preserve">       </w:t>
      </w:r>
      <w:r>
        <w:rPr>
          <w:rFonts w:hint="eastAsia" w:ascii="楷体" w:eastAsia="楷体"/>
          <w:b/>
          <w:sz w:val="32"/>
        </w:rPr>
        <w:t>编制日期：</w:t>
      </w:r>
      <w:r>
        <w:rPr>
          <w:rFonts w:ascii="Times New Roman" w:eastAsia="Times New Roman"/>
          <w:b/>
          <w:sz w:val="32"/>
        </w:rPr>
        <w:t>202</w:t>
      </w:r>
      <w:r>
        <w:rPr>
          <w:rFonts w:hint="eastAsia" w:ascii="Times New Roman" w:eastAsia="宋体"/>
          <w:b/>
          <w:sz w:val="32"/>
          <w:lang w:val="en-US" w:eastAsia="zh-CN"/>
        </w:rPr>
        <w:t>2</w:t>
      </w:r>
      <w:r>
        <w:rPr>
          <w:rFonts w:hint="eastAsia" w:ascii="楷体" w:eastAsia="楷体"/>
          <w:b/>
          <w:sz w:val="32"/>
        </w:rPr>
        <w:t xml:space="preserve">年 </w:t>
      </w:r>
      <w:r>
        <w:rPr>
          <w:rFonts w:ascii="Times New Roman" w:eastAsia="Times New Roman"/>
          <w:b/>
          <w:sz w:val="32"/>
        </w:rPr>
        <w:t>1</w:t>
      </w:r>
      <w:r>
        <w:rPr>
          <w:rFonts w:hint="eastAsia" w:ascii="Times New Roman" w:eastAsia="宋体"/>
          <w:b/>
          <w:sz w:val="32"/>
          <w:lang w:val="en-US" w:eastAsia="zh-CN"/>
        </w:rPr>
        <w:t>0</w:t>
      </w:r>
      <w:r>
        <w:rPr>
          <w:rFonts w:hint="eastAsia" w:ascii="楷体" w:eastAsia="楷体"/>
          <w:b/>
          <w:sz w:val="32"/>
        </w:rPr>
        <w:t>月</w:t>
      </w:r>
    </w:p>
    <w:p w14:paraId="3492C42E">
      <w:pPr>
        <w:spacing w:after="0" w:line="316" w:lineRule="auto"/>
        <w:jc w:val="center"/>
        <w:rPr>
          <w:rFonts w:hint="eastAsia" w:ascii="楷体" w:eastAsia="楷体"/>
          <w:sz w:val="32"/>
        </w:rPr>
        <w:sectPr>
          <w:type w:val="continuous"/>
          <w:pgSz w:w="11910" w:h="16840"/>
          <w:pgMar w:top="1580" w:right="1080" w:bottom="280" w:left="1080" w:header="720" w:footer="720" w:gutter="0"/>
          <w:pgNumType w:fmt="decimal"/>
          <w:cols w:space="720" w:num="1"/>
        </w:sectPr>
      </w:pPr>
    </w:p>
    <w:p w14:paraId="1D949ACB">
      <w:pPr>
        <w:pStyle w:val="6"/>
        <w:spacing w:before="143"/>
        <w:ind w:right="1"/>
        <w:jc w:val="center"/>
      </w:pPr>
      <w:r>
        <w:t>目录</w:t>
      </w:r>
    </w:p>
    <w:p w14:paraId="2C16BBA7">
      <w:pPr>
        <w:spacing w:after="0"/>
        <w:jc w:val="center"/>
        <w:sectPr>
          <w:headerReference r:id="rId5" w:type="default"/>
          <w:footerReference r:id="rId6" w:type="default"/>
          <w:pgSz w:w="11910" w:h="16840"/>
          <w:pgMar w:top="1420" w:right="1080" w:bottom="1781" w:left="1080" w:header="878" w:footer="1164" w:gutter="0"/>
          <w:pgNumType w:fmt="decimal" w:start="1"/>
          <w:cols w:space="720" w:num="1"/>
        </w:sectPr>
      </w:pPr>
    </w:p>
    <w:sdt>
      <w:sdtPr>
        <w:id w:val="5"/>
        <w:docPartObj>
          <w:docPartGallery w:val="Table of Contents"/>
          <w:docPartUnique/>
        </w:docPartObj>
      </w:sdtPr>
      <w:sdtContent>
        <w:p w14:paraId="5F2E9514">
          <w:pPr>
            <w:pStyle w:val="10"/>
            <w:tabs>
              <w:tab w:val="left" w:pos="559"/>
              <w:tab w:val="left" w:leader="dot" w:pos="8162"/>
            </w:tabs>
            <w:spacing w:before="266"/>
            <w:ind w:right="1"/>
            <w:jc w:val="center"/>
            <w:rPr>
              <w:rFonts w:ascii="Calibri" w:eastAsia="Calibri"/>
            </w:rPr>
          </w:pPr>
          <w:r>
            <w:fldChar w:fldCharType="begin"/>
          </w:r>
          <w:r>
            <w:instrText xml:space="preserve"> HYPERLINK \l "_bookmark0" </w:instrText>
          </w:r>
          <w:r>
            <w:fldChar w:fldCharType="separate"/>
          </w:r>
          <w:r>
            <w:t>前</w:t>
          </w:r>
          <w:r>
            <w:tab/>
          </w:r>
          <w:r>
            <w:t>言</w:t>
          </w:r>
          <w:r>
            <w:tab/>
          </w:r>
          <w:r>
            <w:rPr>
              <w:rFonts w:ascii="Calibri" w:eastAsia="Calibri"/>
            </w:rPr>
            <w:t>5</w:t>
          </w:r>
          <w:r>
            <w:rPr>
              <w:rFonts w:ascii="Calibri" w:eastAsia="Calibri"/>
            </w:rPr>
            <w:fldChar w:fldCharType="end"/>
          </w:r>
        </w:p>
        <w:p w14:paraId="14728820">
          <w:pPr>
            <w:pStyle w:val="10"/>
            <w:tabs>
              <w:tab w:val="left" w:pos="1120"/>
              <w:tab w:val="left" w:leader="dot" w:pos="8162"/>
            </w:tabs>
            <w:ind w:right="1"/>
            <w:jc w:val="center"/>
            <w:rPr>
              <w:rFonts w:ascii="Calibri" w:hAnsi="Calibri" w:eastAsia="Calibri"/>
            </w:rPr>
          </w:pPr>
          <w:r>
            <w:fldChar w:fldCharType="begin"/>
          </w:r>
          <w:r>
            <w:instrText xml:space="preserve"> HYPERLINK \l "_bookmark1" </w:instrText>
          </w:r>
          <w:r>
            <w:fldChar w:fldCharType="separate"/>
          </w:r>
          <w:r>
            <w:t>第</w:t>
          </w:r>
          <w:r>
            <w:rPr>
              <w:spacing w:val="-3"/>
            </w:rPr>
            <w:t>一</w:t>
          </w:r>
          <w:r>
            <w:t>章</w:t>
          </w:r>
          <w:r>
            <w:tab/>
          </w:r>
          <w:r>
            <w:rPr>
              <w:spacing w:val="-3"/>
            </w:rPr>
            <w:t>“</w:t>
          </w:r>
          <w:r>
            <w:t>十</w:t>
          </w:r>
          <w:r>
            <w:rPr>
              <w:spacing w:val="-3"/>
            </w:rPr>
            <w:t>三</w:t>
          </w:r>
          <w:r>
            <w:t>五”环</w:t>
          </w:r>
          <w:r>
            <w:rPr>
              <w:spacing w:val="-3"/>
            </w:rPr>
            <w:t>保</w:t>
          </w:r>
          <w:r>
            <w:t>成</w:t>
          </w:r>
          <w:r>
            <w:rPr>
              <w:spacing w:val="-3"/>
            </w:rPr>
            <w:t>效</w:t>
          </w:r>
          <w:r>
            <w:t>回顾</w:t>
          </w:r>
          <w:r>
            <w:rPr>
              <w:spacing w:val="-3"/>
            </w:rPr>
            <w:t>与</w:t>
          </w:r>
          <w:r>
            <w:t>发展</w:t>
          </w:r>
          <w:r>
            <w:rPr>
              <w:spacing w:val="-3"/>
            </w:rPr>
            <w:t>背</w:t>
          </w:r>
          <w:r>
            <w:t>景</w:t>
          </w:r>
          <w:r>
            <w:tab/>
          </w:r>
          <w:r>
            <w:rPr>
              <w:rFonts w:ascii="Calibri" w:hAnsi="Calibri" w:eastAsia="Calibri"/>
            </w:rPr>
            <w:t>6</w:t>
          </w:r>
          <w:r>
            <w:rPr>
              <w:rFonts w:ascii="Calibri" w:hAnsi="Calibri" w:eastAsia="Calibri"/>
            </w:rPr>
            <w:fldChar w:fldCharType="end"/>
          </w:r>
        </w:p>
        <w:p w14:paraId="05014013">
          <w:pPr>
            <w:pStyle w:val="11"/>
            <w:tabs>
              <w:tab w:val="left" w:pos="2399"/>
              <w:tab w:val="left" w:leader="dot" w:pos="8882"/>
            </w:tabs>
            <w:rPr>
              <w:rFonts w:ascii="Calibri" w:eastAsia="Calibri"/>
            </w:rPr>
          </w:pPr>
          <w:r>
            <w:fldChar w:fldCharType="begin"/>
          </w:r>
          <w:r>
            <w:instrText xml:space="preserve"> HYPERLINK \l "_bookmark2" </w:instrText>
          </w:r>
          <w:r>
            <w:fldChar w:fldCharType="separate"/>
          </w:r>
          <w:r>
            <w:t>第</w:t>
          </w:r>
          <w:r>
            <w:rPr>
              <w:spacing w:val="-3"/>
            </w:rPr>
            <w:t>一</w:t>
          </w:r>
          <w:r>
            <w:t>节</w:t>
          </w:r>
          <w:r>
            <w:tab/>
          </w:r>
          <w:r>
            <w:t>濉</w:t>
          </w:r>
          <w:r>
            <w:rPr>
              <w:spacing w:val="-3"/>
            </w:rPr>
            <w:t>溪</w:t>
          </w:r>
          <w:r>
            <w:t>县概况</w:t>
          </w:r>
          <w:r>
            <w:tab/>
          </w:r>
          <w:r>
            <w:rPr>
              <w:rFonts w:ascii="Calibri" w:eastAsia="Calibri"/>
            </w:rPr>
            <w:t>6</w:t>
          </w:r>
          <w:r>
            <w:rPr>
              <w:rFonts w:ascii="Calibri" w:eastAsia="Calibri"/>
            </w:rPr>
            <w:fldChar w:fldCharType="end"/>
          </w:r>
        </w:p>
        <w:p w14:paraId="12F7092E">
          <w:pPr>
            <w:pStyle w:val="11"/>
            <w:tabs>
              <w:tab w:val="left" w:pos="2399"/>
              <w:tab w:val="left" w:leader="dot" w:pos="8882"/>
            </w:tabs>
            <w:spacing w:before="266"/>
            <w:rPr>
              <w:rFonts w:ascii="Calibri" w:hAnsi="Calibri" w:eastAsia="Calibri"/>
            </w:rPr>
          </w:pPr>
          <w:r>
            <w:fldChar w:fldCharType="begin"/>
          </w:r>
          <w:r>
            <w:instrText xml:space="preserve"> HYPERLINK \l "_bookmark3" </w:instrText>
          </w:r>
          <w:r>
            <w:fldChar w:fldCharType="separate"/>
          </w:r>
          <w:r>
            <w:t>第</w:t>
          </w:r>
          <w:r>
            <w:rPr>
              <w:spacing w:val="-3"/>
            </w:rPr>
            <w:t>二</w:t>
          </w:r>
          <w:r>
            <w:t>节</w:t>
          </w:r>
          <w:r>
            <w:tab/>
          </w:r>
          <w:r>
            <w:t>“十</w:t>
          </w:r>
          <w:r>
            <w:rPr>
              <w:spacing w:val="-3"/>
            </w:rPr>
            <w:t>三</w:t>
          </w:r>
          <w:r>
            <w:t>五</w:t>
          </w:r>
          <w:r>
            <w:rPr>
              <w:spacing w:val="-3"/>
            </w:rPr>
            <w:t>”</w:t>
          </w:r>
          <w:r>
            <w:t>环保成</w:t>
          </w:r>
          <w:r>
            <w:rPr>
              <w:spacing w:val="-3"/>
            </w:rPr>
            <w:t>效</w:t>
          </w:r>
          <w:r>
            <w:t>回顾</w:t>
          </w:r>
          <w:r>
            <w:tab/>
          </w:r>
          <w:r>
            <w:rPr>
              <w:rFonts w:ascii="Calibri" w:hAnsi="Calibri" w:eastAsia="Calibri"/>
            </w:rPr>
            <w:t>6</w:t>
          </w:r>
          <w:r>
            <w:rPr>
              <w:rFonts w:ascii="Calibri" w:hAnsi="Calibri" w:eastAsia="Calibri"/>
            </w:rPr>
            <w:fldChar w:fldCharType="end"/>
          </w:r>
        </w:p>
        <w:p w14:paraId="520FB107">
          <w:pPr>
            <w:pStyle w:val="10"/>
            <w:tabs>
              <w:tab w:val="left" w:leader="dot" w:pos="7039"/>
            </w:tabs>
            <w:rPr>
              <w:rFonts w:ascii="Calibri" w:eastAsia="Calibri"/>
            </w:rPr>
          </w:pPr>
          <w:r>
            <w:fldChar w:fldCharType="begin"/>
          </w:r>
          <w:r>
            <w:instrText xml:space="preserve"> HYPERLINK \l "_bookmark4" </w:instrText>
          </w:r>
          <w:r>
            <w:fldChar w:fldCharType="separate"/>
          </w:r>
          <w:r>
            <w:rPr>
              <w:rFonts w:ascii="Calibri" w:eastAsia="Calibri"/>
              <w:spacing w:val="-4"/>
            </w:rPr>
            <w:t>1</w:t>
          </w:r>
          <w:r>
            <w:t>、 环</w:t>
          </w:r>
          <w:r>
            <w:rPr>
              <w:spacing w:val="-3"/>
            </w:rPr>
            <w:t>境</w:t>
          </w:r>
          <w:r>
            <w:t>质量</w:t>
          </w:r>
          <w:r>
            <w:rPr>
              <w:spacing w:val="-3"/>
            </w:rPr>
            <w:t>稳</w:t>
          </w:r>
          <w:r>
            <w:t>中有进</w:t>
          </w:r>
          <w:r>
            <w:tab/>
          </w:r>
          <w:r>
            <w:rPr>
              <w:rFonts w:ascii="Calibri" w:eastAsia="Calibri"/>
              <w:spacing w:val="-1"/>
            </w:rPr>
            <w:t>6</w:t>
          </w:r>
          <w:r>
            <w:rPr>
              <w:rFonts w:ascii="Calibri" w:eastAsia="Calibri"/>
              <w:spacing w:val="-1"/>
            </w:rPr>
            <w:fldChar w:fldCharType="end"/>
          </w:r>
        </w:p>
        <w:p w14:paraId="10F98C1B">
          <w:pPr>
            <w:pStyle w:val="10"/>
            <w:tabs>
              <w:tab w:val="left" w:leader="dot" w:pos="6897"/>
            </w:tabs>
            <w:rPr>
              <w:rFonts w:ascii="Calibri" w:eastAsia="Calibri"/>
            </w:rPr>
          </w:pPr>
          <w:r>
            <w:fldChar w:fldCharType="begin"/>
          </w:r>
          <w:r>
            <w:instrText xml:space="preserve"> HYPERLINK \l "_bookmark5" </w:instrText>
          </w:r>
          <w:r>
            <w:fldChar w:fldCharType="separate"/>
          </w:r>
          <w:r>
            <w:rPr>
              <w:rFonts w:ascii="Calibri" w:eastAsia="Calibri"/>
              <w:spacing w:val="-4"/>
            </w:rPr>
            <w:t>2</w:t>
          </w:r>
          <w:r>
            <w:t>、</w:t>
          </w:r>
          <w:r>
            <w:rPr>
              <w:spacing w:val="-3"/>
            </w:rPr>
            <w:t>污</w:t>
          </w:r>
          <w:r>
            <w:t>染减</w:t>
          </w:r>
          <w:r>
            <w:rPr>
              <w:spacing w:val="-3"/>
            </w:rPr>
            <w:t>排</w:t>
          </w:r>
          <w:r>
            <w:t>取得</w:t>
          </w:r>
          <w:r>
            <w:rPr>
              <w:spacing w:val="-3"/>
            </w:rPr>
            <w:t>成</w:t>
          </w:r>
          <w:r>
            <w:t>效</w:t>
          </w:r>
          <w:r>
            <w:tab/>
          </w:r>
          <w:r>
            <w:rPr>
              <w:rFonts w:ascii="Calibri" w:eastAsia="Calibri"/>
              <w:spacing w:val="-1"/>
            </w:rPr>
            <w:t>14</w:t>
          </w:r>
          <w:r>
            <w:rPr>
              <w:rFonts w:ascii="Calibri" w:eastAsia="Calibri"/>
              <w:spacing w:val="-1"/>
            </w:rPr>
            <w:fldChar w:fldCharType="end"/>
          </w:r>
        </w:p>
        <w:p w14:paraId="583C5985">
          <w:pPr>
            <w:pStyle w:val="10"/>
            <w:tabs>
              <w:tab w:val="left" w:leader="dot" w:pos="6897"/>
            </w:tabs>
            <w:rPr>
              <w:rFonts w:ascii="Calibri" w:eastAsia="Calibri"/>
            </w:rPr>
          </w:pPr>
          <w:r>
            <w:fldChar w:fldCharType="begin"/>
          </w:r>
          <w:r>
            <w:instrText xml:space="preserve"> HYPERLINK \l "_bookmark6" </w:instrText>
          </w:r>
          <w:r>
            <w:fldChar w:fldCharType="separate"/>
          </w:r>
          <w:r>
            <w:rPr>
              <w:rFonts w:ascii="Calibri" w:eastAsia="Calibri"/>
              <w:spacing w:val="-4"/>
            </w:rPr>
            <w:t>3</w:t>
          </w:r>
          <w:r>
            <w:t>、</w:t>
          </w:r>
          <w:r>
            <w:rPr>
              <w:spacing w:val="-3"/>
            </w:rPr>
            <w:t>环</w:t>
          </w:r>
          <w:r>
            <w:t>保基</w:t>
          </w:r>
          <w:r>
            <w:rPr>
              <w:spacing w:val="-3"/>
            </w:rPr>
            <w:t>础</w:t>
          </w:r>
          <w:r>
            <w:t>设施</w:t>
          </w:r>
          <w:r>
            <w:rPr>
              <w:spacing w:val="-3"/>
            </w:rPr>
            <w:t>不</w:t>
          </w:r>
          <w:r>
            <w:t>断完善</w:t>
          </w:r>
          <w:r>
            <w:tab/>
          </w:r>
          <w:r>
            <w:rPr>
              <w:rFonts w:ascii="Calibri" w:eastAsia="Calibri"/>
              <w:spacing w:val="-1"/>
            </w:rPr>
            <w:t>16</w:t>
          </w:r>
          <w:r>
            <w:rPr>
              <w:rFonts w:ascii="Calibri" w:eastAsia="Calibri"/>
              <w:spacing w:val="-1"/>
            </w:rPr>
            <w:fldChar w:fldCharType="end"/>
          </w:r>
        </w:p>
        <w:p w14:paraId="29300C26">
          <w:pPr>
            <w:pStyle w:val="10"/>
            <w:tabs>
              <w:tab w:val="left" w:leader="dot" w:pos="6897"/>
            </w:tabs>
            <w:spacing w:before="266"/>
            <w:rPr>
              <w:rFonts w:ascii="Calibri" w:eastAsia="Calibri"/>
            </w:rPr>
          </w:pPr>
          <w:r>
            <w:fldChar w:fldCharType="begin"/>
          </w:r>
          <w:r>
            <w:instrText xml:space="preserve"> HYPERLINK \l "_bookmark7" </w:instrText>
          </w:r>
          <w:r>
            <w:fldChar w:fldCharType="separate"/>
          </w:r>
          <w:r>
            <w:rPr>
              <w:rFonts w:ascii="Calibri" w:eastAsia="Calibri"/>
              <w:spacing w:val="-4"/>
            </w:rPr>
            <w:t>4</w:t>
          </w:r>
          <w:r>
            <w:t>、</w:t>
          </w:r>
          <w:r>
            <w:rPr>
              <w:spacing w:val="-3"/>
            </w:rPr>
            <w:t>环</w:t>
          </w:r>
          <w:r>
            <w:t>境保</w:t>
          </w:r>
          <w:r>
            <w:rPr>
              <w:spacing w:val="-3"/>
            </w:rPr>
            <w:t>护</w:t>
          </w:r>
          <w:r>
            <w:t>能力</w:t>
          </w:r>
          <w:r>
            <w:rPr>
              <w:spacing w:val="-3"/>
            </w:rPr>
            <w:t>得</w:t>
          </w:r>
          <w:r>
            <w:t>以提升</w:t>
          </w:r>
          <w:r>
            <w:tab/>
          </w:r>
          <w:r>
            <w:rPr>
              <w:rFonts w:ascii="Calibri" w:eastAsia="Calibri"/>
              <w:spacing w:val="-1"/>
            </w:rPr>
            <w:t>16</w:t>
          </w:r>
          <w:r>
            <w:rPr>
              <w:rFonts w:ascii="Calibri" w:eastAsia="Calibri"/>
              <w:spacing w:val="-1"/>
            </w:rPr>
            <w:fldChar w:fldCharType="end"/>
          </w:r>
        </w:p>
        <w:p w14:paraId="56508769">
          <w:pPr>
            <w:pStyle w:val="10"/>
            <w:tabs>
              <w:tab w:val="left" w:leader="dot" w:pos="6897"/>
            </w:tabs>
            <w:rPr>
              <w:rFonts w:ascii="Calibri" w:eastAsia="Calibri"/>
            </w:rPr>
          </w:pPr>
          <w:r>
            <w:fldChar w:fldCharType="begin"/>
          </w:r>
          <w:r>
            <w:instrText xml:space="preserve"> HYPERLINK \l "_bookmark8" </w:instrText>
          </w:r>
          <w:r>
            <w:fldChar w:fldCharType="separate"/>
          </w:r>
          <w:r>
            <w:rPr>
              <w:rFonts w:ascii="Calibri" w:eastAsia="Calibri"/>
              <w:spacing w:val="-4"/>
            </w:rPr>
            <w:t>5</w:t>
          </w:r>
          <w:r>
            <w:t>、</w:t>
          </w:r>
          <w:r>
            <w:rPr>
              <w:spacing w:val="-3"/>
            </w:rPr>
            <w:t>环</w:t>
          </w:r>
          <w:r>
            <w:t>保执</w:t>
          </w:r>
          <w:r>
            <w:rPr>
              <w:spacing w:val="-3"/>
            </w:rPr>
            <w:t>法</w:t>
          </w:r>
          <w:r>
            <w:t>能力</w:t>
          </w:r>
          <w:r>
            <w:rPr>
              <w:spacing w:val="-3"/>
            </w:rPr>
            <w:t>增</w:t>
          </w:r>
          <w:r>
            <w:t>强</w:t>
          </w:r>
          <w:r>
            <w:tab/>
          </w:r>
          <w:r>
            <w:rPr>
              <w:rFonts w:ascii="Calibri" w:eastAsia="Calibri"/>
              <w:spacing w:val="-1"/>
            </w:rPr>
            <w:t>17</w:t>
          </w:r>
          <w:r>
            <w:rPr>
              <w:rFonts w:ascii="Calibri" w:eastAsia="Calibri"/>
              <w:spacing w:val="-1"/>
            </w:rPr>
            <w:fldChar w:fldCharType="end"/>
          </w:r>
        </w:p>
        <w:p w14:paraId="2E83AB70">
          <w:pPr>
            <w:pStyle w:val="10"/>
            <w:tabs>
              <w:tab w:val="left" w:leader="dot" w:pos="6897"/>
            </w:tabs>
            <w:rPr>
              <w:rFonts w:ascii="Calibri" w:eastAsia="Calibri"/>
            </w:rPr>
          </w:pPr>
          <w:r>
            <w:fldChar w:fldCharType="begin"/>
          </w:r>
          <w:r>
            <w:instrText xml:space="preserve"> HYPERLINK \l "_bookmark9" </w:instrText>
          </w:r>
          <w:r>
            <w:fldChar w:fldCharType="separate"/>
          </w:r>
          <w:r>
            <w:rPr>
              <w:rFonts w:ascii="Calibri" w:eastAsia="Calibri"/>
              <w:spacing w:val="-4"/>
            </w:rPr>
            <w:t>6</w:t>
          </w:r>
          <w:r>
            <w:t>、</w:t>
          </w:r>
          <w:r>
            <w:rPr>
              <w:spacing w:val="-3"/>
            </w:rPr>
            <w:t>环</w:t>
          </w:r>
          <w:r>
            <w:t>境监</w:t>
          </w:r>
          <w:r>
            <w:rPr>
              <w:spacing w:val="-3"/>
            </w:rPr>
            <w:t>测</w:t>
          </w:r>
          <w:r>
            <w:t>能力</w:t>
          </w:r>
          <w:r>
            <w:rPr>
              <w:spacing w:val="-3"/>
            </w:rPr>
            <w:t>提</w:t>
          </w:r>
          <w:r>
            <w:t>高</w:t>
          </w:r>
          <w:r>
            <w:tab/>
          </w:r>
          <w:r>
            <w:rPr>
              <w:rFonts w:ascii="Calibri" w:eastAsia="Calibri"/>
              <w:spacing w:val="-1"/>
            </w:rPr>
            <w:t>17</w:t>
          </w:r>
          <w:r>
            <w:rPr>
              <w:rFonts w:ascii="Calibri" w:eastAsia="Calibri"/>
              <w:spacing w:val="-1"/>
            </w:rPr>
            <w:fldChar w:fldCharType="end"/>
          </w:r>
        </w:p>
        <w:p w14:paraId="3522A3AD">
          <w:pPr>
            <w:pStyle w:val="10"/>
            <w:tabs>
              <w:tab w:val="left" w:leader="dot" w:pos="6897"/>
            </w:tabs>
            <w:rPr>
              <w:rFonts w:ascii="Calibri" w:eastAsia="Calibri"/>
            </w:rPr>
          </w:pPr>
          <w:r>
            <w:fldChar w:fldCharType="begin"/>
          </w:r>
          <w:r>
            <w:instrText xml:space="preserve"> HYPERLINK \l "_bookmark10" </w:instrText>
          </w:r>
          <w:r>
            <w:fldChar w:fldCharType="separate"/>
          </w:r>
          <w:r>
            <w:rPr>
              <w:rFonts w:ascii="Calibri" w:eastAsia="Calibri"/>
              <w:spacing w:val="-4"/>
            </w:rPr>
            <w:t>7</w:t>
          </w:r>
          <w:r>
            <w:t>、</w:t>
          </w:r>
          <w:r>
            <w:rPr>
              <w:spacing w:val="-3"/>
            </w:rPr>
            <w:t>环</w:t>
          </w:r>
          <w:r>
            <w:t>保宣</w:t>
          </w:r>
          <w:r>
            <w:rPr>
              <w:spacing w:val="-3"/>
            </w:rPr>
            <w:t>传</w:t>
          </w:r>
          <w:r>
            <w:t>教育</w:t>
          </w:r>
          <w:r>
            <w:rPr>
              <w:spacing w:val="-3"/>
            </w:rPr>
            <w:t>工</w:t>
          </w:r>
          <w:r>
            <w:t>作取</w:t>
          </w:r>
          <w:r>
            <w:rPr>
              <w:spacing w:val="-3"/>
            </w:rPr>
            <w:t>得</w:t>
          </w:r>
          <w:r>
            <w:t>成效</w:t>
          </w:r>
          <w:r>
            <w:tab/>
          </w:r>
          <w:r>
            <w:rPr>
              <w:rFonts w:ascii="Calibri" w:eastAsia="Calibri"/>
              <w:spacing w:val="-1"/>
            </w:rPr>
            <w:t>18</w:t>
          </w:r>
          <w:r>
            <w:rPr>
              <w:rFonts w:ascii="Calibri" w:eastAsia="Calibri"/>
              <w:spacing w:val="-1"/>
            </w:rPr>
            <w:fldChar w:fldCharType="end"/>
          </w:r>
        </w:p>
        <w:p w14:paraId="1F608387">
          <w:pPr>
            <w:pStyle w:val="11"/>
            <w:tabs>
              <w:tab w:val="left" w:leader="dot" w:pos="8740"/>
            </w:tabs>
            <w:spacing w:before="266"/>
            <w:rPr>
              <w:rFonts w:ascii="Calibri" w:eastAsia="Calibri"/>
            </w:rPr>
          </w:pPr>
          <w:r>
            <w:fldChar w:fldCharType="begin"/>
          </w:r>
          <w:r>
            <w:instrText xml:space="preserve"> HYPERLINK \l "_bookmark11" </w:instrText>
          </w:r>
          <w:r>
            <w:fldChar w:fldCharType="separate"/>
          </w:r>
          <w:r>
            <w:t>第</w:t>
          </w:r>
          <w:r>
            <w:rPr>
              <w:spacing w:val="-3"/>
            </w:rPr>
            <w:t>三</w:t>
          </w:r>
          <w:r>
            <w:t>节</w:t>
          </w:r>
          <w:r>
            <w:rPr>
              <w:spacing w:val="3"/>
            </w:rPr>
            <w:t xml:space="preserve"> </w:t>
          </w:r>
          <w:r>
            <w:t>环</w:t>
          </w:r>
          <w:r>
            <w:rPr>
              <w:spacing w:val="-3"/>
            </w:rPr>
            <w:t>保</w:t>
          </w:r>
          <w:r>
            <w:t>发展</w:t>
          </w:r>
          <w:r>
            <w:rPr>
              <w:spacing w:val="-3"/>
            </w:rPr>
            <w:t>趋</w:t>
          </w:r>
          <w:r>
            <w:t>势背</w:t>
          </w:r>
          <w:r>
            <w:rPr>
              <w:spacing w:val="-3"/>
            </w:rPr>
            <w:t>景</w:t>
          </w:r>
          <w:r>
            <w:t>分析</w:t>
          </w:r>
          <w:r>
            <w:tab/>
          </w:r>
          <w:r>
            <w:rPr>
              <w:rFonts w:ascii="Calibri" w:eastAsia="Calibri"/>
            </w:rPr>
            <w:t>19</w:t>
          </w:r>
          <w:r>
            <w:rPr>
              <w:rFonts w:ascii="Calibri" w:eastAsia="Calibri"/>
            </w:rPr>
            <w:fldChar w:fldCharType="end"/>
          </w:r>
        </w:p>
        <w:p w14:paraId="5D77B0DC">
          <w:pPr>
            <w:pStyle w:val="10"/>
            <w:tabs>
              <w:tab w:val="left" w:leader="dot" w:pos="6897"/>
            </w:tabs>
            <w:rPr>
              <w:rFonts w:ascii="Calibri" w:eastAsia="Calibri"/>
            </w:rPr>
          </w:pPr>
          <w:r>
            <w:fldChar w:fldCharType="begin"/>
          </w:r>
          <w:r>
            <w:instrText xml:space="preserve"> HYPERLINK \l "_bookmark12" </w:instrText>
          </w:r>
          <w:r>
            <w:fldChar w:fldCharType="separate"/>
          </w:r>
          <w:r>
            <w:rPr>
              <w:rFonts w:ascii="Calibri" w:eastAsia="Calibri"/>
              <w:spacing w:val="-4"/>
            </w:rPr>
            <w:t>1</w:t>
          </w:r>
          <w:r>
            <w:t>、面</w:t>
          </w:r>
          <w:r>
            <w:rPr>
              <w:spacing w:val="-3"/>
            </w:rPr>
            <w:t>临</w:t>
          </w:r>
          <w:r>
            <w:t>的主</w:t>
          </w:r>
          <w:r>
            <w:rPr>
              <w:spacing w:val="-3"/>
            </w:rPr>
            <w:t>要</w:t>
          </w:r>
          <w:r>
            <w:t>机遇</w:t>
          </w:r>
          <w:r>
            <w:rPr>
              <w:spacing w:val="-3"/>
            </w:rPr>
            <w:t>和</w:t>
          </w:r>
          <w:r>
            <w:t>挑战</w:t>
          </w:r>
          <w:r>
            <w:tab/>
          </w:r>
          <w:r>
            <w:rPr>
              <w:rFonts w:ascii="Calibri" w:eastAsia="Calibri"/>
              <w:spacing w:val="-1"/>
            </w:rPr>
            <w:t>19</w:t>
          </w:r>
          <w:r>
            <w:rPr>
              <w:rFonts w:ascii="Calibri" w:eastAsia="Calibri"/>
              <w:spacing w:val="-1"/>
            </w:rPr>
            <w:fldChar w:fldCharType="end"/>
          </w:r>
        </w:p>
        <w:p w14:paraId="7F8D4BF0">
          <w:pPr>
            <w:pStyle w:val="10"/>
            <w:tabs>
              <w:tab w:val="left" w:leader="dot" w:pos="6897"/>
            </w:tabs>
            <w:rPr>
              <w:rFonts w:ascii="Calibri" w:hAnsi="Calibri" w:eastAsia="Calibri"/>
            </w:rPr>
          </w:pPr>
          <w:r>
            <w:fldChar w:fldCharType="begin"/>
          </w:r>
          <w:r>
            <w:instrText xml:space="preserve"> HYPERLINK \l "_bookmark13" </w:instrText>
          </w:r>
          <w:r>
            <w:fldChar w:fldCharType="separate"/>
          </w:r>
          <w:r>
            <w:rPr>
              <w:rFonts w:ascii="Calibri" w:hAnsi="Calibri" w:eastAsia="Calibri"/>
              <w:spacing w:val="-4"/>
            </w:rPr>
            <w:t>2</w:t>
          </w:r>
          <w:r>
            <w:t>、“十</w:t>
          </w:r>
          <w:r>
            <w:rPr>
              <w:spacing w:val="-3"/>
            </w:rPr>
            <w:t>四</w:t>
          </w:r>
          <w:r>
            <w:t>五</w:t>
          </w:r>
          <w:r>
            <w:rPr>
              <w:spacing w:val="-3"/>
            </w:rPr>
            <w:t>”</w:t>
          </w:r>
          <w:r>
            <w:t>时</w:t>
          </w:r>
          <w:r>
            <w:rPr>
              <w:spacing w:val="-3"/>
            </w:rPr>
            <w:t>期</w:t>
          </w:r>
          <w:r>
            <w:t>需要</w:t>
          </w:r>
          <w:r>
            <w:rPr>
              <w:spacing w:val="-3"/>
            </w:rPr>
            <w:t>解</w:t>
          </w:r>
          <w:r>
            <w:t>决的</w:t>
          </w:r>
          <w:r>
            <w:rPr>
              <w:spacing w:val="-3"/>
            </w:rPr>
            <w:t>主</w:t>
          </w:r>
          <w:r>
            <w:t>要环</w:t>
          </w:r>
          <w:r>
            <w:rPr>
              <w:spacing w:val="-3"/>
            </w:rPr>
            <w:t>境</w:t>
          </w:r>
          <w:r>
            <w:t>问题</w:t>
          </w:r>
          <w:r>
            <w:tab/>
          </w:r>
          <w:r>
            <w:rPr>
              <w:rFonts w:ascii="Calibri" w:hAnsi="Calibri" w:eastAsia="Calibri"/>
              <w:spacing w:val="-1"/>
            </w:rPr>
            <w:t>20</w:t>
          </w:r>
          <w:r>
            <w:rPr>
              <w:rFonts w:ascii="Calibri" w:hAnsi="Calibri" w:eastAsia="Calibri"/>
              <w:spacing w:val="-1"/>
            </w:rPr>
            <w:fldChar w:fldCharType="end"/>
          </w:r>
        </w:p>
        <w:p w14:paraId="5220BB70">
          <w:pPr>
            <w:pStyle w:val="10"/>
            <w:tabs>
              <w:tab w:val="left" w:leader="dot" w:pos="6897"/>
            </w:tabs>
            <w:rPr>
              <w:rFonts w:ascii="Calibri" w:eastAsia="Calibri"/>
            </w:rPr>
          </w:pPr>
          <w:r>
            <w:fldChar w:fldCharType="begin"/>
          </w:r>
          <w:r>
            <w:instrText xml:space="preserve"> HYPERLINK \l "_bookmark14" </w:instrText>
          </w:r>
          <w:r>
            <w:fldChar w:fldCharType="separate"/>
          </w:r>
          <w:r>
            <w:rPr>
              <w:rFonts w:ascii="Calibri" w:eastAsia="Calibri"/>
              <w:spacing w:val="-4"/>
            </w:rPr>
            <w:t>3</w:t>
          </w:r>
          <w:r>
            <w:t>、</w:t>
          </w:r>
          <w:r>
            <w:rPr>
              <w:spacing w:val="-3"/>
            </w:rPr>
            <w:t>环</w:t>
          </w:r>
          <w:r>
            <w:t>保发展趋</w:t>
          </w:r>
          <w:r>
            <w:rPr>
              <w:spacing w:val="-3"/>
            </w:rPr>
            <w:t>势</w:t>
          </w:r>
          <w:r>
            <w:t>分析</w:t>
          </w:r>
          <w:r>
            <w:tab/>
          </w:r>
          <w:r>
            <w:rPr>
              <w:rFonts w:ascii="Calibri" w:eastAsia="Calibri"/>
              <w:spacing w:val="-1"/>
            </w:rPr>
            <w:t>22</w:t>
          </w:r>
          <w:r>
            <w:rPr>
              <w:rFonts w:ascii="Calibri" w:eastAsia="Calibri"/>
              <w:spacing w:val="-1"/>
            </w:rPr>
            <w:fldChar w:fldCharType="end"/>
          </w:r>
        </w:p>
        <w:p w14:paraId="27495CF7">
          <w:pPr>
            <w:pStyle w:val="10"/>
            <w:tabs>
              <w:tab w:val="left" w:pos="1120"/>
              <w:tab w:val="left" w:leader="dot" w:pos="8020"/>
            </w:tabs>
            <w:spacing w:before="266"/>
            <w:ind w:right="719"/>
            <w:rPr>
              <w:rFonts w:ascii="Calibri" w:hAnsi="Calibri" w:eastAsia="Calibri"/>
            </w:rPr>
          </w:pPr>
          <w:r>
            <w:fldChar w:fldCharType="begin"/>
          </w:r>
          <w:r>
            <w:instrText xml:space="preserve"> HYPERLINK \l "_bookmark15" </w:instrText>
          </w:r>
          <w:r>
            <w:fldChar w:fldCharType="separate"/>
          </w:r>
          <w:r>
            <w:t>第</w:t>
          </w:r>
          <w:r>
            <w:rPr>
              <w:spacing w:val="-3"/>
            </w:rPr>
            <w:t>二</w:t>
          </w:r>
          <w:r>
            <w:t>章</w:t>
          </w:r>
          <w:r>
            <w:tab/>
          </w:r>
          <w:r>
            <w:rPr>
              <w:spacing w:val="-3"/>
            </w:rPr>
            <w:t>“</w:t>
          </w:r>
          <w:r>
            <w:t>十</w:t>
          </w:r>
          <w:r>
            <w:rPr>
              <w:spacing w:val="-3"/>
            </w:rPr>
            <w:t>四</w:t>
          </w:r>
          <w:r>
            <w:t>五”环</w:t>
          </w:r>
          <w:r>
            <w:rPr>
              <w:spacing w:val="-3"/>
            </w:rPr>
            <w:t>境</w:t>
          </w:r>
          <w:r>
            <w:t>保护</w:t>
          </w:r>
          <w:r>
            <w:rPr>
              <w:spacing w:val="-3"/>
            </w:rPr>
            <w:t>总</w:t>
          </w:r>
          <w:r>
            <w:t>体战略</w:t>
          </w:r>
          <w:r>
            <w:tab/>
          </w:r>
          <w:r>
            <w:rPr>
              <w:rFonts w:ascii="Calibri" w:hAnsi="Calibri" w:eastAsia="Calibri"/>
              <w:spacing w:val="-1"/>
            </w:rPr>
            <w:t>24</w:t>
          </w:r>
          <w:r>
            <w:rPr>
              <w:rFonts w:ascii="Calibri" w:hAnsi="Calibri" w:eastAsia="Calibri"/>
              <w:spacing w:val="-1"/>
            </w:rPr>
            <w:fldChar w:fldCharType="end"/>
          </w:r>
        </w:p>
        <w:p w14:paraId="40C32CAB">
          <w:pPr>
            <w:pStyle w:val="11"/>
            <w:tabs>
              <w:tab w:val="left" w:pos="2399"/>
              <w:tab w:val="left" w:leader="dot" w:pos="8740"/>
            </w:tabs>
            <w:rPr>
              <w:rFonts w:ascii="Calibri" w:eastAsia="Calibri"/>
            </w:rPr>
          </w:pPr>
          <w:r>
            <w:fldChar w:fldCharType="begin"/>
          </w:r>
          <w:r>
            <w:instrText xml:space="preserve"> HYPERLINK \l "_bookmark16" </w:instrText>
          </w:r>
          <w:r>
            <w:fldChar w:fldCharType="separate"/>
          </w:r>
          <w:r>
            <w:t>第</w:t>
          </w:r>
          <w:r>
            <w:rPr>
              <w:spacing w:val="-3"/>
            </w:rPr>
            <w:t>一</w:t>
          </w:r>
          <w:r>
            <w:t>节</w:t>
          </w:r>
          <w:r>
            <w:tab/>
          </w:r>
          <w:r>
            <w:t>指</w:t>
          </w:r>
          <w:r>
            <w:rPr>
              <w:spacing w:val="-3"/>
            </w:rPr>
            <w:t>导</w:t>
          </w:r>
          <w:r>
            <w:t>思想</w:t>
          </w:r>
          <w:r>
            <w:tab/>
          </w:r>
          <w:r>
            <w:rPr>
              <w:rFonts w:ascii="Calibri" w:eastAsia="Calibri"/>
            </w:rPr>
            <w:t>24</w:t>
          </w:r>
          <w:r>
            <w:rPr>
              <w:rFonts w:ascii="Calibri" w:eastAsia="Calibri"/>
            </w:rPr>
            <w:fldChar w:fldCharType="end"/>
          </w:r>
        </w:p>
        <w:p w14:paraId="738BB777">
          <w:pPr>
            <w:pStyle w:val="11"/>
            <w:tabs>
              <w:tab w:val="left" w:pos="2399"/>
              <w:tab w:val="left" w:leader="dot" w:pos="8740"/>
            </w:tabs>
            <w:rPr>
              <w:rFonts w:ascii="Calibri" w:eastAsia="Calibri"/>
            </w:rPr>
          </w:pPr>
          <w:r>
            <w:fldChar w:fldCharType="begin"/>
          </w:r>
          <w:r>
            <w:instrText xml:space="preserve"> HYPERLINK \l "_bookmark17" </w:instrText>
          </w:r>
          <w:r>
            <w:fldChar w:fldCharType="separate"/>
          </w:r>
          <w:r>
            <w:t>第</w:t>
          </w:r>
          <w:r>
            <w:rPr>
              <w:spacing w:val="-3"/>
            </w:rPr>
            <w:t>二</w:t>
          </w:r>
          <w:r>
            <w:t>节</w:t>
          </w:r>
          <w:r>
            <w:tab/>
          </w:r>
          <w:r>
            <w:t>基</w:t>
          </w:r>
          <w:r>
            <w:rPr>
              <w:spacing w:val="-3"/>
            </w:rPr>
            <w:t>本</w:t>
          </w:r>
          <w:r>
            <w:t>原则</w:t>
          </w:r>
          <w:r>
            <w:tab/>
          </w:r>
          <w:r>
            <w:rPr>
              <w:rFonts w:ascii="Calibri" w:eastAsia="Calibri"/>
            </w:rPr>
            <w:t>24</w:t>
          </w:r>
          <w:r>
            <w:rPr>
              <w:rFonts w:ascii="Calibri" w:eastAsia="Calibri"/>
            </w:rPr>
            <w:fldChar w:fldCharType="end"/>
          </w:r>
        </w:p>
        <w:p w14:paraId="4FD751CD">
          <w:pPr>
            <w:pStyle w:val="11"/>
            <w:tabs>
              <w:tab w:val="left" w:pos="2399"/>
              <w:tab w:val="left" w:leader="dot" w:pos="8740"/>
            </w:tabs>
            <w:rPr>
              <w:rFonts w:ascii="Calibri" w:eastAsia="Calibri"/>
            </w:rPr>
          </w:pPr>
          <w:r>
            <w:fldChar w:fldCharType="begin"/>
          </w:r>
          <w:r>
            <w:instrText xml:space="preserve"> HYPERLINK \l "_bookmark18" </w:instrText>
          </w:r>
          <w:r>
            <w:fldChar w:fldCharType="separate"/>
          </w:r>
          <w:r>
            <w:t>第</w:t>
          </w:r>
          <w:r>
            <w:rPr>
              <w:spacing w:val="-3"/>
            </w:rPr>
            <w:t>三</w:t>
          </w:r>
          <w:r>
            <w:t>节</w:t>
          </w:r>
          <w:r>
            <w:tab/>
          </w:r>
          <w:r>
            <w:t>总</w:t>
          </w:r>
          <w:r>
            <w:rPr>
              <w:spacing w:val="-3"/>
            </w:rPr>
            <w:t>体</w:t>
          </w:r>
          <w:r>
            <w:t>规</w:t>
          </w:r>
          <w:r>
            <w:rPr>
              <w:spacing w:val="-3"/>
            </w:rPr>
            <w:t>划</w:t>
          </w:r>
          <w:r>
            <w:t>、目标</w:t>
          </w:r>
          <w:r>
            <w:tab/>
          </w:r>
          <w:r>
            <w:rPr>
              <w:rFonts w:ascii="Calibri" w:eastAsia="Calibri"/>
            </w:rPr>
            <w:t>25</w:t>
          </w:r>
          <w:r>
            <w:rPr>
              <w:rFonts w:ascii="Calibri" w:eastAsia="Calibri"/>
            </w:rPr>
            <w:fldChar w:fldCharType="end"/>
          </w:r>
        </w:p>
        <w:p w14:paraId="486403CB">
          <w:pPr>
            <w:pStyle w:val="11"/>
            <w:tabs>
              <w:tab w:val="left" w:pos="2399"/>
              <w:tab w:val="left" w:leader="dot" w:pos="8740"/>
            </w:tabs>
            <w:spacing w:before="266"/>
            <w:rPr>
              <w:rFonts w:ascii="Calibri" w:eastAsia="Calibri"/>
            </w:rPr>
          </w:pPr>
          <w:r>
            <w:fldChar w:fldCharType="begin"/>
          </w:r>
          <w:r>
            <w:instrText xml:space="preserve"> HYPERLINK \l "_bookmark19" </w:instrText>
          </w:r>
          <w:r>
            <w:fldChar w:fldCharType="separate"/>
          </w:r>
          <w:r>
            <w:t>第</w:t>
          </w:r>
          <w:r>
            <w:rPr>
              <w:spacing w:val="-3"/>
            </w:rPr>
            <w:t>四</w:t>
          </w:r>
          <w:r>
            <w:t>节</w:t>
          </w:r>
          <w:r>
            <w:tab/>
          </w:r>
          <w:r>
            <w:t>规</w:t>
          </w:r>
          <w:r>
            <w:rPr>
              <w:spacing w:val="-3"/>
            </w:rPr>
            <w:t>划</w:t>
          </w:r>
          <w:r>
            <w:t>的指</w:t>
          </w:r>
          <w:r>
            <w:rPr>
              <w:spacing w:val="-3"/>
            </w:rPr>
            <w:t>标</w:t>
          </w:r>
          <w:r>
            <w:t>体系</w:t>
          </w:r>
          <w:r>
            <w:tab/>
          </w:r>
          <w:r>
            <w:rPr>
              <w:rFonts w:ascii="Calibri" w:eastAsia="Calibri"/>
            </w:rPr>
            <w:t>26</w:t>
          </w:r>
          <w:r>
            <w:rPr>
              <w:rFonts w:ascii="Calibri" w:eastAsia="Calibri"/>
            </w:rPr>
            <w:fldChar w:fldCharType="end"/>
          </w:r>
        </w:p>
        <w:p w14:paraId="7F8A6901">
          <w:pPr>
            <w:pStyle w:val="10"/>
            <w:tabs>
              <w:tab w:val="left" w:pos="1120"/>
              <w:tab w:val="left" w:leader="dot" w:pos="8020"/>
            </w:tabs>
            <w:spacing w:after="20"/>
            <w:ind w:right="719"/>
            <w:rPr>
              <w:rFonts w:ascii="Calibri" w:eastAsia="Calibri"/>
            </w:rPr>
          </w:pPr>
          <w:r>
            <w:fldChar w:fldCharType="begin"/>
          </w:r>
          <w:r>
            <w:instrText xml:space="preserve"> HYPERLINK \l "_bookmark20" </w:instrText>
          </w:r>
          <w:r>
            <w:fldChar w:fldCharType="separate"/>
          </w:r>
          <w:r>
            <w:t>第</w:t>
          </w:r>
          <w:r>
            <w:rPr>
              <w:spacing w:val="-3"/>
            </w:rPr>
            <w:t>三</w:t>
          </w:r>
          <w:r>
            <w:t>章</w:t>
          </w:r>
          <w:r>
            <w:tab/>
          </w:r>
          <w:r>
            <w:t>环</w:t>
          </w:r>
          <w:r>
            <w:rPr>
              <w:spacing w:val="-3"/>
            </w:rPr>
            <w:t>境</w:t>
          </w:r>
          <w:r>
            <w:t>保护</w:t>
          </w:r>
          <w:r>
            <w:rPr>
              <w:spacing w:val="-3"/>
            </w:rPr>
            <w:t>具</w:t>
          </w:r>
          <w:r>
            <w:t>体规划</w:t>
          </w:r>
          <w:r>
            <w:tab/>
          </w:r>
          <w:r>
            <w:rPr>
              <w:rFonts w:ascii="Calibri" w:eastAsia="Calibri"/>
              <w:spacing w:val="-1"/>
            </w:rPr>
            <w:t>28</w:t>
          </w:r>
          <w:r>
            <w:rPr>
              <w:rFonts w:ascii="Calibri" w:eastAsia="Calibri"/>
              <w:spacing w:val="-1"/>
            </w:rPr>
            <w:fldChar w:fldCharType="end"/>
          </w:r>
        </w:p>
        <w:p w14:paraId="7422ED56">
          <w:pPr>
            <w:pStyle w:val="11"/>
            <w:tabs>
              <w:tab w:val="left" w:pos="2399"/>
              <w:tab w:val="right" w:leader="dot" w:pos="9022"/>
            </w:tabs>
            <w:spacing w:before="143"/>
            <w:rPr>
              <w:rFonts w:ascii="Calibri" w:eastAsia="Calibri"/>
            </w:rPr>
          </w:pPr>
          <w:r>
            <w:fldChar w:fldCharType="begin"/>
          </w:r>
          <w:r>
            <w:instrText xml:space="preserve"> HYPERLINK \l "_bookmark21" </w:instrText>
          </w:r>
          <w:r>
            <w:fldChar w:fldCharType="separate"/>
          </w:r>
          <w:r>
            <w:t>第</w:t>
          </w:r>
          <w:r>
            <w:rPr>
              <w:spacing w:val="-71"/>
            </w:rPr>
            <w:t xml:space="preserve"> </w:t>
          </w:r>
          <w:r>
            <w:rPr>
              <w:rFonts w:ascii="Calibri" w:eastAsia="Calibri"/>
            </w:rPr>
            <w:t>1</w:t>
          </w:r>
          <w:r>
            <w:rPr>
              <w:rFonts w:ascii="Calibri" w:eastAsia="Calibri"/>
              <w:spacing w:val="6"/>
            </w:rPr>
            <w:t xml:space="preserve"> </w:t>
          </w:r>
          <w:r>
            <w:t>节</w:t>
          </w:r>
          <w:r>
            <w:tab/>
          </w:r>
          <w:r>
            <w:t>水</w:t>
          </w:r>
          <w:r>
            <w:rPr>
              <w:spacing w:val="-3"/>
            </w:rPr>
            <w:t>环</w:t>
          </w:r>
          <w:r>
            <w:t>境保</w:t>
          </w:r>
          <w:r>
            <w:rPr>
              <w:spacing w:val="-3"/>
            </w:rPr>
            <w:t>护</w:t>
          </w:r>
          <w:r>
            <w:t>规划</w:t>
          </w:r>
          <w:r>
            <w:tab/>
          </w:r>
          <w:r>
            <w:rPr>
              <w:rFonts w:ascii="Calibri" w:eastAsia="Calibri"/>
            </w:rPr>
            <w:t>28</w:t>
          </w:r>
          <w:r>
            <w:rPr>
              <w:rFonts w:ascii="Calibri" w:eastAsia="Calibri"/>
            </w:rPr>
            <w:fldChar w:fldCharType="end"/>
          </w:r>
        </w:p>
        <w:p w14:paraId="7E7880C6">
          <w:pPr>
            <w:pStyle w:val="7"/>
            <w:tabs>
              <w:tab w:val="right" w:leader="dot" w:pos="9022"/>
            </w:tabs>
            <w:spacing w:before="266"/>
            <w:rPr>
              <w:rFonts w:ascii="Calibri" w:eastAsia="Calibri"/>
            </w:rPr>
          </w:pPr>
          <w:r>
            <w:fldChar w:fldCharType="begin"/>
          </w:r>
          <w:r>
            <w:instrText xml:space="preserve"> HYPERLINK \l "_bookmark22" </w:instrText>
          </w:r>
          <w:r>
            <w:fldChar w:fldCharType="separate"/>
          </w:r>
          <w:r>
            <w:rPr>
              <w:rFonts w:ascii="Calibri" w:eastAsia="Calibri"/>
              <w:spacing w:val="-4"/>
            </w:rPr>
            <w:t>1</w:t>
          </w:r>
          <w:r>
            <w:t>、</w:t>
          </w:r>
          <w:r>
            <w:rPr>
              <w:spacing w:val="-3"/>
            </w:rPr>
            <w:t>水</w:t>
          </w:r>
          <w:r>
            <w:t>环境</w:t>
          </w:r>
          <w:r>
            <w:rPr>
              <w:spacing w:val="-3"/>
            </w:rPr>
            <w:t>保</w:t>
          </w:r>
          <w:r>
            <w:t>护规</w:t>
          </w:r>
          <w:r>
            <w:rPr>
              <w:spacing w:val="-3"/>
            </w:rPr>
            <w:t>划</w:t>
          </w:r>
          <w:r>
            <w:t>目标</w:t>
          </w:r>
          <w:r>
            <w:tab/>
          </w:r>
          <w:r>
            <w:rPr>
              <w:rFonts w:ascii="Calibri" w:eastAsia="Calibri"/>
            </w:rPr>
            <w:t>28</w:t>
          </w:r>
          <w:r>
            <w:rPr>
              <w:rFonts w:ascii="Calibri" w:eastAsia="Calibri"/>
            </w:rPr>
            <w:fldChar w:fldCharType="end"/>
          </w:r>
        </w:p>
        <w:p w14:paraId="5E0ABD2F">
          <w:pPr>
            <w:pStyle w:val="7"/>
            <w:tabs>
              <w:tab w:val="right" w:leader="dot" w:pos="9022"/>
            </w:tabs>
            <w:rPr>
              <w:rFonts w:ascii="Calibri" w:eastAsia="Calibri"/>
            </w:rPr>
          </w:pPr>
          <w:r>
            <w:fldChar w:fldCharType="begin"/>
          </w:r>
          <w:r>
            <w:instrText xml:space="preserve"> HYPERLINK \l "_bookmark23" </w:instrText>
          </w:r>
          <w:r>
            <w:fldChar w:fldCharType="separate"/>
          </w:r>
          <w:r>
            <w:rPr>
              <w:rFonts w:ascii="Calibri" w:eastAsia="Calibri"/>
              <w:spacing w:val="-4"/>
            </w:rPr>
            <w:t>2</w:t>
          </w:r>
          <w:r>
            <w:t>、</w:t>
          </w:r>
          <w:r>
            <w:rPr>
              <w:spacing w:val="-3"/>
            </w:rPr>
            <w:t>水</w:t>
          </w:r>
          <w:r>
            <w:t>环境</w:t>
          </w:r>
          <w:r>
            <w:rPr>
              <w:spacing w:val="-3"/>
            </w:rPr>
            <w:t>质</w:t>
          </w:r>
          <w:r>
            <w:t>量保</w:t>
          </w:r>
          <w:r>
            <w:rPr>
              <w:spacing w:val="-3"/>
            </w:rPr>
            <w:t>护</w:t>
          </w:r>
          <w:r>
            <w:t>主要</w:t>
          </w:r>
          <w:r>
            <w:rPr>
              <w:spacing w:val="-3"/>
            </w:rPr>
            <w:t>任</w:t>
          </w:r>
          <w:r>
            <w:t>务及</w:t>
          </w:r>
          <w:r>
            <w:rPr>
              <w:spacing w:val="-3"/>
            </w:rPr>
            <w:t>措</w:t>
          </w:r>
          <w:r>
            <w:t>施</w:t>
          </w:r>
          <w:r>
            <w:tab/>
          </w:r>
          <w:r>
            <w:rPr>
              <w:rFonts w:ascii="Calibri" w:eastAsia="Calibri"/>
            </w:rPr>
            <w:t>29</w:t>
          </w:r>
          <w:r>
            <w:rPr>
              <w:rFonts w:ascii="Calibri" w:eastAsia="Calibri"/>
            </w:rPr>
            <w:fldChar w:fldCharType="end"/>
          </w:r>
        </w:p>
        <w:p w14:paraId="418C660D">
          <w:pPr>
            <w:pStyle w:val="11"/>
            <w:tabs>
              <w:tab w:val="left" w:pos="2399"/>
              <w:tab w:val="right" w:leader="dot" w:pos="9022"/>
            </w:tabs>
            <w:rPr>
              <w:rFonts w:ascii="Calibri" w:eastAsia="Calibri"/>
            </w:rPr>
          </w:pPr>
          <w:r>
            <w:fldChar w:fldCharType="begin"/>
          </w:r>
          <w:r>
            <w:instrText xml:space="preserve"> HYPERLINK \l "_bookmark24" </w:instrText>
          </w:r>
          <w:r>
            <w:fldChar w:fldCharType="separate"/>
          </w:r>
          <w:r>
            <w:t>第</w:t>
          </w:r>
          <w:r>
            <w:rPr>
              <w:spacing w:val="-71"/>
            </w:rPr>
            <w:t xml:space="preserve"> </w:t>
          </w:r>
          <w:r>
            <w:rPr>
              <w:rFonts w:ascii="Calibri" w:eastAsia="Calibri"/>
            </w:rPr>
            <w:t>2</w:t>
          </w:r>
          <w:r>
            <w:rPr>
              <w:rFonts w:ascii="Calibri" w:eastAsia="Calibri"/>
              <w:spacing w:val="6"/>
            </w:rPr>
            <w:t xml:space="preserve"> </w:t>
          </w:r>
          <w:r>
            <w:t>节</w:t>
          </w:r>
          <w:r>
            <w:tab/>
          </w:r>
          <w:r>
            <w:t>大</w:t>
          </w:r>
          <w:r>
            <w:rPr>
              <w:spacing w:val="-3"/>
            </w:rPr>
            <w:t>气</w:t>
          </w:r>
          <w:r>
            <w:t>环境</w:t>
          </w:r>
          <w:r>
            <w:rPr>
              <w:spacing w:val="-3"/>
            </w:rPr>
            <w:t>保</w:t>
          </w:r>
          <w:r>
            <w:t>护规划</w:t>
          </w:r>
          <w:r>
            <w:tab/>
          </w:r>
          <w:r>
            <w:rPr>
              <w:rFonts w:ascii="Calibri" w:eastAsia="Calibri"/>
            </w:rPr>
            <w:t>33</w:t>
          </w:r>
          <w:r>
            <w:rPr>
              <w:rFonts w:ascii="Calibri" w:eastAsia="Calibri"/>
            </w:rPr>
            <w:fldChar w:fldCharType="end"/>
          </w:r>
        </w:p>
        <w:p w14:paraId="13647F49">
          <w:pPr>
            <w:pStyle w:val="7"/>
            <w:tabs>
              <w:tab w:val="right" w:leader="dot" w:pos="9022"/>
            </w:tabs>
            <w:spacing w:before="266"/>
            <w:rPr>
              <w:rFonts w:ascii="Calibri" w:eastAsia="Calibri"/>
            </w:rPr>
          </w:pPr>
          <w:r>
            <w:fldChar w:fldCharType="begin"/>
          </w:r>
          <w:r>
            <w:instrText xml:space="preserve"> HYPERLINK \l "_bookmark25" </w:instrText>
          </w:r>
          <w:r>
            <w:fldChar w:fldCharType="separate"/>
          </w:r>
          <w:r>
            <w:rPr>
              <w:rFonts w:ascii="Calibri" w:eastAsia="Calibri"/>
              <w:spacing w:val="-4"/>
            </w:rPr>
            <w:t>1</w:t>
          </w:r>
          <w:r>
            <w:t>、</w:t>
          </w:r>
          <w:r>
            <w:rPr>
              <w:spacing w:val="-3"/>
            </w:rPr>
            <w:t>大</w:t>
          </w:r>
          <w:r>
            <w:t>气环</w:t>
          </w:r>
          <w:r>
            <w:rPr>
              <w:spacing w:val="-3"/>
            </w:rPr>
            <w:t>境</w:t>
          </w:r>
          <w:r>
            <w:t>质量</w:t>
          </w:r>
          <w:r>
            <w:rPr>
              <w:spacing w:val="-3"/>
            </w:rPr>
            <w:t>保</w:t>
          </w:r>
          <w:r>
            <w:t>护目标</w:t>
          </w:r>
          <w:r>
            <w:tab/>
          </w:r>
          <w:r>
            <w:rPr>
              <w:rFonts w:ascii="Calibri" w:eastAsia="Calibri"/>
            </w:rPr>
            <w:t>33</w:t>
          </w:r>
          <w:r>
            <w:rPr>
              <w:rFonts w:ascii="Calibri" w:eastAsia="Calibri"/>
            </w:rPr>
            <w:fldChar w:fldCharType="end"/>
          </w:r>
        </w:p>
        <w:p w14:paraId="53A026DB">
          <w:pPr>
            <w:pStyle w:val="7"/>
            <w:tabs>
              <w:tab w:val="right" w:leader="dot" w:pos="9022"/>
            </w:tabs>
            <w:rPr>
              <w:rFonts w:ascii="Calibri" w:eastAsia="Calibri"/>
            </w:rPr>
          </w:pPr>
          <w:r>
            <w:fldChar w:fldCharType="begin"/>
          </w:r>
          <w:r>
            <w:instrText xml:space="preserve"> HYPERLINK \l "_bookmark26" </w:instrText>
          </w:r>
          <w:r>
            <w:fldChar w:fldCharType="separate"/>
          </w:r>
          <w:r>
            <w:rPr>
              <w:rFonts w:ascii="Calibri" w:eastAsia="Calibri"/>
              <w:spacing w:val="-4"/>
            </w:rPr>
            <w:t>2</w:t>
          </w:r>
          <w:r>
            <w:t>、</w:t>
          </w:r>
          <w:r>
            <w:rPr>
              <w:spacing w:val="-3"/>
            </w:rPr>
            <w:t>大</w:t>
          </w:r>
          <w:r>
            <w:t>气环</w:t>
          </w:r>
          <w:r>
            <w:rPr>
              <w:spacing w:val="-3"/>
            </w:rPr>
            <w:t>境</w:t>
          </w:r>
          <w:r>
            <w:t>质量</w:t>
          </w:r>
          <w:r>
            <w:rPr>
              <w:spacing w:val="-3"/>
            </w:rPr>
            <w:t>保</w:t>
          </w:r>
          <w:r>
            <w:t>护主</w:t>
          </w:r>
          <w:r>
            <w:rPr>
              <w:spacing w:val="-3"/>
            </w:rPr>
            <w:t>要</w:t>
          </w:r>
          <w:r>
            <w:t>任务</w:t>
          </w:r>
          <w:r>
            <w:rPr>
              <w:spacing w:val="-3"/>
            </w:rPr>
            <w:t>及</w:t>
          </w:r>
          <w:r>
            <w:t>措施</w:t>
          </w:r>
          <w:r>
            <w:tab/>
          </w:r>
          <w:r>
            <w:rPr>
              <w:rFonts w:ascii="Calibri" w:eastAsia="Calibri"/>
            </w:rPr>
            <w:t>33</w:t>
          </w:r>
          <w:r>
            <w:rPr>
              <w:rFonts w:ascii="Calibri" w:eastAsia="Calibri"/>
            </w:rPr>
            <w:fldChar w:fldCharType="end"/>
          </w:r>
        </w:p>
        <w:p w14:paraId="665EB18A">
          <w:pPr>
            <w:pStyle w:val="11"/>
            <w:tabs>
              <w:tab w:val="left" w:pos="2399"/>
              <w:tab w:val="right" w:leader="dot" w:pos="9022"/>
            </w:tabs>
            <w:rPr>
              <w:rFonts w:ascii="Calibri" w:eastAsia="Calibri"/>
            </w:rPr>
          </w:pPr>
          <w:r>
            <w:fldChar w:fldCharType="begin"/>
          </w:r>
          <w:r>
            <w:instrText xml:space="preserve"> HYPERLINK \l "_bookmark27" </w:instrText>
          </w:r>
          <w:r>
            <w:fldChar w:fldCharType="separate"/>
          </w:r>
          <w:r>
            <w:t>第</w:t>
          </w:r>
          <w:r>
            <w:rPr>
              <w:spacing w:val="-71"/>
            </w:rPr>
            <w:t xml:space="preserve"> </w:t>
          </w:r>
          <w:r>
            <w:rPr>
              <w:rFonts w:ascii="Calibri" w:eastAsia="Calibri"/>
            </w:rPr>
            <w:t>3</w:t>
          </w:r>
          <w:r>
            <w:rPr>
              <w:rFonts w:ascii="Calibri" w:eastAsia="Calibri"/>
              <w:spacing w:val="6"/>
            </w:rPr>
            <w:t xml:space="preserve"> </w:t>
          </w:r>
          <w:r>
            <w:t>节</w:t>
          </w:r>
          <w:r>
            <w:tab/>
          </w:r>
          <w:r>
            <w:t>声</w:t>
          </w:r>
          <w:r>
            <w:rPr>
              <w:spacing w:val="-3"/>
            </w:rPr>
            <w:t>环</w:t>
          </w:r>
          <w:r>
            <w:t>境保</w:t>
          </w:r>
          <w:r>
            <w:rPr>
              <w:spacing w:val="-3"/>
            </w:rPr>
            <w:t>护</w:t>
          </w:r>
          <w:r>
            <w:t>规划</w:t>
          </w:r>
          <w:r>
            <w:tab/>
          </w:r>
          <w:r>
            <w:rPr>
              <w:rFonts w:ascii="Calibri" w:eastAsia="Calibri"/>
            </w:rPr>
            <w:t>36</w:t>
          </w:r>
          <w:r>
            <w:rPr>
              <w:rFonts w:ascii="Calibri" w:eastAsia="Calibri"/>
            </w:rPr>
            <w:fldChar w:fldCharType="end"/>
          </w:r>
        </w:p>
        <w:p w14:paraId="7F10D271">
          <w:pPr>
            <w:pStyle w:val="7"/>
            <w:tabs>
              <w:tab w:val="right" w:leader="dot" w:pos="9022"/>
            </w:tabs>
            <w:rPr>
              <w:rFonts w:ascii="Calibri" w:eastAsia="Calibri"/>
            </w:rPr>
          </w:pPr>
          <w:r>
            <w:fldChar w:fldCharType="begin"/>
          </w:r>
          <w:r>
            <w:instrText xml:space="preserve"> HYPERLINK \l "_bookmark28" </w:instrText>
          </w:r>
          <w:r>
            <w:fldChar w:fldCharType="separate"/>
          </w:r>
          <w:r>
            <w:rPr>
              <w:rFonts w:ascii="Calibri" w:eastAsia="Calibri"/>
              <w:spacing w:val="-4"/>
            </w:rPr>
            <w:t>1</w:t>
          </w:r>
          <w:r>
            <w:t>、</w:t>
          </w:r>
          <w:r>
            <w:rPr>
              <w:spacing w:val="-3"/>
            </w:rPr>
            <w:t>声</w:t>
          </w:r>
          <w:r>
            <w:t>环境</w:t>
          </w:r>
          <w:r>
            <w:rPr>
              <w:spacing w:val="-3"/>
            </w:rPr>
            <w:t>保</w:t>
          </w:r>
          <w:r>
            <w:t>护规</w:t>
          </w:r>
          <w:r>
            <w:rPr>
              <w:spacing w:val="-3"/>
            </w:rPr>
            <w:t>划</w:t>
          </w:r>
          <w:r>
            <w:t>目标</w:t>
          </w:r>
          <w:r>
            <w:tab/>
          </w:r>
          <w:r>
            <w:rPr>
              <w:rFonts w:ascii="Calibri" w:eastAsia="Calibri"/>
            </w:rPr>
            <w:t>36</w:t>
          </w:r>
          <w:r>
            <w:rPr>
              <w:rFonts w:ascii="Calibri" w:eastAsia="Calibri"/>
            </w:rPr>
            <w:fldChar w:fldCharType="end"/>
          </w:r>
        </w:p>
        <w:p w14:paraId="36F9B743">
          <w:pPr>
            <w:pStyle w:val="7"/>
            <w:tabs>
              <w:tab w:val="right" w:leader="dot" w:pos="9022"/>
            </w:tabs>
            <w:spacing w:before="266"/>
            <w:rPr>
              <w:rFonts w:ascii="Calibri" w:eastAsia="Calibri"/>
            </w:rPr>
          </w:pPr>
          <w:r>
            <w:fldChar w:fldCharType="begin"/>
          </w:r>
          <w:r>
            <w:instrText xml:space="preserve"> HYPERLINK \l "_bookmark29" </w:instrText>
          </w:r>
          <w:r>
            <w:fldChar w:fldCharType="separate"/>
          </w:r>
          <w:r>
            <w:rPr>
              <w:rFonts w:ascii="Calibri" w:eastAsia="Calibri"/>
              <w:spacing w:val="-4"/>
            </w:rPr>
            <w:t>2</w:t>
          </w:r>
          <w:r>
            <w:t>、</w:t>
          </w:r>
          <w:r>
            <w:rPr>
              <w:spacing w:val="-3"/>
            </w:rPr>
            <w:t>声</w:t>
          </w:r>
          <w:r>
            <w:t>环境</w:t>
          </w:r>
          <w:r>
            <w:rPr>
              <w:spacing w:val="-3"/>
            </w:rPr>
            <w:t>保</w:t>
          </w:r>
          <w:r>
            <w:t>护规</w:t>
          </w:r>
          <w:r>
            <w:rPr>
              <w:spacing w:val="-3"/>
            </w:rPr>
            <w:t>划</w:t>
          </w:r>
          <w:r>
            <w:t>主要</w:t>
          </w:r>
          <w:r>
            <w:rPr>
              <w:spacing w:val="-3"/>
            </w:rPr>
            <w:t>任</w:t>
          </w:r>
          <w:r>
            <w:t>务及</w:t>
          </w:r>
          <w:r>
            <w:rPr>
              <w:spacing w:val="-3"/>
            </w:rPr>
            <w:t>措</w:t>
          </w:r>
          <w:r>
            <w:t>施</w:t>
          </w:r>
          <w:r>
            <w:tab/>
          </w:r>
          <w:r>
            <w:rPr>
              <w:rFonts w:ascii="Calibri" w:eastAsia="Calibri"/>
            </w:rPr>
            <w:t>36</w:t>
          </w:r>
          <w:r>
            <w:rPr>
              <w:rFonts w:ascii="Calibri" w:eastAsia="Calibri"/>
            </w:rPr>
            <w:fldChar w:fldCharType="end"/>
          </w:r>
        </w:p>
        <w:p w14:paraId="34CC8F7A">
          <w:pPr>
            <w:pStyle w:val="11"/>
            <w:tabs>
              <w:tab w:val="left" w:pos="2399"/>
              <w:tab w:val="right" w:leader="dot" w:pos="9022"/>
            </w:tabs>
            <w:rPr>
              <w:rFonts w:ascii="Calibri" w:eastAsia="Calibri"/>
            </w:rPr>
          </w:pPr>
          <w:r>
            <w:fldChar w:fldCharType="begin"/>
          </w:r>
          <w:r>
            <w:instrText xml:space="preserve"> HYPERLINK \l "_bookmark30" </w:instrText>
          </w:r>
          <w:r>
            <w:fldChar w:fldCharType="separate"/>
          </w:r>
          <w:r>
            <w:t>第</w:t>
          </w:r>
          <w:r>
            <w:rPr>
              <w:spacing w:val="-71"/>
            </w:rPr>
            <w:t xml:space="preserve"> </w:t>
          </w:r>
          <w:r>
            <w:rPr>
              <w:rFonts w:ascii="Calibri" w:eastAsia="Calibri"/>
            </w:rPr>
            <w:t>4</w:t>
          </w:r>
          <w:r>
            <w:rPr>
              <w:rFonts w:ascii="Calibri" w:eastAsia="Calibri"/>
              <w:spacing w:val="6"/>
            </w:rPr>
            <w:t xml:space="preserve"> </w:t>
          </w:r>
          <w:r>
            <w:t>节</w:t>
          </w:r>
          <w:r>
            <w:tab/>
          </w:r>
          <w:r>
            <w:t>固</w:t>
          </w:r>
          <w:r>
            <w:rPr>
              <w:spacing w:val="-3"/>
            </w:rPr>
            <w:t>体</w:t>
          </w:r>
          <w:r>
            <w:t>废弃</w:t>
          </w:r>
          <w:r>
            <w:rPr>
              <w:spacing w:val="-3"/>
            </w:rPr>
            <w:t>物</w:t>
          </w:r>
          <w:r>
            <w:t>污染</w:t>
          </w:r>
          <w:r>
            <w:rPr>
              <w:spacing w:val="-3"/>
            </w:rPr>
            <w:t>防</w:t>
          </w:r>
          <w:r>
            <w:t>治规划</w:t>
          </w:r>
          <w:r>
            <w:tab/>
          </w:r>
          <w:r>
            <w:rPr>
              <w:rFonts w:ascii="Calibri" w:eastAsia="Calibri"/>
            </w:rPr>
            <w:t>37</w:t>
          </w:r>
          <w:r>
            <w:rPr>
              <w:rFonts w:ascii="Calibri" w:eastAsia="Calibri"/>
            </w:rPr>
            <w:fldChar w:fldCharType="end"/>
          </w:r>
        </w:p>
        <w:p w14:paraId="48CEB062">
          <w:pPr>
            <w:pStyle w:val="7"/>
            <w:tabs>
              <w:tab w:val="right" w:leader="dot" w:pos="9022"/>
            </w:tabs>
            <w:rPr>
              <w:rFonts w:ascii="Calibri" w:eastAsia="Calibri"/>
            </w:rPr>
          </w:pPr>
          <w:r>
            <w:fldChar w:fldCharType="begin"/>
          </w:r>
          <w:r>
            <w:instrText xml:space="preserve"> HYPERLINK \l "_bookmark31" </w:instrText>
          </w:r>
          <w:r>
            <w:fldChar w:fldCharType="separate"/>
          </w:r>
          <w:r>
            <w:rPr>
              <w:rFonts w:ascii="Calibri" w:eastAsia="Calibri"/>
              <w:spacing w:val="-4"/>
            </w:rPr>
            <w:t>1</w:t>
          </w:r>
          <w:r>
            <w:t>、</w:t>
          </w:r>
          <w:r>
            <w:rPr>
              <w:spacing w:val="-3"/>
            </w:rPr>
            <w:t>固</w:t>
          </w:r>
          <w:r>
            <w:t>体废</w:t>
          </w:r>
          <w:r>
            <w:rPr>
              <w:spacing w:val="-3"/>
            </w:rPr>
            <w:t>弃</w:t>
          </w:r>
          <w:r>
            <w:t>物污</w:t>
          </w:r>
          <w:r>
            <w:rPr>
              <w:spacing w:val="-3"/>
            </w:rPr>
            <w:t>染</w:t>
          </w:r>
          <w:r>
            <w:t>防治</w:t>
          </w:r>
          <w:r>
            <w:rPr>
              <w:spacing w:val="-3"/>
            </w:rPr>
            <w:t>目</w:t>
          </w:r>
          <w:r>
            <w:t>标</w:t>
          </w:r>
          <w:r>
            <w:tab/>
          </w:r>
          <w:r>
            <w:rPr>
              <w:rFonts w:ascii="Calibri" w:eastAsia="Calibri"/>
            </w:rPr>
            <w:t>37</w:t>
          </w:r>
          <w:r>
            <w:rPr>
              <w:rFonts w:ascii="Calibri" w:eastAsia="Calibri"/>
            </w:rPr>
            <w:fldChar w:fldCharType="end"/>
          </w:r>
        </w:p>
        <w:p w14:paraId="6415B069">
          <w:pPr>
            <w:pStyle w:val="7"/>
            <w:tabs>
              <w:tab w:val="right" w:leader="dot" w:pos="9022"/>
            </w:tabs>
            <w:rPr>
              <w:rFonts w:ascii="Calibri" w:eastAsia="Calibri"/>
            </w:rPr>
          </w:pPr>
          <w:r>
            <w:fldChar w:fldCharType="begin"/>
          </w:r>
          <w:r>
            <w:instrText xml:space="preserve"> HYPERLINK \l "_bookmark32" </w:instrText>
          </w:r>
          <w:r>
            <w:fldChar w:fldCharType="separate"/>
          </w:r>
          <w:r>
            <w:rPr>
              <w:rFonts w:ascii="Calibri" w:eastAsia="Calibri"/>
              <w:spacing w:val="-4"/>
            </w:rPr>
            <w:t>2</w:t>
          </w:r>
          <w:r>
            <w:t>、</w:t>
          </w:r>
          <w:r>
            <w:rPr>
              <w:spacing w:val="-3"/>
            </w:rPr>
            <w:t>固</w:t>
          </w:r>
          <w:r>
            <w:t>体废</w:t>
          </w:r>
          <w:r>
            <w:rPr>
              <w:spacing w:val="-3"/>
            </w:rPr>
            <w:t>弃</w:t>
          </w:r>
          <w:r>
            <w:t>物污</w:t>
          </w:r>
          <w:r>
            <w:rPr>
              <w:spacing w:val="-3"/>
            </w:rPr>
            <w:t>染</w:t>
          </w:r>
          <w:r>
            <w:t>防治</w:t>
          </w:r>
          <w:r>
            <w:rPr>
              <w:spacing w:val="-3"/>
            </w:rPr>
            <w:t>主</w:t>
          </w:r>
          <w:r>
            <w:t>要任</w:t>
          </w:r>
          <w:r>
            <w:rPr>
              <w:spacing w:val="-3"/>
            </w:rPr>
            <w:t>务</w:t>
          </w:r>
          <w:r>
            <w:t>及措施</w:t>
          </w:r>
          <w:r>
            <w:tab/>
          </w:r>
          <w:r>
            <w:rPr>
              <w:rFonts w:ascii="Calibri" w:eastAsia="Calibri"/>
            </w:rPr>
            <w:t>37</w:t>
          </w:r>
          <w:r>
            <w:rPr>
              <w:rFonts w:ascii="Calibri" w:eastAsia="Calibri"/>
            </w:rPr>
            <w:fldChar w:fldCharType="end"/>
          </w:r>
        </w:p>
        <w:p w14:paraId="7619E9D5">
          <w:pPr>
            <w:pStyle w:val="11"/>
            <w:tabs>
              <w:tab w:val="left" w:pos="2399"/>
              <w:tab w:val="right" w:leader="dot" w:pos="9022"/>
            </w:tabs>
            <w:spacing w:before="266"/>
            <w:rPr>
              <w:rFonts w:ascii="Calibri" w:eastAsia="Calibri"/>
            </w:rPr>
          </w:pPr>
          <w:r>
            <w:fldChar w:fldCharType="begin"/>
          </w:r>
          <w:r>
            <w:instrText xml:space="preserve"> HYPERLINK \l "_bookmark33" </w:instrText>
          </w:r>
          <w:r>
            <w:fldChar w:fldCharType="separate"/>
          </w:r>
          <w:r>
            <w:t>第</w:t>
          </w:r>
          <w:r>
            <w:rPr>
              <w:spacing w:val="-71"/>
            </w:rPr>
            <w:t xml:space="preserve"> </w:t>
          </w:r>
          <w:r>
            <w:rPr>
              <w:rFonts w:ascii="Calibri" w:eastAsia="Calibri"/>
            </w:rPr>
            <w:t>5</w:t>
          </w:r>
          <w:r>
            <w:rPr>
              <w:rFonts w:ascii="Calibri" w:eastAsia="Calibri"/>
              <w:spacing w:val="6"/>
            </w:rPr>
            <w:t xml:space="preserve"> </w:t>
          </w:r>
          <w:r>
            <w:t>节</w:t>
          </w:r>
          <w:r>
            <w:tab/>
          </w:r>
          <w:r>
            <w:t>土</w:t>
          </w:r>
          <w:r>
            <w:rPr>
              <w:spacing w:val="-3"/>
            </w:rPr>
            <w:t>壤</w:t>
          </w:r>
          <w:r>
            <w:t>污染</w:t>
          </w:r>
          <w:r>
            <w:rPr>
              <w:spacing w:val="-3"/>
            </w:rPr>
            <w:t>防</w:t>
          </w:r>
          <w:r>
            <w:t>治规划</w:t>
          </w:r>
          <w:r>
            <w:tab/>
          </w:r>
          <w:r>
            <w:rPr>
              <w:rFonts w:ascii="Calibri" w:eastAsia="Calibri"/>
            </w:rPr>
            <w:t>40</w:t>
          </w:r>
          <w:r>
            <w:rPr>
              <w:rFonts w:ascii="Calibri" w:eastAsia="Calibri"/>
            </w:rPr>
            <w:fldChar w:fldCharType="end"/>
          </w:r>
        </w:p>
        <w:p w14:paraId="335676C2">
          <w:pPr>
            <w:pStyle w:val="7"/>
            <w:tabs>
              <w:tab w:val="right" w:leader="dot" w:pos="9022"/>
            </w:tabs>
            <w:rPr>
              <w:rFonts w:ascii="Calibri" w:eastAsia="Calibri"/>
            </w:rPr>
          </w:pPr>
          <w:r>
            <w:fldChar w:fldCharType="begin"/>
          </w:r>
          <w:r>
            <w:instrText xml:space="preserve"> HYPERLINK \l "_bookmark34" </w:instrText>
          </w:r>
          <w:r>
            <w:fldChar w:fldCharType="separate"/>
          </w:r>
          <w:r>
            <w:rPr>
              <w:rFonts w:ascii="Calibri" w:eastAsia="Calibri"/>
              <w:spacing w:val="-4"/>
            </w:rPr>
            <w:t>1</w:t>
          </w:r>
          <w:r>
            <w:t>、</w:t>
          </w:r>
          <w:r>
            <w:rPr>
              <w:spacing w:val="-3"/>
            </w:rPr>
            <w:t>土</w:t>
          </w:r>
          <w:r>
            <w:t>壤污</w:t>
          </w:r>
          <w:r>
            <w:rPr>
              <w:spacing w:val="-3"/>
            </w:rPr>
            <w:t>染</w:t>
          </w:r>
          <w:r>
            <w:t>防治</w:t>
          </w:r>
          <w:r>
            <w:rPr>
              <w:spacing w:val="-3"/>
            </w:rPr>
            <w:t>目</w:t>
          </w:r>
          <w:r>
            <w:t>标</w:t>
          </w:r>
          <w:r>
            <w:tab/>
          </w:r>
          <w:r>
            <w:rPr>
              <w:rFonts w:ascii="Calibri" w:eastAsia="Calibri"/>
            </w:rPr>
            <w:t>40</w:t>
          </w:r>
          <w:r>
            <w:rPr>
              <w:rFonts w:ascii="Calibri" w:eastAsia="Calibri"/>
            </w:rPr>
            <w:fldChar w:fldCharType="end"/>
          </w:r>
        </w:p>
        <w:p w14:paraId="387DDA2B">
          <w:pPr>
            <w:pStyle w:val="7"/>
            <w:tabs>
              <w:tab w:val="right" w:leader="dot" w:pos="9022"/>
            </w:tabs>
            <w:rPr>
              <w:rFonts w:ascii="Calibri" w:eastAsia="Calibri"/>
            </w:rPr>
          </w:pPr>
          <w:r>
            <w:fldChar w:fldCharType="begin"/>
          </w:r>
          <w:r>
            <w:instrText xml:space="preserve"> HYPERLINK \l "_bookmark35" </w:instrText>
          </w:r>
          <w:r>
            <w:fldChar w:fldCharType="separate"/>
          </w:r>
          <w:r>
            <w:rPr>
              <w:rFonts w:ascii="Calibri" w:eastAsia="Calibri"/>
              <w:spacing w:val="-4"/>
            </w:rPr>
            <w:t>2</w:t>
          </w:r>
          <w:r>
            <w:t>、</w:t>
          </w:r>
          <w:r>
            <w:rPr>
              <w:spacing w:val="-3"/>
            </w:rPr>
            <w:t>土</w:t>
          </w:r>
          <w:r>
            <w:t>壤污</w:t>
          </w:r>
          <w:r>
            <w:rPr>
              <w:spacing w:val="-3"/>
            </w:rPr>
            <w:t>染</w:t>
          </w:r>
          <w:r>
            <w:t>防治</w:t>
          </w:r>
          <w:r>
            <w:rPr>
              <w:spacing w:val="-3"/>
            </w:rPr>
            <w:t>主</w:t>
          </w:r>
          <w:r>
            <w:t>要任</w:t>
          </w:r>
          <w:r>
            <w:rPr>
              <w:spacing w:val="-3"/>
            </w:rPr>
            <w:t>务</w:t>
          </w:r>
          <w:r>
            <w:t>及措施</w:t>
          </w:r>
          <w:r>
            <w:tab/>
          </w:r>
          <w:r>
            <w:rPr>
              <w:rFonts w:ascii="Calibri" w:eastAsia="Calibri"/>
            </w:rPr>
            <w:t>40</w:t>
          </w:r>
          <w:r>
            <w:rPr>
              <w:rFonts w:ascii="Calibri" w:eastAsia="Calibri"/>
            </w:rPr>
            <w:fldChar w:fldCharType="end"/>
          </w:r>
        </w:p>
        <w:p w14:paraId="41D00C61">
          <w:pPr>
            <w:pStyle w:val="11"/>
            <w:tabs>
              <w:tab w:val="right" w:leader="dot" w:pos="9022"/>
            </w:tabs>
            <w:rPr>
              <w:rFonts w:ascii="Calibri" w:eastAsia="Calibri"/>
            </w:rPr>
          </w:pPr>
          <w:r>
            <w:fldChar w:fldCharType="begin"/>
          </w:r>
          <w:r>
            <w:instrText xml:space="preserve"> HYPERLINK \l "_bookmark36" </w:instrText>
          </w:r>
          <w:r>
            <w:fldChar w:fldCharType="separate"/>
          </w:r>
          <w:r>
            <w:t>第</w:t>
          </w:r>
          <w:r>
            <w:rPr>
              <w:spacing w:val="-71"/>
            </w:rPr>
            <w:t xml:space="preserve"> </w:t>
          </w:r>
          <w:r>
            <w:rPr>
              <w:rFonts w:ascii="Calibri" w:eastAsia="Calibri"/>
            </w:rPr>
            <w:t>6</w:t>
          </w:r>
          <w:r>
            <w:rPr>
              <w:rFonts w:ascii="Calibri" w:eastAsia="Calibri"/>
              <w:spacing w:val="5"/>
            </w:rPr>
            <w:t xml:space="preserve"> </w:t>
          </w:r>
          <w:r>
            <w:t>节</w:t>
          </w:r>
          <w:r>
            <w:rPr>
              <w:spacing w:val="-1"/>
            </w:rPr>
            <w:t xml:space="preserve"> </w:t>
          </w:r>
          <w:r>
            <w:t>改</w:t>
          </w:r>
          <w:r>
            <w:rPr>
              <w:spacing w:val="-3"/>
            </w:rPr>
            <w:t>善</w:t>
          </w:r>
          <w:r>
            <w:t>区域</w:t>
          </w:r>
          <w:r>
            <w:rPr>
              <w:spacing w:val="-3"/>
            </w:rPr>
            <w:t>生</w:t>
          </w:r>
          <w:r>
            <w:t>态，</w:t>
          </w:r>
          <w:r>
            <w:rPr>
              <w:spacing w:val="-3"/>
            </w:rPr>
            <w:t>维</w:t>
          </w:r>
          <w:r>
            <w:t>护生</w:t>
          </w:r>
          <w:r>
            <w:rPr>
              <w:spacing w:val="-3"/>
            </w:rPr>
            <w:t>态</w:t>
          </w:r>
          <w:r>
            <w:t>系统</w:t>
          </w:r>
          <w:r>
            <w:rPr>
              <w:spacing w:val="-3"/>
            </w:rPr>
            <w:t>功</w:t>
          </w:r>
          <w:r>
            <w:t>能</w:t>
          </w:r>
          <w:r>
            <w:tab/>
          </w:r>
          <w:r>
            <w:rPr>
              <w:rFonts w:ascii="Calibri" w:eastAsia="Calibri"/>
            </w:rPr>
            <w:t>42</w:t>
          </w:r>
          <w:r>
            <w:rPr>
              <w:rFonts w:ascii="Calibri" w:eastAsia="Calibri"/>
            </w:rPr>
            <w:fldChar w:fldCharType="end"/>
          </w:r>
        </w:p>
        <w:p w14:paraId="6E6B5DF5">
          <w:pPr>
            <w:pStyle w:val="7"/>
            <w:tabs>
              <w:tab w:val="right" w:leader="dot" w:pos="9022"/>
            </w:tabs>
            <w:spacing w:before="266"/>
            <w:rPr>
              <w:rFonts w:ascii="Calibri" w:eastAsia="Calibri"/>
            </w:rPr>
          </w:pPr>
          <w:r>
            <w:fldChar w:fldCharType="begin"/>
          </w:r>
          <w:r>
            <w:instrText xml:space="preserve"> HYPERLINK \l "_bookmark37" </w:instrText>
          </w:r>
          <w:r>
            <w:fldChar w:fldCharType="separate"/>
          </w:r>
          <w:r>
            <w:rPr>
              <w:rFonts w:ascii="Calibri" w:eastAsia="Calibri"/>
              <w:spacing w:val="-4"/>
            </w:rPr>
            <w:t>1</w:t>
          </w:r>
          <w:r>
            <w:t>、</w:t>
          </w:r>
          <w:r>
            <w:rPr>
              <w:spacing w:val="-3"/>
            </w:rPr>
            <w:t>生</w:t>
          </w:r>
          <w:r>
            <w:t>态环</w:t>
          </w:r>
          <w:r>
            <w:rPr>
              <w:spacing w:val="-3"/>
            </w:rPr>
            <w:t>境</w:t>
          </w:r>
          <w:r>
            <w:t>建设</w:t>
          </w:r>
          <w:r>
            <w:rPr>
              <w:spacing w:val="-3"/>
            </w:rPr>
            <w:t>目</w:t>
          </w:r>
          <w:r>
            <w:t>标</w:t>
          </w:r>
          <w:r>
            <w:tab/>
          </w:r>
          <w:r>
            <w:rPr>
              <w:rFonts w:ascii="Calibri" w:eastAsia="Calibri"/>
            </w:rPr>
            <w:t>42</w:t>
          </w:r>
          <w:r>
            <w:rPr>
              <w:rFonts w:ascii="Calibri" w:eastAsia="Calibri"/>
            </w:rPr>
            <w:fldChar w:fldCharType="end"/>
          </w:r>
        </w:p>
        <w:p w14:paraId="5F2BA7C3">
          <w:pPr>
            <w:pStyle w:val="7"/>
            <w:tabs>
              <w:tab w:val="right" w:leader="dot" w:pos="9022"/>
            </w:tabs>
            <w:rPr>
              <w:rFonts w:ascii="Calibri" w:eastAsia="Calibri"/>
            </w:rPr>
          </w:pPr>
          <w:r>
            <w:fldChar w:fldCharType="begin"/>
          </w:r>
          <w:r>
            <w:instrText xml:space="preserve"> HYPERLINK \l "_bookmark38" </w:instrText>
          </w:r>
          <w:r>
            <w:fldChar w:fldCharType="separate"/>
          </w:r>
          <w:r>
            <w:rPr>
              <w:rFonts w:ascii="Calibri" w:eastAsia="Calibri"/>
              <w:spacing w:val="-4"/>
            </w:rPr>
            <w:t>2</w:t>
          </w:r>
          <w:r>
            <w:t>、</w:t>
          </w:r>
          <w:r>
            <w:rPr>
              <w:spacing w:val="-3"/>
            </w:rPr>
            <w:t>生</w:t>
          </w:r>
          <w:r>
            <w:t>态环</w:t>
          </w:r>
          <w:r>
            <w:rPr>
              <w:spacing w:val="-3"/>
            </w:rPr>
            <w:t>境</w:t>
          </w:r>
          <w:r>
            <w:t>建设</w:t>
          </w:r>
          <w:r>
            <w:rPr>
              <w:spacing w:val="-3"/>
            </w:rPr>
            <w:t>主</w:t>
          </w:r>
          <w:r>
            <w:t>要任</w:t>
          </w:r>
          <w:r>
            <w:rPr>
              <w:spacing w:val="-3"/>
            </w:rPr>
            <w:t>务</w:t>
          </w:r>
          <w:r>
            <w:t>及措施</w:t>
          </w:r>
          <w:r>
            <w:tab/>
          </w:r>
          <w:r>
            <w:rPr>
              <w:rFonts w:ascii="Calibri" w:eastAsia="Calibri"/>
            </w:rPr>
            <w:t>42</w:t>
          </w:r>
          <w:r>
            <w:rPr>
              <w:rFonts w:ascii="Calibri" w:eastAsia="Calibri"/>
            </w:rPr>
            <w:fldChar w:fldCharType="end"/>
          </w:r>
        </w:p>
        <w:p w14:paraId="2C0CF0D9">
          <w:pPr>
            <w:pStyle w:val="11"/>
            <w:tabs>
              <w:tab w:val="right" w:leader="dot" w:pos="9022"/>
            </w:tabs>
            <w:rPr>
              <w:rFonts w:ascii="Calibri" w:eastAsia="Calibri"/>
            </w:rPr>
          </w:pPr>
          <w:r>
            <w:fldChar w:fldCharType="begin"/>
          </w:r>
          <w:r>
            <w:instrText xml:space="preserve"> HYPERLINK \l "_bookmark39" </w:instrText>
          </w:r>
          <w:r>
            <w:fldChar w:fldCharType="separate"/>
          </w:r>
          <w:r>
            <w:t>第</w:t>
          </w:r>
          <w:r>
            <w:rPr>
              <w:spacing w:val="-71"/>
            </w:rPr>
            <w:t xml:space="preserve"> </w:t>
          </w:r>
          <w:r>
            <w:rPr>
              <w:rFonts w:ascii="Calibri" w:eastAsia="Calibri"/>
            </w:rPr>
            <w:t>7</w:t>
          </w:r>
          <w:r>
            <w:rPr>
              <w:rFonts w:ascii="Calibri" w:eastAsia="Calibri"/>
              <w:spacing w:val="5"/>
            </w:rPr>
            <w:t xml:space="preserve"> </w:t>
          </w:r>
          <w:r>
            <w:t>节</w:t>
          </w:r>
          <w:r>
            <w:rPr>
              <w:spacing w:val="-1"/>
            </w:rPr>
            <w:t xml:space="preserve"> </w:t>
          </w:r>
          <w:r>
            <w:t>污</w:t>
          </w:r>
          <w:r>
            <w:rPr>
              <w:spacing w:val="-3"/>
            </w:rPr>
            <w:t>染</w:t>
          </w:r>
          <w:r>
            <w:t>减排</w:t>
          </w:r>
          <w:r>
            <w:rPr>
              <w:spacing w:val="-3"/>
            </w:rPr>
            <w:t>规</w:t>
          </w:r>
          <w:r>
            <w:t>划</w:t>
          </w:r>
          <w:r>
            <w:tab/>
          </w:r>
          <w:r>
            <w:rPr>
              <w:rFonts w:ascii="Calibri" w:eastAsia="Calibri"/>
            </w:rPr>
            <w:t>44</w:t>
          </w:r>
          <w:r>
            <w:rPr>
              <w:rFonts w:ascii="Calibri" w:eastAsia="Calibri"/>
            </w:rPr>
            <w:fldChar w:fldCharType="end"/>
          </w:r>
        </w:p>
        <w:p w14:paraId="690399B0">
          <w:pPr>
            <w:pStyle w:val="7"/>
            <w:tabs>
              <w:tab w:val="right" w:leader="dot" w:pos="9022"/>
            </w:tabs>
            <w:rPr>
              <w:rFonts w:ascii="Calibri" w:eastAsia="Calibri"/>
            </w:rPr>
          </w:pPr>
          <w:r>
            <w:fldChar w:fldCharType="begin"/>
          </w:r>
          <w:r>
            <w:instrText xml:space="preserve"> HYPERLINK \l "_bookmark40" </w:instrText>
          </w:r>
          <w:r>
            <w:fldChar w:fldCharType="separate"/>
          </w:r>
          <w:r>
            <w:rPr>
              <w:rFonts w:ascii="Calibri" w:eastAsia="Calibri"/>
              <w:spacing w:val="-4"/>
            </w:rPr>
            <w:t>1</w:t>
          </w:r>
          <w:r>
            <w:t>、</w:t>
          </w:r>
          <w:r>
            <w:rPr>
              <w:spacing w:val="-1"/>
            </w:rPr>
            <w:t xml:space="preserve"> </w:t>
          </w:r>
          <w:r>
            <w:t>污</w:t>
          </w:r>
          <w:r>
            <w:rPr>
              <w:spacing w:val="-3"/>
            </w:rPr>
            <w:t>染</w:t>
          </w:r>
          <w:r>
            <w:t>减排</w:t>
          </w:r>
          <w:r>
            <w:rPr>
              <w:spacing w:val="-3"/>
            </w:rPr>
            <w:t>的</w:t>
          </w:r>
          <w:r>
            <w:t>目标</w:t>
          </w:r>
          <w:r>
            <w:tab/>
          </w:r>
          <w:r>
            <w:rPr>
              <w:rFonts w:ascii="Calibri" w:eastAsia="Calibri"/>
            </w:rPr>
            <w:t>44</w:t>
          </w:r>
          <w:r>
            <w:rPr>
              <w:rFonts w:ascii="Calibri" w:eastAsia="Calibri"/>
            </w:rPr>
            <w:fldChar w:fldCharType="end"/>
          </w:r>
        </w:p>
        <w:p w14:paraId="5C40D669">
          <w:pPr>
            <w:pStyle w:val="7"/>
            <w:tabs>
              <w:tab w:val="right" w:leader="dot" w:pos="9024"/>
            </w:tabs>
            <w:spacing w:before="266"/>
            <w:rPr>
              <w:rFonts w:ascii="Calibri" w:eastAsia="Calibri"/>
            </w:rPr>
          </w:pPr>
          <w:r>
            <w:fldChar w:fldCharType="begin"/>
          </w:r>
          <w:r>
            <w:instrText xml:space="preserve"> HYPERLINK \l "_bookmark41" </w:instrText>
          </w:r>
          <w:r>
            <w:fldChar w:fldCharType="separate"/>
          </w:r>
          <w:r>
            <w:t>2、</w:t>
          </w:r>
          <w:r>
            <w:rPr>
              <w:spacing w:val="-1"/>
            </w:rPr>
            <w:t xml:space="preserve"> </w:t>
          </w:r>
          <w:r>
            <w:t>污</w:t>
          </w:r>
          <w:r>
            <w:rPr>
              <w:spacing w:val="-3"/>
            </w:rPr>
            <w:t>染</w:t>
          </w:r>
          <w:r>
            <w:t>减排</w:t>
          </w:r>
          <w:r>
            <w:rPr>
              <w:spacing w:val="-3"/>
            </w:rPr>
            <w:t>的</w:t>
          </w:r>
          <w:r>
            <w:t>主</w:t>
          </w:r>
          <w:r>
            <w:rPr>
              <w:spacing w:val="-3"/>
            </w:rPr>
            <w:t>要</w:t>
          </w:r>
          <w:r>
            <w:t>任务</w:t>
          </w:r>
          <w:r>
            <w:rPr>
              <w:spacing w:val="-3"/>
            </w:rPr>
            <w:t>及</w:t>
          </w:r>
          <w:r>
            <w:t>措施</w:t>
          </w:r>
          <w:r>
            <w:tab/>
          </w:r>
          <w:r>
            <w:rPr>
              <w:rFonts w:ascii="Calibri" w:eastAsia="Calibri"/>
            </w:rPr>
            <w:t>44</w:t>
          </w:r>
          <w:r>
            <w:rPr>
              <w:rFonts w:ascii="Calibri" w:eastAsia="Calibri"/>
            </w:rPr>
            <w:fldChar w:fldCharType="end"/>
          </w:r>
        </w:p>
        <w:p w14:paraId="37489495">
          <w:pPr>
            <w:pStyle w:val="11"/>
            <w:tabs>
              <w:tab w:val="right" w:leader="dot" w:pos="9022"/>
            </w:tabs>
            <w:spacing w:after="20"/>
            <w:rPr>
              <w:rFonts w:ascii="Calibri" w:eastAsia="Calibri"/>
            </w:rPr>
          </w:pPr>
          <w:r>
            <w:fldChar w:fldCharType="begin"/>
          </w:r>
          <w:r>
            <w:instrText xml:space="preserve"> HYPERLINK \l "_bookmark42" </w:instrText>
          </w:r>
          <w:r>
            <w:fldChar w:fldCharType="separate"/>
          </w:r>
          <w:r>
            <w:t>第</w:t>
          </w:r>
          <w:r>
            <w:rPr>
              <w:spacing w:val="-71"/>
            </w:rPr>
            <w:t xml:space="preserve"> </w:t>
          </w:r>
          <w:r>
            <w:rPr>
              <w:rFonts w:ascii="Calibri" w:eastAsia="Calibri"/>
            </w:rPr>
            <w:t>8</w:t>
          </w:r>
          <w:r>
            <w:rPr>
              <w:rFonts w:ascii="Calibri" w:eastAsia="Calibri"/>
              <w:spacing w:val="5"/>
            </w:rPr>
            <w:t xml:space="preserve"> </w:t>
          </w:r>
          <w:r>
            <w:t>节</w:t>
          </w:r>
          <w:r>
            <w:rPr>
              <w:spacing w:val="-1"/>
            </w:rPr>
            <w:t xml:space="preserve"> </w:t>
          </w:r>
          <w:r>
            <w:t>辐</w:t>
          </w:r>
          <w:r>
            <w:rPr>
              <w:spacing w:val="-3"/>
            </w:rPr>
            <w:t>射</w:t>
          </w:r>
          <w:r>
            <w:t>环境</w:t>
          </w:r>
          <w:r>
            <w:rPr>
              <w:spacing w:val="-3"/>
            </w:rPr>
            <w:t>保</w:t>
          </w:r>
          <w:r>
            <w:t>护规划</w:t>
          </w:r>
          <w:r>
            <w:tab/>
          </w:r>
          <w:r>
            <w:rPr>
              <w:rFonts w:ascii="Calibri" w:eastAsia="Calibri"/>
            </w:rPr>
            <w:t>48</w:t>
          </w:r>
          <w:r>
            <w:rPr>
              <w:rFonts w:ascii="Calibri" w:eastAsia="Calibri"/>
            </w:rPr>
            <w:fldChar w:fldCharType="end"/>
          </w:r>
        </w:p>
        <w:p w14:paraId="39AAC76F">
          <w:pPr>
            <w:pStyle w:val="7"/>
            <w:tabs>
              <w:tab w:val="right" w:leader="dot" w:pos="9022"/>
            </w:tabs>
            <w:spacing w:before="143"/>
            <w:rPr>
              <w:rFonts w:ascii="Calibri" w:eastAsia="Calibri"/>
            </w:rPr>
          </w:pPr>
          <w:r>
            <w:fldChar w:fldCharType="begin"/>
          </w:r>
          <w:r>
            <w:instrText xml:space="preserve"> HYPERLINK \l "_bookmark43" </w:instrText>
          </w:r>
          <w:r>
            <w:fldChar w:fldCharType="separate"/>
          </w:r>
          <w:r>
            <w:rPr>
              <w:rFonts w:ascii="Calibri" w:eastAsia="Calibri"/>
              <w:spacing w:val="-4"/>
            </w:rPr>
            <w:t>1</w:t>
          </w:r>
          <w:r>
            <w:t>、</w:t>
          </w:r>
          <w:r>
            <w:rPr>
              <w:spacing w:val="-3"/>
            </w:rPr>
            <w:t>辐</w:t>
          </w:r>
          <w:r>
            <w:t>射环</w:t>
          </w:r>
          <w:r>
            <w:rPr>
              <w:spacing w:val="-3"/>
            </w:rPr>
            <w:t>境</w:t>
          </w:r>
          <w:r>
            <w:t>保护</w:t>
          </w:r>
          <w:r>
            <w:rPr>
              <w:spacing w:val="-3"/>
            </w:rPr>
            <w:t>目</w:t>
          </w:r>
          <w:r>
            <w:t>标</w:t>
          </w:r>
          <w:r>
            <w:tab/>
          </w:r>
          <w:r>
            <w:rPr>
              <w:rFonts w:ascii="Calibri" w:eastAsia="Calibri"/>
            </w:rPr>
            <w:t>48</w:t>
          </w:r>
          <w:r>
            <w:rPr>
              <w:rFonts w:ascii="Calibri" w:eastAsia="Calibri"/>
            </w:rPr>
            <w:fldChar w:fldCharType="end"/>
          </w:r>
        </w:p>
        <w:p w14:paraId="6BCA1B53">
          <w:pPr>
            <w:pStyle w:val="7"/>
            <w:tabs>
              <w:tab w:val="right" w:leader="dot" w:pos="9022"/>
            </w:tabs>
            <w:spacing w:before="266"/>
            <w:rPr>
              <w:rFonts w:ascii="Calibri" w:eastAsia="Calibri"/>
            </w:rPr>
          </w:pPr>
          <w:r>
            <w:fldChar w:fldCharType="begin"/>
          </w:r>
          <w:r>
            <w:instrText xml:space="preserve"> HYPERLINK \l "_bookmark44" </w:instrText>
          </w:r>
          <w:r>
            <w:fldChar w:fldCharType="separate"/>
          </w:r>
          <w:r>
            <w:t>3、</w:t>
          </w:r>
          <w:r>
            <w:rPr>
              <w:spacing w:val="-1"/>
            </w:rPr>
            <w:t xml:space="preserve"> </w:t>
          </w:r>
          <w:r>
            <w:rPr>
              <w:rFonts w:ascii="Calibri" w:eastAsia="Calibri"/>
            </w:rPr>
            <w:t>2</w:t>
          </w:r>
          <w:r>
            <w:t>、</w:t>
          </w:r>
          <w:r>
            <w:rPr>
              <w:spacing w:val="-3"/>
            </w:rPr>
            <w:t>辐</w:t>
          </w:r>
          <w:r>
            <w:t>射环</w:t>
          </w:r>
          <w:r>
            <w:rPr>
              <w:spacing w:val="-3"/>
            </w:rPr>
            <w:t>境</w:t>
          </w:r>
          <w:r>
            <w:t>保护</w:t>
          </w:r>
          <w:r>
            <w:rPr>
              <w:spacing w:val="-3"/>
            </w:rPr>
            <w:t>主</w:t>
          </w:r>
          <w:r>
            <w:t>要任</w:t>
          </w:r>
          <w:r>
            <w:rPr>
              <w:spacing w:val="-3"/>
            </w:rPr>
            <w:t>务</w:t>
          </w:r>
          <w:r>
            <w:t>及措施</w:t>
          </w:r>
          <w:r>
            <w:tab/>
          </w:r>
          <w:r>
            <w:rPr>
              <w:rFonts w:ascii="Calibri" w:eastAsia="Calibri"/>
            </w:rPr>
            <w:t>48</w:t>
          </w:r>
          <w:r>
            <w:rPr>
              <w:rFonts w:ascii="Calibri" w:eastAsia="Calibri"/>
            </w:rPr>
            <w:fldChar w:fldCharType="end"/>
          </w:r>
        </w:p>
        <w:p w14:paraId="144D280A">
          <w:pPr>
            <w:pStyle w:val="11"/>
            <w:tabs>
              <w:tab w:val="right" w:leader="dot" w:pos="9022"/>
            </w:tabs>
            <w:rPr>
              <w:rFonts w:ascii="Calibri" w:eastAsia="Calibri"/>
            </w:rPr>
          </w:pPr>
          <w:r>
            <w:fldChar w:fldCharType="begin"/>
          </w:r>
          <w:r>
            <w:instrText xml:space="preserve"> HYPERLINK \l "_bookmark45" </w:instrText>
          </w:r>
          <w:r>
            <w:fldChar w:fldCharType="separate"/>
          </w:r>
          <w:r>
            <w:t>第</w:t>
          </w:r>
          <w:r>
            <w:rPr>
              <w:spacing w:val="-71"/>
            </w:rPr>
            <w:t xml:space="preserve"> </w:t>
          </w:r>
          <w:r>
            <w:rPr>
              <w:rFonts w:ascii="Calibri" w:eastAsia="Calibri"/>
            </w:rPr>
            <w:t>9</w:t>
          </w:r>
          <w:r>
            <w:rPr>
              <w:rFonts w:ascii="Calibri" w:eastAsia="Calibri"/>
              <w:spacing w:val="5"/>
            </w:rPr>
            <w:t xml:space="preserve"> </w:t>
          </w:r>
          <w:r>
            <w:t>节</w:t>
          </w:r>
          <w:r>
            <w:rPr>
              <w:spacing w:val="-1"/>
            </w:rPr>
            <w:t xml:space="preserve"> </w:t>
          </w:r>
          <w:r>
            <w:t>城</w:t>
          </w:r>
          <w:r>
            <w:rPr>
              <w:spacing w:val="-3"/>
            </w:rPr>
            <w:t>区</w:t>
          </w:r>
          <w:r>
            <w:t>环境</w:t>
          </w:r>
          <w:r>
            <w:rPr>
              <w:spacing w:val="-3"/>
            </w:rPr>
            <w:t>建</w:t>
          </w:r>
          <w:r>
            <w:t>设</w:t>
          </w:r>
          <w:r>
            <w:tab/>
          </w:r>
          <w:r>
            <w:rPr>
              <w:rFonts w:ascii="Calibri" w:eastAsia="Calibri"/>
            </w:rPr>
            <w:t>48</w:t>
          </w:r>
          <w:r>
            <w:rPr>
              <w:rFonts w:ascii="Calibri" w:eastAsia="Calibri"/>
            </w:rPr>
            <w:fldChar w:fldCharType="end"/>
          </w:r>
        </w:p>
        <w:p w14:paraId="073A0429">
          <w:pPr>
            <w:pStyle w:val="7"/>
            <w:tabs>
              <w:tab w:val="right" w:leader="dot" w:pos="9022"/>
            </w:tabs>
            <w:rPr>
              <w:rFonts w:ascii="Calibri" w:eastAsia="Calibri"/>
            </w:rPr>
          </w:pPr>
          <w:r>
            <w:fldChar w:fldCharType="begin"/>
          </w:r>
          <w:r>
            <w:instrText xml:space="preserve"> HYPERLINK \l "_bookmark46" </w:instrText>
          </w:r>
          <w:r>
            <w:fldChar w:fldCharType="separate"/>
          </w:r>
          <w:r>
            <w:rPr>
              <w:rFonts w:ascii="Calibri" w:eastAsia="Calibri"/>
              <w:spacing w:val="-4"/>
            </w:rPr>
            <w:t>1</w:t>
          </w:r>
          <w:r>
            <w:t>、</w:t>
          </w:r>
          <w:r>
            <w:rPr>
              <w:spacing w:val="-3"/>
            </w:rPr>
            <w:t>城</w:t>
          </w:r>
          <w:r>
            <w:t>区环</w:t>
          </w:r>
          <w:r>
            <w:rPr>
              <w:spacing w:val="-3"/>
            </w:rPr>
            <w:t>境</w:t>
          </w:r>
          <w:r>
            <w:t>建设</w:t>
          </w:r>
          <w:r>
            <w:rPr>
              <w:spacing w:val="-3"/>
            </w:rPr>
            <w:t>目</w:t>
          </w:r>
          <w:r>
            <w:t>标</w:t>
          </w:r>
          <w:r>
            <w:tab/>
          </w:r>
          <w:r>
            <w:rPr>
              <w:rFonts w:ascii="Calibri" w:eastAsia="Calibri"/>
            </w:rPr>
            <w:t>48</w:t>
          </w:r>
          <w:r>
            <w:rPr>
              <w:rFonts w:ascii="Calibri" w:eastAsia="Calibri"/>
            </w:rPr>
            <w:fldChar w:fldCharType="end"/>
          </w:r>
        </w:p>
        <w:p w14:paraId="23994455">
          <w:pPr>
            <w:pStyle w:val="7"/>
            <w:tabs>
              <w:tab w:val="right" w:leader="dot" w:pos="9022"/>
            </w:tabs>
            <w:spacing w:before="266"/>
            <w:rPr>
              <w:rFonts w:ascii="Calibri" w:eastAsia="Calibri"/>
            </w:rPr>
          </w:pPr>
          <w:r>
            <w:fldChar w:fldCharType="begin"/>
          </w:r>
          <w:r>
            <w:instrText xml:space="preserve"> HYPERLINK \l "_bookmark47" </w:instrText>
          </w:r>
          <w:r>
            <w:fldChar w:fldCharType="separate"/>
          </w:r>
          <w:r>
            <w:rPr>
              <w:rFonts w:ascii="Calibri" w:eastAsia="Calibri"/>
              <w:spacing w:val="-4"/>
            </w:rPr>
            <w:t>2</w:t>
          </w:r>
          <w:r>
            <w:t>、</w:t>
          </w:r>
          <w:r>
            <w:rPr>
              <w:spacing w:val="-3"/>
            </w:rPr>
            <w:t>城</w:t>
          </w:r>
          <w:r>
            <w:t>区环</w:t>
          </w:r>
          <w:r>
            <w:rPr>
              <w:spacing w:val="-3"/>
            </w:rPr>
            <w:t>境</w:t>
          </w:r>
          <w:r>
            <w:t>建设主</w:t>
          </w:r>
          <w:r>
            <w:rPr>
              <w:spacing w:val="-3"/>
            </w:rPr>
            <w:t>要</w:t>
          </w:r>
          <w:r>
            <w:t>任务</w:t>
          </w:r>
          <w:r>
            <w:rPr>
              <w:spacing w:val="-3"/>
            </w:rPr>
            <w:t>及</w:t>
          </w:r>
          <w:r>
            <w:t>措施</w:t>
          </w:r>
          <w:r>
            <w:tab/>
          </w:r>
          <w:r>
            <w:rPr>
              <w:rFonts w:ascii="Calibri" w:eastAsia="Calibri"/>
            </w:rPr>
            <w:t>48</w:t>
          </w:r>
          <w:r>
            <w:rPr>
              <w:rFonts w:ascii="Calibri" w:eastAsia="Calibri"/>
            </w:rPr>
            <w:fldChar w:fldCharType="end"/>
          </w:r>
        </w:p>
        <w:p w14:paraId="3C2B7D9B">
          <w:pPr>
            <w:pStyle w:val="7"/>
            <w:tabs>
              <w:tab w:val="right" w:leader="dot" w:pos="9022"/>
            </w:tabs>
            <w:rPr>
              <w:rFonts w:ascii="Calibri" w:eastAsia="Calibri"/>
            </w:rPr>
          </w:pPr>
          <w:r>
            <w:fldChar w:fldCharType="begin"/>
          </w:r>
          <w:r>
            <w:instrText xml:space="preserve"> HYPERLINK \l "_bookmark48" </w:instrText>
          </w:r>
          <w:r>
            <w:fldChar w:fldCharType="separate"/>
          </w:r>
          <w:r>
            <w:rPr>
              <w:rFonts w:ascii="Calibri" w:eastAsia="Calibri"/>
              <w:spacing w:val="-4"/>
            </w:rPr>
            <w:t>3</w:t>
          </w:r>
          <w:r>
            <w:t>、</w:t>
          </w:r>
          <w:r>
            <w:rPr>
              <w:spacing w:val="-3"/>
            </w:rPr>
            <w:t>优</w:t>
          </w:r>
          <w:r>
            <w:t>化园</w:t>
          </w:r>
          <w:r>
            <w:rPr>
              <w:spacing w:val="-3"/>
            </w:rPr>
            <w:t>区</w:t>
          </w:r>
          <w:r>
            <w:t>布置</w:t>
          </w:r>
          <w:r>
            <w:rPr>
              <w:spacing w:val="-3"/>
            </w:rPr>
            <w:t>、</w:t>
          </w:r>
          <w:r>
            <w:t>优先</w:t>
          </w:r>
          <w:r>
            <w:rPr>
              <w:spacing w:val="-3"/>
            </w:rPr>
            <w:t>发</w:t>
          </w:r>
          <w:r>
            <w:t>展绿</w:t>
          </w:r>
          <w:r>
            <w:rPr>
              <w:spacing w:val="-3"/>
            </w:rPr>
            <w:t>色</w:t>
          </w:r>
          <w:r>
            <w:t>高质</w:t>
          </w:r>
          <w:r>
            <w:rPr>
              <w:spacing w:val="-3"/>
            </w:rPr>
            <w:t>量</w:t>
          </w:r>
          <w:r>
            <w:t>经济</w:t>
          </w:r>
          <w:r>
            <w:tab/>
          </w:r>
          <w:r>
            <w:rPr>
              <w:rFonts w:ascii="Calibri" w:eastAsia="Calibri"/>
            </w:rPr>
            <w:t>50</w:t>
          </w:r>
          <w:r>
            <w:rPr>
              <w:rFonts w:ascii="Calibri" w:eastAsia="Calibri"/>
            </w:rPr>
            <w:fldChar w:fldCharType="end"/>
          </w:r>
        </w:p>
        <w:p w14:paraId="2AC50E99">
          <w:pPr>
            <w:pStyle w:val="11"/>
            <w:tabs>
              <w:tab w:val="right" w:leader="dot" w:pos="9022"/>
            </w:tabs>
            <w:rPr>
              <w:rFonts w:ascii="Calibri" w:eastAsia="Calibri"/>
            </w:rPr>
          </w:pPr>
          <w:r>
            <w:fldChar w:fldCharType="begin"/>
          </w:r>
          <w:r>
            <w:instrText xml:space="preserve"> HYPERLINK \l "_bookmark49" </w:instrText>
          </w:r>
          <w:r>
            <w:fldChar w:fldCharType="separate"/>
          </w:r>
          <w:r>
            <w:t>第</w:t>
          </w:r>
          <w:r>
            <w:rPr>
              <w:spacing w:val="-71"/>
            </w:rPr>
            <w:t xml:space="preserve"> </w:t>
          </w:r>
          <w:r>
            <w:rPr>
              <w:rFonts w:ascii="Calibri" w:eastAsia="Calibri"/>
            </w:rPr>
            <w:t>10</w:t>
          </w:r>
          <w:r>
            <w:rPr>
              <w:rFonts w:ascii="Calibri" w:eastAsia="Calibri"/>
              <w:spacing w:val="5"/>
            </w:rPr>
            <w:t xml:space="preserve"> </w:t>
          </w:r>
          <w:r>
            <w:t>节</w:t>
          </w:r>
          <w:r>
            <w:rPr>
              <w:spacing w:val="-1"/>
            </w:rPr>
            <w:t xml:space="preserve"> </w:t>
          </w:r>
          <w:r>
            <w:t>加</w:t>
          </w:r>
          <w:r>
            <w:rPr>
              <w:spacing w:val="-3"/>
            </w:rPr>
            <w:t>强</w:t>
          </w:r>
          <w:r>
            <w:t>农村</w:t>
          </w:r>
          <w:r>
            <w:rPr>
              <w:spacing w:val="-3"/>
            </w:rPr>
            <w:t>环</w:t>
          </w:r>
          <w:r>
            <w:t>境保</w:t>
          </w:r>
          <w:r>
            <w:rPr>
              <w:spacing w:val="-3"/>
            </w:rPr>
            <w:t>护</w:t>
          </w:r>
          <w:r>
            <w:t>与建设</w:t>
          </w:r>
          <w:r>
            <w:tab/>
          </w:r>
          <w:r>
            <w:rPr>
              <w:rFonts w:ascii="Calibri" w:eastAsia="Calibri"/>
            </w:rPr>
            <w:t>51</w:t>
          </w:r>
          <w:r>
            <w:rPr>
              <w:rFonts w:ascii="Calibri" w:eastAsia="Calibri"/>
            </w:rPr>
            <w:fldChar w:fldCharType="end"/>
          </w:r>
        </w:p>
        <w:p w14:paraId="0FEA1DED">
          <w:pPr>
            <w:pStyle w:val="7"/>
            <w:tabs>
              <w:tab w:val="right" w:leader="dot" w:pos="9022"/>
            </w:tabs>
            <w:rPr>
              <w:rFonts w:ascii="Calibri" w:eastAsia="Calibri"/>
            </w:rPr>
          </w:pPr>
          <w:r>
            <w:fldChar w:fldCharType="begin"/>
          </w:r>
          <w:r>
            <w:instrText xml:space="preserve"> HYPERLINK \l "_bookmark50" </w:instrText>
          </w:r>
          <w:r>
            <w:fldChar w:fldCharType="separate"/>
          </w:r>
          <w:r>
            <w:rPr>
              <w:rFonts w:ascii="Calibri" w:eastAsia="Calibri"/>
              <w:spacing w:val="-4"/>
            </w:rPr>
            <w:t>1</w:t>
          </w:r>
          <w:r>
            <w:t>、</w:t>
          </w:r>
          <w:r>
            <w:rPr>
              <w:spacing w:val="-3"/>
            </w:rPr>
            <w:t>加</w:t>
          </w:r>
          <w:r>
            <w:t>强农</w:t>
          </w:r>
          <w:r>
            <w:rPr>
              <w:spacing w:val="-3"/>
            </w:rPr>
            <w:t>村</w:t>
          </w:r>
          <w:r>
            <w:t>饮用</w:t>
          </w:r>
          <w:r>
            <w:rPr>
              <w:spacing w:val="-3"/>
            </w:rPr>
            <w:t>水</w:t>
          </w:r>
          <w:r>
            <w:t>源保护</w:t>
          </w:r>
          <w:r>
            <w:tab/>
          </w:r>
          <w:r>
            <w:rPr>
              <w:rFonts w:ascii="Calibri" w:eastAsia="Calibri"/>
            </w:rPr>
            <w:t>51</w:t>
          </w:r>
          <w:r>
            <w:rPr>
              <w:rFonts w:ascii="Calibri" w:eastAsia="Calibri"/>
            </w:rPr>
            <w:fldChar w:fldCharType="end"/>
          </w:r>
        </w:p>
        <w:p w14:paraId="32A5BC59">
          <w:pPr>
            <w:pStyle w:val="7"/>
            <w:tabs>
              <w:tab w:val="right" w:leader="dot" w:pos="9022"/>
            </w:tabs>
            <w:spacing w:before="266"/>
            <w:rPr>
              <w:rFonts w:ascii="Calibri" w:eastAsia="Calibri"/>
            </w:rPr>
          </w:pPr>
          <w:r>
            <w:fldChar w:fldCharType="begin"/>
          </w:r>
          <w:r>
            <w:instrText xml:space="preserve"> HYPERLINK \l "_bookmark51" </w:instrText>
          </w:r>
          <w:r>
            <w:fldChar w:fldCharType="separate"/>
          </w:r>
          <w:r>
            <w:rPr>
              <w:rFonts w:ascii="Calibri" w:eastAsia="Calibri"/>
              <w:spacing w:val="-4"/>
            </w:rPr>
            <w:t>2</w:t>
          </w:r>
          <w:r>
            <w:t>、</w:t>
          </w:r>
          <w:r>
            <w:rPr>
              <w:spacing w:val="-3"/>
            </w:rPr>
            <w:t>加</w:t>
          </w:r>
          <w:r>
            <w:t>大农</w:t>
          </w:r>
          <w:r>
            <w:rPr>
              <w:spacing w:val="-3"/>
            </w:rPr>
            <w:t>村</w:t>
          </w:r>
          <w:r>
            <w:t>污水</w:t>
          </w:r>
          <w:r>
            <w:rPr>
              <w:spacing w:val="-3"/>
            </w:rPr>
            <w:t>治</w:t>
          </w:r>
          <w:r>
            <w:t>理主</w:t>
          </w:r>
          <w:r>
            <w:rPr>
              <w:spacing w:val="-3"/>
            </w:rPr>
            <w:t>要</w:t>
          </w:r>
          <w:r>
            <w:t>任务</w:t>
          </w:r>
          <w:r>
            <w:rPr>
              <w:spacing w:val="-3"/>
            </w:rPr>
            <w:t>及</w:t>
          </w:r>
          <w:r>
            <w:t>措施</w:t>
          </w:r>
          <w:r>
            <w:tab/>
          </w:r>
          <w:r>
            <w:rPr>
              <w:rFonts w:ascii="Calibri" w:eastAsia="Calibri"/>
            </w:rPr>
            <w:t>51</w:t>
          </w:r>
          <w:r>
            <w:rPr>
              <w:rFonts w:ascii="Calibri" w:eastAsia="Calibri"/>
            </w:rPr>
            <w:fldChar w:fldCharType="end"/>
          </w:r>
        </w:p>
        <w:p w14:paraId="4BCD9233">
          <w:pPr>
            <w:pStyle w:val="7"/>
            <w:tabs>
              <w:tab w:val="right" w:leader="dot" w:pos="9022"/>
            </w:tabs>
            <w:rPr>
              <w:rFonts w:ascii="Calibri" w:eastAsia="Calibri"/>
            </w:rPr>
          </w:pPr>
          <w:r>
            <w:fldChar w:fldCharType="begin"/>
          </w:r>
          <w:r>
            <w:instrText xml:space="preserve"> HYPERLINK \l "_bookmark52" </w:instrText>
          </w:r>
          <w:r>
            <w:fldChar w:fldCharType="separate"/>
          </w:r>
          <w:r>
            <w:rPr>
              <w:rFonts w:ascii="Calibri" w:eastAsia="Calibri"/>
              <w:spacing w:val="-4"/>
            </w:rPr>
            <w:t>3</w:t>
          </w:r>
          <w:r>
            <w:t>、</w:t>
          </w:r>
          <w:r>
            <w:rPr>
              <w:spacing w:val="-3"/>
            </w:rPr>
            <w:t>加</w:t>
          </w:r>
          <w:r>
            <w:t>强畜</w:t>
          </w:r>
          <w:r>
            <w:rPr>
              <w:spacing w:val="-3"/>
            </w:rPr>
            <w:t>禽</w:t>
          </w:r>
          <w:r>
            <w:t>水产</w:t>
          </w:r>
          <w:r>
            <w:rPr>
              <w:spacing w:val="-3"/>
            </w:rPr>
            <w:t>养</w:t>
          </w:r>
          <w:r>
            <w:t>殖污</w:t>
          </w:r>
          <w:r>
            <w:rPr>
              <w:spacing w:val="-3"/>
            </w:rPr>
            <w:t>染</w:t>
          </w:r>
          <w:r>
            <w:t>防治</w:t>
          </w:r>
          <w:r>
            <w:tab/>
          </w:r>
          <w:r>
            <w:rPr>
              <w:rFonts w:ascii="Calibri" w:eastAsia="Calibri"/>
            </w:rPr>
            <w:t>52</w:t>
          </w:r>
          <w:r>
            <w:rPr>
              <w:rFonts w:ascii="Calibri" w:eastAsia="Calibri"/>
            </w:rPr>
            <w:fldChar w:fldCharType="end"/>
          </w:r>
        </w:p>
        <w:p w14:paraId="7D4B4FB4">
          <w:pPr>
            <w:pStyle w:val="7"/>
            <w:tabs>
              <w:tab w:val="right" w:leader="dot" w:pos="9022"/>
            </w:tabs>
            <w:rPr>
              <w:rFonts w:ascii="Calibri" w:eastAsia="Calibri"/>
            </w:rPr>
          </w:pPr>
          <w:r>
            <w:fldChar w:fldCharType="begin"/>
          </w:r>
          <w:r>
            <w:instrText xml:space="preserve"> HYPERLINK \l "_bookmark53" </w:instrText>
          </w:r>
          <w:r>
            <w:fldChar w:fldCharType="separate"/>
          </w:r>
          <w:r>
            <w:rPr>
              <w:rFonts w:ascii="Calibri" w:eastAsia="Calibri"/>
              <w:spacing w:val="-4"/>
            </w:rPr>
            <w:t>4</w:t>
          </w:r>
          <w:r>
            <w:t>、</w:t>
          </w:r>
          <w:r>
            <w:rPr>
              <w:spacing w:val="-3"/>
            </w:rPr>
            <w:t>控</w:t>
          </w:r>
          <w:r>
            <w:t>制农</w:t>
          </w:r>
          <w:r>
            <w:rPr>
              <w:spacing w:val="-3"/>
            </w:rPr>
            <w:t>业</w:t>
          </w:r>
          <w:r>
            <w:t>面源</w:t>
          </w:r>
          <w:r>
            <w:rPr>
              <w:spacing w:val="-3"/>
            </w:rPr>
            <w:t>污</w:t>
          </w:r>
          <w:r>
            <w:t>染</w:t>
          </w:r>
          <w:r>
            <w:tab/>
          </w:r>
          <w:r>
            <w:rPr>
              <w:rFonts w:ascii="Calibri" w:eastAsia="Calibri"/>
            </w:rPr>
            <w:t>52</w:t>
          </w:r>
          <w:r>
            <w:rPr>
              <w:rFonts w:ascii="Calibri" w:eastAsia="Calibri"/>
            </w:rPr>
            <w:fldChar w:fldCharType="end"/>
          </w:r>
        </w:p>
        <w:p w14:paraId="6C74E6FD">
          <w:pPr>
            <w:pStyle w:val="7"/>
            <w:tabs>
              <w:tab w:val="right" w:leader="dot" w:pos="9022"/>
            </w:tabs>
            <w:rPr>
              <w:rFonts w:ascii="Calibri" w:eastAsia="Calibri"/>
            </w:rPr>
          </w:pPr>
          <w:r>
            <w:fldChar w:fldCharType="begin"/>
          </w:r>
          <w:r>
            <w:instrText xml:space="preserve"> HYPERLINK \l "_bookmark54" </w:instrText>
          </w:r>
          <w:r>
            <w:fldChar w:fldCharType="separate"/>
          </w:r>
          <w:r>
            <w:rPr>
              <w:rFonts w:ascii="Calibri" w:eastAsia="Calibri"/>
              <w:spacing w:val="-4"/>
            </w:rPr>
            <w:t>5</w:t>
          </w:r>
          <w:r>
            <w:t>、</w:t>
          </w:r>
          <w:r>
            <w:rPr>
              <w:spacing w:val="-3"/>
            </w:rPr>
            <w:t>加</w:t>
          </w:r>
          <w:r>
            <w:t>强农</w:t>
          </w:r>
          <w:r>
            <w:rPr>
              <w:spacing w:val="-3"/>
            </w:rPr>
            <w:t>村</w:t>
          </w:r>
          <w:r>
            <w:t>自然</w:t>
          </w:r>
          <w:r>
            <w:rPr>
              <w:spacing w:val="-3"/>
            </w:rPr>
            <w:t>生</w:t>
          </w:r>
          <w:r>
            <w:t>态保护</w:t>
          </w:r>
          <w:r>
            <w:tab/>
          </w:r>
          <w:r>
            <w:rPr>
              <w:rFonts w:ascii="Calibri" w:eastAsia="Calibri"/>
            </w:rPr>
            <w:t>54</w:t>
          </w:r>
          <w:r>
            <w:rPr>
              <w:rFonts w:ascii="Calibri" w:eastAsia="Calibri"/>
            </w:rPr>
            <w:fldChar w:fldCharType="end"/>
          </w:r>
        </w:p>
        <w:p w14:paraId="3F1F56B8">
          <w:pPr>
            <w:pStyle w:val="7"/>
            <w:tabs>
              <w:tab w:val="right" w:leader="dot" w:pos="9022"/>
            </w:tabs>
            <w:spacing w:before="266"/>
            <w:rPr>
              <w:rFonts w:ascii="Calibri" w:eastAsia="Calibri"/>
            </w:rPr>
          </w:pPr>
          <w:r>
            <w:fldChar w:fldCharType="begin"/>
          </w:r>
          <w:r>
            <w:instrText xml:space="preserve"> HYPERLINK \l "_bookmark55" </w:instrText>
          </w:r>
          <w:r>
            <w:fldChar w:fldCharType="separate"/>
          </w:r>
          <w:r>
            <w:rPr>
              <w:rFonts w:ascii="Calibri" w:eastAsia="Calibri"/>
              <w:spacing w:val="-4"/>
            </w:rPr>
            <w:t>6</w:t>
          </w:r>
          <w:r>
            <w:t>、</w:t>
          </w:r>
          <w:r>
            <w:rPr>
              <w:spacing w:val="-3"/>
            </w:rPr>
            <w:t>加</w:t>
          </w:r>
          <w:r>
            <w:t>强农</w:t>
          </w:r>
          <w:r>
            <w:rPr>
              <w:spacing w:val="-3"/>
            </w:rPr>
            <w:t>村</w:t>
          </w:r>
          <w:r>
            <w:t>环境</w:t>
          </w:r>
          <w:r>
            <w:rPr>
              <w:spacing w:val="-3"/>
            </w:rPr>
            <w:t>监</w:t>
          </w:r>
          <w:r>
            <w:t>测和</w:t>
          </w:r>
          <w:r>
            <w:rPr>
              <w:spacing w:val="-3"/>
            </w:rPr>
            <w:t>监</w:t>
          </w:r>
          <w:r>
            <w:t>管</w:t>
          </w:r>
          <w:r>
            <w:tab/>
          </w:r>
          <w:r>
            <w:rPr>
              <w:rFonts w:ascii="Calibri" w:eastAsia="Calibri"/>
            </w:rPr>
            <w:t>54</w:t>
          </w:r>
          <w:r>
            <w:rPr>
              <w:rFonts w:ascii="Calibri" w:eastAsia="Calibri"/>
            </w:rPr>
            <w:fldChar w:fldCharType="end"/>
          </w:r>
        </w:p>
        <w:p w14:paraId="58B3111D">
          <w:pPr>
            <w:pStyle w:val="7"/>
            <w:tabs>
              <w:tab w:val="right" w:leader="dot" w:pos="9022"/>
            </w:tabs>
            <w:rPr>
              <w:rFonts w:ascii="Calibri" w:eastAsia="Calibri"/>
            </w:rPr>
          </w:pPr>
          <w:r>
            <w:fldChar w:fldCharType="begin"/>
          </w:r>
          <w:r>
            <w:instrText xml:space="preserve"> HYPERLINK \l "_bookmark56" </w:instrText>
          </w:r>
          <w:r>
            <w:fldChar w:fldCharType="separate"/>
          </w:r>
          <w:r>
            <w:rPr>
              <w:rFonts w:ascii="Calibri" w:eastAsia="Calibri"/>
              <w:spacing w:val="-4"/>
            </w:rPr>
            <w:t>7</w:t>
          </w:r>
          <w:r>
            <w:t>、</w:t>
          </w:r>
          <w:r>
            <w:rPr>
              <w:spacing w:val="-3"/>
            </w:rPr>
            <w:t>加</w:t>
          </w:r>
          <w:r>
            <w:t>大宣</w:t>
          </w:r>
          <w:r>
            <w:rPr>
              <w:spacing w:val="-3"/>
            </w:rPr>
            <w:t>传</w:t>
          </w:r>
          <w:r>
            <w:t>力度</w:t>
          </w:r>
          <w:r>
            <w:rPr>
              <w:spacing w:val="-1"/>
            </w:rPr>
            <w:t xml:space="preserve"> </w:t>
          </w:r>
          <w:r>
            <w:t>鼓</w:t>
          </w:r>
          <w:r>
            <w:rPr>
              <w:spacing w:val="-3"/>
            </w:rPr>
            <w:t>励</w:t>
          </w:r>
          <w:r>
            <w:t>公众</w:t>
          </w:r>
          <w:r>
            <w:rPr>
              <w:spacing w:val="-3"/>
            </w:rPr>
            <w:t>参</w:t>
          </w:r>
          <w:r>
            <w:t>与</w:t>
          </w:r>
          <w:r>
            <w:tab/>
          </w:r>
          <w:r>
            <w:rPr>
              <w:rFonts w:ascii="Calibri" w:eastAsia="Calibri"/>
            </w:rPr>
            <w:t>55</w:t>
          </w:r>
          <w:r>
            <w:rPr>
              <w:rFonts w:ascii="Calibri" w:eastAsia="Calibri"/>
            </w:rPr>
            <w:fldChar w:fldCharType="end"/>
          </w:r>
        </w:p>
        <w:p w14:paraId="7BFC5C4B">
          <w:pPr>
            <w:pStyle w:val="11"/>
            <w:tabs>
              <w:tab w:val="left" w:pos="2543"/>
              <w:tab w:val="right" w:leader="dot" w:pos="9022"/>
            </w:tabs>
            <w:rPr>
              <w:rFonts w:ascii="Calibri" w:eastAsia="Calibri"/>
            </w:rPr>
          </w:pPr>
          <w:r>
            <w:fldChar w:fldCharType="begin"/>
          </w:r>
          <w:r>
            <w:instrText xml:space="preserve"> HYPERLINK \l "_bookmark57" </w:instrText>
          </w:r>
          <w:r>
            <w:fldChar w:fldCharType="separate"/>
          </w:r>
          <w:r>
            <w:t>第</w:t>
          </w:r>
          <w:r>
            <w:rPr>
              <w:spacing w:val="-71"/>
            </w:rPr>
            <w:t xml:space="preserve"> </w:t>
          </w:r>
          <w:r>
            <w:rPr>
              <w:rFonts w:ascii="Calibri" w:eastAsia="Calibri"/>
            </w:rPr>
            <w:t>11</w:t>
          </w:r>
          <w:r>
            <w:rPr>
              <w:rFonts w:ascii="Calibri" w:eastAsia="Calibri"/>
              <w:spacing w:val="5"/>
            </w:rPr>
            <w:t xml:space="preserve"> </w:t>
          </w:r>
          <w:r>
            <w:t>节</w:t>
          </w:r>
          <w:r>
            <w:tab/>
          </w:r>
          <w:r>
            <w:t>环</w:t>
          </w:r>
          <w:r>
            <w:rPr>
              <w:spacing w:val="-3"/>
            </w:rPr>
            <w:t>境</w:t>
          </w:r>
          <w:r>
            <w:t>风险</w:t>
          </w:r>
          <w:r>
            <w:rPr>
              <w:spacing w:val="-3"/>
            </w:rPr>
            <w:t>防</w:t>
          </w:r>
          <w:r>
            <w:t>范规划</w:t>
          </w:r>
          <w:r>
            <w:tab/>
          </w:r>
          <w:r>
            <w:rPr>
              <w:rFonts w:ascii="Calibri" w:eastAsia="Calibri"/>
            </w:rPr>
            <w:t>55</w:t>
          </w:r>
          <w:r>
            <w:rPr>
              <w:rFonts w:ascii="Calibri" w:eastAsia="Calibri"/>
            </w:rPr>
            <w:fldChar w:fldCharType="end"/>
          </w:r>
        </w:p>
        <w:p w14:paraId="11BD5BE9">
          <w:pPr>
            <w:pStyle w:val="7"/>
            <w:tabs>
              <w:tab w:val="right" w:leader="dot" w:pos="9022"/>
            </w:tabs>
            <w:rPr>
              <w:rFonts w:ascii="Calibri" w:eastAsia="Calibri"/>
            </w:rPr>
          </w:pPr>
          <w:r>
            <w:fldChar w:fldCharType="begin"/>
          </w:r>
          <w:r>
            <w:instrText xml:space="preserve"> HYPERLINK \l "_bookmark58" </w:instrText>
          </w:r>
          <w:r>
            <w:fldChar w:fldCharType="separate"/>
          </w:r>
          <w:r>
            <w:rPr>
              <w:rFonts w:ascii="Calibri" w:eastAsia="Calibri"/>
              <w:spacing w:val="-4"/>
            </w:rPr>
            <w:t>1</w:t>
          </w:r>
          <w:r>
            <w:t>、</w:t>
          </w:r>
          <w:r>
            <w:rPr>
              <w:spacing w:val="-3"/>
            </w:rPr>
            <w:t>环</w:t>
          </w:r>
          <w:r>
            <w:t>境风</w:t>
          </w:r>
          <w:r>
            <w:rPr>
              <w:spacing w:val="-3"/>
            </w:rPr>
            <w:t>险</w:t>
          </w:r>
          <w:r>
            <w:t>防范</w:t>
          </w:r>
          <w:r>
            <w:rPr>
              <w:spacing w:val="-3"/>
            </w:rPr>
            <w:t>目</w:t>
          </w:r>
          <w:r>
            <w:t>标</w:t>
          </w:r>
          <w:r>
            <w:tab/>
          </w:r>
          <w:r>
            <w:rPr>
              <w:rFonts w:ascii="Calibri" w:eastAsia="Calibri"/>
            </w:rPr>
            <w:t>55</w:t>
          </w:r>
          <w:r>
            <w:rPr>
              <w:rFonts w:ascii="Calibri" w:eastAsia="Calibri"/>
            </w:rPr>
            <w:fldChar w:fldCharType="end"/>
          </w:r>
        </w:p>
        <w:p w14:paraId="07BB01D7">
          <w:pPr>
            <w:pStyle w:val="7"/>
            <w:tabs>
              <w:tab w:val="right" w:leader="dot" w:pos="9022"/>
            </w:tabs>
            <w:spacing w:before="266"/>
            <w:rPr>
              <w:rFonts w:ascii="Calibri" w:eastAsia="Calibri"/>
            </w:rPr>
          </w:pPr>
          <w:r>
            <w:fldChar w:fldCharType="begin"/>
          </w:r>
          <w:r>
            <w:instrText xml:space="preserve"> HYPERLINK \l "_bookmark59" </w:instrText>
          </w:r>
          <w:r>
            <w:fldChar w:fldCharType="separate"/>
          </w:r>
          <w:r>
            <w:rPr>
              <w:rFonts w:ascii="Calibri" w:eastAsia="Calibri"/>
              <w:spacing w:val="-4"/>
            </w:rPr>
            <w:t>2</w:t>
          </w:r>
          <w:r>
            <w:t>、</w:t>
          </w:r>
          <w:r>
            <w:rPr>
              <w:spacing w:val="-3"/>
            </w:rPr>
            <w:t>严</w:t>
          </w:r>
          <w:r>
            <w:t>格项</w:t>
          </w:r>
          <w:r>
            <w:rPr>
              <w:spacing w:val="-3"/>
            </w:rPr>
            <w:t>目</w:t>
          </w:r>
          <w:r>
            <w:t>环保</w:t>
          </w:r>
          <w:r>
            <w:rPr>
              <w:spacing w:val="-3"/>
            </w:rPr>
            <w:t>审</w:t>
          </w:r>
          <w:r>
            <w:t>批</w:t>
          </w:r>
          <w:r>
            <w:tab/>
          </w:r>
          <w:r>
            <w:rPr>
              <w:rFonts w:ascii="Calibri" w:eastAsia="Calibri"/>
            </w:rPr>
            <w:t>56</w:t>
          </w:r>
          <w:r>
            <w:rPr>
              <w:rFonts w:ascii="Calibri" w:eastAsia="Calibri"/>
            </w:rPr>
            <w:fldChar w:fldCharType="end"/>
          </w:r>
        </w:p>
        <w:p w14:paraId="7E37DD14">
          <w:pPr>
            <w:pStyle w:val="7"/>
            <w:tabs>
              <w:tab w:val="right" w:leader="dot" w:pos="9022"/>
            </w:tabs>
            <w:rPr>
              <w:rFonts w:ascii="Calibri" w:eastAsia="Calibri"/>
            </w:rPr>
          </w:pPr>
          <w:r>
            <w:fldChar w:fldCharType="begin"/>
          </w:r>
          <w:r>
            <w:instrText xml:space="preserve"> HYPERLINK \l "_bookmark60" </w:instrText>
          </w:r>
          <w:r>
            <w:fldChar w:fldCharType="separate"/>
          </w:r>
          <w:r>
            <w:rPr>
              <w:rFonts w:ascii="Calibri" w:eastAsia="Calibri"/>
              <w:spacing w:val="-4"/>
            </w:rPr>
            <w:t>3</w:t>
          </w:r>
          <w:r>
            <w:t>、</w:t>
          </w:r>
          <w:r>
            <w:rPr>
              <w:spacing w:val="-3"/>
            </w:rPr>
            <w:t>健</w:t>
          </w:r>
          <w:r>
            <w:t>全环</w:t>
          </w:r>
          <w:r>
            <w:rPr>
              <w:spacing w:val="-3"/>
            </w:rPr>
            <w:t>境</w:t>
          </w:r>
          <w:r>
            <w:t>治理</w:t>
          </w:r>
          <w:r>
            <w:rPr>
              <w:spacing w:val="-3"/>
            </w:rPr>
            <w:t>监</w:t>
          </w:r>
          <w:r>
            <w:t>督体系</w:t>
          </w:r>
          <w:r>
            <w:tab/>
          </w:r>
          <w:r>
            <w:rPr>
              <w:rFonts w:ascii="Calibri" w:eastAsia="Calibri"/>
            </w:rPr>
            <w:t>57</w:t>
          </w:r>
          <w:r>
            <w:rPr>
              <w:rFonts w:ascii="Calibri" w:eastAsia="Calibri"/>
            </w:rPr>
            <w:fldChar w:fldCharType="end"/>
          </w:r>
        </w:p>
        <w:p w14:paraId="7BDF8589">
          <w:pPr>
            <w:pStyle w:val="7"/>
            <w:tabs>
              <w:tab w:val="right" w:leader="dot" w:pos="9022"/>
            </w:tabs>
            <w:rPr>
              <w:rFonts w:ascii="Calibri" w:eastAsia="Calibri"/>
            </w:rPr>
          </w:pPr>
          <w:r>
            <w:fldChar w:fldCharType="begin"/>
          </w:r>
          <w:r>
            <w:instrText xml:space="preserve"> HYPERLINK \l "_bookmark61" </w:instrText>
          </w:r>
          <w:r>
            <w:fldChar w:fldCharType="separate"/>
          </w:r>
          <w:r>
            <w:rPr>
              <w:rFonts w:ascii="Calibri" w:eastAsia="Calibri"/>
              <w:spacing w:val="-4"/>
            </w:rPr>
            <w:t>4</w:t>
          </w:r>
          <w:r>
            <w:t>、</w:t>
          </w:r>
          <w:r>
            <w:rPr>
              <w:spacing w:val="-3"/>
            </w:rPr>
            <w:t>健</w:t>
          </w:r>
          <w:r>
            <w:t>全环</w:t>
          </w:r>
          <w:r>
            <w:rPr>
              <w:spacing w:val="-3"/>
            </w:rPr>
            <w:t>境</w:t>
          </w:r>
          <w:r>
            <w:t>治理</w:t>
          </w:r>
          <w:r>
            <w:rPr>
              <w:spacing w:val="-3"/>
            </w:rPr>
            <w:t>市</w:t>
          </w:r>
          <w:r>
            <w:t>场体系</w:t>
          </w:r>
          <w:r>
            <w:tab/>
          </w:r>
          <w:r>
            <w:rPr>
              <w:rFonts w:ascii="Calibri" w:eastAsia="Calibri"/>
            </w:rPr>
            <w:t>57</w:t>
          </w:r>
          <w:r>
            <w:rPr>
              <w:rFonts w:ascii="Calibri" w:eastAsia="Calibri"/>
            </w:rPr>
            <w:fldChar w:fldCharType="end"/>
          </w:r>
        </w:p>
        <w:p w14:paraId="5F960418">
          <w:pPr>
            <w:pStyle w:val="7"/>
            <w:tabs>
              <w:tab w:val="right" w:leader="dot" w:pos="9022"/>
            </w:tabs>
            <w:rPr>
              <w:rFonts w:ascii="Calibri" w:eastAsia="Calibri"/>
            </w:rPr>
          </w:pPr>
          <w:r>
            <w:fldChar w:fldCharType="begin"/>
          </w:r>
          <w:r>
            <w:instrText xml:space="preserve"> HYPERLINK \l "_bookmark62" </w:instrText>
          </w:r>
          <w:r>
            <w:fldChar w:fldCharType="separate"/>
          </w:r>
          <w:r>
            <w:rPr>
              <w:rFonts w:ascii="Calibri" w:eastAsia="Calibri"/>
              <w:spacing w:val="-4"/>
            </w:rPr>
            <w:t>5</w:t>
          </w:r>
          <w:r>
            <w:t>、</w:t>
          </w:r>
          <w:r>
            <w:rPr>
              <w:spacing w:val="-3"/>
            </w:rPr>
            <w:t>健</w:t>
          </w:r>
          <w:r>
            <w:t>全环</w:t>
          </w:r>
          <w:r>
            <w:rPr>
              <w:spacing w:val="-3"/>
            </w:rPr>
            <w:t>境</w:t>
          </w:r>
          <w:r>
            <w:t>治理</w:t>
          </w:r>
          <w:r>
            <w:rPr>
              <w:spacing w:val="-3"/>
            </w:rPr>
            <w:t>信</w:t>
          </w:r>
          <w:r>
            <w:t>用体系</w:t>
          </w:r>
          <w:r>
            <w:tab/>
          </w:r>
          <w:r>
            <w:rPr>
              <w:rFonts w:ascii="Calibri" w:eastAsia="Calibri"/>
            </w:rPr>
            <w:t>58</w:t>
          </w:r>
          <w:r>
            <w:rPr>
              <w:rFonts w:ascii="Calibri" w:eastAsia="Calibri"/>
            </w:rPr>
            <w:fldChar w:fldCharType="end"/>
          </w:r>
        </w:p>
        <w:p w14:paraId="26327E75">
          <w:pPr>
            <w:pStyle w:val="7"/>
            <w:tabs>
              <w:tab w:val="right" w:leader="dot" w:pos="9022"/>
            </w:tabs>
            <w:spacing w:before="266"/>
            <w:rPr>
              <w:rFonts w:ascii="Calibri" w:eastAsia="Calibri"/>
            </w:rPr>
          </w:pPr>
          <w:r>
            <w:fldChar w:fldCharType="begin"/>
          </w:r>
          <w:r>
            <w:instrText xml:space="preserve"> HYPERLINK \l "_bookmark63" </w:instrText>
          </w:r>
          <w:r>
            <w:fldChar w:fldCharType="separate"/>
          </w:r>
          <w:r>
            <w:rPr>
              <w:rFonts w:ascii="Calibri" w:eastAsia="Calibri"/>
              <w:spacing w:val="-4"/>
            </w:rPr>
            <w:t>6</w:t>
          </w:r>
          <w:r>
            <w:t>、</w:t>
          </w:r>
          <w:r>
            <w:rPr>
              <w:spacing w:val="-3"/>
            </w:rPr>
            <w:t>健</w:t>
          </w:r>
          <w:r>
            <w:t>全环</w:t>
          </w:r>
          <w:r>
            <w:rPr>
              <w:spacing w:val="-3"/>
            </w:rPr>
            <w:t>境</w:t>
          </w:r>
          <w:r>
            <w:t>治理</w:t>
          </w:r>
          <w:r>
            <w:rPr>
              <w:spacing w:val="-3"/>
            </w:rPr>
            <w:t>法</w:t>
          </w:r>
          <w:r>
            <w:t>律法</w:t>
          </w:r>
          <w:r>
            <w:rPr>
              <w:spacing w:val="-3"/>
            </w:rPr>
            <w:t>规</w:t>
          </w:r>
          <w:r>
            <w:t>政策</w:t>
          </w:r>
          <w:r>
            <w:rPr>
              <w:spacing w:val="-3"/>
            </w:rPr>
            <w:t>体</w:t>
          </w:r>
          <w:r>
            <w:t>系</w:t>
          </w:r>
          <w:r>
            <w:tab/>
          </w:r>
          <w:r>
            <w:rPr>
              <w:rFonts w:ascii="Calibri" w:eastAsia="Calibri"/>
            </w:rPr>
            <w:t>59</w:t>
          </w:r>
          <w:r>
            <w:rPr>
              <w:rFonts w:ascii="Calibri" w:eastAsia="Calibri"/>
            </w:rPr>
            <w:fldChar w:fldCharType="end"/>
          </w:r>
        </w:p>
        <w:p w14:paraId="137492DE">
          <w:pPr>
            <w:pStyle w:val="7"/>
            <w:tabs>
              <w:tab w:val="right" w:leader="dot" w:pos="9022"/>
            </w:tabs>
            <w:spacing w:after="20"/>
            <w:rPr>
              <w:rFonts w:ascii="Calibri" w:eastAsia="Calibri"/>
            </w:rPr>
          </w:pPr>
          <w:r>
            <w:fldChar w:fldCharType="begin"/>
          </w:r>
          <w:r>
            <w:instrText xml:space="preserve"> HYPERLINK \l "_bookmark64" </w:instrText>
          </w:r>
          <w:r>
            <w:fldChar w:fldCharType="separate"/>
          </w:r>
          <w:r>
            <w:rPr>
              <w:rFonts w:ascii="Calibri" w:eastAsia="Calibri"/>
              <w:spacing w:val="-4"/>
            </w:rPr>
            <w:t>7</w:t>
          </w:r>
          <w:r>
            <w:t>、</w:t>
          </w:r>
          <w:r>
            <w:rPr>
              <w:spacing w:val="-3"/>
            </w:rPr>
            <w:t>健</w:t>
          </w:r>
          <w:r>
            <w:t>全环</w:t>
          </w:r>
          <w:r>
            <w:rPr>
              <w:spacing w:val="-3"/>
            </w:rPr>
            <w:t>境</w:t>
          </w:r>
          <w:r>
            <w:t>污染</w:t>
          </w:r>
          <w:r>
            <w:rPr>
              <w:spacing w:val="-3"/>
            </w:rPr>
            <w:t>防</w:t>
          </w:r>
          <w:r>
            <w:t>治财</w:t>
          </w:r>
          <w:r>
            <w:rPr>
              <w:spacing w:val="-3"/>
            </w:rPr>
            <w:t>政</w:t>
          </w:r>
          <w:r>
            <w:t>支出</w:t>
          </w:r>
          <w:r>
            <w:rPr>
              <w:spacing w:val="-3"/>
            </w:rPr>
            <w:t>责</w:t>
          </w:r>
          <w:r>
            <w:t>任制度</w:t>
          </w:r>
          <w:r>
            <w:tab/>
          </w:r>
          <w:r>
            <w:rPr>
              <w:rFonts w:ascii="Calibri" w:eastAsia="Calibri"/>
            </w:rPr>
            <w:t>59</w:t>
          </w:r>
          <w:r>
            <w:rPr>
              <w:rFonts w:ascii="Calibri" w:eastAsia="Calibri"/>
            </w:rPr>
            <w:fldChar w:fldCharType="end"/>
          </w:r>
        </w:p>
        <w:p w14:paraId="1AEC35E9">
          <w:pPr>
            <w:pStyle w:val="10"/>
            <w:tabs>
              <w:tab w:val="left" w:leader="dot" w:pos="6897"/>
            </w:tabs>
            <w:spacing w:before="143"/>
            <w:rPr>
              <w:rFonts w:ascii="Calibri" w:eastAsia="Calibri"/>
            </w:rPr>
          </w:pPr>
          <w:r>
            <w:fldChar w:fldCharType="begin"/>
          </w:r>
          <w:r>
            <w:instrText xml:space="preserve"> HYPERLINK \l "_bookmark65" </w:instrText>
          </w:r>
          <w:r>
            <w:fldChar w:fldCharType="separate"/>
          </w:r>
          <w:r>
            <w:rPr>
              <w:rFonts w:ascii="Calibri" w:eastAsia="Calibri"/>
              <w:spacing w:val="-4"/>
            </w:rPr>
            <w:t>8</w:t>
          </w:r>
          <w:r>
            <w:t>、</w:t>
          </w:r>
          <w:r>
            <w:rPr>
              <w:spacing w:val="-3"/>
            </w:rPr>
            <w:t>健</w:t>
          </w:r>
          <w:r>
            <w:t>全目</w:t>
          </w:r>
          <w:r>
            <w:rPr>
              <w:spacing w:val="-3"/>
            </w:rPr>
            <w:t>标</w:t>
          </w:r>
          <w:r>
            <w:t>评价</w:t>
          </w:r>
          <w:r>
            <w:rPr>
              <w:spacing w:val="-3"/>
            </w:rPr>
            <w:t>考</w:t>
          </w:r>
          <w:r>
            <w:t>核机制</w:t>
          </w:r>
          <w:r>
            <w:tab/>
          </w:r>
          <w:r>
            <w:rPr>
              <w:rFonts w:ascii="Calibri" w:eastAsia="Calibri"/>
              <w:spacing w:val="-1"/>
            </w:rPr>
            <w:t>60</w:t>
          </w:r>
          <w:r>
            <w:rPr>
              <w:rFonts w:ascii="Calibri" w:eastAsia="Calibri"/>
              <w:spacing w:val="-1"/>
            </w:rPr>
            <w:fldChar w:fldCharType="end"/>
          </w:r>
        </w:p>
        <w:p w14:paraId="4DDB5556">
          <w:pPr>
            <w:pStyle w:val="10"/>
            <w:tabs>
              <w:tab w:val="left" w:leader="dot" w:pos="6897"/>
            </w:tabs>
            <w:spacing w:before="266"/>
            <w:rPr>
              <w:rFonts w:ascii="Calibri" w:eastAsia="Calibri"/>
            </w:rPr>
          </w:pPr>
          <w:r>
            <w:fldChar w:fldCharType="begin"/>
          </w:r>
          <w:r>
            <w:instrText xml:space="preserve"> HYPERLINK \l "_bookmark66" </w:instrText>
          </w:r>
          <w:r>
            <w:fldChar w:fldCharType="separate"/>
          </w:r>
          <w:r>
            <w:rPr>
              <w:rFonts w:ascii="Calibri" w:eastAsia="Calibri"/>
              <w:spacing w:val="-4"/>
            </w:rPr>
            <w:t>9</w:t>
          </w:r>
          <w:r>
            <w:t>、</w:t>
          </w:r>
          <w:r>
            <w:rPr>
              <w:spacing w:val="-3"/>
            </w:rPr>
            <w:t>健</w:t>
          </w:r>
          <w:r>
            <w:t>全生</w:t>
          </w:r>
          <w:r>
            <w:rPr>
              <w:spacing w:val="-3"/>
            </w:rPr>
            <w:t>态</w:t>
          </w:r>
          <w:r>
            <w:t>环境</w:t>
          </w:r>
          <w:r>
            <w:rPr>
              <w:spacing w:val="-3"/>
            </w:rPr>
            <w:t>保</w:t>
          </w:r>
          <w:r>
            <w:t>护督</w:t>
          </w:r>
          <w:r>
            <w:rPr>
              <w:spacing w:val="-3"/>
            </w:rPr>
            <w:t>查</w:t>
          </w:r>
          <w:r>
            <w:t>制度</w:t>
          </w:r>
          <w:r>
            <w:tab/>
          </w:r>
          <w:r>
            <w:rPr>
              <w:rFonts w:ascii="Calibri" w:eastAsia="Calibri"/>
              <w:spacing w:val="-1"/>
            </w:rPr>
            <w:t>60</w:t>
          </w:r>
          <w:r>
            <w:rPr>
              <w:rFonts w:ascii="Calibri" w:eastAsia="Calibri"/>
              <w:spacing w:val="-1"/>
            </w:rPr>
            <w:fldChar w:fldCharType="end"/>
          </w:r>
        </w:p>
        <w:p w14:paraId="6129A564">
          <w:pPr>
            <w:pStyle w:val="10"/>
            <w:tabs>
              <w:tab w:val="left" w:pos="1120"/>
              <w:tab w:val="left" w:leader="dot" w:pos="8020"/>
            </w:tabs>
            <w:ind w:right="719"/>
            <w:rPr>
              <w:rFonts w:ascii="Calibri" w:eastAsia="Calibri"/>
            </w:rPr>
          </w:pPr>
          <w:r>
            <w:fldChar w:fldCharType="begin"/>
          </w:r>
          <w:r>
            <w:instrText xml:space="preserve"> HYPERLINK \l "_bookmark67" </w:instrText>
          </w:r>
          <w:r>
            <w:fldChar w:fldCharType="separate"/>
          </w:r>
          <w:r>
            <w:t>第</w:t>
          </w:r>
          <w:r>
            <w:rPr>
              <w:spacing w:val="-3"/>
            </w:rPr>
            <w:t>四</w:t>
          </w:r>
          <w:r>
            <w:t>章</w:t>
          </w:r>
          <w:r>
            <w:tab/>
          </w:r>
          <w:r>
            <w:t>重</w:t>
          </w:r>
          <w:r>
            <w:rPr>
              <w:spacing w:val="-3"/>
            </w:rPr>
            <w:t>点</w:t>
          </w:r>
          <w:r>
            <w:t>工程</w:t>
          </w:r>
          <w:r>
            <w:rPr>
              <w:spacing w:val="-3"/>
            </w:rPr>
            <w:t>及</w:t>
          </w:r>
          <w:r>
            <w:t>项目</w:t>
          </w:r>
          <w:r>
            <w:tab/>
          </w:r>
          <w:r>
            <w:rPr>
              <w:rFonts w:ascii="Calibri" w:eastAsia="Calibri"/>
              <w:spacing w:val="-1"/>
            </w:rPr>
            <w:t>61</w:t>
          </w:r>
          <w:r>
            <w:rPr>
              <w:rFonts w:ascii="Calibri" w:eastAsia="Calibri"/>
              <w:spacing w:val="-1"/>
            </w:rPr>
            <w:fldChar w:fldCharType="end"/>
          </w:r>
        </w:p>
        <w:p w14:paraId="2EFB2D14">
          <w:pPr>
            <w:pStyle w:val="11"/>
            <w:tabs>
              <w:tab w:val="left" w:pos="2399"/>
              <w:tab w:val="left" w:leader="dot" w:pos="8740"/>
            </w:tabs>
            <w:rPr>
              <w:rFonts w:ascii="Calibri" w:eastAsia="Calibri"/>
            </w:rPr>
          </w:pPr>
          <w:r>
            <w:fldChar w:fldCharType="begin"/>
          </w:r>
          <w:r>
            <w:instrText xml:space="preserve"> HYPERLINK \l "_bookmark68" </w:instrText>
          </w:r>
          <w:r>
            <w:fldChar w:fldCharType="separate"/>
          </w:r>
          <w:r>
            <w:t>第</w:t>
          </w:r>
          <w:r>
            <w:rPr>
              <w:spacing w:val="-3"/>
            </w:rPr>
            <w:t>一</w:t>
          </w:r>
          <w:r>
            <w:t>节</w:t>
          </w:r>
          <w:r>
            <w:tab/>
          </w:r>
          <w:r>
            <w:t>重</w:t>
          </w:r>
          <w:r>
            <w:rPr>
              <w:spacing w:val="-3"/>
            </w:rPr>
            <w:t>点</w:t>
          </w:r>
          <w:r>
            <w:t>工程</w:t>
          </w:r>
          <w:r>
            <w:tab/>
          </w:r>
          <w:r>
            <w:rPr>
              <w:rFonts w:ascii="Calibri" w:eastAsia="Calibri"/>
            </w:rPr>
            <w:t>61</w:t>
          </w:r>
          <w:r>
            <w:rPr>
              <w:rFonts w:ascii="Calibri" w:eastAsia="Calibri"/>
            </w:rPr>
            <w:fldChar w:fldCharType="end"/>
          </w:r>
        </w:p>
        <w:p w14:paraId="1A80EB43">
          <w:pPr>
            <w:pStyle w:val="10"/>
            <w:tabs>
              <w:tab w:val="left" w:leader="dot" w:pos="6897"/>
            </w:tabs>
            <w:spacing w:before="266"/>
            <w:rPr>
              <w:rFonts w:ascii="Calibri" w:eastAsia="Calibri"/>
            </w:rPr>
          </w:pPr>
          <w:r>
            <w:fldChar w:fldCharType="begin"/>
          </w:r>
          <w:r>
            <w:instrText xml:space="preserve"> HYPERLINK \l "_bookmark69" </w:instrText>
          </w:r>
          <w:r>
            <w:fldChar w:fldCharType="separate"/>
          </w:r>
          <w:r>
            <w:rPr>
              <w:rFonts w:ascii="Calibri" w:eastAsia="Calibri"/>
              <w:spacing w:val="-4"/>
            </w:rPr>
            <w:t>1</w:t>
          </w:r>
          <w:r>
            <w:t>、</w:t>
          </w:r>
          <w:r>
            <w:rPr>
              <w:spacing w:val="-3"/>
            </w:rPr>
            <w:t>大</w:t>
          </w:r>
          <w:r>
            <w:t>气污</w:t>
          </w:r>
          <w:r>
            <w:rPr>
              <w:spacing w:val="-3"/>
            </w:rPr>
            <w:t>染</w:t>
          </w:r>
          <w:r>
            <w:t>治理</w:t>
          </w:r>
          <w:r>
            <w:rPr>
              <w:spacing w:val="-3"/>
            </w:rPr>
            <w:t>工</w:t>
          </w:r>
          <w:r>
            <w:t>程</w:t>
          </w:r>
          <w:r>
            <w:tab/>
          </w:r>
          <w:r>
            <w:rPr>
              <w:rFonts w:ascii="Calibri" w:eastAsia="Calibri"/>
              <w:spacing w:val="-1"/>
            </w:rPr>
            <w:t>61</w:t>
          </w:r>
          <w:r>
            <w:rPr>
              <w:rFonts w:ascii="Calibri" w:eastAsia="Calibri"/>
              <w:spacing w:val="-1"/>
            </w:rPr>
            <w:fldChar w:fldCharType="end"/>
          </w:r>
        </w:p>
        <w:p w14:paraId="14DCE256">
          <w:pPr>
            <w:pStyle w:val="10"/>
            <w:tabs>
              <w:tab w:val="left" w:leader="dot" w:pos="6897"/>
            </w:tabs>
            <w:rPr>
              <w:rFonts w:ascii="Calibri" w:eastAsia="Calibri"/>
            </w:rPr>
          </w:pPr>
          <w:r>
            <w:fldChar w:fldCharType="begin"/>
          </w:r>
          <w:r>
            <w:instrText xml:space="preserve"> HYPERLINK \l "_bookmark70" </w:instrText>
          </w:r>
          <w:r>
            <w:fldChar w:fldCharType="separate"/>
          </w:r>
          <w:r>
            <w:rPr>
              <w:rFonts w:ascii="Calibri" w:eastAsia="Calibri"/>
              <w:spacing w:val="-4"/>
            </w:rPr>
            <w:t>2</w:t>
          </w:r>
          <w:r>
            <w:t>、水</w:t>
          </w:r>
          <w:r>
            <w:rPr>
              <w:spacing w:val="-3"/>
            </w:rPr>
            <w:t>污</w:t>
          </w:r>
          <w:r>
            <w:t>染治</w:t>
          </w:r>
          <w:r>
            <w:rPr>
              <w:spacing w:val="-3"/>
            </w:rPr>
            <w:t>理</w:t>
          </w:r>
          <w:r>
            <w:t>工程</w:t>
          </w:r>
          <w:r>
            <w:tab/>
          </w:r>
          <w:r>
            <w:rPr>
              <w:rFonts w:ascii="Calibri" w:eastAsia="Calibri"/>
              <w:spacing w:val="-1"/>
            </w:rPr>
            <w:t>61</w:t>
          </w:r>
          <w:r>
            <w:rPr>
              <w:rFonts w:ascii="Calibri" w:eastAsia="Calibri"/>
              <w:spacing w:val="-1"/>
            </w:rPr>
            <w:fldChar w:fldCharType="end"/>
          </w:r>
        </w:p>
        <w:p w14:paraId="3AA4E433">
          <w:pPr>
            <w:pStyle w:val="10"/>
            <w:tabs>
              <w:tab w:val="left" w:leader="dot" w:pos="6897"/>
            </w:tabs>
            <w:rPr>
              <w:rFonts w:ascii="Calibri" w:eastAsia="Calibri"/>
            </w:rPr>
          </w:pPr>
          <w:r>
            <w:fldChar w:fldCharType="begin"/>
          </w:r>
          <w:r>
            <w:instrText xml:space="preserve"> HYPERLINK \l "_bookmark71" </w:instrText>
          </w:r>
          <w:r>
            <w:fldChar w:fldCharType="separate"/>
          </w:r>
          <w:r>
            <w:rPr>
              <w:rFonts w:ascii="Calibri" w:eastAsia="Calibri"/>
              <w:spacing w:val="-4"/>
            </w:rPr>
            <w:t>3</w:t>
          </w:r>
          <w:r>
            <w:t>、地</w:t>
          </w:r>
          <w:r>
            <w:rPr>
              <w:spacing w:val="-3"/>
            </w:rPr>
            <w:t>下</w:t>
          </w:r>
          <w:r>
            <w:t>饮用</w:t>
          </w:r>
          <w:r>
            <w:rPr>
              <w:spacing w:val="-3"/>
            </w:rPr>
            <w:t>水</w:t>
          </w:r>
          <w:r>
            <w:t>保护</w:t>
          </w:r>
          <w:r>
            <w:rPr>
              <w:spacing w:val="-3"/>
            </w:rPr>
            <w:t>工</w:t>
          </w:r>
          <w:r>
            <w:t>程</w:t>
          </w:r>
          <w:r>
            <w:tab/>
          </w:r>
          <w:r>
            <w:rPr>
              <w:rFonts w:ascii="Calibri" w:eastAsia="Calibri"/>
              <w:spacing w:val="-1"/>
            </w:rPr>
            <w:t>61</w:t>
          </w:r>
          <w:r>
            <w:rPr>
              <w:rFonts w:ascii="Calibri" w:eastAsia="Calibri"/>
              <w:spacing w:val="-1"/>
            </w:rPr>
            <w:fldChar w:fldCharType="end"/>
          </w:r>
        </w:p>
        <w:p w14:paraId="268E60E6">
          <w:pPr>
            <w:pStyle w:val="10"/>
            <w:tabs>
              <w:tab w:val="left" w:leader="dot" w:pos="6897"/>
            </w:tabs>
            <w:rPr>
              <w:rFonts w:ascii="Calibri" w:eastAsia="Calibri"/>
            </w:rPr>
          </w:pPr>
          <w:r>
            <w:fldChar w:fldCharType="begin"/>
          </w:r>
          <w:r>
            <w:instrText xml:space="preserve"> HYPERLINK \l "_bookmark72" </w:instrText>
          </w:r>
          <w:r>
            <w:fldChar w:fldCharType="separate"/>
          </w:r>
          <w:r>
            <w:rPr>
              <w:rFonts w:ascii="Calibri" w:eastAsia="Calibri"/>
              <w:spacing w:val="-4"/>
            </w:rPr>
            <w:t>4</w:t>
          </w:r>
          <w:r>
            <w:t>、自</w:t>
          </w:r>
          <w:r>
            <w:rPr>
              <w:spacing w:val="-3"/>
            </w:rPr>
            <w:t>然</w:t>
          </w:r>
          <w:r>
            <w:t>生态</w:t>
          </w:r>
          <w:r>
            <w:rPr>
              <w:spacing w:val="-3"/>
            </w:rPr>
            <w:t>保</w:t>
          </w:r>
          <w:r>
            <w:t>护工</w:t>
          </w:r>
          <w:r>
            <w:rPr>
              <w:spacing w:val="-3"/>
            </w:rPr>
            <w:t>程</w:t>
          </w:r>
          <w:r>
            <w:t>及生</w:t>
          </w:r>
          <w:r>
            <w:rPr>
              <w:spacing w:val="-3"/>
            </w:rPr>
            <w:t>态</w:t>
          </w:r>
          <w:r>
            <w:t>文化</w:t>
          </w:r>
          <w:r>
            <w:rPr>
              <w:spacing w:val="-3"/>
            </w:rPr>
            <w:t>建</w:t>
          </w:r>
          <w:r>
            <w:t>设</w:t>
          </w:r>
          <w:r>
            <w:tab/>
          </w:r>
          <w:r>
            <w:rPr>
              <w:rFonts w:ascii="Calibri" w:eastAsia="Calibri"/>
              <w:spacing w:val="-1"/>
            </w:rPr>
            <w:t>62</w:t>
          </w:r>
          <w:r>
            <w:rPr>
              <w:rFonts w:ascii="Calibri" w:eastAsia="Calibri"/>
              <w:spacing w:val="-1"/>
            </w:rPr>
            <w:fldChar w:fldCharType="end"/>
          </w:r>
        </w:p>
        <w:p w14:paraId="13122667">
          <w:pPr>
            <w:pStyle w:val="10"/>
            <w:tabs>
              <w:tab w:val="left" w:leader="dot" w:pos="6897"/>
            </w:tabs>
            <w:spacing w:before="266"/>
            <w:rPr>
              <w:rFonts w:ascii="Calibri" w:eastAsia="Calibri"/>
            </w:rPr>
          </w:pPr>
          <w:r>
            <w:fldChar w:fldCharType="begin"/>
          </w:r>
          <w:r>
            <w:instrText xml:space="preserve"> HYPERLINK \l "_bookmark73" </w:instrText>
          </w:r>
          <w:r>
            <w:fldChar w:fldCharType="separate"/>
          </w:r>
          <w:r>
            <w:rPr>
              <w:rFonts w:ascii="Calibri" w:eastAsia="Calibri"/>
              <w:spacing w:val="-4"/>
            </w:rPr>
            <w:t>5</w:t>
          </w:r>
          <w:r>
            <w:t>、增</w:t>
          </w:r>
          <w:r>
            <w:rPr>
              <w:spacing w:val="-3"/>
            </w:rPr>
            <w:t>加</w:t>
          </w:r>
          <w:r>
            <w:t>城镇</w:t>
          </w:r>
          <w:r>
            <w:rPr>
              <w:spacing w:val="-3"/>
            </w:rPr>
            <w:t>基</w:t>
          </w:r>
          <w:r>
            <w:t>础设</w:t>
          </w:r>
          <w:r>
            <w:rPr>
              <w:spacing w:val="-3"/>
            </w:rPr>
            <w:t>施</w:t>
          </w:r>
          <w:r>
            <w:t>建设</w:t>
          </w:r>
          <w:r>
            <w:tab/>
          </w:r>
          <w:r>
            <w:rPr>
              <w:rFonts w:ascii="Calibri" w:eastAsia="Calibri"/>
              <w:spacing w:val="-1"/>
            </w:rPr>
            <w:t>62</w:t>
          </w:r>
          <w:r>
            <w:rPr>
              <w:rFonts w:ascii="Calibri" w:eastAsia="Calibri"/>
              <w:spacing w:val="-1"/>
            </w:rPr>
            <w:fldChar w:fldCharType="end"/>
          </w:r>
        </w:p>
        <w:p w14:paraId="3462A391">
          <w:pPr>
            <w:pStyle w:val="10"/>
            <w:tabs>
              <w:tab w:val="left" w:leader="dot" w:pos="6897"/>
            </w:tabs>
            <w:rPr>
              <w:rFonts w:ascii="Calibri" w:eastAsia="Calibri"/>
            </w:rPr>
          </w:pPr>
          <w:r>
            <w:fldChar w:fldCharType="begin"/>
          </w:r>
          <w:r>
            <w:instrText xml:space="preserve"> HYPERLINK \l "_bookmark74" </w:instrText>
          </w:r>
          <w:r>
            <w:fldChar w:fldCharType="separate"/>
          </w:r>
          <w:r>
            <w:rPr>
              <w:rFonts w:ascii="Calibri" w:eastAsia="Calibri"/>
              <w:spacing w:val="-4"/>
            </w:rPr>
            <w:t>6</w:t>
          </w:r>
          <w:r>
            <w:t>、</w:t>
          </w:r>
          <w:r>
            <w:rPr>
              <w:spacing w:val="-3"/>
            </w:rPr>
            <w:t>资</w:t>
          </w:r>
          <w:r>
            <w:t>源循</w:t>
          </w:r>
          <w:r>
            <w:rPr>
              <w:spacing w:val="-3"/>
            </w:rPr>
            <w:t>环</w:t>
          </w:r>
          <w:r>
            <w:t>利用</w:t>
          </w:r>
          <w:r>
            <w:rPr>
              <w:spacing w:val="-3"/>
            </w:rPr>
            <w:t>建</w:t>
          </w:r>
          <w:r>
            <w:t>设</w:t>
          </w:r>
          <w:r>
            <w:tab/>
          </w:r>
          <w:r>
            <w:rPr>
              <w:rFonts w:ascii="Calibri" w:eastAsia="Calibri"/>
              <w:spacing w:val="-1"/>
            </w:rPr>
            <w:t>62</w:t>
          </w:r>
          <w:r>
            <w:rPr>
              <w:rFonts w:ascii="Calibri" w:eastAsia="Calibri"/>
              <w:spacing w:val="-1"/>
            </w:rPr>
            <w:fldChar w:fldCharType="end"/>
          </w:r>
        </w:p>
        <w:p w14:paraId="11D46218">
          <w:pPr>
            <w:pStyle w:val="11"/>
            <w:tabs>
              <w:tab w:val="left" w:pos="2399"/>
              <w:tab w:val="left" w:leader="dot" w:pos="8740"/>
            </w:tabs>
            <w:rPr>
              <w:rFonts w:ascii="Calibri" w:eastAsia="Calibri"/>
            </w:rPr>
          </w:pPr>
          <w:r>
            <w:fldChar w:fldCharType="begin"/>
          </w:r>
          <w:r>
            <w:instrText xml:space="preserve"> HYPERLINK \l "_bookmark75" </w:instrText>
          </w:r>
          <w:r>
            <w:fldChar w:fldCharType="separate"/>
          </w:r>
          <w:r>
            <w:t>第</w:t>
          </w:r>
          <w:r>
            <w:rPr>
              <w:spacing w:val="-3"/>
            </w:rPr>
            <w:t>二</w:t>
          </w:r>
          <w:r>
            <w:t>节</w:t>
          </w:r>
          <w:r>
            <w:tab/>
          </w:r>
          <w:r>
            <w:t>投</w:t>
          </w:r>
          <w:r>
            <w:rPr>
              <w:spacing w:val="-3"/>
            </w:rPr>
            <w:t>资</w:t>
          </w:r>
          <w:r>
            <w:t>来源</w:t>
          </w:r>
          <w:r>
            <w:tab/>
          </w:r>
          <w:r>
            <w:rPr>
              <w:rFonts w:ascii="Calibri" w:eastAsia="Calibri"/>
            </w:rPr>
            <w:t>62</w:t>
          </w:r>
          <w:r>
            <w:rPr>
              <w:rFonts w:ascii="Calibri" w:eastAsia="Calibri"/>
            </w:rPr>
            <w:fldChar w:fldCharType="end"/>
          </w:r>
        </w:p>
        <w:p w14:paraId="5AB40A92">
          <w:pPr>
            <w:pStyle w:val="11"/>
            <w:tabs>
              <w:tab w:val="left" w:pos="2399"/>
              <w:tab w:val="left" w:leader="dot" w:pos="8740"/>
            </w:tabs>
            <w:rPr>
              <w:rFonts w:ascii="Calibri" w:eastAsia="Calibri"/>
            </w:rPr>
          </w:pPr>
          <w:r>
            <w:fldChar w:fldCharType="begin"/>
          </w:r>
          <w:r>
            <w:instrText xml:space="preserve"> HYPERLINK \l "_bookmark76" </w:instrText>
          </w:r>
          <w:r>
            <w:fldChar w:fldCharType="separate"/>
          </w:r>
          <w:r>
            <w:t>第</w:t>
          </w:r>
          <w:r>
            <w:rPr>
              <w:spacing w:val="-3"/>
            </w:rPr>
            <w:t>三</w:t>
          </w:r>
          <w:r>
            <w:t>节</w:t>
          </w:r>
          <w:r>
            <w:tab/>
          </w:r>
          <w:r>
            <w:t>环</w:t>
          </w:r>
          <w:r>
            <w:rPr>
              <w:spacing w:val="-3"/>
            </w:rPr>
            <w:t>境</w:t>
          </w:r>
          <w:r>
            <w:t>效益</w:t>
          </w:r>
          <w:r>
            <w:rPr>
              <w:spacing w:val="-3"/>
            </w:rPr>
            <w:t>和</w:t>
          </w:r>
          <w:r>
            <w:t>规划</w:t>
          </w:r>
          <w:r>
            <w:rPr>
              <w:spacing w:val="-3"/>
            </w:rPr>
            <w:t>目</w:t>
          </w:r>
          <w:r>
            <w:t>标可</w:t>
          </w:r>
          <w:r>
            <w:rPr>
              <w:spacing w:val="-3"/>
            </w:rPr>
            <w:t>达</w:t>
          </w:r>
          <w:r>
            <w:t>性分析</w:t>
          </w:r>
          <w:r>
            <w:tab/>
          </w:r>
          <w:r>
            <w:rPr>
              <w:rFonts w:ascii="Calibri" w:eastAsia="Calibri"/>
            </w:rPr>
            <w:t>63</w:t>
          </w:r>
          <w:r>
            <w:rPr>
              <w:rFonts w:ascii="Calibri" w:eastAsia="Calibri"/>
            </w:rPr>
            <w:fldChar w:fldCharType="end"/>
          </w:r>
        </w:p>
        <w:p w14:paraId="4BF58FD7">
          <w:pPr>
            <w:pStyle w:val="10"/>
            <w:tabs>
              <w:tab w:val="left" w:pos="1120"/>
              <w:tab w:val="left" w:leader="dot" w:pos="8020"/>
            </w:tabs>
            <w:spacing w:before="266"/>
            <w:ind w:right="719"/>
            <w:rPr>
              <w:rFonts w:ascii="Calibri" w:eastAsia="Calibri"/>
            </w:rPr>
          </w:pPr>
          <w:r>
            <w:fldChar w:fldCharType="begin"/>
          </w:r>
          <w:r>
            <w:instrText xml:space="preserve"> HYPERLINK \l "_bookmark77" </w:instrText>
          </w:r>
          <w:r>
            <w:fldChar w:fldCharType="separate"/>
          </w:r>
          <w:r>
            <w:t>第</w:t>
          </w:r>
          <w:r>
            <w:rPr>
              <w:spacing w:val="-3"/>
            </w:rPr>
            <w:t>五</w:t>
          </w:r>
          <w:r>
            <w:t>章</w:t>
          </w:r>
          <w:r>
            <w:tab/>
          </w:r>
          <w:r>
            <w:t>规</w:t>
          </w:r>
          <w:r>
            <w:rPr>
              <w:spacing w:val="-3"/>
            </w:rPr>
            <w:t>划</w:t>
          </w:r>
          <w:r>
            <w:t>实施</w:t>
          </w:r>
          <w:r>
            <w:rPr>
              <w:spacing w:val="-3"/>
            </w:rPr>
            <w:t>的</w:t>
          </w:r>
          <w:r>
            <w:t>保障</w:t>
          </w:r>
          <w:r>
            <w:rPr>
              <w:spacing w:val="-3"/>
            </w:rPr>
            <w:t>措</w:t>
          </w:r>
          <w:r>
            <w:t>施</w:t>
          </w:r>
          <w:r>
            <w:tab/>
          </w:r>
          <w:r>
            <w:rPr>
              <w:rFonts w:ascii="Calibri" w:eastAsia="Calibri"/>
              <w:spacing w:val="-1"/>
            </w:rPr>
            <w:t>64</w:t>
          </w:r>
          <w:r>
            <w:rPr>
              <w:rFonts w:ascii="Calibri" w:eastAsia="Calibri"/>
              <w:spacing w:val="-1"/>
            </w:rPr>
            <w:fldChar w:fldCharType="end"/>
          </w:r>
        </w:p>
        <w:p w14:paraId="5762B0DD">
          <w:pPr>
            <w:pStyle w:val="11"/>
            <w:tabs>
              <w:tab w:val="left" w:pos="2399"/>
              <w:tab w:val="left" w:leader="dot" w:pos="8740"/>
            </w:tabs>
            <w:rPr>
              <w:rFonts w:ascii="Calibri" w:eastAsia="Calibri"/>
            </w:rPr>
          </w:pPr>
          <w:r>
            <w:fldChar w:fldCharType="begin"/>
          </w:r>
          <w:r>
            <w:instrText xml:space="preserve"> HYPERLINK \l "_bookmark78" </w:instrText>
          </w:r>
          <w:r>
            <w:fldChar w:fldCharType="separate"/>
          </w:r>
          <w:r>
            <w:t>第</w:t>
          </w:r>
          <w:r>
            <w:rPr>
              <w:spacing w:val="-3"/>
            </w:rPr>
            <w:t>一</w:t>
          </w:r>
          <w:r>
            <w:t>节</w:t>
          </w:r>
          <w:r>
            <w:tab/>
          </w:r>
          <w:r>
            <w:t>强</w:t>
          </w:r>
          <w:r>
            <w:rPr>
              <w:spacing w:val="-3"/>
            </w:rPr>
            <w:t>化</w:t>
          </w:r>
          <w:r>
            <w:t>法制</w:t>
          </w:r>
          <w:r>
            <w:rPr>
              <w:spacing w:val="-3"/>
            </w:rPr>
            <w:t>监</w:t>
          </w:r>
          <w:r>
            <w:t>督</w:t>
          </w:r>
          <w:r>
            <w:rPr>
              <w:spacing w:val="1"/>
            </w:rPr>
            <w:t xml:space="preserve"> </w:t>
          </w:r>
          <w:r>
            <w:t>切</w:t>
          </w:r>
          <w:r>
            <w:rPr>
              <w:spacing w:val="-3"/>
            </w:rPr>
            <w:t>实</w:t>
          </w:r>
          <w:r>
            <w:t>履行</w:t>
          </w:r>
          <w:r>
            <w:rPr>
              <w:spacing w:val="-3"/>
            </w:rPr>
            <w:t>职</w:t>
          </w:r>
          <w:r>
            <w:t>责</w:t>
          </w:r>
          <w:r>
            <w:tab/>
          </w:r>
          <w:r>
            <w:rPr>
              <w:rFonts w:ascii="Calibri" w:eastAsia="Calibri"/>
            </w:rPr>
            <w:t>64</w:t>
          </w:r>
          <w:r>
            <w:rPr>
              <w:rFonts w:ascii="Calibri" w:eastAsia="Calibri"/>
            </w:rPr>
            <w:fldChar w:fldCharType="end"/>
          </w:r>
        </w:p>
        <w:p w14:paraId="2BDCCDE2">
          <w:pPr>
            <w:pStyle w:val="11"/>
            <w:tabs>
              <w:tab w:val="left" w:pos="2399"/>
              <w:tab w:val="left" w:leader="dot" w:pos="8740"/>
            </w:tabs>
            <w:rPr>
              <w:rFonts w:ascii="Calibri" w:eastAsia="Calibri"/>
            </w:rPr>
          </w:pPr>
          <w:r>
            <w:fldChar w:fldCharType="begin"/>
          </w:r>
          <w:r>
            <w:instrText xml:space="preserve"> HYPERLINK \l "_bookmark79" </w:instrText>
          </w:r>
          <w:r>
            <w:fldChar w:fldCharType="separate"/>
          </w:r>
          <w:r>
            <w:t>第</w:t>
          </w:r>
          <w:r>
            <w:rPr>
              <w:spacing w:val="-3"/>
            </w:rPr>
            <w:t>二</w:t>
          </w:r>
          <w:r>
            <w:t>节</w:t>
          </w:r>
          <w:r>
            <w:tab/>
          </w:r>
          <w:r>
            <w:t>严</w:t>
          </w:r>
          <w:r>
            <w:rPr>
              <w:spacing w:val="-3"/>
            </w:rPr>
            <w:t>格</w:t>
          </w:r>
          <w:r>
            <w:t>考核</w:t>
          </w:r>
          <w:r>
            <w:rPr>
              <w:spacing w:val="-3"/>
            </w:rPr>
            <w:t>评</w:t>
          </w:r>
          <w:r>
            <w:t>估</w:t>
          </w:r>
          <w:r>
            <w:rPr>
              <w:spacing w:val="1"/>
            </w:rPr>
            <w:t xml:space="preserve"> </w:t>
          </w:r>
          <w:r>
            <w:t>落</w:t>
          </w:r>
          <w:r>
            <w:rPr>
              <w:spacing w:val="-3"/>
            </w:rPr>
            <w:t>实</w:t>
          </w:r>
          <w:r>
            <w:t>环保</w:t>
          </w:r>
          <w:r>
            <w:rPr>
              <w:spacing w:val="-3"/>
            </w:rPr>
            <w:t>责</w:t>
          </w:r>
          <w:r>
            <w:t>任</w:t>
          </w:r>
          <w:r>
            <w:tab/>
          </w:r>
          <w:r>
            <w:rPr>
              <w:rFonts w:ascii="Calibri" w:eastAsia="Calibri"/>
            </w:rPr>
            <w:t>65</w:t>
          </w:r>
          <w:r>
            <w:rPr>
              <w:rFonts w:ascii="Calibri" w:eastAsia="Calibri"/>
            </w:rPr>
            <w:fldChar w:fldCharType="end"/>
          </w:r>
        </w:p>
        <w:p w14:paraId="75B32E3E">
          <w:pPr>
            <w:pStyle w:val="11"/>
            <w:tabs>
              <w:tab w:val="left" w:pos="2399"/>
              <w:tab w:val="left" w:leader="dot" w:pos="8740"/>
            </w:tabs>
            <w:rPr>
              <w:rFonts w:ascii="Calibri" w:eastAsia="Calibri"/>
            </w:rPr>
          </w:pPr>
          <w:r>
            <w:fldChar w:fldCharType="begin"/>
          </w:r>
          <w:r>
            <w:instrText xml:space="preserve"> HYPERLINK \l "_bookmark80" </w:instrText>
          </w:r>
          <w:r>
            <w:fldChar w:fldCharType="separate"/>
          </w:r>
          <w:r>
            <w:t>第</w:t>
          </w:r>
          <w:r>
            <w:rPr>
              <w:spacing w:val="-3"/>
            </w:rPr>
            <w:t>三</w:t>
          </w:r>
          <w:r>
            <w:t>节</w:t>
          </w:r>
          <w:r>
            <w:tab/>
          </w:r>
          <w:r>
            <w:t>强</w:t>
          </w:r>
          <w:r>
            <w:rPr>
              <w:spacing w:val="-3"/>
            </w:rPr>
            <w:t>化</w:t>
          </w:r>
          <w:r>
            <w:t>环境</w:t>
          </w:r>
          <w:r>
            <w:rPr>
              <w:spacing w:val="-3"/>
            </w:rPr>
            <w:t>监</w:t>
          </w:r>
          <w:r>
            <w:t>督管</w:t>
          </w:r>
          <w:r>
            <w:rPr>
              <w:spacing w:val="-3"/>
            </w:rPr>
            <w:t>理</w:t>
          </w:r>
          <w:r>
            <w:t>和能</w:t>
          </w:r>
          <w:r>
            <w:rPr>
              <w:spacing w:val="-3"/>
            </w:rPr>
            <w:t>力</w:t>
          </w:r>
          <w:r>
            <w:t>建设</w:t>
          </w:r>
          <w:r>
            <w:tab/>
          </w:r>
          <w:r>
            <w:rPr>
              <w:rFonts w:ascii="Calibri" w:eastAsia="Calibri"/>
            </w:rPr>
            <w:t>66</w:t>
          </w:r>
          <w:r>
            <w:rPr>
              <w:rFonts w:ascii="Calibri" w:eastAsia="Calibri"/>
            </w:rPr>
            <w:fldChar w:fldCharType="end"/>
          </w:r>
        </w:p>
        <w:p w14:paraId="7BCAFFFF">
          <w:pPr>
            <w:pStyle w:val="11"/>
            <w:tabs>
              <w:tab w:val="left" w:pos="2399"/>
              <w:tab w:val="left" w:leader="dot" w:pos="8740"/>
            </w:tabs>
            <w:spacing w:before="266"/>
            <w:rPr>
              <w:rFonts w:ascii="Calibri" w:eastAsia="Calibri"/>
            </w:rPr>
          </w:pPr>
          <w:r>
            <w:fldChar w:fldCharType="begin"/>
          </w:r>
          <w:r>
            <w:instrText xml:space="preserve"> HYPERLINK \l "_bookmark81" </w:instrText>
          </w:r>
          <w:r>
            <w:fldChar w:fldCharType="separate"/>
          </w:r>
          <w:r>
            <w:t>第</w:t>
          </w:r>
          <w:r>
            <w:rPr>
              <w:spacing w:val="-3"/>
            </w:rPr>
            <w:t>四</w:t>
          </w:r>
          <w:r>
            <w:t>节</w:t>
          </w:r>
          <w:r>
            <w:tab/>
          </w:r>
          <w:r>
            <w:t>加</w:t>
          </w:r>
          <w:r>
            <w:rPr>
              <w:spacing w:val="-3"/>
            </w:rPr>
            <w:t>大</w:t>
          </w:r>
          <w:r>
            <w:t>环境</w:t>
          </w:r>
          <w:r>
            <w:rPr>
              <w:spacing w:val="-3"/>
            </w:rPr>
            <w:t>保</w:t>
          </w:r>
          <w:r>
            <w:t>护融</w:t>
          </w:r>
          <w:r>
            <w:rPr>
              <w:spacing w:val="-3"/>
            </w:rPr>
            <w:t>资</w:t>
          </w:r>
          <w:r>
            <w:t>力度</w:t>
          </w:r>
          <w:r>
            <w:tab/>
          </w:r>
          <w:r>
            <w:rPr>
              <w:rFonts w:ascii="Calibri" w:eastAsia="Calibri"/>
            </w:rPr>
            <w:t>66</w:t>
          </w:r>
          <w:r>
            <w:rPr>
              <w:rFonts w:ascii="Calibri" w:eastAsia="Calibri"/>
            </w:rPr>
            <w:fldChar w:fldCharType="end"/>
          </w:r>
        </w:p>
        <w:p w14:paraId="5289128D">
          <w:pPr>
            <w:pStyle w:val="11"/>
            <w:tabs>
              <w:tab w:val="left" w:pos="2399"/>
              <w:tab w:val="left" w:leader="dot" w:pos="8740"/>
            </w:tabs>
            <w:rPr>
              <w:rFonts w:ascii="Calibri" w:eastAsia="Calibri"/>
            </w:rPr>
          </w:pPr>
          <w:r>
            <w:fldChar w:fldCharType="begin"/>
          </w:r>
          <w:r>
            <w:instrText xml:space="preserve"> HYPERLINK \l "_bookmark82" </w:instrText>
          </w:r>
          <w:r>
            <w:fldChar w:fldCharType="separate"/>
          </w:r>
          <w:r>
            <w:t>第</w:t>
          </w:r>
          <w:r>
            <w:rPr>
              <w:spacing w:val="-3"/>
            </w:rPr>
            <w:t>五</w:t>
          </w:r>
          <w:r>
            <w:t>节</w:t>
          </w:r>
          <w:r>
            <w:tab/>
          </w:r>
          <w:r>
            <w:t>鼓</w:t>
          </w:r>
          <w:r>
            <w:rPr>
              <w:spacing w:val="-3"/>
            </w:rPr>
            <w:t>励</w:t>
          </w:r>
          <w:r>
            <w:t>环境</w:t>
          </w:r>
          <w:r>
            <w:rPr>
              <w:spacing w:val="-3"/>
            </w:rPr>
            <w:t>科</w:t>
          </w:r>
          <w:r>
            <w:t>技创新</w:t>
          </w:r>
          <w:r>
            <w:rPr>
              <w:spacing w:val="1"/>
            </w:rPr>
            <w:t xml:space="preserve"> </w:t>
          </w:r>
          <w:r>
            <w:t>强</w:t>
          </w:r>
          <w:r>
            <w:rPr>
              <w:spacing w:val="-3"/>
            </w:rPr>
            <w:t>化</w:t>
          </w:r>
          <w:r>
            <w:t>环境</w:t>
          </w:r>
          <w:r>
            <w:rPr>
              <w:spacing w:val="-3"/>
            </w:rPr>
            <w:t>科</w:t>
          </w:r>
          <w:r>
            <w:t>技支</w:t>
          </w:r>
          <w:r>
            <w:rPr>
              <w:spacing w:val="-3"/>
            </w:rPr>
            <w:t>撑</w:t>
          </w:r>
          <w:r>
            <w:t>作用</w:t>
          </w:r>
          <w:r>
            <w:tab/>
          </w:r>
          <w:r>
            <w:rPr>
              <w:rFonts w:ascii="Calibri" w:eastAsia="Calibri"/>
            </w:rPr>
            <w:t>67</w:t>
          </w:r>
          <w:r>
            <w:rPr>
              <w:rFonts w:ascii="Calibri" w:eastAsia="Calibri"/>
            </w:rPr>
            <w:fldChar w:fldCharType="end"/>
          </w:r>
        </w:p>
        <w:p w14:paraId="68112C9E">
          <w:pPr>
            <w:pStyle w:val="11"/>
            <w:tabs>
              <w:tab w:val="left" w:pos="2399"/>
              <w:tab w:val="left" w:leader="dot" w:pos="8740"/>
            </w:tabs>
            <w:rPr>
              <w:rFonts w:ascii="Calibri" w:eastAsia="Calibri"/>
            </w:rPr>
          </w:pPr>
          <w:r>
            <w:fldChar w:fldCharType="begin"/>
          </w:r>
          <w:r>
            <w:instrText xml:space="preserve"> HYPERLINK \l "_bookmark83" </w:instrText>
          </w:r>
          <w:r>
            <w:fldChar w:fldCharType="separate"/>
          </w:r>
          <w:r>
            <w:t>第</w:t>
          </w:r>
          <w:r>
            <w:rPr>
              <w:spacing w:val="-3"/>
            </w:rPr>
            <w:t>六</w:t>
          </w:r>
          <w:r>
            <w:t>节</w:t>
          </w:r>
          <w:r>
            <w:tab/>
          </w:r>
          <w:r>
            <w:t>重</w:t>
          </w:r>
          <w:r>
            <w:rPr>
              <w:spacing w:val="-3"/>
            </w:rPr>
            <w:t>视</w:t>
          </w:r>
          <w:r>
            <w:t>环保</w:t>
          </w:r>
          <w:r>
            <w:rPr>
              <w:spacing w:val="-3"/>
            </w:rPr>
            <w:t>宣</w:t>
          </w:r>
          <w:r>
            <w:t>传教育</w:t>
          </w:r>
          <w:r>
            <w:rPr>
              <w:spacing w:val="1"/>
            </w:rPr>
            <w:t xml:space="preserve"> </w:t>
          </w:r>
          <w:r>
            <w:t>提</w:t>
          </w:r>
          <w:r>
            <w:rPr>
              <w:spacing w:val="-3"/>
            </w:rPr>
            <w:t>高</w:t>
          </w:r>
          <w:r>
            <w:t>公众</w:t>
          </w:r>
          <w:r>
            <w:rPr>
              <w:spacing w:val="-3"/>
            </w:rPr>
            <w:t>环</w:t>
          </w:r>
          <w:r>
            <w:t>保素质</w:t>
          </w:r>
          <w:r>
            <w:tab/>
          </w:r>
          <w:r>
            <w:rPr>
              <w:rFonts w:ascii="Calibri" w:eastAsia="Calibri"/>
            </w:rPr>
            <w:t>68</w:t>
          </w:r>
          <w:r>
            <w:rPr>
              <w:rFonts w:ascii="Calibri" w:eastAsia="Calibri"/>
            </w:rPr>
            <w:fldChar w:fldCharType="end"/>
          </w:r>
        </w:p>
        <w:p w14:paraId="7B52E49A">
          <w:pPr>
            <w:pStyle w:val="11"/>
            <w:tabs>
              <w:tab w:val="left" w:pos="2399"/>
              <w:tab w:val="left" w:leader="dot" w:pos="8740"/>
            </w:tabs>
            <w:rPr>
              <w:rFonts w:ascii="Calibri" w:eastAsia="Calibri"/>
            </w:rPr>
          </w:pPr>
          <w:r>
            <w:fldChar w:fldCharType="begin"/>
          </w:r>
          <w:r>
            <w:instrText xml:space="preserve"> HYPERLINK \l "_bookmark84" </w:instrText>
          </w:r>
          <w:r>
            <w:fldChar w:fldCharType="separate"/>
          </w:r>
          <w:r>
            <w:t>第</w:t>
          </w:r>
          <w:r>
            <w:rPr>
              <w:spacing w:val="-3"/>
            </w:rPr>
            <w:t>七</w:t>
          </w:r>
          <w:r>
            <w:t>节</w:t>
          </w:r>
          <w:r>
            <w:tab/>
          </w:r>
          <w:r>
            <w:t>加</w:t>
          </w:r>
          <w:r>
            <w:rPr>
              <w:spacing w:val="-3"/>
            </w:rPr>
            <w:t>强</w:t>
          </w:r>
          <w:r>
            <w:t>机构</w:t>
          </w:r>
          <w:r>
            <w:rPr>
              <w:spacing w:val="-3"/>
            </w:rPr>
            <w:t>设</w:t>
          </w:r>
          <w:r>
            <w:t>置</w:t>
          </w:r>
          <w:r>
            <w:rPr>
              <w:spacing w:val="1"/>
            </w:rPr>
            <w:t xml:space="preserve"> </w:t>
          </w:r>
          <w:r>
            <w:t>强</w:t>
          </w:r>
          <w:r>
            <w:rPr>
              <w:spacing w:val="-3"/>
            </w:rPr>
            <w:t>化</w:t>
          </w:r>
          <w:r>
            <w:t>能力</w:t>
          </w:r>
          <w:r>
            <w:rPr>
              <w:spacing w:val="-3"/>
            </w:rPr>
            <w:t>建</w:t>
          </w:r>
          <w:r>
            <w:t>设</w:t>
          </w:r>
          <w:r>
            <w:tab/>
          </w:r>
          <w:r>
            <w:rPr>
              <w:rFonts w:ascii="Calibri" w:eastAsia="Calibri"/>
            </w:rPr>
            <w:t>68</w:t>
          </w:r>
          <w:r>
            <w:rPr>
              <w:rFonts w:ascii="Calibri" w:eastAsia="Calibri"/>
            </w:rPr>
            <w:fldChar w:fldCharType="end"/>
          </w:r>
        </w:p>
      </w:sdtContent>
    </w:sdt>
    <w:p w14:paraId="76B85C4E">
      <w:pPr>
        <w:spacing w:after="0"/>
        <w:rPr>
          <w:rFonts w:ascii="Calibri" w:eastAsia="Calibri"/>
        </w:rPr>
        <w:sectPr>
          <w:type w:val="continuous"/>
          <w:pgSz w:w="11910" w:h="16840"/>
          <w:pgMar w:top="1432" w:right="1080" w:bottom="1781" w:left="1080" w:header="720" w:footer="720" w:gutter="0"/>
          <w:pgNumType w:fmt="decimal"/>
          <w:cols w:space="720" w:num="1"/>
        </w:sectPr>
      </w:pPr>
    </w:p>
    <w:p w14:paraId="784C102B">
      <w:pPr>
        <w:pStyle w:val="3"/>
        <w:tabs>
          <w:tab w:val="left" w:pos="5056"/>
        </w:tabs>
        <w:ind w:left="4341" w:right="0"/>
        <w:jc w:val="left"/>
      </w:pPr>
      <w:bookmarkStart w:id="0" w:name="_bookmark0"/>
      <w:bookmarkEnd w:id="0"/>
      <w:bookmarkStart w:id="1" w:name="前  言"/>
      <w:bookmarkEnd w:id="1"/>
      <w:r>
        <w:t>前</w:t>
      </w:r>
      <w:r>
        <w:tab/>
      </w:r>
      <w:r>
        <w:t>言</w:t>
      </w:r>
    </w:p>
    <w:p w14:paraId="116A7DE7">
      <w:pPr>
        <w:pStyle w:val="6"/>
        <w:spacing w:before="239" w:line="417" w:lineRule="auto"/>
        <w:ind w:left="720" w:right="580" w:firstLine="559"/>
      </w:pPr>
      <w:r>
        <w:rPr>
          <w:spacing w:val="-11"/>
        </w:rPr>
        <w:t xml:space="preserve">“十四五”是我国全面建设社会主义现代化国家新征程的第一个五年,濉溪县要在全面建成小康社会、打赢污染防治攻坚战的基础上， </w:t>
      </w:r>
      <w:r>
        <w:rPr>
          <w:spacing w:val="-9"/>
        </w:rPr>
        <w:t xml:space="preserve">进一步推进绿色低碳高质量发展，为 </w:t>
      </w:r>
      <w:r>
        <w:t>2035</w:t>
      </w:r>
      <w:r>
        <w:rPr>
          <w:spacing w:val="-10"/>
        </w:rPr>
        <w:t xml:space="preserve"> 年建设美好濉溪打下坚实</w:t>
      </w:r>
      <w:r>
        <w:rPr>
          <w:spacing w:val="-5"/>
        </w:rPr>
        <w:t>基础。</w:t>
      </w:r>
    </w:p>
    <w:p w14:paraId="5FA2766D">
      <w:pPr>
        <w:pStyle w:val="6"/>
        <w:spacing w:line="417" w:lineRule="auto"/>
        <w:ind w:left="720" w:right="580" w:firstLine="559"/>
      </w:pPr>
      <w:r>
        <w:rPr>
          <w:spacing w:val="-18"/>
        </w:rPr>
        <w:t xml:space="preserve">“十四五”期间，濉溪县要在“十三五”生态环境保护的基础上， </w:t>
      </w:r>
      <w:r>
        <w:rPr>
          <w:spacing w:val="-5"/>
        </w:rPr>
        <w:t xml:space="preserve">再接再厉，努力做到“十四五”时期主要污染物排放总量明显减少， </w:t>
      </w:r>
      <w:r>
        <w:rPr>
          <w:spacing w:val="-9"/>
        </w:rPr>
        <w:t>生态系统稳定性显著提高，人居环境进一步改善，环境管理体系、环</w:t>
      </w:r>
      <w:r>
        <w:rPr>
          <w:spacing w:val="-8"/>
        </w:rPr>
        <w:t>境监管机制等生态环保制度法规体系进一步完善，进一步推进濉溪县</w:t>
      </w:r>
      <w:r>
        <w:rPr>
          <w:spacing w:val="-3"/>
        </w:rPr>
        <w:t>绿色低碳高质量发展。</w:t>
      </w:r>
    </w:p>
    <w:p w14:paraId="34121FC7">
      <w:pPr>
        <w:pStyle w:val="6"/>
        <w:spacing w:line="417" w:lineRule="auto"/>
        <w:ind w:left="720" w:right="719" w:firstLine="559"/>
        <w:jc w:val="both"/>
      </w:pPr>
      <w:r>
        <w:rPr>
          <w:spacing w:val="-10"/>
        </w:rPr>
        <w:t>根据濉溪县委、县政府提出未来濉溪县发展的总体目标，制定并</w:t>
      </w:r>
      <w:r>
        <w:rPr>
          <w:spacing w:val="-12"/>
        </w:rPr>
        <w:t>实施《濉溪县“十四五”生态环境保护规划》，对于抢抓机遇，应对</w:t>
      </w:r>
      <w:r>
        <w:rPr>
          <w:spacing w:val="-11"/>
        </w:rPr>
        <w:t>挑战，站在新的历史起点，实现生态环境保护持续快速健康发展，具</w:t>
      </w:r>
      <w:r>
        <w:rPr>
          <w:spacing w:val="-5"/>
        </w:rPr>
        <w:t>有十分重大的意义。</w:t>
      </w:r>
    </w:p>
    <w:p w14:paraId="0F221598">
      <w:pPr>
        <w:pStyle w:val="6"/>
        <w:spacing w:line="417" w:lineRule="auto"/>
        <w:ind w:left="720" w:right="719" w:firstLine="559"/>
        <w:jc w:val="both"/>
      </w:pPr>
      <w:r>
        <w:rPr>
          <w:spacing w:val="-13"/>
        </w:rPr>
        <w:t xml:space="preserve">本规划年限为 </w:t>
      </w:r>
      <w:r>
        <w:t>2021～2025</w:t>
      </w:r>
      <w:r>
        <w:rPr>
          <w:spacing w:val="-22"/>
        </w:rPr>
        <w:t xml:space="preserve"> 年，规划基准年为 </w:t>
      </w:r>
      <w:r>
        <w:t>2020</w:t>
      </w:r>
      <w:r>
        <w:rPr>
          <w:spacing w:val="-19"/>
        </w:rPr>
        <w:t xml:space="preserve"> 年，涵盖濉溪</w:t>
      </w:r>
      <w:r>
        <w:rPr>
          <w:spacing w:val="-14"/>
        </w:rPr>
        <w:t xml:space="preserve">县全域，总面积 </w:t>
      </w:r>
      <w:r>
        <w:t>1987.5</w:t>
      </w:r>
      <w:r>
        <w:rPr>
          <w:spacing w:val="-14"/>
        </w:rPr>
        <w:t xml:space="preserve"> 平方公里。</w:t>
      </w:r>
    </w:p>
    <w:p w14:paraId="4712B812">
      <w:pPr>
        <w:spacing w:after="0" w:line="417" w:lineRule="auto"/>
        <w:jc w:val="both"/>
        <w:sectPr>
          <w:pgSz w:w="11910" w:h="16840"/>
          <w:pgMar w:top="1420" w:right="1080" w:bottom="1440" w:left="1080" w:header="878" w:footer="1164" w:gutter="0"/>
          <w:pgNumType w:fmt="decimal"/>
          <w:cols w:space="720" w:num="1"/>
        </w:sectPr>
      </w:pPr>
    </w:p>
    <w:p w14:paraId="6CC1CBAF">
      <w:pPr>
        <w:pStyle w:val="3"/>
        <w:tabs>
          <w:tab w:val="left" w:pos="1406"/>
        </w:tabs>
        <w:ind w:right="21"/>
      </w:pPr>
      <w:bookmarkStart w:id="2" w:name="第一章  “十三五”环保成效回顾与发展背景"/>
      <w:bookmarkEnd w:id="2"/>
      <w:bookmarkStart w:id="3" w:name="_bookmark1"/>
      <w:bookmarkEnd w:id="3"/>
      <w:r>
        <w:rPr>
          <w:spacing w:val="26"/>
        </w:rPr>
        <w:t>第一</w:t>
      </w:r>
      <w:r>
        <w:t>章</w:t>
      </w:r>
      <w:r>
        <w:tab/>
      </w:r>
      <w:r>
        <w:rPr>
          <w:spacing w:val="26"/>
        </w:rPr>
        <w:t>“十三</w:t>
      </w:r>
      <w:r>
        <w:rPr>
          <w:spacing w:val="24"/>
        </w:rPr>
        <w:t>五</w:t>
      </w:r>
      <w:r>
        <w:rPr>
          <w:spacing w:val="26"/>
        </w:rPr>
        <w:t>”环保成效回</w:t>
      </w:r>
      <w:r>
        <w:rPr>
          <w:spacing w:val="24"/>
        </w:rPr>
        <w:t>顾</w:t>
      </w:r>
      <w:r>
        <w:rPr>
          <w:spacing w:val="26"/>
        </w:rPr>
        <w:t>与发展背</w:t>
      </w:r>
      <w:r>
        <w:t>景</w:t>
      </w:r>
    </w:p>
    <w:p w14:paraId="2B51153C">
      <w:pPr>
        <w:pStyle w:val="6"/>
        <w:spacing w:before="12"/>
        <w:rPr>
          <w:b/>
          <w:sz w:val="37"/>
        </w:rPr>
      </w:pPr>
    </w:p>
    <w:p w14:paraId="064CF01A">
      <w:pPr>
        <w:pStyle w:val="4"/>
        <w:tabs>
          <w:tab w:val="left" w:pos="1204"/>
        </w:tabs>
        <w:spacing w:before="0"/>
        <w:ind w:right="2"/>
        <w:jc w:val="center"/>
      </w:pPr>
      <w:bookmarkStart w:id="4" w:name="第一节  濉溪县概况"/>
      <w:bookmarkEnd w:id="4"/>
      <w:bookmarkStart w:id="5" w:name="_bookmark2"/>
      <w:bookmarkEnd w:id="5"/>
      <w:r>
        <w:t>第一节</w:t>
      </w:r>
      <w:r>
        <w:tab/>
      </w:r>
      <w:r>
        <w:t>濉溪县概况</w:t>
      </w:r>
    </w:p>
    <w:p w14:paraId="52B680F2">
      <w:pPr>
        <w:pStyle w:val="6"/>
        <w:spacing w:before="12"/>
        <w:rPr>
          <w:b/>
          <w:sz w:val="39"/>
        </w:rPr>
      </w:pPr>
    </w:p>
    <w:p w14:paraId="5C5AE49D">
      <w:pPr>
        <w:pStyle w:val="6"/>
        <w:spacing w:line="417" w:lineRule="auto"/>
        <w:ind w:left="720" w:right="580" w:firstLine="559"/>
      </w:pPr>
      <w:r>
        <w:rPr>
          <w:spacing w:val="-10"/>
        </w:rPr>
        <w:t>濉溪县位于安徽省北部，东临宿州市，南接蒙城县、怀远县，西</w:t>
      </w:r>
      <w:r>
        <w:rPr>
          <w:spacing w:val="-8"/>
        </w:rPr>
        <w:t xml:space="preserve">连涡阳县，是淮北市唯一的辖县，全县由 </w:t>
      </w:r>
      <w:r>
        <w:rPr>
          <w:rFonts w:ascii="Calibri" w:eastAsia="Calibri"/>
        </w:rPr>
        <w:t xml:space="preserve">11 </w:t>
      </w:r>
      <w:r>
        <w:rPr>
          <w:spacing w:val="-2"/>
        </w:rPr>
        <w:t>个乡镇</w:t>
      </w:r>
      <w:r>
        <w:t>（</w:t>
      </w:r>
      <w:r>
        <w:rPr>
          <w:spacing w:val="-3"/>
        </w:rPr>
        <w:t>四铺镇、双堆</w:t>
      </w:r>
      <w:r>
        <w:rPr>
          <w:spacing w:val="-18"/>
        </w:rPr>
        <w:t>集镇、刘桥镇、五沟镇、孙疃镇、濉溪镇、韩村镇、临涣镇、百善镇、</w:t>
      </w:r>
      <w:r>
        <w:rPr>
          <w:spacing w:val="-6"/>
        </w:rPr>
        <w:t>南坪镇、铁佛镇</w:t>
      </w:r>
      <w:r>
        <w:rPr>
          <w:spacing w:val="-8"/>
        </w:rPr>
        <w:t>）、</w:t>
      </w:r>
      <w:r>
        <w:rPr>
          <w:rFonts w:ascii="Calibri" w:eastAsia="Calibri"/>
        </w:rPr>
        <w:t xml:space="preserve">2 </w:t>
      </w:r>
      <w:r>
        <w:rPr>
          <w:spacing w:val="-4"/>
        </w:rPr>
        <w:t>个省经济开发区</w:t>
      </w:r>
      <w:r>
        <w:t>（</w:t>
      </w:r>
      <w:r>
        <w:rPr>
          <w:spacing w:val="-4"/>
        </w:rPr>
        <w:t>临涣工业园、濉溪芜湖产业园</w:t>
      </w:r>
      <w:r>
        <w:rPr>
          <w:spacing w:val="-34"/>
        </w:rPr>
        <w:t>）</w:t>
      </w:r>
      <w:r>
        <w:rPr>
          <w:spacing w:val="-9"/>
        </w:rPr>
        <w:t>组成，是淮海经济区和徐州都市圈的重要组成部分。濉溪县总占</w:t>
      </w:r>
      <w:r>
        <w:rPr>
          <w:spacing w:val="-21"/>
        </w:rPr>
        <w:t xml:space="preserve">地面积 </w:t>
      </w:r>
      <w:r>
        <w:rPr>
          <w:rFonts w:ascii="Calibri" w:eastAsia="Calibri"/>
        </w:rPr>
        <w:t xml:space="preserve">1987.5 </w:t>
      </w:r>
      <w:r>
        <w:rPr>
          <w:spacing w:val="-11"/>
        </w:rPr>
        <w:t xml:space="preserve">平方公里，总人口 </w:t>
      </w:r>
      <w:r>
        <w:rPr>
          <w:rFonts w:ascii="Calibri" w:eastAsia="Calibri"/>
        </w:rPr>
        <w:t xml:space="preserve">111 </w:t>
      </w:r>
      <w:r>
        <w:rPr>
          <w:spacing w:val="-3"/>
        </w:rPr>
        <w:t>万，是淮北市主要的经济和农</w:t>
      </w:r>
      <w:r>
        <w:rPr>
          <w:spacing w:val="-2"/>
        </w:rPr>
        <w:t>业县。</w:t>
      </w:r>
    </w:p>
    <w:p w14:paraId="13091531">
      <w:pPr>
        <w:pStyle w:val="6"/>
        <w:spacing w:before="118" w:line="417" w:lineRule="auto"/>
        <w:ind w:left="720" w:right="623" w:firstLine="559"/>
        <w:jc w:val="both"/>
      </w:pPr>
      <w:r>
        <w:rPr>
          <w:spacing w:val="-22"/>
        </w:rPr>
        <w:t xml:space="preserve">濉溪县境内沟渠纵横，水资源较为丰富，全县境内共 </w:t>
      </w:r>
      <w:r>
        <w:rPr>
          <w:rFonts w:ascii="Calibri" w:eastAsia="Calibri"/>
        </w:rPr>
        <w:t xml:space="preserve">9 </w:t>
      </w:r>
      <w:r>
        <w:rPr>
          <w:spacing w:val="-42"/>
        </w:rPr>
        <w:t>条河流</w:t>
      </w:r>
      <w:r>
        <w:t>（萧</w:t>
      </w:r>
      <w:r>
        <w:rPr>
          <w:spacing w:val="-12"/>
        </w:rPr>
        <w:t>濉新河、王引河、南沱河、包河、浍河、北淝河、老濉河、澥河、巴河）</w:t>
      </w:r>
      <w:r>
        <w:rPr>
          <w:spacing w:val="-10"/>
        </w:rPr>
        <w:t xml:space="preserve">，均属于淮河流域，总河道全长 </w:t>
      </w:r>
      <w:r>
        <w:rPr>
          <w:rFonts w:ascii="Calibri" w:eastAsia="Calibri"/>
        </w:rPr>
        <w:t xml:space="preserve">222.9 </w:t>
      </w:r>
      <w:r>
        <w:rPr>
          <w:spacing w:val="-4"/>
        </w:rPr>
        <w:t>公里，是环境保护和污染</w:t>
      </w:r>
      <w:r>
        <w:rPr>
          <w:spacing w:val="-9"/>
        </w:rPr>
        <w:t>治理的重点区域；濉溪县矿产资源丰富</w:t>
      </w:r>
      <w:r>
        <w:t>（</w:t>
      </w:r>
      <w:r>
        <w:rPr>
          <w:spacing w:val="-7"/>
        </w:rPr>
        <w:t>非金属矿产以煤为主，金属</w:t>
      </w:r>
      <w:r>
        <w:rPr>
          <w:spacing w:val="-3"/>
        </w:rPr>
        <w:t>矿产以铁为主</w:t>
      </w:r>
      <w:r>
        <w:rPr>
          <w:spacing w:val="-1"/>
        </w:rPr>
        <w:t>）</w:t>
      </w:r>
      <w:r>
        <w:rPr>
          <w:spacing w:val="-3"/>
        </w:rPr>
        <w:t>，是我国重要的能源基地淮北煤田的重要组成部分。</w:t>
      </w:r>
    </w:p>
    <w:p w14:paraId="217E956E">
      <w:pPr>
        <w:pStyle w:val="4"/>
        <w:spacing w:before="248"/>
        <w:ind w:left="2613"/>
        <w:jc w:val="both"/>
      </w:pPr>
      <w:bookmarkStart w:id="6" w:name="_bookmark3"/>
      <w:bookmarkEnd w:id="6"/>
      <w:bookmarkStart w:id="7" w:name="第二节  “十三五”环保成效回顾"/>
      <w:bookmarkEnd w:id="7"/>
      <w:r>
        <w:t>第二节 “十三五”环保成效回顾</w:t>
      </w:r>
    </w:p>
    <w:p w14:paraId="7552E9A0">
      <w:pPr>
        <w:pStyle w:val="6"/>
        <w:spacing w:before="12"/>
        <w:rPr>
          <w:b/>
          <w:sz w:val="39"/>
        </w:rPr>
      </w:pPr>
    </w:p>
    <w:p w14:paraId="59387139">
      <w:pPr>
        <w:spacing w:before="0"/>
        <w:ind w:left="720" w:right="0" w:firstLine="0"/>
        <w:jc w:val="left"/>
        <w:rPr>
          <w:b/>
          <w:sz w:val="28"/>
        </w:rPr>
      </w:pPr>
      <w:r>
        <w:rPr>
          <w:rFonts w:ascii="Calibri" w:eastAsia="Calibri"/>
          <w:b/>
          <w:sz w:val="28"/>
        </w:rPr>
        <w:t>1</w:t>
      </w:r>
      <w:r>
        <w:rPr>
          <w:b/>
          <w:sz w:val="28"/>
        </w:rPr>
        <w:t>、环境质量稳中有进</w:t>
      </w:r>
    </w:p>
    <w:p w14:paraId="0136266D">
      <w:pPr>
        <w:pStyle w:val="6"/>
        <w:spacing w:before="12"/>
        <w:rPr>
          <w:b/>
          <w:sz w:val="40"/>
        </w:rPr>
      </w:pPr>
    </w:p>
    <w:p w14:paraId="074F12C2">
      <w:pPr>
        <w:pStyle w:val="6"/>
        <w:spacing w:line="417" w:lineRule="auto"/>
        <w:ind w:left="720" w:right="719" w:firstLine="559"/>
        <w:jc w:val="both"/>
      </w:pPr>
      <w:r>
        <w:rPr>
          <w:spacing w:val="-12"/>
        </w:rPr>
        <w:t>“十三五”以来，在濉溪县政府的带领下，全县坚持以生态文明</w:t>
      </w:r>
      <w:r>
        <w:rPr>
          <w:spacing w:val="-11"/>
        </w:rPr>
        <w:t>建设为统领开展环境保护工作，攻坚克难，不惧艰险，环境保护工作</w:t>
      </w:r>
      <w:r>
        <w:rPr>
          <w:spacing w:val="-12"/>
        </w:rPr>
        <w:t>取得了显著成效，通过对比“十三五”时期的环境质量数据可知，濉</w:t>
      </w:r>
    </w:p>
    <w:p w14:paraId="6EBD721A">
      <w:pPr>
        <w:spacing w:after="0" w:line="417" w:lineRule="auto"/>
        <w:jc w:val="both"/>
        <w:sectPr>
          <w:pgSz w:w="11910" w:h="16840"/>
          <w:pgMar w:top="1420" w:right="1080" w:bottom="1360" w:left="1080" w:header="878" w:footer="1164" w:gutter="0"/>
          <w:pgNumType w:fmt="decimal"/>
          <w:cols w:space="720" w:num="1"/>
        </w:sectPr>
      </w:pPr>
    </w:p>
    <w:p w14:paraId="1458D41E">
      <w:pPr>
        <w:pStyle w:val="6"/>
        <w:spacing w:before="143"/>
        <w:ind w:left="720"/>
      </w:pPr>
      <w:r>
        <w:t>溪县环境质量在逐步改善。</w:t>
      </w:r>
    </w:p>
    <w:p w14:paraId="7B231665">
      <w:pPr>
        <w:pStyle w:val="6"/>
        <w:spacing w:before="1"/>
        <w:rPr>
          <w:sz w:val="30"/>
        </w:rPr>
      </w:pPr>
    </w:p>
    <w:p w14:paraId="6E3B013D">
      <w:pPr>
        <w:pStyle w:val="15"/>
        <w:numPr>
          <w:ilvl w:val="0"/>
          <w:numId w:val="1"/>
        </w:numPr>
        <w:tabs>
          <w:tab w:val="left" w:pos="1982"/>
        </w:tabs>
        <w:spacing w:before="0" w:after="0" w:line="240" w:lineRule="auto"/>
        <w:ind w:left="1981" w:right="0" w:hanging="703"/>
        <w:jc w:val="left"/>
        <w:rPr>
          <w:sz w:val="28"/>
        </w:rPr>
      </w:pPr>
      <w:r>
        <w:rPr>
          <w:spacing w:val="-3"/>
          <w:sz w:val="28"/>
        </w:rPr>
        <w:t>环境空气质量</w:t>
      </w:r>
    </w:p>
    <w:p w14:paraId="703EB533">
      <w:pPr>
        <w:pStyle w:val="6"/>
        <w:spacing w:before="9"/>
        <w:rPr>
          <w:sz w:val="20"/>
        </w:rPr>
      </w:pPr>
    </w:p>
    <w:p w14:paraId="6FE7176D">
      <w:pPr>
        <w:pStyle w:val="6"/>
        <w:spacing w:line="417" w:lineRule="auto"/>
        <w:ind w:left="720" w:right="578" w:firstLine="420"/>
      </w:pPr>
      <w:r>
        <w:t>2019</w:t>
      </w:r>
      <w:r>
        <w:rPr>
          <w:spacing w:val="-17"/>
        </w:rPr>
        <w:t xml:space="preserve"> 年，濉溪县环境空气质量优良天数为</w:t>
      </w:r>
      <w:r>
        <w:t>236</w:t>
      </w:r>
      <w:r>
        <w:rPr>
          <w:spacing w:val="-29"/>
        </w:rPr>
        <w:t xml:space="preserve"> 天，优良率为</w:t>
      </w:r>
      <w:r>
        <w:t xml:space="preserve">64.7%； </w:t>
      </w:r>
      <w:r>
        <w:rPr>
          <w:spacing w:val="-10"/>
        </w:rPr>
        <w:t xml:space="preserve">轻度污染天数 </w:t>
      </w:r>
      <w:r>
        <w:t>109</w:t>
      </w:r>
      <w:r>
        <w:rPr>
          <w:spacing w:val="-24"/>
        </w:rPr>
        <w:t xml:space="preserve"> 天，占比 </w:t>
      </w:r>
      <w:r>
        <w:t>29.9%</w:t>
      </w:r>
      <w:r>
        <w:rPr>
          <w:spacing w:val="-12"/>
        </w:rPr>
        <w:t xml:space="preserve">；中度污染 </w:t>
      </w:r>
      <w:r>
        <w:t>17</w:t>
      </w:r>
      <w:r>
        <w:rPr>
          <w:spacing w:val="-24"/>
        </w:rPr>
        <w:t xml:space="preserve"> 天，占比 </w:t>
      </w:r>
      <w:r>
        <w:t>4.5%；重</w:t>
      </w:r>
      <w:r>
        <w:rPr>
          <w:spacing w:val="-14"/>
        </w:rPr>
        <w:t xml:space="preserve">度污染 </w:t>
      </w:r>
      <w:r>
        <w:t>3</w:t>
      </w:r>
      <w:r>
        <w:rPr>
          <w:spacing w:val="-20"/>
        </w:rPr>
        <w:t xml:space="preserve"> 天，占比 </w:t>
      </w:r>
      <w:r>
        <w:t>0.9%。相比较于“十三五”初，濉溪县大气环境</w:t>
      </w:r>
      <w:r>
        <w:rPr>
          <w:spacing w:val="-2"/>
        </w:rPr>
        <w:t xml:space="preserve">质量污染天气所占比例逐年降低，尤其是重污染天气，由 </w:t>
      </w:r>
      <w:r>
        <w:t>5.5%降至0.9%</w:t>
      </w:r>
      <w:r>
        <w:rPr>
          <w:spacing w:val="-8"/>
        </w:rPr>
        <w:t xml:space="preserve">，优良天气占比明显提高，由 </w:t>
      </w:r>
      <w:r>
        <w:t>59.8</w:t>
      </w:r>
      <w:r>
        <w:rPr>
          <w:spacing w:val="-15"/>
        </w:rPr>
        <w:t xml:space="preserve">%提高至 </w:t>
      </w:r>
      <w:r>
        <w:t>64.7%。</w:t>
      </w:r>
    </w:p>
    <w:p w14:paraId="37FB2519">
      <w:pPr>
        <w:pStyle w:val="6"/>
        <w:spacing w:before="3"/>
        <w:rPr>
          <w:sz w:val="11"/>
        </w:rPr>
      </w:pPr>
      <w:r>
        <w:drawing>
          <wp:anchor distT="0" distB="0" distL="0" distR="0" simplePos="0" relativeHeight="251659264" behindDoc="0" locked="0" layoutInCell="1" allowOverlap="1">
            <wp:simplePos x="0" y="0"/>
            <wp:positionH relativeFrom="page">
              <wp:posOffset>901700</wp:posOffset>
            </wp:positionH>
            <wp:positionV relativeFrom="paragraph">
              <wp:posOffset>146685</wp:posOffset>
            </wp:positionV>
            <wp:extent cx="1957070" cy="24142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6" cstate="print"/>
                    <a:stretch>
                      <a:fillRect/>
                    </a:stretch>
                  </pic:blipFill>
                  <pic:spPr>
                    <a:xfrm>
                      <a:off x="0" y="0"/>
                      <a:ext cx="1956938" cy="2414016"/>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2934335</wp:posOffset>
            </wp:positionH>
            <wp:positionV relativeFrom="paragraph">
              <wp:posOffset>150495</wp:posOffset>
            </wp:positionV>
            <wp:extent cx="1518285" cy="234378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7" cstate="print"/>
                    <a:stretch>
                      <a:fillRect/>
                    </a:stretch>
                  </pic:blipFill>
                  <pic:spPr>
                    <a:xfrm>
                      <a:off x="0" y="0"/>
                      <a:ext cx="1518321" cy="234391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4801235</wp:posOffset>
            </wp:positionH>
            <wp:positionV relativeFrom="paragraph">
              <wp:posOffset>116205</wp:posOffset>
            </wp:positionV>
            <wp:extent cx="1410970" cy="238950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8" cstate="print"/>
                    <a:stretch>
                      <a:fillRect/>
                    </a:stretch>
                  </pic:blipFill>
                  <pic:spPr>
                    <a:xfrm>
                      <a:off x="0" y="0"/>
                      <a:ext cx="1410895" cy="2389631"/>
                    </a:xfrm>
                    <a:prstGeom prst="rect">
                      <a:avLst/>
                    </a:prstGeom>
                  </pic:spPr>
                </pic:pic>
              </a:graphicData>
            </a:graphic>
          </wp:anchor>
        </w:drawing>
      </w:r>
    </w:p>
    <w:p w14:paraId="1AF64FD0">
      <w:pPr>
        <w:pStyle w:val="6"/>
        <w:spacing w:before="1"/>
        <w:rPr>
          <w:sz w:val="6"/>
        </w:rPr>
      </w:pPr>
    </w:p>
    <w:p w14:paraId="2A0E421B">
      <w:pPr>
        <w:pStyle w:val="6"/>
        <w:tabs>
          <w:tab w:val="left" w:pos="3537"/>
        </w:tabs>
        <w:spacing w:before="62"/>
        <w:ind w:left="2767"/>
      </w:pPr>
      <w:r>
        <w:t>图</w:t>
      </w:r>
      <w:r>
        <w:rPr>
          <w:spacing w:val="-71"/>
        </w:rPr>
        <w:t xml:space="preserve"> </w:t>
      </w:r>
      <w:r>
        <w:t>1</w:t>
      </w:r>
      <w:r>
        <w:tab/>
      </w:r>
      <w:r>
        <w:t>环</w:t>
      </w:r>
      <w:r>
        <w:rPr>
          <w:spacing w:val="-3"/>
        </w:rPr>
        <w:t>境</w:t>
      </w:r>
      <w:r>
        <w:t>空气</w:t>
      </w:r>
      <w:r>
        <w:rPr>
          <w:spacing w:val="-3"/>
        </w:rPr>
        <w:t>质</w:t>
      </w:r>
      <w:r>
        <w:t>量优</w:t>
      </w:r>
      <w:r>
        <w:rPr>
          <w:spacing w:val="-3"/>
        </w:rPr>
        <w:t>良</w:t>
      </w:r>
      <w:r>
        <w:t>率</w:t>
      </w:r>
    </w:p>
    <w:p w14:paraId="641467BE">
      <w:pPr>
        <w:pStyle w:val="6"/>
        <w:rPr>
          <w:sz w:val="20"/>
        </w:rPr>
      </w:pPr>
    </w:p>
    <w:p w14:paraId="43A61AA2">
      <w:pPr>
        <w:pStyle w:val="6"/>
        <w:spacing w:before="4"/>
        <w:rPr>
          <w:sz w:val="16"/>
        </w:rPr>
      </w:pPr>
    </w:p>
    <w:p w14:paraId="10F2716F">
      <w:pPr>
        <w:pStyle w:val="6"/>
        <w:spacing w:before="61" w:line="417" w:lineRule="auto"/>
        <w:ind w:left="720" w:right="578" w:firstLine="420"/>
      </w:pPr>
      <w:r>
        <w:t>2019</w:t>
      </w:r>
      <w:r>
        <w:rPr>
          <w:spacing w:val="-19"/>
        </w:rPr>
        <w:t xml:space="preserve"> 年，濉溪县环境空气首要污染物是臭氧，占</w:t>
      </w:r>
      <w:r>
        <w:t>（149</w:t>
      </w:r>
      <w:r>
        <w:rPr>
          <w:spacing w:val="-32"/>
        </w:rPr>
        <w:t xml:space="preserve"> 天</w:t>
      </w:r>
      <w:r>
        <w:rPr>
          <w:spacing w:val="-10"/>
        </w:rPr>
        <w:t xml:space="preserve">）40.8%， </w:t>
      </w:r>
      <w:r>
        <w:rPr>
          <w:spacing w:val="-6"/>
        </w:rPr>
        <w:t>其次是颗粒物</w:t>
      </w:r>
      <w:r>
        <w:t>（110</w:t>
      </w:r>
      <w:r>
        <w:rPr>
          <w:spacing w:val="-35"/>
        </w:rPr>
        <w:t xml:space="preserve"> 天</w:t>
      </w:r>
      <w:r>
        <w:rPr>
          <w:spacing w:val="-20"/>
        </w:rPr>
        <w:t>）</w:t>
      </w:r>
      <w:r>
        <w:rPr>
          <w:spacing w:val="-34"/>
        </w:rPr>
        <w:t xml:space="preserve">占 </w:t>
      </w:r>
      <w:r>
        <w:rPr>
          <w:spacing w:val="-5"/>
        </w:rPr>
        <w:t>30.1</w:t>
      </w:r>
      <w:r>
        <w:rPr>
          <w:spacing w:val="-6"/>
        </w:rPr>
        <w:t>%，可吸入颗粒物</w:t>
      </w:r>
      <w:r>
        <w:t>（80</w:t>
      </w:r>
      <w:r>
        <w:rPr>
          <w:spacing w:val="-35"/>
        </w:rPr>
        <w:t xml:space="preserve"> 天</w:t>
      </w:r>
      <w:r>
        <w:rPr>
          <w:spacing w:val="-20"/>
        </w:rPr>
        <w:t>）</w:t>
      </w:r>
      <w:r>
        <w:rPr>
          <w:spacing w:val="-34"/>
        </w:rPr>
        <w:t xml:space="preserve">占 </w:t>
      </w:r>
      <w:r>
        <w:t>21.9%。“十三五”期间，淮北市二氧化硫（SO</w:t>
      </w:r>
      <w:r>
        <w:rPr>
          <w:position w:val="-3"/>
          <w:sz w:val="14"/>
        </w:rPr>
        <w:t>2</w:t>
      </w:r>
      <w:r>
        <w:t>）、二氧化氮（NO</w:t>
      </w:r>
      <w:r>
        <w:rPr>
          <w:position w:val="-3"/>
          <w:sz w:val="14"/>
        </w:rPr>
        <w:t>2</w:t>
      </w:r>
      <w:r>
        <w:t>）、一氧</w:t>
      </w:r>
      <w:r>
        <w:rPr>
          <w:spacing w:val="16"/>
        </w:rPr>
        <w:t>化碳</w:t>
      </w:r>
      <w:r>
        <w:rPr>
          <w:spacing w:val="11"/>
        </w:rPr>
        <w:t>（CO）</w:t>
      </w:r>
      <w:r>
        <w:rPr>
          <w:spacing w:val="13"/>
        </w:rPr>
        <w:t>呈逐年改善趋势，均稳定达到《环境空气质量标准》</w:t>
      </w:r>
    </w:p>
    <w:p w14:paraId="6CDF3C33">
      <w:pPr>
        <w:pStyle w:val="6"/>
        <w:spacing w:line="417" w:lineRule="auto"/>
        <w:ind w:left="720" w:right="717"/>
      </w:pPr>
      <w:r>
        <w:rPr>
          <w:spacing w:val="-3"/>
        </w:rPr>
        <w:t>（GB3095-2012）</w:t>
      </w:r>
      <w:r>
        <w:rPr>
          <w:spacing w:val="-8"/>
        </w:rPr>
        <w:t>二级标准限值要求；臭氧</w:t>
      </w:r>
      <w:r>
        <w:rPr>
          <w:spacing w:val="-6"/>
        </w:rPr>
        <w:t>（O</w:t>
      </w:r>
      <w:r>
        <w:rPr>
          <w:spacing w:val="-6"/>
          <w:position w:val="-3"/>
          <w:sz w:val="14"/>
        </w:rPr>
        <w:t>3</w:t>
      </w:r>
      <w:r>
        <w:rPr>
          <w:spacing w:val="-6"/>
        </w:rPr>
        <w:t>）8</w:t>
      </w:r>
      <w:r>
        <w:rPr>
          <w:spacing w:val="-8"/>
        </w:rPr>
        <w:t xml:space="preserve"> 小时平均浓度呈逐</w:t>
      </w:r>
      <w:r>
        <w:rPr>
          <w:spacing w:val="-1"/>
        </w:rPr>
        <w:t>年上升趋势，但仍控制在《环境空气质量标准》</w:t>
      </w:r>
      <w:r>
        <w:t>（GB3095-2012）二</w:t>
      </w:r>
    </w:p>
    <w:p w14:paraId="332E05CE">
      <w:pPr>
        <w:spacing w:after="0" w:line="417" w:lineRule="auto"/>
        <w:sectPr>
          <w:pgSz w:w="11910" w:h="16840"/>
          <w:pgMar w:top="1420" w:right="1080" w:bottom="1360" w:left="1080" w:header="878" w:footer="1164" w:gutter="0"/>
          <w:pgNumType w:fmt="decimal"/>
          <w:cols w:space="720" w:num="1"/>
        </w:sectPr>
      </w:pPr>
    </w:p>
    <w:p w14:paraId="67826B01">
      <w:pPr>
        <w:pStyle w:val="6"/>
        <w:spacing w:before="143" w:line="417" w:lineRule="auto"/>
        <w:ind w:left="720" w:right="580"/>
      </w:pPr>
      <w:r>
        <w:drawing>
          <wp:anchor distT="0" distB="0" distL="0" distR="0" simplePos="0" relativeHeight="251661312" behindDoc="1" locked="0" layoutInCell="1" allowOverlap="1">
            <wp:simplePos x="0" y="0"/>
            <wp:positionH relativeFrom="page">
              <wp:posOffset>1390015</wp:posOffset>
            </wp:positionH>
            <wp:positionV relativeFrom="paragraph">
              <wp:posOffset>1203960</wp:posOffset>
            </wp:positionV>
            <wp:extent cx="4780915" cy="292925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9" cstate="print"/>
                    <a:stretch>
                      <a:fillRect/>
                    </a:stretch>
                  </pic:blipFill>
                  <pic:spPr>
                    <a:xfrm>
                      <a:off x="0" y="0"/>
                      <a:ext cx="4780914" cy="2928991"/>
                    </a:xfrm>
                    <a:prstGeom prst="rect">
                      <a:avLst/>
                    </a:prstGeom>
                  </pic:spPr>
                </pic:pic>
              </a:graphicData>
            </a:graphic>
          </wp:anchor>
        </w:drawing>
      </w:r>
      <w:r>
        <w:rPr>
          <w:spacing w:val="-18"/>
        </w:rPr>
        <w:t>级标准限值内；可吸入颗粒物、细颗粒物年平均浓度呈逐年递减趋势， 但是仍不能达到《环境空气质量标准》（GB3095-2012）二级标准要</w:t>
      </w:r>
      <w:r>
        <w:rPr>
          <w:spacing w:val="-10"/>
        </w:rPr>
        <w:t>求；“十三五”期间，濉溪县未出现酸性降雨。</w:t>
      </w:r>
    </w:p>
    <w:p w14:paraId="4645FC29">
      <w:pPr>
        <w:pStyle w:val="6"/>
      </w:pPr>
    </w:p>
    <w:p w14:paraId="1F9826EA">
      <w:pPr>
        <w:pStyle w:val="6"/>
      </w:pPr>
    </w:p>
    <w:p w14:paraId="033E0E5A">
      <w:pPr>
        <w:pStyle w:val="6"/>
      </w:pPr>
    </w:p>
    <w:p w14:paraId="65E1444F">
      <w:pPr>
        <w:pStyle w:val="6"/>
      </w:pPr>
    </w:p>
    <w:p w14:paraId="57935CB4">
      <w:pPr>
        <w:pStyle w:val="6"/>
      </w:pPr>
    </w:p>
    <w:p w14:paraId="5D082A2B">
      <w:pPr>
        <w:pStyle w:val="6"/>
      </w:pPr>
    </w:p>
    <w:p w14:paraId="09263707">
      <w:pPr>
        <w:pStyle w:val="6"/>
      </w:pPr>
    </w:p>
    <w:p w14:paraId="31EC0AB8">
      <w:pPr>
        <w:pStyle w:val="6"/>
      </w:pPr>
    </w:p>
    <w:p w14:paraId="2773C386">
      <w:pPr>
        <w:pStyle w:val="6"/>
      </w:pPr>
    </w:p>
    <w:p w14:paraId="787300E0">
      <w:pPr>
        <w:pStyle w:val="6"/>
      </w:pPr>
    </w:p>
    <w:p w14:paraId="5BEF729E">
      <w:pPr>
        <w:pStyle w:val="6"/>
      </w:pPr>
    </w:p>
    <w:p w14:paraId="5D38588F">
      <w:pPr>
        <w:pStyle w:val="6"/>
      </w:pPr>
    </w:p>
    <w:p w14:paraId="4055BAE6">
      <w:pPr>
        <w:pStyle w:val="6"/>
        <w:spacing w:before="3"/>
        <w:rPr>
          <w:sz w:val="29"/>
        </w:rPr>
      </w:pPr>
    </w:p>
    <w:p w14:paraId="53EEC534">
      <w:pPr>
        <w:pStyle w:val="6"/>
        <w:tabs>
          <w:tab w:val="left" w:pos="1186"/>
        </w:tabs>
        <w:ind w:left="415"/>
        <w:jc w:val="center"/>
      </w:pPr>
      <w:r>
        <w:t>图</w:t>
      </w:r>
      <w:r>
        <w:rPr>
          <w:spacing w:val="-71"/>
        </w:rPr>
        <w:t xml:space="preserve"> </w:t>
      </w:r>
      <w:r>
        <w:t>2</w:t>
      </w:r>
      <w:r>
        <w:tab/>
      </w:r>
      <w:r>
        <w:t>2017</w:t>
      </w:r>
      <w:r>
        <w:rPr>
          <w:spacing w:val="-70"/>
        </w:rPr>
        <w:t xml:space="preserve"> </w:t>
      </w:r>
      <w:r>
        <w:rPr>
          <w:spacing w:val="-3"/>
        </w:rPr>
        <w:t>年</w:t>
      </w:r>
      <w:r>
        <w:t>-2019</w:t>
      </w:r>
      <w:r>
        <w:rPr>
          <w:spacing w:val="-71"/>
        </w:rPr>
        <w:t xml:space="preserve"> </w:t>
      </w:r>
      <w:r>
        <w:t>年</w:t>
      </w:r>
      <w:r>
        <w:rPr>
          <w:spacing w:val="-3"/>
        </w:rPr>
        <w:t>濉</w:t>
      </w:r>
      <w:r>
        <w:t>溪县</w:t>
      </w:r>
      <w:r>
        <w:rPr>
          <w:spacing w:val="-3"/>
        </w:rPr>
        <w:t>污</w:t>
      </w:r>
      <w:r>
        <w:t>染物</w:t>
      </w:r>
      <w:r>
        <w:rPr>
          <w:spacing w:val="-3"/>
        </w:rPr>
        <w:t>年</w:t>
      </w:r>
      <w:r>
        <w:t>平均</w:t>
      </w:r>
      <w:r>
        <w:rPr>
          <w:spacing w:val="-3"/>
        </w:rPr>
        <w:t>浓</w:t>
      </w:r>
      <w:r>
        <w:t>度变</w:t>
      </w:r>
      <w:r>
        <w:rPr>
          <w:spacing w:val="-3"/>
        </w:rPr>
        <w:t>化</w:t>
      </w:r>
      <w:r>
        <w:t>趋势</w:t>
      </w:r>
    </w:p>
    <w:p w14:paraId="1CC64119">
      <w:pPr>
        <w:pStyle w:val="6"/>
        <w:tabs>
          <w:tab w:val="left" w:pos="770"/>
        </w:tabs>
        <w:spacing w:before="158"/>
        <w:ind w:right="1"/>
        <w:jc w:val="center"/>
      </w:pPr>
      <w:r>
        <w:t>表</w:t>
      </w:r>
      <w:r>
        <w:rPr>
          <w:spacing w:val="-71"/>
        </w:rPr>
        <w:t xml:space="preserve"> </w:t>
      </w:r>
      <w:r>
        <w:t>1</w:t>
      </w:r>
      <w:r>
        <w:tab/>
      </w:r>
      <w:r>
        <w:t>污</w:t>
      </w:r>
      <w:r>
        <w:rPr>
          <w:spacing w:val="-3"/>
        </w:rPr>
        <w:t>染</w:t>
      </w:r>
      <w:r>
        <w:t>物排</w:t>
      </w:r>
      <w:r>
        <w:rPr>
          <w:spacing w:val="-3"/>
        </w:rPr>
        <w:t>放</w:t>
      </w:r>
      <w:r>
        <w:t>浓度</w:t>
      </w:r>
    </w:p>
    <w:tbl>
      <w:tblPr>
        <w:tblStyle w:val="12"/>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2"/>
        <w:gridCol w:w="904"/>
        <w:gridCol w:w="1084"/>
        <w:gridCol w:w="990"/>
        <w:gridCol w:w="1095"/>
        <w:gridCol w:w="2880"/>
      </w:tblGrid>
      <w:tr w14:paraId="6EFE2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542" w:type="dxa"/>
          </w:tcPr>
          <w:p w14:paraId="262E8812">
            <w:pPr>
              <w:pStyle w:val="16"/>
              <w:spacing w:before="31"/>
              <w:ind w:left="88" w:right="3"/>
              <w:jc w:val="center"/>
              <w:rPr>
                <w:sz w:val="24"/>
              </w:rPr>
            </w:pPr>
            <w:r>
              <w:rPr>
                <w:sz w:val="24"/>
              </w:rPr>
              <w:t>污染物（年平均浓度）</w:t>
            </w:r>
          </w:p>
        </w:tc>
        <w:tc>
          <w:tcPr>
            <w:tcW w:w="904" w:type="dxa"/>
          </w:tcPr>
          <w:p w14:paraId="28E68C43">
            <w:pPr>
              <w:pStyle w:val="16"/>
              <w:spacing w:before="31"/>
              <w:ind w:left="90" w:right="82"/>
              <w:jc w:val="center"/>
              <w:rPr>
                <w:sz w:val="24"/>
              </w:rPr>
            </w:pPr>
            <w:r>
              <w:rPr>
                <w:sz w:val="24"/>
              </w:rPr>
              <w:t>单位</w:t>
            </w:r>
          </w:p>
        </w:tc>
        <w:tc>
          <w:tcPr>
            <w:tcW w:w="1084" w:type="dxa"/>
          </w:tcPr>
          <w:p w14:paraId="455316EC">
            <w:pPr>
              <w:pStyle w:val="16"/>
              <w:spacing w:before="31"/>
              <w:ind w:left="102" w:right="92"/>
              <w:jc w:val="center"/>
              <w:rPr>
                <w:sz w:val="24"/>
              </w:rPr>
            </w:pPr>
            <w:r>
              <w:rPr>
                <w:sz w:val="24"/>
              </w:rPr>
              <w:t>2017 年</w:t>
            </w:r>
          </w:p>
        </w:tc>
        <w:tc>
          <w:tcPr>
            <w:tcW w:w="990" w:type="dxa"/>
          </w:tcPr>
          <w:p w14:paraId="03D7CA5B">
            <w:pPr>
              <w:pStyle w:val="16"/>
              <w:spacing w:before="31"/>
              <w:ind w:left="55" w:right="45"/>
              <w:jc w:val="center"/>
              <w:rPr>
                <w:sz w:val="24"/>
              </w:rPr>
            </w:pPr>
            <w:r>
              <w:rPr>
                <w:sz w:val="24"/>
              </w:rPr>
              <w:t>2018 年</w:t>
            </w:r>
          </w:p>
        </w:tc>
        <w:tc>
          <w:tcPr>
            <w:tcW w:w="1095" w:type="dxa"/>
          </w:tcPr>
          <w:p w14:paraId="37FB47D8">
            <w:pPr>
              <w:pStyle w:val="16"/>
              <w:spacing w:before="31"/>
              <w:ind w:left="106" w:right="98"/>
              <w:jc w:val="center"/>
              <w:rPr>
                <w:sz w:val="24"/>
              </w:rPr>
            </w:pPr>
            <w:r>
              <w:rPr>
                <w:sz w:val="24"/>
              </w:rPr>
              <w:t>2019 年</w:t>
            </w:r>
          </w:p>
        </w:tc>
        <w:tc>
          <w:tcPr>
            <w:tcW w:w="2880" w:type="dxa"/>
          </w:tcPr>
          <w:p w14:paraId="270E345F">
            <w:pPr>
              <w:pStyle w:val="16"/>
              <w:spacing w:before="31"/>
              <w:ind w:left="39" w:right="30"/>
              <w:jc w:val="center"/>
              <w:rPr>
                <w:sz w:val="24"/>
              </w:rPr>
            </w:pPr>
            <w:r>
              <w:rPr>
                <w:sz w:val="24"/>
              </w:rPr>
              <w:t>达标情况</w:t>
            </w:r>
          </w:p>
        </w:tc>
      </w:tr>
      <w:tr w14:paraId="5C0FD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542" w:type="dxa"/>
          </w:tcPr>
          <w:p w14:paraId="734C94CE">
            <w:pPr>
              <w:pStyle w:val="16"/>
              <w:spacing w:before="32"/>
              <w:ind w:left="13" w:right="3"/>
              <w:jc w:val="center"/>
              <w:rPr>
                <w:sz w:val="12"/>
              </w:rPr>
            </w:pPr>
            <w:r>
              <w:rPr>
                <w:sz w:val="24"/>
              </w:rPr>
              <w:t>可吸入颗粒物 PM</w:t>
            </w:r>
            <w:r>
              <w:rPr>
                <w:position w:val="-2"/>
                <w:sz w:val="12"/>
              </w:rPr>
              <w:t>10</w:t>
            </w:r>
          </w:p>
        </w:tc>
        <w:tc>
          <w:tcPr>
            <w:tcW w:w="904" w:type="dxa"/>
          </w:tcPr>
          <w:p w14:paraId="196C35B6">
            <w:pPr>
              <w:pStyle w:val="16"/>
              <w:spacing w:before="32"/>
              <w:ind w:left="90" w:right="83"/>
              <w:jc w:val="center"/>
              <w:rPr>
                <w:rFonts w:ascii="Arial" w:hAnsi="Arial"/>
                <w:sz w:val="24"/>
              </w:rPr>
            </w:pPr>
            <w:r>
              <w:rPr>
                <w:sz w:val="24"/>
              </w:rPr>
              <w:t>μg/m</w:t>
            </w:r>
            <w:r>
              <w:rPr>
                <w:rFonts w:ascii="Arial" w:hAnsi="Arial"/>
                <w:sz w:val="24"/>
              </w:rPr>
              <w:t>³</w:t>
            </w:r>
          </w:p>
        </w:tc>
        <w:tc>
          <w:tcPr>
            <w:tcW w:w="1084" w:type="dxa"/>
          </w:tcPr>
          <w:p w14:paraId="45B6CCB0">
            <w:pPr>
              <w:pStyle w:val="16"/>
              <w:spacing w:before="32"/>
              <w:ind w:left="99" w:right="92"/>
              <w:jc w:val="center"/>
              <w:rPr>
                <w:sz w:val="24"/>
              </w:rPr>
            </w:pPr>
            <w:r>
              <w:rPr>
                <w:sz w:val="24"/>
              </w:rPr>
              <w:t>115.3</w:t>
            </w:r>
          </w:p>
        </w:tc>
        <w:tc>
          <w:tcPr>
            <w:tcW w:w="990" w:type="dxa"/>
          </w:tcPr>
          <w:p w14:paraId="26591E89">
            <w:pPr>
              <w:pStyle w:val="16"/>
              <w:spacing w:before="32"/>
              <w:ind w:left="52" w:right="45"/>
              <w:jc w:val="center"/>
              <w:rPr>
                <w:sz w:val="24"/>
              </w:rPr>
            </w:pPr>
            <w:r>
              <w:rPr>
                <w:sz w:val="24"/>
              </w:rPr>
              <w:t>97.2</w:t>
            </w:r>
          </w:p>
        </w:tc>
        <w:tc>
          <w:tcPr>
            <w:tcW w:w="1095" w:type="dxa"/>
          </w:tcPr>
          <w:p w14:paraId="62359BF9">
            <w:pPr>
              <w:pStyle w:val="16"/>
              <w:spacing w:before="32"/>
              <w:ind w:left="106" w:right="96"/>
              <w:jc w:val="center"/>
              <w:rPr>
                <w:sz w:val="24"/>
              </w:rPr>
            </w:pPr>
            <w:r>
              <w:rPr>
                <w:sz w:val="24"/>
              </w:rPr>
              <w:t>92.7</w:t>
            </w:r>
          </w:p>
        </w:tc>
        <w:tc>
          <w:tcPr>
            <w:tcW w:w="2880" w:type="dxa"/>
          </w:tcPr>
          <w:p w14:paraId="628138CB">
            <w:pPr>
              <w:pStyle w:val="16"/>
              <w:spacing w:before="32"/>
              <w:ind w:left="39" w:right="30"/>
              <w:jc w:val="center"/>
              <w:rPr>
                <w:sz w:val="24"/>
              </w:rPr>
            </w:pPr>
            <w:r>
              <w:rPr>
                <w:sz w:val="24"/>
              </w:rPr>
              <w:t>未达标</w:t>
            </w:r>
          </w:p>
        </w:tc>
      </w:tr>
      <w:tr w14:paraId="79F2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542" w:type="dxa"/>
          </w:tcPr>
          <w:p w14:paraId="128AB0E9">
            <w:pPr>
              <w:pStyle w:val="16"/>
              <w:spacing w:before="31"/>
              <w:ind w:left="11" w:right="3"/>
              <w:jc w:val="center"/>
              <w:rPr>
                <w:sz w:val="12"/>
              </w:rPr>
            </w:pPr>
            <w:r>
              <w:rPr>
                <w:sz w:val="24"/>
              </w:rPr>
              <w:t>细颗粒物 PM</w:t>
            </w:r>
            <w:r>
              <w:rPr>
                <w:position w:val="-3"/>
                <w:sz w:val="12"/>
              </w:rPr>
              <w:t>2.5</w:t>
            </w:r>
          </w:p>
        </w:tc>
        <w:tc>
          <w:tcPr>
            <w:tcW w:w="904" w:type="dxa"/>
          </w:tcPr>
          <w:p w14:paraId="1A6D2C0C">
            <w:pPr>
              <w:pStyle w:val="16"/>
              <w:spacing w:before="31"/>
              <w:ind w:left="90" w:right="83"/>
              <w:jc w:val="center"/>
              <w:rPr>
                <w:rFonts w:ascii="Arial" w:hAnsi="Arial"/>
                <w:sz w:val="24"/>
              </w:rPr>
            </w:pPr>
            <w:r>
              <w:rPr>
                <w:sz w:val="24"/>
              </w:rPr>
              <w:t>μg/m</w:t>
            </w:r>
            <w:r>
              <w:rPr>
                <w:rFonts w:ascii="Arial" w:hAnsi="Arial"/>
                <w:sz w:val="24"/>
              </w:rPr>
              <w:t>³</w:t>
            </w:r>
          </w:p>
        </w:tc>
        <w:tc>
          <w:tcPr>
            <w:tcW w:w="1084" w:type="dxa"/>
          </w:tcPr>
          <w:p w14:paraId="12271F60">
            <w:pPr>
              <w:pStyle w:val="16"/>
              <w:spacing w:before="31"/>
              <w:ind w:left="99" w:right="92"/>
              <w:jc w:val="center"/>
              <w:rPr>
                <w:sz w:val="24"/>
              </w:rPr>
            </w:pPr>
            <w:r>
              <w:rPr>
                <w:sz w:val="24"/>
              </w:rPr>
              <w:t>77.1</w:t>
            </w:r>
          </w:p>
        </w:tc>
        <w:tc>
          <w:tcPr>
            <w:tcW w:w="990" w:type="dxa"/>
          </w:tcPr>
          <w:p w14:paraId="405B1AEF">
            <w:pPr>
              <w:pStyle w:val="16"/>
              <w:spacing w:before="31"/>
              <w:ind w:left="52" w:right="45"/>
              <w:jc w:val="center"/>
              <w:rPr>
                <w:sz w:val="24"/>
              </w:rPr>
            </w:pPr>
            <w:r>
              <w:rPr>
                <w:sz w:val="24"/>
              </w:rPr>
              <w:t>55.4</w:t>
            </w:r>
          </w:p>
        </w:tc>
        <w:tc>
          <w:tcPr>
            <w:tcW w:w="1095" w:type="dxa"/>
          </w:tcPr>
          <w:p w14:paraId="5C0A165F">
            <w:pPr>
              <w:pStyle w:val="16"/>
              <w:spacing w:before="31"/>
              <w:ind w:left="106" w:right="96"/>
              <w:jc w:val="center"/>
              <w:rPr>
                <w:sz w:val="24"/>
              </w:rPr>
            </w:pPr>
            <w:r>
              <w:rPr>
                <w:sz w:val="24"/>
              </w:rPr>
              <w:t>48.9</w:t>
            </w:r>
          </w:p>
        </w:tc>
        <w:tc>
          <w:tcPr>
            <w:tcW w:w="2880" w:type="dxa"/>
          </w:tcPr>
          <w:p w14:paraId="22C0BA31">
            <w:pPr>
              <w:pStyle w:val="16"/>
              <w:spacing w:before="31"/>
              <w:ind w:left="39" w:right="30"/>
              <w:jc w:val="center"/>
              <w:rPr>
                <w:sz w:val="24"/>
              </w:rPr>
            </w:pPr>
            <w:r>
              <w:rPr>
                <w:sz w:val="24"/>
              </w:rPr>
              <w:t>未达标</w:t>
            </w:r>
          </w:p>
        </w:tc>
      </w:tr>
      <w:tr w14:paraId="3368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542" w:type="dxa"/>
          </w:tcPr>
          <w:p w14:paraId="690CE051">
            <w:pPr>
              <w:pStyle w:val="16"/>
              <w:spacing w:before="155"/>
              <w:ind w:left="13" w:right="3"/>
              <w:jc w:val="center"/>
              <w:rPr>
                <w:sz w:val="12"/>
              </w:rPr>
            </w:pPr>
            <w:r>
              <w:rPr>
                <w:sz w:val="24"/>
              </w:rPr>
              <w:t>SO</w:t>
            </w:r>
            <w:r>
              <w:rPr>
                <w:position w:val="-2"/>
                <w:sz w:val="12"/>
              </w:rPr>
              <w:t>2</w:t>
            </w:r>
          </w:p>
        </w:tc>
        <w:tc>
          <w:tcPr>
            <w:tcW w:w="904" w:type="dxa"/>
          </w:tcPr>
          <w:p w14:paraId="2E39E2A6">
            <w:pPr>
              <w:pStyle w:val="16"/>
              <w:spacing w:before="155"/>
              <w:ind w:left="90" w:right="83"/>
              <w:jc w:val="center"/>
              <w:rPr>
                <w:rFonts w:ascii="Arial" w:hAnsi="Arial"/>
                <w:sz w:val="24"/>
              </w:rPr>
            </w:pPr>
            <w:r>
              <w:rPr>
                <w:sz w:val="24"/>
              </w:rPr>
              <w:t>μg/m</w:t>
            </w:r>
            <w:r>
              <w:rPr>
                <w:rFonts w:ascii="Arial" w:hAnsi="Arial"/>
                <w:sz w:val="24"/>
              </w:rPr>
              <w:t>³</w:t>
            </w:r>
          </w:p>
        </w:tc>
        <w:tc>
          <w:tcPr>
            <w:tcW w:w="1084" w:type="dxa"/>
          </w:tcPr>
          <w:p w14:paraId="55494803">
            <w:pPr>
              <w:pStyle w:val="16"/>
              <w:spacing w:before="155"/>
              <w:ind w:left="99" w:right="92"/>
              <w:jc w:val="center"/>
              <w:rPr>
                <w:sz w:val="24"/>
              </w:rPr>
            </w:pPr>
            <w:r>
              <w:rPr>
                <w:sz w:val="24"/>
              </w:rPr>
              <w:t>33.0</w:t>
            </w:r>
          </w:p>
        </w:tc>
        <w:tc>
          <w:tcPr>
            <w:tcW w:w="990" w:type="dxa"/>
          </w:tcPr>
          <w:p w14:paraId="3C816AD8">
            <w:pPr>
              <w:pStyle w:val="16"/>
              <w:spacing w:before="155"/>
              <w:ind w:left="52" w:right="45"/>
              <w:jc w:val="center"/>
              <w:rPr>
                <w:sz w:val="24"/>
              </w:rPr>
            </w:pPr>
            <w:r>
              <w:rPr>
                <w:sz w:val="24"/>
              </w:rPr>
              <w:t>21.6</w:t>
            </w:r>
          </w:p>
        </w:tc>
        <w:tc>
          <w:tcPr>
            <w:tcW w:w="1095" w:type="dxa"/>
          </w:tcPr>
          <w:p w14:paraId="4F6065F2">
            <w:pPr>
              <w:pStyle w:val="16"/>
              <w:spacing w:before="155"/>
              <w:ind w:left="106" w:right="96"/>
              <w:jc w:val="center"/>
              <w:rPr>
                <w:sz w:val="24"/>
              </w:rPr>
            </w:pPr>
            <w:r>
              <w:rPr>
                <w:sz w:val="24"/>
              </w:rPr>
              <w:t>11.8</w:t>
            </w:r>
          </w:p>
        </w:tc>
        <w:tc>
          <w:tcPr>
            <w:tcW w:w="2880" w:type="dxa"/>
          </w:tcPr>
          <w:p w14:paraId="27CA52BD">
            <w:pPr>
              <w:pStyle w:val="16"/>
              <w:spacing w:line="306" w:lineRule="exact"/>
              <w:ind w:left="39" w:right="30"/>
              <w:jc w:val="center"/>
              <w:rPr>
                <w:sz w:val="24"/>
              </w:rPr>
            </w:pPr>
            <w:r>
              <w:rPr>
                <w:sz w:val="24"/>
              </w:rPr>
              <w:t>《环境空气质量标准》</w:t>
            </w:r>
          </w:p>
          <w:p w14:paraId="6DB94154">
            <w:pPr>
              <w:pStyle w:val="16"/>
              <w:spacing w:before="4"/>
              <w:ind w:left="39" w:right="30"/>
              <w:jc w:val="center"/>
              <w:rPr>
                <w:sz w:val="24"/>
              </w:rPr>
            </w:pPr>
            <w:r>
              <w:rPr>
                <w:sz w:val="24"/>
              </w:rPr>
              <w:t>（GB3095-2012）二级标准</w:t>
            </w:r>
          </w:p>
        </w:tc>
      </w:tr>
      <w:tr w14:paraId="7BAC4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542" w:type="dxa"/>
          </w:tcPr>
          <w:p w14:paraId="2ADDB13F">
            <w:pPr>
              <w:pStyle w:val="16"/>
              <w:spacing w:before="155"/>
              <w:ind w:left="13" w:right="3"/>
              <w:jc w:val="center"/>
              <w:rPr>
                <w:sz w:val="12"/>
              </w:rPr>
            </w:pPr>
            <w:r>
              <w:rPr>
                <w:sz w:val="24"/>
              </w:rPr>
              <w:t>NO</w:t>
            </w:r>
            <w:r>
              <w:rPr>
                <w:position w:val="-2"/>
                <w:sz w:val="12"/>
              </w:rPr>
              <w:t>2</w:t>
            </w:r>
          </w:p>
        </w:tc>
        <w:tc>
          <w:tcPr>
            <w:tcW w:w="904" w:type="dxa"/>
          </w:tcPr>
          <w:p w14:paraId="06F73F61">
            <w:pPr>
              <w:pStyle w:val="16"/>
              <w:spacing w:before="155"/>
              <w:ind w:left="90" w:right="83"/>
              <w:jc w:val="center"/>
              <w:rPr>
                <w:rFonts w:ascii="Arial" w:hAnsi="Arial"/>
                <w:sz w:val="24"/>
              </w:rPr>
            </w:pPr>
            <w:r>
              <w:rPr>
                <w:sz w:val="24"/>
              </w:rPr>
              <w:t>μg/m</w:t>
            </w:r>
            <w:r>
              <w:rPr>
                <w:rFonts w:ascii="Arial" w:hAnsi="Arial"/>
                <w:sz w:val="24"/>
              </w:rPr>
              <w:t>³</w:t>
            </w:r>
          </w:p>
        </w:tc>
        <w:tc>
          <w:tcPr>
            <w:tcW w:w="1084" w:type="dxa"/>
          </w:tcPr>
          <w:p w14:paraId="601D9EB2">
            <w:pPr>
              <w:pStyle w:val="16"/>
              <w:spacing w:before="155"/>
              <w:ind w:left="99" w:right="92"/>
              <w:jc w:val="center"/>
              <w:rPr>
                <w:sz w:val="24"/>
              </w:rPr>
            </w:pPr>
            <w:r>
              <w:rPr>
                <w:sz w:val="24"/>
              </w:rPr>
              <w:t>50.0</w:t>
            </w:r>
          </w:p>
        </w:tc>
        <w:tc>
          <w:tcPr>
            <w:tcW w:w="990" w:type="dxa"/>
          </w:tcPr>
          <w:p w14:paraId="256D51F2">
            <w:pPr>
              <w:pStyle w:val="16"/>
              <w:spacing w:before="155"/>
              <w:ind w:left="52" w:right="45"/>
              <w:jc w:val="center"/>
              <w:rPr>
                <w:sz w:val="24"/>
              </w:rPr>
            </w:pPr>
            <w:r>
              <w:rPr>
                <w:sz w:val="24"/>
              </w:rPr>
              <w:t>31.0</w:t>
            </w:r>
          </w:p>
        </w:tc>
        <w:tc>
          <w:tcPr>
            <w:tcW w:w="1095" w:type="dxa"/>
          </w:tcPr>
          <w:p w14:paraId="40ED654E">
            <w:pPr>
              <w:pStyle w:val="16"/>
              <w:spacing w:before="155"/>
              <w:ind w:left="106" w:right="96"/>
              <w:jc w:val="center"/>
              <w:rPr>
                <w:sz w:val="24"/>
              </w:rPr>
            </w:pPr>
            <w:r>
              <w:rPr>
                <w:sz w:val="24"/>
              </w:rPr>
              <w:t>29.9</w:t>
            </w:r>
          </w:p>
        </w:tc>
        <w:tc>
          <w:tcPr>
            <w:tcW w:w="2880" w:type="dxa"/>
          </w:tcPr>
          <w:p w14:paraId="57754417">
            <w:pPr>
              <w:pStyle w:val="16"/>
              <w:spacing w:line="306" w:lineRule="exact"/>
              <w:ind w:left="39" w:right="30"/>
              <w:jc w:val="center"/>
              <w:rPr>
                <w:sz w:val="24"/>
              </w:rPr>
            </w:pPr>
            <w:r>
              <w:rPr>
                <w:sz w:val="24"/>
              </w:rPr>
              <w:t>《环境空气质量标准》</w:t>
            </w:r>
          </w:p>
          <w:p w14:paraId="3BA33680">
            <w:pPr>
              <w:pStyle w:val="16"/>
              <w:spacing w:before="4"/>
              <w:ind w:left="39" w:right="30"/>
              <w:jc w:val="center"/>
              <w:rPr>
                <w:sz w:val="24"/>
              </w:rPr>
            </w:pPr>
            <w:r>
              <w:rPr>
                <w:sz w:val="24"/>
              </w:rPr>
              <w:t>（GB3095-2012）二级标准</w:t>
            </w:r>
          </w:p>
        </w:tc>
      </w:tr>
      <w:tr w14:paraId="1951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542" w:type="dxa"/>
          </w:tcPr>
          <w:p w14:paraId="1AFE6DD3">
            <w:pPr>
              <w:pStyle w:val="16"/>
              <w:spacing w:before="154"/>
              <w:ind w:left="11" w:right="3"/>
              <w:jc w:val="center"/>
              <w:rPr>
                <w:sz w:val="24"/>
              </w:rPr>
            </w:pPr>
            <w:r>
              <w:rPr>
                <w:sz w:val="24"/>
              </w:rPr>
              <w:t>CO</w:t>
            </w:r>
          </w:p>
        </w:tc>
        <w:tc>
          <w:tcPr>
            <w:tcW w:w="904" w:type="dxa"/>
          </w:tcPr>
          <w:p w14:paraId="282607A2">
            <w:pPr>
              <w:pStyle w:val="16"/>
              <w:spacing w:before="154"/>
              <w:ind w:left="90" w:right="83"/>
              <w:jc w:val="center"/>
              <w:rPr>
                <w:rFonts w:ascii="Arial" w:hAnsi="Arial"/>
                <w:sz w:val="24"/>
              </w:rPr>
            </w:pPr>
            <w:r>
              <w:rPr>
                <w:sz w:val="24"/>
              </w:rPr>
              <w:t>mg/m</w:t>
            </w:r>
            <w:r>
              <w:rPr>
                <w:rFonts w:ascii="Arial" w:hAnsi="Arial"/>
                <w:sz w:val="24"/>
              </w:rPr>
              <w:t>³</w:t>
            </w:r>
          </w:p>
        </w:tc>
        <w:tc>
          <w:tcPr>
            <w:tcW w:w="1084" w:type="dxa"/>
          </w:tcPr>
          <w:p w14:paraId="41389991">
            <w:pPr>
              <w:pStyle w:val="16"/>
              <w:spacing w:before="154"/>
              <w:ind w:left="99" w:right="92"/>
              <w:jc w:val="center"/>
              <w:rPr>
                <w:sz w:val="24"/>
              </w:rPr>
            </w:pPr>
            <w:r>
              <w:rPr>
                <w:sz w:val="24"/>
              </w:rPr>
              <w:t>0.997</w:t>
            </w:r>
          </w:p>
        </w:tc>
        <w:tc>
          <w:tcPr>
            <w:tcW w:w="990" w:type="dxa"/>
          </w:tcPr>
          <w:p w14:paraId="05F09EB6">
            <w:pPr>
              <w:pStyle w:val="16"/>
              <w:spacing w:before="154"/>
              <w:ind w:left="52" w:right="45"/>
              <w:jc w:val="center"/>
              <w:rPr>
                <w:sz w:val="24"/>
              </w:rPr>
            </w:pPr>
            <w:r>
              <w:rPr>
                <w:sz w:val="24"/>
              </w:rPr>
              <w:t>0.738</w:t>
            </w:r>
          </w:p>
        </w:tc>
        <w:tc>
          <w:tcPr>
            <w:tcW w:w="1095" w:type="dxa"/>
          </w:tcPr>
          <w:p w14:paraId="74DF99F0">
            <w:pPr>
              <w:pStyle w:val="16"/>
              <w:spacing w:before="154"/>
              <w:ind w:left="106" w:right="96"/>
              <w:jc w:val="center"/>
              <w:rPr>
                <w:sz w:val="24"/>
              </w:rPr>
            </w:pPr>
            <w:r>
              <w:rPr>
                <w:sz w:val="24"/>
              </w:rPr>
              <w:t>0.654</w:t>
            </w:r>
          </w:p>
        </w:tc>
        <w:tc>
          <w:tcPr>
            <w:tcW w:w="2880" w:type="dxa"/>
          </w:tcPr>
          <w:p w14:paraId="6F16DC80">
            <w:pPr>
              <w:pStyle w:val="16"/>
              <w:spacing w:line="306" w:lineRule="exact"/>
              <w:ind w:left="39" w:right="30"/>
              <w:jc w:val="center"/>
              <w:rPr>
                <w:sz w:val="24"/>
              </w:rPr>
            </w:pPr>
            <w:r>
              <w:rPr>
                <w:sz w:val="24"/>
              </w:rPr>
              <w:t>《环境空气质量标准》</w:t>
            </w:r>
          </w:p>
          <w:p w14:paraId="67B0BACF">
            <w:pPr>
              <w:pStyle w:val="16"/>
              <w:spacing w:before="4"/>
              <w:ind w:left="39" w:right="30"/>
              <w:jc w:val="center"/>
              <w:rPr>
                <w:sz w:val="24"/>
              </w:rPr>
            </w:pPr>
            <w:r>
              <w:rPr>
                <w:sz w:val="24"/>
              </w:rPr>
              <w:t>（GB3095-2012）二级标准</w:t>
            </w:r>
          </w:p>
        </w:tc>
      </w:tr>
      <w:tr w14:paraId="5ACE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542" w:type="dxa"/>
          </w:tcPr>
          <w:p w14:paraId="55300850">
            <w:pPr>
              <w:pStyle w:val="16"/>
              <w:spacing w:before="190"/>
              <w:ind w:left="13" w:right="3"/>
              <w:jc w:val="center"/>
              <w:rPr>
                <w:sz w:val="24"/>
              </w:rPr>
            </w:pPr>
            <w:r>
              <w:rPr>
                <w:sz w:val="24"/>
              </w:rPr>
              <w:t>O</w:t>
            </w:r>
            <w:r>
              <w:rPr>
                <w:position w:val="-2"/>
                <w:sz w:val="12"/>
              </w:rPr>
              <w:t xml:space="preserve">3 </w:t>
            </w:r>
            <w:r>
              <w:rPr>
                <w:sz w:val="24"/>
              </w:rPr>
              <w:t>8 小时平均浓度</w:t>
            </w:r>
          </w:p>
        </w:tc>
        <w:tc>
          <w:tcPr>
            <w:tcW w:w="904" w:type="dxa"/>
          </w:tcPr>
          <w:p w14:paraId="1ED6E8B4">
            <w:pPr>
              <w:pStyle w:val="16"/>
              <w:spacing w:before="190"/>
              <w:ind w:left="90" w:right="83"/>
              <w:jc w:val="center"/>
              <w:rPr>
                <w:rFonts w:ascii="Arial" w:hAnsi="Arial"/>
                <w:sz w:val="24"/>
              </w:rPr>
            </w:pPr>
            <w:r>
              <w:rPr>
                <w:sz w:val="24"/>
              </w:rPr>
              <w:t>μg/m</w:t>
            </w:r>
            <w:r>
              <w:rPr>
                <w:rFonts w:ascii="Arial" w:hAnsi="Arial"/>
                <w:sz w:val="24"/>
              </w:rPr>
              <w:t>³</w:t>
            </w:r>
          </w:p>
        </w:tc>
        <w:tc>
          <w:tcPr>
            <w:tcW w:w="1084" w:type="dxa"/>
          </w:tcPr>
          <w:p w14:paraId="40B76496">
            <w:pPr>
              <w:pStyle w:val="16"/>
              <w:spacing w:before="190"/>
              <w:ind w:left="99" w:right="92"/>
              <w:jc w:val="center"/>
              <w:rPr>
                <w:sz w:val="24"/>
              </w:rPr>
            </w:pPr>
            <w:r>
              <w:rPr>
                <w:sz w:val="24"/>
              </w:rPr>
              <w:t>95.5</w:t>
            </w:r>
          </w:p>
        </w:tc>
        <w:tc>
          <w:tcPr>
            <w:tcW w:w="990" w:type="dxa"/>
          </w:tcPr>
          <w:p w14:paraId="009640D9">
            <w:pPr>
              <w:pStyle w:val="16"/>
              <w:spacing w:before="190"/>
              <w:ind w:left="52" w:right="45"/>
              <w:jc w:val="center"/>
              <w:rPr>
                <w:sz w:val="24"/>
              </w:rPr>
            </w:pPr>
            <w:r>
              <w:rPr>
                <w:sz w:val="24"/>
              </w:rPr>
              <w:t>95.6</w:t>
            </w:r>
          </w:p>
        </w:tc>
        <w:tc>
          <w:tcPr>
            <w:tcW w:w="1095" w:type="dxa"/>
          </w:tcPr>
          <w:p w14:paraId="7A4F8F20">
            <w:pPr>
              <w:pStyle w:val="16"/>
              <w:spacing w:before="190"/>
              <w:ind w:left="106" w:right="96"/>
              <w:jc w:val="center"/>
              <w:rPr>
                <w:sz w:val="24"/>
              </w:rPr>
            </w:pPr>
            <w:r>
              <w:rPr>
                <w:sz w:val="24"/>
              </w:rPr>
              <w:t>109.8</w:t>
            </w:r>
          </w:p>
        </w:tc>
        <w:tc>
          <w:tcPr>
            <w:tcW w:w="2880" w:type="dxa"/>
          </w:tcPr>
          <w:p w14:paraId="0263917E">
            <w:pPr>
              <w:pStyle w:val="16"/>
              <w:spacing w:before="34"/>
              <w:ind w:left="39" w:right="30"/>
              <w:jc w:val="center"/>
              <w:rPr>
                <w:sz w:val="24"/>
              </w:rPr>
            </w:pPr>
            <w:r>
              <w:rPr>
                <w:sz w:val="24"/>
              </w:rPr>
              <w:t>《环境空气质量标准》</w:t>
            </w:r>
          </w:p>
          <w:p w14:paraId="7E68A46D">
            <w:pPr>
              <w:pStyle w:val="16"/>
              <w:spacing w:before="4"/>
              <w:ind w:left="39" w:right="30"/>
              <w:jc w:val="center"/>
              <w:rPr>
                <w:sz w:val="24"/>
              </w:rPr>
            </w:pPr>
            <w:r>
              <w:rPr>
                <w:sz w:val="24"/>
              </w:rPr>
              <w:t>（GB3095-2012）二级标准</w:t>
            </w:r>
          </w:p>
        </w:tc>
      </w:tr>
    </w:tbl>
    <w:p w14:paraId="6A6D8F6A">
      <w:pPr>
        <w:pStyle w:val="6"/>
        <w:spacing w:before="128" w:line="417" w:lineRule="auto"/>
        <w:ind w:left="720" w:right="623" w:firstLine="420"/>
      </w:pPr>
      <w:r>
        <w:t>“十三五”期间，为推进濉溪县大气环境质量持续改善，濉溪县</w:t>
      </w:r>
      <w:r>
        <w:rPr>
          <w:spacing w:val="-19"/>
        </w:rPr>
        <w:t xml:space="preserve">淘汰了 </w:t>
      </w:r>
      <w:r>
        <w:t>10t</w:t>
      </w:r>
      <w:r>
        <w:rPr>
          <w:spacing w:val="-16"/>
        </w:rPr>
        <w:t xml:space="preserve"> 以下燃煤锅炉，完成 </w:t>
      </w:r>
      <w:r>
        <w:t>10t</w:t>
      </w:r>
      <w:r>
        <w:rPr>
          <w:spacing w:val="-10"/>
        </w:rPr>
        <w:t xml:space="preserve"> 以上锅炉改造，加强对加油站、</w:t>
      </w:r>
    </w:p>
    <w:p w14:paraId="5D9AD56B">
      <w:pPr>
        <w:spacing w:after="0" w:line="417" w:lineRule="auto"/>
        <w:sectPr>
          <w:pgSz w:w="11910" w:h="16840"/>
          <w:pgMar w:top="1420" w:right="1080" w:bottom="1360" w:left="1080" w:header="878" w:footer="1164" w:gutter="0"/>
          <w:pgNumType w:fmt="decimal"/>
          <w:cols w:space="720" w:num="1"/>
        </w:sectPr>
      </w:pPr>
    </w:p>
    <w:p w14:paraId="4DDEBA6A">
      <w:pPr>
        <w:pStyle w:val="6"/>
        <w:spacing w:before="143" w:line="417" w:lineRule="auto"/>
        <w:ind w:left="720" w:right="578"/>
        <w:jc w:val="both"/>
      </w:pPr>
      <w:r>
        <w:rPr>
          <w:spacing w:val="-10"/>
        </w:rPr>
        <w:t>油库、产生或使用挥发性有机物的企业管理，采取油气回收、吸附等环保措施进行挥发有机物治理，扩大秸秆综合利用渠道，发展生物质</w:t>
      </w:r>
      <w:r>
        <w:rPr>
          <w:spacing w:val="-15"/>
        </w:rPr>
        <w:t xml:space="preserve">电厂、生物质燃料生产等环保产业，淘汰 </w:t>
      </w:r>
      <w:r>
        <w:t>2005</w:t>
      </w:r>
      <w:r>
        <w:rPr>
          <w:spacing w:val="-10"/>
        </w:rPr>
        <w:t xml:space="preserve"> 年以前注册的黄标车，</w:t>
      </w:r>
    </w:p>
    <w:p w14:paraId="641A715C">
      <w:pPr>
        <w:pStyle w:val="6"/>
        <w:spacing w:line="358" w:lineRule="exact"/>
        <w:ind w:left="720"/>
        <w:jc w:val="both"/>
      </w:pPr>
      <w:r>
        <w:rPr>
          <w:spacing w:val="-20"/>
        </w:rPr>
        <w:t xml:space="preserve">开展 </w:t>
      </w:r>
      <w:r>
        <w:t>2020</w:t>
      </w:r>
      <w:r>
        <w:rPr>
          <w:spacing w:val="-8"/>
        </w:rPr>
        <w:t xml:space="preserve"> 年夏季挥发性有机物污染治理百日攻坚行动方案，为全面</w:t>
      </w:r>
    </w:p>
    <w:p w14:paraId="0EFE714B">
      <w:pPr>
        <w:pStyle w:val="6"/>
        <w:spacing w:before="9"/>
        <w:rPr>
          <w:sz w:val="20"/>
        </w:rPr>
      </w:pPr>
    </w:p>
    <w:p w14:paraId="3E190B3D">
      <w:pPr>
        <w:pStyle w:val="6"/>
        <w:spacing w:line="417" w:lineRule="auto"/>
        <w:ind w:left="720" w:right="719"/>
        <w:jc w:val="both"/>
      </w:pPr>
      <w:r>
        <w:rPr>
          <w:spacing w:val="-3"/>
        </w:rPr>
        <w:t xml:space="preserve">推进全县大气污染治理，实现大气环境质量持续好转，该县将 </w:t>
      </w:r>
      <w:r>
        <w:t>41</w:t>
      </w:r>
      <w:r>
        <w:rPr>
          <w:spacing w:val="-29"/>
        </w:rPr>
        <w:t xml:space="preserve"> 家</w:t>
      </w:r>
      <w:r>
        <w:rPr>
          <w:spacing w:val="-17"/>
        </w:rPr>
        <w:t xml:space="preserve">单位纳入 </w:t>
      </w:r>
      <w:r>
        <w:t>2020</w:t>
      </w:r>
      <w:r>
        <w:rPr>
          <w:spacing w:val="-5"/>
        </w:rPr>
        <w:t xml:space="preserve"> 年工业炉窑特排提标改造治理任务实施，</w:t>
      </w:r>
      <w:r>
        <w:t>9</w:t>
      </w:r>
      <w:r>
        <w:rPr>
          <w:spacing w:val="-10"/>
        </w:rPr>
        <w:t xml:space="preserve"> 月底前完</w:t>
      </w:r>
      <w:r>
        <w:rPr>
          <w:spacing w:val="-14"/>
        </w:rPr>
        <w:t xml:space="preserve">成安徽巨成精细化工有限公司等 </w:t>
      </w:r>
      <w:r>
        <w:t>14</w:t>
      </w:r>
      <w:r>
        <w:rPr>
          <w:spacing w:val="-8"/>
        </w:rPr>
        <w:t xml:space="preserve"> 家燃气锅炉低氮改造和淮北金邦</w:t>
      </w:r>
    </w:p>
    <w:p w14:paraId="47C6C597">
      <w:pPr>
        <w:pStyle w:val="6"/>
        <w:spacing w:line="417" w:lineRule="auto"/>
        <w:ind w:left="720" w:right="716"/>
        <w:jc w:val="both"/>
      </w:pPr>
      <w:r>
        <w:rPr>
          <w:spacing w:val="-10"/>
        </w:rPr>
        <w:t xml:space="preserve">新型材料有限公司等 </w:t>
      </w:r>
      <w:r>
        <w:t>3</w:t>
      </w:r>
      <w:r>
        <w:rPr>
          <w:spacing w:val="-16"/>
        </w:rPr>
        <w:t xml:space="preserve"> 家生物质锅炉超低排放改造任务。建立“散乱</w:t>
      </w:r>
      <w:r>
        <w:rPr>
          <w:spacing w:val="-10"/>
        </w:rPr>
        <w:t>污”企业动态管理机制，坚决杜绝“散乱污”企业项目建设，严防已</w:t>
      </w:r>
      <w:r>
        <w:rPr>
          <w:spacing w:val="-12"/>
        </w:rPr>
        <w:t>取缔的“散乱污”企业异地搬迁、死灰复燃，全面巩固“散乱污”企</w:t>
      </w:r>
      <w:r>
        <w:rPr>
          <w:spacing w:val="-11"/>
        </w:rPr>
        <w:t>业整治成果。持续加强城中村、城乡结合部和镇级散煤治理，加强镇</w:t>
      </w:r>
      <w:r>
        <w:rPr>
          <w:spacing w:val="-13"/>
        </w:rPr>
        <w:t xml:space="preserve">级散煤加工、销售点取缔工作，清理取缔散煤加工、销售点 </w:t>
      </w:r>
      <w:r>
        <w:t>9</w:t>
      </w:r>
      <w:r>
        <w:rPr>
          <w:spacing w:val="-24"/>
        </w:rPr>
        <w:t xml:space="preserve"> 家。建</w:t>
      </w:r>
      <w:r>
        <w:rPr>
          <w:spacing w:val="-12"/>
        </w:rPr>
        <w:t>立城市扬尘治理工作机制，城区道路采取洒水车和人工清扫、保洁相结合，洒水车实行三班制作业的形式，实现了城市道路基本机械化作</w:t>
      </w:r>
      <w:r>
        <w:rPr>
          <w:spacing w:val="-15"/>
        </w:rPr>
        <w:t xml:space="preserve">业全覆盖路段 </w:t>
      </w:r>
      <w:r>
        <w:t>31</w:t>
      </w:r>
      <w:r>
        <w:rPr>
          <w:spacing w:val="-24"/>
        </w:rPr>
        <w:t xml:space="preserve"> 条。</w:t>
      </w:r>
    </w:p>
    <w:p w14:paraId="11979989">
      <w:pPr>
        <w:pStyle w:val="6"/>
        <w:spacing w:line="417" w:lineRule="auto"/>
        <w:ind w:left="720" w:right="580" w:firstLine="420"/>
      </w:pPr>
      <w:r>
        <w:t>同时，濉溪县探索建立覆盖全县乡镇、园区、职能部门的大气污</w:t>
      </w:r>
      <w:r>
        <w:rPr>
          <w:spacing w:val="-10"/>
        </w:rPr>
        <w:t>染防治工作考核机制，确保大气污染防治工作取得实绩实效。建立全</w:t>
      </w:r>
      <w:r>
        <w:rPr>
          <w:spacing w:val="-18"/>
        </w:rPr>
        <w:t xml:space="preserve">县施工工地动态管理清单，严格控制扬尘污染，同时，加大车辆查处， </w:t>
      </w:r>
      <w:r>
        <w:rPr>
          <w:spacing w:val="-12"/>
        </w:rPr>
        <w:t>县公安局强化执法执勤，依法处罚进入限行区域的高污染车辆，累计</w:t>
      </w:r>
      <w:r>
        <w:rPr>
          <w:spacing w:val="-15"/>
        </w:rPr>
        <w:t xml:space="preserve">出动警员 </w:t>
      </w:r>
      <w:r>
        <w:t>224</w:t>
      </w:r>
      <w:r>
        <w:rPr>
          <w:spacing w:val="-10"/>
        </w:rPr>
        <w:t xml:space="preserve"> 人次，查处老旧、冒黑烟和农用等高污染运输车辆 </w:t>
      </w:r>
      <w:r>
        <w:t xml:space="preserve">37 </w:t>
      </w:r>
      <w:r>
        <w:rPr>
          <w:spacing w:val="-11"/>
        </w:rPr>
        <w:t>辆。强化秸秆禁烧监管，加强禁烧执法问责力度，制定县政府领导秸</w:t>
      </w:r>
    </w:p>
    <w:p w14:paraId="5DE3A2C0">
      <w:pPr>
        <w:spacing w:after="0" w:line="417" w:lineRule="auto"/>
        <w:sectPr>
          <w:pgSz w:w="11910" w:h="16840"/>
          <w:pgMar w:top="1420" w:right="1080" w:bottom="1360" w:left="1080" w:header="878" w:footer="1164" w:gutter="0"/>
          <w:pgNumType w:fmt="decimal"/>
          <w:cols w:space="720" w:num="1"/>
        </w:sectPr>
      </w:pPr>
    </w:p>
    <w:p w14:paraId="3E97B904">
      <w:pPr>
        <w:pStyle w:val="6"/>
        <w:spacing w:before="143" w:line="417" w:lineRule="auto"/>
        <w:ind w:left="720" w:right="717"/>
      </w:pPr>
      <w:r>
        <w:rPr>
          <w:spacing w:val="-10"/>
        </w:rPr>
        <w:t>秆禁烧督查排班表，每天由县领导带队，开展全县域禁烧巡查，午季</w:t>
      </w:r>
      <w:r>
        <w:rPr>
          <w:spacing w:val="-4"/>
        </w:rPr>
        <w:t>禁烧以来全县未出现一处火点。</w:t>
      </w:r>
    </w:p>
    <w:p w14:paraId="4A678C62">
      <w:pPr>
        <w:pStyle w:val="15"/>
        <w:numPr>
          <w:ilvl w:val="0"/>
          <w:numId w:val="1"/>
        </w:numPr>
        <w:tabs>
          <w:tab w:val="left" w:pos="1984"/>
        </w:tabs>
        <w:spacing w:before="0" w:after="0" w:line="358" w:lineRule="exact"/>
        <w:ind w:left="1983" w:right="0" w:hanging="705"/>
        <w:jc w:val="left"/>
        <w:rPr>
          <w:sz w:val="28"/>
        </w:rPr>
      </w:pPr>
      <w:r>
        <w:rPr>
          <w:spacing w:val="-2"/>
          <w:sz w:val="28"/>
        </w:rPr>
        <w:t>水环境质量</w:t>
      </w:r>
    </w:p>
    <w:p w14:paraId="45DD91B8">
      <w:pPr>
        <w:pStyle w:val="6"/>
        <w:spacing w:before="266" w:line="417" w:lineRule="auto"/>
        <w:ind w:left="720" w:right="719" w:firstLine="559"/>
      </w:pPr>
      <w:r>
        <w:t>2016</w:t>
      </w:r>
      <w:r>
        <w:rPr>
          <w:spacing w:val="-36"/>
        </w:rPr>
        <w:t xml:space="preserve"> 年至 </w:t>
      </w:r>
      <w:r>
        <w:t>2019</w:t>
      </w:r>
      <w:r>
        <w:rPr>
          <w:spacing w:val="-12"/>
        </w:rPr>
        <w:t xml:space="preserve"> 年，濉溪县水环境质量治理取得一定成效，主要</w:t>
      </w:r>
      <w:r>
        <w:rPr>
          <w:spacing w:val="-8"/>
        </w:rPr>
        <w:t xml:space="preserve">表现为地表水水质有所好转，地下饮用水水质达标率稳定在 </w:t>
      </w:r>
      <w:r>
        <w:t xml:space="preserve">100%， </w:t>
      </w:r>
      <w:r>
        <w:rPr>
          <w:spacing w:val="-3"/>
        </w:rPr>
        <w:t>全县黑臭水体基本消除。</w:t>
      </w:r>
    </w:p>
    <w:p w14:paraId="01B40DA2">
      <w:pPr>
        <w:pStyle w:val="6"/>
        <w:spacing w:before="119" w:line="417" w:lineRule="auto"/>
        <w:ind w:left="720" w:right="580" w:firstLine="559"/>
      </w:pPr>
      <w:r>
        <w:rPr>
          <w:spacing w:val="-3"/>
        </w:rPr>
        <w:t>相比较于“十三五”初期，</w:t>
      </w:r>
      <w:r>
        <w:t>2019</w:t>
      </w:r>
      <w:r>
        <w:rPr>
          <w:spacing w:val="-9"/>
        </w:rPr>
        <w:t xml:space="preserve"> 年濉溪县地表水水质有明显改</w:t>
      </w:r>
      <w:r>
        <w:rPr>
          <w:spacing w:val="-13"/>
        </w:rPr>
        <w:t>善：Ⅲ类水质时有显现，主要是澥河李大桥断面水质；Ⅳ类水体占比</w:t>
      </w:r>
      <w:r>
        <w:rPr>
          <w:spacing w:val="-15"/>
        </w:rPr>
        <w:t xml:space="preserve">总体提高，由 </w:t>
      </w:r>
      <w:r>
        <w:t>25%</w:t>
      </w:r>
      <w:r>
        <w:rPr>
          <w:spacing w:val="-19"/>
        </w:rPr>
        <w:t xml:space="preserve">提高至 </w:t>
      </w:r>
      <w:r>
        <w:t>66.7</w:t>
      </w:r>
      <w:r>
        <w:rPr>
          <w:spacing w:val="-3"/>
        </w:rPr>
        <w:t>%，是浍河、沱河、澥河、王引河断面</w:t>
      </w:r>
      <w:r>
        <w:rPr>
          <w:spacing w:val="-18"/>
        </w:rPr>
        <w:t xml:space="preserve">水质；劣Ⅴ类水体比例明显下降，仅剩萧濉新河黄桥闸断面时有检出； </w:t>
      </w:r>
      <w:r>
        <w:rPr>
          <w:spacing w:val="-12"/>
        </w:rPr>
        <w:t xml:space="preserve">Ⅴ类水体是孟沟、巴河，预计到 </w:t>
      </w:r>
      <w:r>
        <w:t>2020</w:t>
      </w:r>
      <w:r>
        <w:rPr>
          <w:spacing w:val="-9"/>
        </w:rPr>
        <w:t xml:space="preserve"> 年年底劣Ⅴ类水质基本消除， </w:t>
      </w:r>
      <w:r>
        <w:rPr>
          <w:spacing w:val="-3"/>
        </w:rPr>
        <w:t>地表水断面基本为Ⅳ类。</w:t>
      </w:r>
    </w:p>
    <w:p w14:paraId="26FFB457">
      <w:pPr>
        <w:pStyle w:val="6"/>
        <w:spacing w:before="10"/>
        <w:rPr>
          <w:sz w:val="16"/>
        </w:rPr>
      </w:pPr>
    </w:p>
    <w:p w14:paraId="1B63DB5D">
      <w:pPr>
        <w:tabs>
          <w:tab w:val="left" w:pos="5461"/>
        </w:tabs>
        <w:spacing w:line="240" w:lineRule="auto"/>
        <w:ind w:left="2170" w:right="0" w:firstLine="0"/>
        <w:rPr>
          <w:sz w:val="20"/>
        </w:rPr>
      </w:pPr>
      <w:r>
        <w:rPr>
          <w:position w:val="5"/>
          <w:sz w:val="20"/>
        </w:rPr>
        <w:drawing>
          <wp:inline distT="0" distB="0" distL="0" distR="0">
            <wp:extent cx="1318260" cy="151447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20" cstate="print"/>
                    <a:stretch>
                      <a:fillRect/>
                    </a:stretch>
                  </pic:blipFill>
                  <pic:spPr>
                    <a:xfrm>
                      <a:off x="0" y="0"/>
                      <a:ext cx="1318433" cy="1514856"/>
                    </a:xfrm>
                    <a:prstGeom prst="rect">
                      <a:avLst/>
                    </a:prstGeom>
                  </pic:spPr>
                </pic:pic>
              </a:graphicData>
            </a:graphic>
          </wp:inline>
        </w:drawing>
      </w:r>
      <w:r>
        <w:rPr>
          <w:position w:val="5"/>
          <w:sz w:val="20"/>
        </w:rPr>
        <w:tab/>
      </w:r>
      <w:r>
        <w:rPr>
          <w:sz w:val="20"/>
        </w:rPr>
        <w:drawing>
          <wp:inline distT="0" distB="0" distL="0" distR="0">
            <wp:extent cx="1315085" cy="146240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21" cstate="print"/>
                    <a:stretch>
                      <a:fillRect/>
                    </a:stretch>
                  </pic:blipFill>
                  <pic:spPr>
                    <a:xfrm>
                      <a:off x="0" y="0"/>
                      <a:ext cx="1315658" cy="1463039"/>
                    </a:xfrm>
                    <a:prstGeom prst="rect">
                      <a:avLst/>
                    </a:prstGeom>
                  </pic:spPr>
                </pic:pic>
              </a:graphicData>
            </a:graphic>
          </wp:inline>
        </w:drawing>
      </w:r>
    </w:p>
    <w:p w14:paraId="7C102669">
      <w:pPr>
        <w:spacing w:after="0" w:line="240" w:lineRule="auto"/>
        <w:rPr>
          <w:sz w:val="20"/>
        </w:rPr>
        <w:sectPr>
          <w:footerReference r:id="rId7" w:type="default"/>
          <w:pgSz w:w="11910" w:h="16840"/>
          <w:pgMar w:top="1420" w:right="1080" w:bottom="1360" w:left="1080" w:header="878" w:footer="1164" w:gutter="0"/>
          <w:pgNumType w:fmt="decimal" w:start="10"/>
          <w:cols w:space="720" w:num="1"/>
        </w:sectPr>
      </w:pPr>
    </w:p>
    <w:p w14:paraId="397A4F77">
      <w:pPr>
        <w:spacing w:before="55"/>
        <w:ind w:left="1792" w:right="0" w:firstLine="0"/>
        <w:jc w:val="left"/>
        <w:rPr>
          <w:sz w:val="21"/>
        </w:rPr>
      </w:pPr>
      <w:r>
        <w:rPr>
          <w:rFonts w:ascii="Calibri" w:eastAsia="Calibri"/>
          <w:sz w:val="21"/>
        </w:rPr>
        <w:t xml:space="preserve">2016 </w:t>
      </w:r>
      <w:r>
        <w:rPr>
          <w:sz w:val="21"/>
        </w:rPr>
        <w:t>年地表水水质占比构成图</w:t>
      </w:r>
    </w:p>
    <w:p w14:paraId="0D74DB46">
      <w:pPr>
        <w:spacing w:before="82"/>
        <w:ind w:left="744" w:right="0" w:firstLine="0"/>
        <w:jc w:val="left"/>
        <w:rPr>
          <w:sz w:val="21"/>
        </w:rPr>
      </w:pPr>
      <w:r>
        <w:br w:type="column"/>
      </w:r>
      <w:r>
        <w:rPr>
          <w:rFonts w:ascii="Calibri" w:eastAsia="Calibri"/>
          <w:sz w:val="21"/>
        </w:rPr>
        <w:t xml:space="preserve">2019 </w:t>
      </w:r>
      <w:r>
        <w:rPr>
          <w:sz w:val="21"/>
        </w:rPr>
        <w:t>年地表水水质大占比构成图</w:t>
      </w:r>
    </w:p>
    <w:p w14:paraId="4FA66BDC">
      <w:pPr>
        <w:spacing w:after="0"/>
        <w:jc w:val="left"/>
        <w:rPr>
          <w:sz w:val="21"/>
        </w:rPr>
        <w:sectPr>
          <w:type w:val="continuous"/>
          <w:pgSz w:w="11910" w:h="16840"/>
          <w:pgMar w:top="1580" w:right="1080" w:bottom="280" w:left="1080" w:header="720" w:footer="720" w:gutter="0"/>
          <w:pgNumType w:fmt="decimal"/>
          <w:cols w:equalWidth="0" w:num="2">
            <w:col w:w="4580" w:space="40"/>
            <w:col w:w="5130"/>
          </w:cols>
        </w:sectPr>
      </w:pPr>
    </w:p>
    <w:p w14:paraId="17427416">
      <w:pPr>
        <w:pStyle w:val="6"/>
        <w:spacing w:before="11"/>
        <w:rPr>
          <w:sz w:val="13"/>
        </w:rPr>
      </w:pPr>
    </w:p>
    <w:p w14:paraId="66691CF0">
      <w:pPr>
        <w:pStyle w:val="6"/>
        <w:tabs>
          <w:tab w:val="left" w:pos="767"/>
        </w:tabs>
        <w:spacing w:before="62"/>
        <w:ind w:right="1"/>
        <w:jc w:val="center"/>
      </w:pPr>
      <w:r>
        <w:t>图</w:t>
      </w:r>
      <w:r>
        <w:rPr>
          <w:spacing w:val="-73"/>
        </w:rPr>
        <w:t xml:space="preserve"> </w:t>
      </w:r>
      <w:r>
        <w:t>3</w:t>
      </w:r>
      <w:r>
        <w:tab/>
      </w:r>
      <w:r>
        <w:t>2016</w:t>
      </w:r>
      <w:r>
        <w:rPr>
          <w:spacing w:val="-70"/>
        </w:rPr>
        <w:t xml:space="preserve"> </w:t>
      </w:r>
      <w:r>
        <w:t>年</w:t>
      </w:r>
      <w:r>
        <w:rPr>
          <w:spacing w:val="-3"/>
        </w:rPr>
        <w:t>、</w:t>
      </w:r>
      <w:r>
        <w:t>2019</w:t>
      </w:r>
      <w:r>
        <w:rPr>
          <w:spacing w:val="-70"/>
        </w:rPr>
        <w:t xml:space="preserve"> </w:t>
      </w:r>
      <w:r>
        <w:t>年</w:t>
      </w:r>
      <w:r>
        <w:rPr>
          <w:spacing w:val="-3"/>
        </w:rPr>
        <w:t>地</w:t>
      </w:r>
      <w:r>
        <w:t>表水</w:t>
      </w:r>
      <w:r>
        <w:rPr>
          <w:spacing w:val="-3"/>
        </w:rPr>
        <w:t>水</w:t>
      </w:r>
      <w:r>
        <w:t>质构</w:t>
      </w:r>
      <w:r>
        <w:rPr>
          <w:spacing w:val="-3"/>
        </w:rPr>
        <w:t>成</w:t>
      </w:r>
      <w:r>
        <w:t>情况</w:t>
      </w:r>
    </w:p>
    <w:p w14:paraId="3B859E63">
      <w:pPr>
        <w:pStyle w:val="6"/>
        <w:rPr>
          <w:sz w:val="30"/>
        </w:rPr>
      </w:pPr>
    </w:p>
    <w:p w14:paraId="70955259">
      <w:pPr>
        <w:pStyle w:val="6"/>
        <w:spacing w:line="417" w:lineRule="auto"/>
        <w:ind w:left="720" w:right="580" w:firstLine="700"/>
      </w:pPr>
      <w:r>
        <w:rPr>
          <w:spacing w:val="-11"/>
        </w:rPr>
        <w:t>濉溪县严格按照“谁超标、谁赔付，谁受益、谁补偿”的原则， 以保护水环境质量为目的，在全县建立地表水断面生态补偿机制，将</w:t>
      </w:r>
      <w:r>
        <w:rPr>
          <w:spacing w:val="-17"/>
        </w:rPr>
        <w:t>跨镇</w:t>
      </w:r>
      <w:r>
        <w:t>（</w:t>
      </w:r>
      <w:r>
        <w:rPr>
          <w:spacing w:val="-2"/>
        </w:rPr>
        <w:t>园区</w:t>
      </w:r>
      <w:r>
        <w:rPr>
          <w:spacing w:val="-20"/>
        </w:rPr>
        <w:t>）</w:t>
      </w:r>
      <w:r>
        <w:rPr>
          <w:spacing w:val="-9"/>
        </w:rPr>
        <w:t>界面、跨县区界断面和国家、省、市考核断面列入考核</w:t>
      </w:r>
    </w:p>
    <w:p w14:paraId="23D48D26">
      <w:pPr>
        <w:spacing w:after="0" w:line="417" w:lineRule="auto"/>
        <w:sectPr>
          <w:type w:val="continuous"/>
          <w:pgSz w:w="11910" w:h="16840"/>
          <w:pgMar w:top="1580" w:right="1080" w:bottom="280" w:left="1080" w:header="720" w:footer="720" w:gutter="0"/>
          <w:pgNumType w:fmt="decimal"/>
          <w:cols w:space="720" w:num="1"/>
        </w:sectPr>
      </w:pPr>
    </w:p>
    <w:p w14:paraId="3DB81A5E">
      <w:pPr>
        <w:pStyle w:val="6"/>
        <w:spacing w:before="143" w:line="417" w:lineRule="auto"/>
        <w:ind w:left="720" w:right="623"/>
      </w:pPr>
      <w:r>
        <w:rPr>
          <w:spacing w:val="-3"/>
        </w:rPr>
        <w:t>补偿范围，实行“双向补偿”，即断面水质超标时，责任镇（</w:t>
      </w:r>
      <w:r>
        <w:rPr>
          <w:spacing w:val="-2"/>
        </w:rPr>
        <w:t>园区</w:t>
      </w:r>
      <w:r>
        <w:t xml:space="preserve">） </w:t>
      </w:r>
      <w:r>
        <w:rPr>
          <w:spacing w:val="-11"/>
        </w:rPr>
        <w:t>将支付污染赔付金；当断面水质优于目标水质一个类别以上时，责任镇</w:t>
      </w:r>
      <w:r>
        <w:rPr>
          <w:spacing w:val="-3"/>
        </w:rPr>
        <w:t>（</w:t>
      </w:r>
      <w:r>
        <w:t>园区</w:t>
      </w:r>
      <w:r>
        <w:rPr>
          <w:spacing w:val="-3"/>
        </w:rPr>
        <w:t>）</w:t>
      </w:r>
      <w:r>
        <w:rPr>
          <w:spacing w:val="-2"/>
        </w:rPr>
        <w:t>将获得生态补偿金。</w:t>
      </w:r>
    </w:p>
    <w:p w14:paraId="21D5ED28">
      <w:pPr>
        <w:pStyle w:val="6"/>
        <w:spacing w:line="358" w:lineRule="exact"/>
        <w:ind w:left="1279"/>
      </w:pPr>
      <w:r>
        <w:t>2019</w:t>
      </w:r>
      <w:r>
        <w:rPr>
          <w:spacing w:val="33"/>
        </w:rPr>
        <w:t xml:space="preserve"> 年濉溪县饮用水源地水质符合《地下水质量标准》</w:t>
      </w:r>
    </w:p>
    <w:p w14:paraId="0C962420">
      <w:pPr>
        <w:pStyle w:val="6"/>
        <w:spacing w:before="9"/>
        <w:rPr>
          <w:sz w:val="20"/>
        </w:rPr>
      </w:pPr>
    </w:p>
    <w:p w14:paraId="76410F36">
      <w:pPr>
        <w:pStyle w:val="6"/>
        <w:spacing w:line="417" w:lineRule="auto"/>
        <w:ind w:left="1279" w:right="580" w:hanging="560"/>
      </w:pPr>
      <w:r>
        <w:rPr>
          <w:spacing w:val="-3"/>
        </w:rPr>
        <w:t>（GB/T14848-93）</w:t>
      </w:r>
      <w:r>
        <w:rPr>
          <w:spacing w:val="-7"/>
        </w:rPr>
        <w:t xml:space="preserve">的Ⅲ类标准，饮用水源地水质达标率稳定在 </w:t>
      </w:r>
      <w:r>
        <w:t>100%。</w:t>
      </w:r>
      <w:r>
        <w:rPr>
          <w:spacing w:val="-8"/>
        </w:rPr>
        <w:t>濉溪县建成区黑臭水体主要是城西沟，是由于城区雨污不分，部</w:t>
      </w:r>
    </w:p>
    <w:p w14:paraId="5B5CEFBD">
      <w:pPr>
        <w:pStyle w:val="6"/>
        <w:spacing w:line="417" w:lineRule="auto"/>
        <w:ind w:left="720" w:right="717"/>
        <w:jc w:val="both"/>
      </w:pPr>
      <w:r>
        <w:rPr>
          <w:spacing w:val="-10"/>
        </w:rPr>
        <w:t>分污水进入城西沟，致使水体发黑发臭，为此，濉溪县制定了《濉溪</w:t>
      </w:r>
      <w:r>
        <w:rPr>
          <w:spacing w:val="-1"/>
        </w:rPr>
        <w:t>县黑臭水体整治实施方案》，</w:t>
      </w:r>
      <w:r>
        <w:t>2019</w:t>
      </w:r>
      <w:r>
        <w:rPr>
          <w:spacing w:val="-34"/>
        </w:rPr>
        <w:t xml:space="preserve"> 年 </w:t>
      </w:r>
      <w:r>
        <w:t>7</w:t>
      </w:r>
      <w:r>
        <w:rPr>
          <w:spacing w:val="-5"/>
        </w:rPr>
        <w:t xml:space="preserve"> 月，在濉溪县城西沟西支流</w:t>
      </w:r>
      <w:r>
        <w:rPr>
          <w:spacing w:val="-9"/>
        </w:rPr>
        <w:t xml:space="preserve">五里郢桥处建设日处理量 </w:t>
      </w:r>
      <w:r>
        <w:t>2000m</w:t>
      </w:r>
      <w:r>
        <w:rPr>
          <w:position w:val="14"/>
          <w:sz w:val="14"/>
        </w:rPr>
        <w:t>3</w:t>
      </w:r>
      <w:r>
        <w:rPr>
          <w:spacing w:val="-31"/>
          <w:position w:val="14"/>
          <w:sz w:val="14"/>
        </w:rPr>
        <w:t xml:space="preserve"> </w:t>
      </w:r>
      <w:r>
        <w:rPr>
          <w:spacing w:val="-12"/>
        </w:rPr>
        <w:t>集成式超磁分离净化污水处理站，在</w:t>
      </w:r>
      <w:r>
        <w:rPr>
          <w:spacing w:val="-15"/>
        </w:rPr>
        <w:t xml:space="preserve">城西沟东支流中瑞农产品批发市场南建设日处理 </w:t>
      </w:r>
      <w:r>
        <w:t>2000</w:t>
      </w:r>
      <w:r>
        <w:rPr>
          <w:spacing w:val="-9"/>
        </w:rPr>
        <w:t xml:space="preserve"> 吨超磁分流黑</w:t>
      </w:r>
    </w:p>
    <w:p w14:paraId="2C6447D8">
      <w:pPr>
        <w:pStyle w:val="6"/>
        <w:spacing w:line="417" w:lineRule="auto"/>
        <w:ind w:left="720" w:right="722"/>
        <w:jc w:val="both"/>
      </w:pPr>
      <w:r>
        <w:rPr>
          <w:spacing w:val="-3"/>
        </w:rPr>
        <w:t xml:space="preserve">臭水体治理站，濉溪县黑臭水体现状出现明显改善，截至 </w:t>
      </w:r>
      <w:r>
        <w:t>2018</w:t>
      </w:r>
      <w:r>
        <w:rPr>
          <w:spacing w:val="-20"/>
        </w:rPr>
        <w:t xml:space="preserve"> 年， </w:t>
      </w:r>
      <w:r>
        <w:rPr>
          <w:spacing w:val="-8"/>
        </w:rPr>
        <w:t xml:space="preserve">全县黑臭水体均控制在 </w:t>
      </w:r>
      <w:r>
        <w:t>10</w:t>
      </w:r>
      <w:r>
        <w:rPr>
          <w:spacing w:val="-8"/>
        </w:rPr>
        <w:t xml:space="preserve">%以内，截至 </w:t>
      </w:r>
      <w:r>
        <w:t>2020</w:t>
      </w:r>
      <w:r>
        <w:rPr>
          <w:spacing w:val="-6"/>
        </w:rPr>
        <w:t xml:space="preserve"> 年年底，全县建成区黑</w:t>
      </w:r>
      <w:r>
        <w:rPr>
          <w:spacing w:val="-3"/>
        </w:rPr>
        <w:t>臭水体基本消除。</w:t>
      </w:r>
    </w:p>
    <w:p w14:paraId="63489DF9">
      <w:pPr>
        <w:pStyle w:val="6"/>
        <w:spacing w:line="417" w:lineRule="auto"/>
        <w:ind w:left="720" w:right="717" w:firstLine="559"/>
        <w:jc w:val="both"/>
      </w:pPr>
      <w:r>
        <w:rPr>
          <w:spacing w:val="-10"/>
        </w:rPr>
        <w:t>为提高濉溪县水环境质量，“十三五”期间，濉溪县启动了县污</w:t>
      </w:r>
      <w:r>
        <w:rPr>
          <w:spacing w:val="-14"/>
        </w:rPr>
        <w:t xml:space="preserve">水处理厂扩建提标工程，新建 </w:t>
      </w:r>
      <w:r>
        <w:t>2.5</w:t>
      </w:r>
      <w:r>
        <w:rPr>
          <w:spacing w:val="-20"/>
        </w:rPr>
        <w:t xml:space="preserve"> 万吨</w:t>
      </w:r>
      <w:r>
        <w:t>/日的濉溪县污水处理厂二期</w:t>
      </w:r>
    </w:p>
    <w:p w14:paraId="654A1BC1">
      <w:pPr>
        <w:pStyle w:val="6"/>
        <w:spacing w:line="417" w:lineRule="auto"/>
        <w:ind w:left="720" w:right="719"/>
        <w:jc w:val="both"/>
      </w:pPr>
      <w:r>
        <w:rPr>
          <w:spacing w:val="-12"/>
        </w:rPr>
        <w:t xml:space="preserve">工程，扩建后县污水处理厂达到日处理 </w:t>
      </w:r>
      <w:r>
        <w:t>5</w:t>
      </w:r>
      <w:r>
        <w:rPr>
          <w:spacing w:val="-12"/>
        </w:rPr>
        <w:t xml:space="preserve"> 万吨规模，从源头上做到对</w:t>
      </w:r>
      <w:r>
        <w:rPr>
          <w:spacing w:val="-10"/>
        </w:rPr>
        <w:t>县城的污水应收尽收，全县污水全部纳入县污水处理厂进行处理；铺</w:t>
      </w:r>
      <w:r>
        <w:rPr>
          <w:spacing w:val="-34"/>
        </w:rPr>
        <w:t xml:space="preserve">设 </w:t>
      </w:r>
      <w:r>
        <w:t>40</w:t>
      </w:r>
      <w:r>
        <w:rPr>
          <w:spacing w:val="-8"/>
        </w:rPr>
        <w:t xml:space="preserve"> 公里污水管网，收集城区污水进入污水处理厂进行处理；提高</w:t>
      </w:r>
    </w:p>
    <w:p w14:paraId="716057D3">
      <w:pPr>
        <w:pStyle w:val="6"/>
        <w:spacing w:line="417" w:lineRule="auto"/>
        <w:ind w:left="720" w:right="717"/>
        <w:jc w:val="both"/>
      </w:pPr>
      <w:r>
        <w:rPr>
          <w:spacing w:val="-15"/>
        </w:rPr>
        <w:t xml:space="preserve">濉溪县各镇污水处理能力，建设 </w:t>
      </w:r>
      <w:r>
        <w:t>1</w:t>
      </w:r>
      <w:r>
        <w:rPr>
          <w:spacing w:val="-24"/>
        </w:rPr>
        <w:t xml:space="preserve"> 万吨</w:t>
      </w:r>
      <w:r>
        <w:t>/</w:t>
      </w:r>
      <w:r>
        <w:rPr>
          <w:spacing w:val="-12"/>
        </w:rPr>
        <w:t xml:space="preserve">日污水处理厂及 </w:t>
      </w:r>
      <w:r>
        <w:t>25</w:t>
      </w:r>
      <w:r>
        <w:rPr>
          <w:spacing w:val="-16"/>
        </w:rPr>
        <w:t xml:space="preserve"> 公里配套</w:t>
      </w:r>
      <w:r>
        <w:rPr>
          <w:spacing w:val="3"/>
        </w:rPr>
        <w:t>管网，收集百善镇和百善工业集中区的污水进入污水处理厂进行处</w:t>
      </w:r>
      <w:r>
        <w:rPr>
          <w:spacing w:val="-11"/>
        </w:rPr>
        <w:t>理，建设四铺镇、刘桥镇、铁佛镇污水处理厂及配套管网设施；提高全县中水回用率，再生水用于平山电厂工业用水，建立县开发区中水</w:t>
      </w:r>
    </w:p>
    <w:p w14:paraId="5296905C">
      <w:pPr>
        <w:spacing w:after="0" w:line="417" w:lineRule="auto"/>
        <w:jc w:val="both"/>
        <w:sectPr>
          <w:pgSz w:w="11910" w:h="16840"/>
          <w:pgMar w:top="1420" w:right="1080" w:bottom="1360" w:left="1080" w:header="878" w:footer="1164" w:gutter="0"/>
          <w:pgNumType w:fmt="decimal"/>
          <w:cols w:space="720" w:num="1"/>
        </w:sectPr>
      </w:pPr>
    </w:p>
    <w:p w14:paraId="203110B9">
      <w:pPr>
        <w:pStyle w:val="6"/>
        <w:spacing w:before="143"/>
        <w:ind w:left="720"/>
      </w:pPr>
      <w:r>
        <w:t>回用工程及配套管网工程。</w:t>
      </w:r>
    </w:p>
    <w:p w14:paraId="685AA796">
      <w:pPr>
        <w:pStyle w:val="6"/>
        <w:spacing w:before="9"/>
        <w:rPr>
          <w:sz w:val="20"/>
        </w:rPr>
      </w:pPr>
    </w:p>
    <w:p w14:paraId="5D64CD53">
      <w:pPr>
        <w:pStyle w:val="15"/>
        <w:numPr>
          <w:ilvl w:val="0"/>
          <w:numId w:val="1"/>
        </w:numPr>
        <w:tabs>
          <w:tab w:val="left" w:pos="1982"/>
        </w:tabs>
        <w:spacing w:before="0" w:after="0" w:line="240" w:lineRule="auto"/>
        <w:ind w:left="1981" w:right="0" w:hanging="703"/>
        <w:jc w:val="left"/>
        <w:rPr>
          <w:sz w:val="28"/>
        </w:rPr>
      </w:pPr>
      <w:r>
        <w:rPr>
          <w:spacing w:val="-3"/>
          <w:sz w:val="28"/>
        </w:rPr>
        <w:t>县城噪声环境质量</w:t>
      </w:r>
    </w:p>
    <w:p w14:paraId="71D202E2">
      <w:pPr>
        <w:pStyle w:val="6"/>
        <w:spacing w:before="9"/>
        <w:rPr>
          <w:sz w:val="20"/>
        </w:rPr>
      </w:pPr>
    </w:p>
    <w:p w14:paraId="73E2F826">
      <w:pPr>
        <w:pStyle w:val="6"/>
        <w:spacing w:before="1" w:line="417" w:lineRule="auto"/>
        <w:ind w:left="720" w:right="623" w:firstLine="559"/>
      </w:pPr>
      <w:r>
        <w:rPr>
          <w:spacing w:val="-9"/>
        </w:rPr>
        <w:t>濉溪县噪声来源主要为交通、建筑施工及机械加工，通过加强对</w:t>
      </w:r>
      <w:r>
        <w:rPr>
          <w:spacing w:val="-8"/>
        </w:rPr>
        <w:t>城区车辆鸣笛的管制和施工区机械噪声管理，昼夜噪声排放基本达到</w:t>
      </w:r>
      <w:r>
        <w:rPr>
          <w:spacing w:val="-3"/>
        </w:rPr>
        <w:t>国家《声环境质量标准》</w:t>
      </w:r>
      <w:r>
        <w:t>（GB3096-2008）</w:t>
      </w:r>
      <w:r>
        <w:rPr>
          <w:spacing w:val="-14"/>
        </w:rPr>
        <w:t xml:space="preserve">中的二类区 </w:t>
      </w:r>
      <w:r>
        <w:t>4a</w:t>
      </w:r>
      <w:r>
        <w:rPr>
          <w:spacing w:val="-14"/>
        </w:rPr>
        <w:t xml:space="preserve"> 类区标准， </w:t>
      </w:r>
      <w:r>
        <w:rPr>
          <w:spacing w:val="-5"/>
        </w:rPr>
        <w:t>区域噪声均能满足区域环境噪声标准。</w:t>
      </w:r>
    </w:p>
    <w:p w14:paraId="493676C6">
      <w:pPr>
        <w:pStyle w:val="15"/>
        <w:numPr>
          <w:ilvl w:val="0"/>
          <w:numId w:val="1"/>
        </w:numPr>
        <w:tabs>
          <w:tab w:val="left" w:pos="1982"/>
        </w:tabs>
        <w:spacing w:before="0" w:after="0" w:line="358" w:lineRule="exact"/>
        <w:ind w:left="1981" w:right="0" w:hanging="703"/>
        <w:jc w:val="left"/>
        <w:rPr>
          <w:sz w:val="28"/>
        </w:rPr>
      </w:pPr>
      <w:r>
        <w:rPr>
          <w:spacing w:val="-3"/>
          <w:sz w:val="28"/>
        </w:rPr>
        <w:t>土壤环境治理</w:t>
      </w:r>
    </w:p>
    <w:p w14:paraId="1A351501">
      <w:pPr>
        <w:pStyle w:val="6"/>
        <w:spacing w:before="8"/>
        <w:rPr>
          <w:sz w:val="20"/>
        </w:rPr>
      </w:pPr>
    </w:p>
    <w:p w14:paraId="5B8CA8DA">
      <w:pPr>
        <w:pStyle w:val="6"/>
        <w:spacing w:before="1" w:line="417" w:lineRule="auto"/>
        <w:ind w:left="720" w:right="719" w:firstLine="559"/>
        <w:jc w:val="both"/>
      </w:pPr>
      <w:r>
        <w:rPr>
          <w:spacing w:val="-11"/>
        </w:rPr>
        <w:t>“十三五”期间，濉溪县在土壤污染防治中取得了一定成效，未</w:t>
      </w:r>
      <w:r>
        <w:rPr>
          <w:spacing w:val="-8"/>
        </w:rPr>
        <w:t>发生因土壤环境污染导致农产品质量超标事件，全县污染地块安全利</w:t>
      </w:r>
      <w:r>
        <w:rPr>
          <w:spacing w:val="-16"/>
        </w:rPr>
        <w:t xml:space="preserve">用率达到 </w:t>
      </w:r>
      <w:r>
        <w:t>90%</w:t>
      </w:r>
      <w:r>
        <w:rPr>
          <w:spacing w:val="-6"/>
        </w:rPr>
        <w:t>以上，建设用地得到有效保障，土壤环境风险得到有效</w:t>
      </w:r>
      <w:r>
        <w:rPr>
          <w:spacing w:val="-4"/>
        </w:rPr>
        <w:t>管控。</w:t>
      </w:r>
    </w:p>
    <w:p w14:paraId="3CEBA788">
      <w:pPr>
        <w:pStyle w:val="6"/>
        <w:spacing w:line="417" w:lineRule="auto"/>
        <w:ind w:left="720" w:right="623" w:firstLine="559"/>
      </w:pPr>
      <w:r>
        <w:rPr>
          <w:spacing w:val="-12"/>
        </w:rPr>
        <w:t>“十三五”期间，濉溪县认真贯彻国家和省、市关于加强土壤污</w:t>
      </w:r>
      <w:r>
        <w:rPr>
          <w:spacing w:val="-3"/>
        </w:rPr>
        <w:t>染防治工作的决策部署，对全县重要粮油棉生产区、蔬菜种植区域、</w:t>
      </w:r>
      <w:r>
        <w:rPr>
          <w:spacing w:val="-11"/>
        </w:rPr>
        <w:t>饮用水源地、畜禽养殖场周边土壤开展了土壤环境质量现状监测，各</w:t>
      </w:r>
      <w:r>
        <w:rPr>
          <w:spacing w:val="-5"/>
        </w:rPr>
        <w:t>类区域土壤总体处于清洁或尚清洁等级，土壤环境质量总体较好。</w:t>
      </w:r>
    </w:p>
    <w:p w14:paraId="06641851">
      <w:pPr>
        <w:pStyle w:val="6"/>
        <w:spacing w:line="417" w:lineRule="auto"/>
        <w:ind w:left="720" w:right="623" w:firstLine="559"/>
      </w:pPr>
      <w:r>
        <w:rPr>
          <w:spacing w:val="-3"/>
        </w:rPr>
        <w:t>为保护土壤环境，濉溪县委、县政府高度重视，多次专题研究、</w:t>
      </w:r>
      <w:r>
        <w:rPr>
          <w:spacing w:val="-10"/>
        </w:rPr>
        <w:t>部署土壤污染防治工作，成立了土壤污染防治工作领导小组，下设办</w:t>
      </w:r>
      <w:r>
        <w:rPr>
          <w:spacing w:val="-11"/>
        </w:rPr>
        <w:t>公室，负责土壤污染防治工作的协调和推进；先后出台了《濉溪县土</w:t>
      </w:r>
      <w:r>
        <w:rPr>
          <w:spacing w:val="-12"/>
        </w:rPr>
        <w:t>壤污染防治工作方案》和《濉溪县土壤环境保护实施方案》等重要文件，建立健全了《农药废弃物回收管理办法》，为土壤污染防治工作</w:t>
      </w:r>
      <w:r>
        <w:rPr>
          <w:spacing w:val="-10"/>
        </w:rPr>
        <w:t>提供政策支撑；完善制度机制，建立了覆盖各部门、各镇</w:t>
      </w:r>
      <w:r>
        <w:t>（</w:t>
      </w:r>
      <w:r>
        <w:rPr>
          <w:spacing w:val="-2"/>
        </w:rPr>
        <w:t>园区</w:t>
      </w:r>
      <w:r>
        <w:rPr>
          <w:spacing w:val="-20"/>
        </w:rPr>
        <w:t>）</w:t>
      </w:r>
      <w:r>
        <w:t>的</w:t>
      </w:r>
      <w:r>
        <w:rPr>
          <w:spacing w:val="-11"/>
        </w:rPr>
        <w:t>县、镇、村三级土壤污染防治工作责任网格，完善调度、联动执法制</w:t>
      </w:r>
    </w:p>
    <w:p w14:paraId="5569FCA9">
      <w:pPr>
        <w:spacing w:after="0" w:line="417" w:lineRule="auto"/>
        <w:sectPr>
          <w:pgSz w:w="11910" w:h="16840"/>
          <w:pgMar w:top="1420" w:right="1080" w:bottom="1360" w:left="1080" w:header="878" w:footer="1164" w:gutter="0"/>
          <w:pgNumType w:fmt="decimal"/>
          <w:cols w:space="720" w:num="1"/>
        </w:sectPr>
      </w:pPr>
    </w:p>
    <w:p w14:paraId="2E9CD2B5">
      <w:pPr>
        <w:pStyle w:val="6"/>
        <w:spacing w:before="143" w:line="417" w:lineRule="auto"/>
        <w:ind w:left="720" w:right="719"/>
      </w:pPr>
      <w:r>
        <w:rPr>
          <w:spacing w:val="-11"/>
        </w:rPr>
        <w:t>度机制，常态化开展联合执法检查、专项整治，确保土壤污染防治各</w:t>
      </w:r>
      <w:r>
        <w:rPr>
          <w:spacing w:val="-5"/>
        </w:rPr>
        <w:t>项工作无遗漏、无盲区、无死角。</w:t>
      </w:r>
    </w:p>
    <w:p w14:paraId="494D466F">
      <w:pPr>
        <w:pStyle w:val="6"/>
        <w:spacing w:line="417" w:lineRule="auto"/>
        <w:ind w:left="720" w:right="580" w:firstLine="559"/>
      </w:pPr>
      <w:r>
        <w:rPr>
          <w:spacing w:val="-7"/>
        </w:rPr>
        <w:t>对各类涉及土地利用的规划和可能造成土壤污染的建设项目，严</w:t>
      </w:r>
      <w:r>
        <w:rPr>
          <w:spacing w:val="-19"/>
        </w:rPr>
        <w:t xml:space="preserve">格进行环境影响评价，严把新建项目准入关，控制土壤污染项目建设， </w:t>
      </w:r>
      <w:r>
        <w:rPr>
          <w:spacing w:val="-12"/>
        </w:rPr>
        <w:t>认真贯彻执行“环评法”、环境影响评价和“三同时”制度。所有新</w:t>
      </w:r>
      <w:r>
        <w:rPr>
          <w:spacing w:val="-13"/>
        </w:rPr>
        <w:t>建项目，不符合国家产业政策的严格不批，不落实环境影响评价制度的严格不批，不严格执行“三同时”制度的不准生产，切实控制新污</w:t>
      </w:r>
      <w:r>
        <w:rPr>
          <w:spacing w:val="-5"/>
        </w:rPr>
        <w:t>染源的产生，从源头上做好土壤污染预防的工作。</w:t>
      </w:r>
    </w:p>
    <w:p w14:paraId="08D37E72">
      <w:pPr>
        <w:pStyle w:val="6"/>
        <w:spacing w:line="417" w:lineRule="auto"/>
        <w:ind w:left="720" w:right="719" w:firstLine="559"/>
        <w:jc w:val="both"/>
      </w:pPr>
      <w:r>
        <w:rPr>
          <w:spacing w:val="-8"/>
        </w:rPr>
        <w:t>与土壤重点监管单位签订土壤保护责任书，夯实企业的土壤环境</w:t>
      </w:r>
      <w:r>
        <w:rPr>
          <w:spacing w:val="-13"/>
        </w:rPr>
        <w:t xml:space="preserve">保护第一责任。对涉重金属企业周边 </w:t>
      </w:r>
      <w:r>
        <w:t>5</w:t>
      </w:r>
      <w:r>
        <w:rPr>
          <w:spacing w:val="-13"/>
        </w:rPr>
        <w:t xml:space="preserve"> 公里范围内的农用地，进行了</w:t>
      </w:r>
      <w:r>
        <w:rPr>
          <w:spacing w:val="-10"/>
        </w:rPr>
        <w:t>采样监测，根据监测重金属均在管控值范围内。严厉打击违法倾倒危</w:t>
      </w:r>
      <w:r>
        <w:rPr>
          <w:spacing w:val="-12"/>
        </w:rPr>
        <w:t>险废物行为，对刘桥、南坪、双堆集、四铺等镇违法倾倒危险废物案件依法依规进行严肃查处，建立了环保、公安、自然资源等部门危险</w:t>
      </w:r>
      <w:r>
        <w:rPr>
          <w:spacing w:val="-5"/>
        </w:rPr>
        <w:t>废物处理处置联动工作机制。</w:t>
      </w:r>
    </w:p>
    <w:p w14:paraId="2037976C">
      <w:pPr>
        <w:pStyle w:val="6"/>
        <w:spacing w:line="417" w:lineRule="auto"/>
        <w:ind w:left="720" w:right="719" w:firstLine="559"/>
        <w:jc w:val="both"/>
      </w:pPr>
      <w:r>
        <w:rPr>
          <w:spacing w:val="-11"/>
        </w:rPr>
        <w:t>濉溪县曾用于生产、使用、贮存、回收、处置有毒有害物质的疑</w:t>
      </w:r>
      <w:r>
        <w:rPr>
          <w:spacing w:val="-13"/>
        </w:rPr>
        <w:t xml:space="preserve">似污染地块共计 </w:t>
      </w:r>
      <w:r>
        <w:t>6</w:t>
      </w:r>
      <w:r>
        <w:rPr>
          <w:spacing w:val="-28"/>
        </w:rPr>
        <w:t xml:space="preserve"> 个。目前，已对 </w:t>
      </w:r>
      <w:r>
        <w:t>5</w:t>
      </w:r>
      <w:r>
        <w:rPr>
          <w:spacing w:val="-10"/>
        </w:rPr>
        <w:t xml:space="preserve"> 个疑似污染地块开展场地初步调查，</w:t>
      </w:r>
      <w:r>
        <w:rPr>
          <w:spacing w:val="-9"/>
        </w:rPr>
        <w:t>5</w:t>
      </w:r>
      <w:r>
        <w:rPr>
          <w:spacing w:val="-14"/>
        </w:rPr>
        <w:t xml:space="preserve"> 个地块均满足第一类用地的环境质量要求，剩余 </w:t>
      </w:r>
      <w:r>
        <w:t>1</w:t>
      </w:r>
      <w:r>
        <w:rPr>
          <w:spacing w:val="-13"/>
        </w:rPr>
        <w:t xml:space="preserve"> 个地块正在</w:t>
      </w:r>
      <w:r>
        <w:rPr>
          <w:spacing w:val="-12"/>
        </w:rPr>
        <w:t>开展初步调查。加强地下油罐改造，严防污染土壤和地下水。对正在</w:t>
      </w:r>
      <w:r>
        <w:rPr>
          <w:spacing w:val="-22"/>
        </w:rPr>
        <w:t xml:space="preserve">营运的 </w:t>
      </w:r>
      <w:r>
        <w:t>66</w:t>
      </w:r>
      <w:r>
        <w:rPr>
          <w:spacing w:val="-16"/>
        </w:rPr>
        <w:t xml:space="preserve"> 座加油站，完成地下油罐改造 </w:t>
      </w:r>
      <w:r>
        <w:t>60</w:t>
      </w:r>
      <w:r>
        <w:rPr>
          <w:spacing w:val="-13"/>
        </w:rPr>
        <w:t xml:space="preserve"> 座，其中更新改造双层罐</w:t>
      </w:r>
    </w:p>
    <w:p w14:paraId="50128EFD">
      <w:pPr>
        <w:pStyle w:val="6"/>
        <w:spacing w:line="358" w:lineRule="exact"/>
        <w:ind w:left="720"/>
        <w:jc w:val="both"/>
      </w:pPr>
      <w:r>
        <w:t>51 座，更新改造防渗池 9 座。</w:t>
      </w:r>
    </w:p>
    <w:p w14:paraId="26F77118">
      <w:pPr>
        <w:pStyle w:val="6"/>
        <w:spacing w:before="6"/>
        <w:rPr>
          <w:sz w:val="20"/>
        </w:rPr>
      </w:pPr>
    </w:p>
    <w:p w14:paraId="3D272093">
      <w:pPr>
        <w:pStyle w:val="15"/>
        <w:numPr>
          <w:ilvl w:val="0"/>
          <w:numId w:val="1"/>
        </w:numPr>
        <w:tabs>
          <w:tab w:val="left" w:pos="1982"/>
        </w:tabs>
        <w:spacing w:before="0" w:after="0" w:line="240" w:lineRule="auto"/>
        <w:ind w:left="1981" w:right="0" w:hanging="703"/>
        <w:jc w:val="left"/>
        <w:rPr>
          <w:sz w:val="28"/>
        </w:rPr>
      </w:pPr>
      <w:r>
        <w:rPr>
          <w:spacing w:val="-2"/>
          <w:sz w:val="28"/>
        </w:rPr>
        <w:t>生态建设</w:t>
      </w:r>
    </w:p>
    <w:p w14:paraId="4EE7DA81">
      <w:pPr>
        <w:pStyle w:val="6"/>
        <w:spacing w:before="9"/>
        <w:rPr>
          <w:sz w:val="20"/>
        </w:rPr>
      </w:pPr>
    </w:p>
    <w:p w14:paraId="66DE4641">
      <w:pPr>
        <w:pStyle w:val="6"/>
        <w:ind w:left="1279"/>
      </w:pPr>
      <w:r>
        <w:t>“十三五”期间，濉溪县充分利用现有资源加强生态环境建设，</w:t>
      </w:r>
    </w:p>
    <w:p w14:paraId="44586891">
      <w:pPr>
        <w:spacing w:after="0"/>
        <w:sectPr>
          <w:pgSz w:w="11910" w:h="16840"/>
          <w:pgMar w:top="1420" w:right="1080" w:bottom="1360" w:left="1080" w:header="878" w:footer="1164" w:gutter="0"/>
          <w:pgNumType w:fmt="decimal"/>
          <w:cols w:space="720" w:num="1"/>
        </w:sectPr>
      </w:pPr>
    </w:p>
    <w:p w14:paraId="25BE00DC">
      <w:pPr>
        <w:pStyle w:val="6"/>
        <w:spacing w:before="143" w:line="417" w:lineRule="auto"/>
        <w:ind w:left="720" w:right="763"/>
        <w:jc w:val="both"/>
      </w:pPr>
      <w:r>
        <w:rPr>
          <w:spacing w:val="-14"/>
        </w:rPr>
        <w:t xml:space="preserve">现有生态村 </w:t>
      </w:r>
      <w:r>
        <w:t>12</w:t>
      </w:r>
      <w:r>
        <w:rPr>
          <w:spacing w:val="-20"/>
        </w:rPr>
        <w:t xml:space="preserve"> 个，生态乡镇 </w:t>
      </w:r>
      <w:r>
        <w:t>1</w:t>
      </w:r>
      <w:r>
        <w:rPr>
          <w:spacing w:val="-15"/>
        </w:rPr>
        <w:t xml:space="preserve"> 个，建成省级森林城镇 </w:t>
      </w:r>
      <w:r>
        <w:t>3</w:t>
      </w:r>
      <w:r>
        <w:rPr>
          <w:spacing w:val="-14"/>
        </w:rPr>
        <w:t xml:space="preserve"> 个、森林村</w:t>
      </w:r>
      <w:r>
        <w:rPr>
          <w:spacing w:val="-42"/>
        </w:rPr>
        <w:t xml:space="preserve">庄 </w:t>
      </w:r>
      <w:r>
        <w:t>40</w:t>
      </w:r>
      <w:r>
        <w:rPr>
          <w:spacing w:val="-14"/>
        </w:rPr>
        <w:t xml:space="preserve"> 个，采煤沉陷地复垦率达到 </w:t>
      </w:r>
      <w:r>
        <w:t>78%</w:t>
      </w:r>
      <w:r>
        <w:rPr>
          <w:spacing w:val="-3"/>
        </w:rPr>
        <w:t>以上，城镇生活垃圾无害化处</w:t>
      </w:r>
      <w:r>
        <w:rPr>
          <w:spacing w:val="-27"/>
        </w:rPr>
        <w:t xml:space="preserve">理达 </w:t>
      </w:r>
      <w:r>
        <w:t>100%。</w:t>
      </w:r>
    </w:p>
    <w:p w14:paraId="73850171">
      <w:pPr>
        <w:pStyle w:val="6"/>
        <w:spacing w:line="417" w:lineRule="auto"/>
        <w:ind w:left="720" w:right="623" w:firstLine="559"/>
      </w:pPr>
      <w:r>
        <w:rPr>
          <w:spacing w:val="-11"/>
        </w:rPr>
        <w:t>“十三五”期间，在政府的带领下，濉溪县实施了对石桥、凤栖</w:t>
      </w:r>
      <w:r>
        <w:rPr>
          <w:spacing w:val="-12"/>
        </w:rPr>
        <w:t>湖等塌陷区进行搬迁改造，建设生态湿地公园，建立生态村、生态乡</w:t>
      </w:r>
      <w:r>
        <w:rPr>
          <w:spacing w:val="-5"/>
        </w:rPr>
        <w:t>镇等;对沱河河道进行改造、防洪、绿化；建立了柳孜运河遗址景区</w:t>
      </w:r>
      <w:r>
        <w:rPr>
          <w:rFonts w:ascii="Calibri" w:hAnsi="Calibri" w:eastAsia="Calibri"/>
          <w:spacing w:val="-5"/>
        </w:rPr>
        <w:t>AAAAA</w:t>
      </w:r>
      <w:r>
        <w:rPr>
          <w:rFonts w:ascii="Calibri" w:hAnsi="Calibri" w:eastAsia="Calibri"/>
          <w:spacing w:val="8"/>
        </w:rPr>
        <w:t xml:space="preserve"> </w:t>
      </w:r>
      <w:r>
        <w:rPr>
          <w:spacing w:val="-13"/>
        </w:rPr>
        <w:t>级综合开发项目，对柳孜运河遗址进行保护，建立了柳孜运河</w:t>
      </w:r>
      <w:r>
        <w:rPr>
          <w:spacing w:val="-3"/>
        </w:rPr>
        <w:t xml:space="preserve">遗址薰衣草庄园，建设薰衣草基地及其他园艺植物基地及附属设施； </w:t>
      </w:r>
      <w:r>
        <w:rPr>
          <w:spacing w:val="-8"/>
        </w:rPr>
        <w:t>建设老濉河水生态环境综合整治项目，对老濉河河道水体调活、生态</w:t>
      </w:r>
      <w:r>
        <w:rPr>
          <w:spacing w:val="-11"/>
        </w:rPr>
        <w:t>净化；开启了乾隆湖生态修复及环境整治工程，对乾隆湖河道进行整</w:t>
      </w:r>
      <w:r>
        <w:rPr>
          <w:spacing w:val="-5"/>
        </w:rPr>
        <w:t>治、水体调活、生态净化，建设滨河景观，实施河道防洪排涝。</w:t>
      </w:r>
    </w:p>
    <w:p w14:paraId="16513B3D">
      <w:pPr>
        <w:pStyle w:val="6"/>
        <w:spacing w:before="1"/>
        <w:rPr>
          <w:sz w:val="20"/>
        </w:rPr>
      </w:pPr>
    </w:p>
    <w:p w14:paraId="1BD3CAE6">
      <w:pPr>
        <w:spacing w:before="0"/>
        <w:ind w:left="720" w:right="0" w:firstLine="0"/>
        <w:jc w:val="left"/>
        <w:rPr>
          <w:b/>
          <w:sz w:val="28"/>
        </w:rPr>
      </w:pPr>
      <w:bookmarkStart w:id="8" w:name="2、污染减排取得成效"/>
      <w:bookmarkEnd w:id="8"/>
      <w:bookmarkStart w:id="9" w:name="_bookmark5"/>
      <w:bookmarkEnd w:id="9"/>
      <w:r>
        <w:rPr>
          <w:rFonts w:ascii="Calibri" w:eastAsia="Calibri"/>
          <w:b/>
          <w:sz w:val="28"/>
        </w:rPr>
        <w:t>2</w:t>
      </w:r>
      <w:r>
        <w:rPr>
          <w:b/>
          <w:sz w:val="28"/>
        </w:rPr>
        <w:t>、污染减排取得成效</w:t>
      </w:r>
    </w:p>
    <w:p w14:paraId="34727E3D">
      <w:pPr>
        <w:pStyle w:val="6"/>
        <w:spacing w:before="12"/>
        <w:rPr>
          <w:b/>
          <w:sz w:val="40"/>
        </w:rPr>
      </w:pPr>
    </w:p>
    <w:p w14:paraId="69695C85">
      <w:pPr>
        <w:pStyle w:val="6"/>
        <w:spacing w:line="417" w:lineRule="auto"/>
        <w:ind w:left="720" w:right="580" w:firstLine="628"/>
      </w:pPr>
      <w:r>
        <w:rPr>
          <w:spacing w:val="-6"/>
        </w:rPr>
        <w:t xml:space="preserve">“十三五”期间，濉溪县采取一系列措施实现节能减排的目标： </w:t>
      </w:r>
      <w:r>
        <w:rPr>
          <w:spacing w:val="-11"/>
        </w:rPr>
        <w:t>实行主要领导负总责，分管领导抓具体，将节能环保工作纳入年度工作要点，定期开会研究节能环保工作，提出针对性措施，加大工作力</w:t>
      </w:r>
      <w:r>
        <w:rPr>
          <w:spacing w:val="-18"/>
        </w:rPr>
        <w:t>度，确保中央、省环保督察反馈问题整改到位，大气和水土污染防治、</w:t>
      </w:r>
      <w:r>
        <w:rPr>
          <w:spacing w:val="-5"/>
        </w:rPr>
        <w:t xml:space="preserve">污染减排、秸秆禁烧等重点环保工作履职尽责落实到位；大力宣传， </w:t>
      </w:r>
      <w:r>
        <w:rPr>
          <w:spacing w:val="-10"/>
        </w:rPr>
        <w:t>切实增强工业企业节能减排意识，组织重点耗能企业参加全市工业绿</w:t>
      </w:r>
      <w:r>
        <w:rPr>
          <w:spacing w:val="-4"/>
        </w:rPr>
        <w:t xml:space="preserve">色制造培训班以及全省工业锅炉清洁能源替代技术装备专项推介会， </w:t>
      </w:r>
      <w:r>
        <w:rPr>
          <w:spacing w:val="-11"/>
        </w:rPr>
        <w:t>使企业进一步了解国家、省关于绿色制造的最新扶持政策以及先进节</w:t>
      </w:r>
      <w:r>
        <w:rPr>
          <w:spacing w:val="-12"/>
        </w:rPr>
        <w:t>能技术发展情况，为企业实施节能减排改造打下基础；加大对工业技</w:t>
      </w:r>
    </w:p>
    <w:p w14:paraId="689E2252">
      <w:pPr>
        <w:spacing w:after="0" w:line="417" w:lineRule="auto"/>
        <w:sectPr>
          <w:pgSz w:w="11910" w:h="16840"/>
          <w:pgMar w:top="1420" w:right="1080" w:bottom="1360" w:left="1080" w:header="878" w:footer="1164" w:gutter="0"/>
          <w:pgNumType w:fmt="decimal"/>
          <w:cols w:space="720" w:num="1"/>
        </w:sectPr>
      </w:pPr>
    </w:p>
    <w:p w14:paraId="01F0EEA6">
      <w:pPr>
        <w:pStyle w:val="6"/>
        <w:spacing w:before="143" w:line="417" w:lineRule="auto"/>
        <w:ind w:left="720" w:right="623"/>
      </w:pPr>
      <w:r>
        <w:rPr>
          <w:spacing w:val="-3"/>
        </w:rPr>
        <w:t xml:space="preserve">术改造项目审核力度，鼓励工业企业开展节能技改项目建设，同时， </w:t>
      </w:r>
      <w:r>
        <w:rPr>
          <w:spacing w:val="-8"/>
        </w:rPr>
        <w:t>严格实施工业固定资产投资项目节能评估和审查，从源头控制能源消</w:t>
      </w:r>
      <w:r>
        <w:rPr>
          <w:spacing w:val="-11"/>
        </w:rPr>
        <w:t>费不合理增长，对申请备案的节能项目加大申报材料审查力度，规范</w:t>
      </w:r>
      <w:r>
        <w:rPr>
          <w:spacing w:val="-13"/>
        </w:rPr>
        <w:t>备案流程，督促企业进一步完善相关资料；深入推进工业绿色制造体</w:t>
      </w:r>
      <w:r>
        <w:rPr>
          <w:spacing w:val="-3"/>
        </w:rPr>
        <w:t>系建设，加强节能管理，开展锅炉更新和技术改造、余热余压利用、</w:t>
      </w:r>
      <w:r>
        <w:rPr>
          <w:spacing w:val="-12"/>
        </w:rPr>
        <w:t>绿色照明等节能工作，组织实施濉溪鸿源煤化有限公司锅炉燃气循环</w:t>
      </w:r>
      <w:r>
        <w:rPr>
          <w:spacing w:val="-13"/>
        </w:rPr>
        <w:t>电站建设工程、国光纸业锅炉改造工程以及恒坤铝业天然气改造建设</w:t>
      </w:r>
      <w:r>
        <w:rPr>
          <w:spacing w:val="-11"/>
        </w:rPr>
        <w:t>工程并先后竣工投入运行，开展绿色制造体系创建，开展节能技术推广应用工作；进一步完善工业节能管理制度，组织开展工业企业能效</w:t>
      </w:r>
      <w:r>
        <w:rPr>
          <w:spacing w:val="-13"/>
        </w:rPr>
        <w:t>水平对标达标活动、高耗能行业能效“领跑者”遴选活动以及重点用</w:t>
      </w:r>
      <w:r>
        <w:rPr>
          <w:spacing w:val="-12"/>
        </w:rPr>
        <w:t>能企业能源利用状况抽查活动，配合市节能监察中心全面核查水泥企</w:t>
      </w:r>
      <w:r>
        <w:rPr>
          <w:spacing w:val="-13"/>
        </w:rPr>
        <w:t xml:space="preserve">业单位产品能耗水平和能耗限额标准执行情况，对全县 </w:t>
      </w:r>
      <w:r>
        <w:t>7</w:t>
      </w:r>
      <w:r>
        <w:rPr>
          <w:spacing w:val="-14"/>
        </w:rPr>
        <w:t xml:space="preserve"> 家水泥企业</w:t>
      </w:r>
      <w:r>
        <w:rPr>
          <w:spacing w:val="-9"/>
        </w:rPr>
        <w:t>实施阶梯电价政策执行情况以及界沟煤矿锅炉使用进行专项监察，严</w:t>
      </w:r>
      <w:r>
        <w:rPr>
          <w:spacing w:val="-10"/>
        </w:rPr>
        <w:t>格督促企业落实《大气污染防治法》等一系列环保法律法规，淘汰落</w:t>
      </w:r>
      <w:r>
        <w:rPr>
          <w:spacing w:val="-4"/>
        </w:rPr>
        <w:t>后生产设备，提升能源利用效率，</w:t>
      </w:r>
      <w:r>
        <w:t>2017</w:t>
      </w:r>
      <w:r>
        <w:rPr>
          <w:spacing w:val="-15"/>
        </w:rPr>
        <w:t xml:space="preserve"> 年以来，对年综合能耗 </w:t>
      </w:r>
      <w:r>
        <w:t xml:space="preserve">1000 </w:t>
      </w:r>
      <w:r>
        <w:rPr>
          <w:spacing w:val="-9"/>
        </w:rPr>
        <w:t>吨标煤以上用能单位实行重点监控，指导重点耗能企业加强对节能工</w:t>
      </w:r>
      <w:r>
        <w:rPr>
          <w:spacing w:val="-10"/>
        </w:rPr>
        <w:t>作的领导，落实能源管理岗位和能源管理人员，积极推进重点用能单</w:t>
      </w:r>
      <w:r>
        <w:rPr>
          <w:spacing w:val="-13"/>
        </w:rPr>
        <w:t xml:space="preserve">位能耗在线监测系统建设；加强对建材企业的整治，对全县 </w:t>
      </w:r>
      <w:r>
        <w:t>146</w:t>
      </w:r>
      <w:r>
        <w:rPr>
          <w:spacing w:val="-23"/>
        </w:rPr>
        <w:t xml:space="preserve"> 家窑</w:t>
      </w:r>
    </w:p>
    <w:p w14:paraId="238A6036">
      <w:pPr>
        <w:pStyle w:val="6"/>
        <w:spacing w:line="417" w:lineRule="auto"/>
        <w:ind w:left="720" w:right="719"/>
      </w:pPr>
      <w:r>
        <w:rPr>
          <w:spacing w:val="-11"/>
        </w:rPr>
        <w:t xml:space="preserve">厂按要求关停拆除 </w:t>
      </w:r>
      <w:r>
        <w:t>95</w:t>
      </w:r>
      <w:r>
        <w:rPr>
          <w:spacing w:val="-25"/>
        </w:rPr>
        <w:t xml:space="preserve"> 家，规范提升 </w:t>
      </w:r>
      <w:r>
        <w:t>51</w:t>
      </w:r>
      <w:r>
        <w:rPr>
          <w:spacing w:val="-12"/>
        </w:rPr>
        <w:t xml:space="preserve"> 家，全县粘土砖瓦窑厂已基本</w:t>
      </w:r>
      <w:r>
        <w:rPr>
          <w:spacing w:val="-4"/>
        </w:rPr>
        <w:t>完成治理。</w:t>
      </w:r>
    </w:p>
    <w:p w14:paraId="5D77D57F">
      <w:pPr>
        <w:spacing w:after="0" w:line="417" w:lineRule="auto"/>
        <w:sectPr>
          <w:pgSz w:w="11910" w:h="16840"/>
          <w:pgMar w:top="1420" w:right="1080" w:bottom="1360" w:left="1080" w:header="878" w:footer="1164" w:gutter="0"/>
          <w:pgNumType w:fmt="decimal"/>
          <w:cols w:space="720" w:num="1"/>
        </w:sectPr>
      </w:pPr>
    </w:p>
    <w:p w14:paraId="7262B425">
      <w:pPr>
        <w:spacing w:before="143"/>
        <w:ind w:left="720" w:right="0" w:firstLine="0"/>
        <w:jc w:val="left"/>
        <w:rPr>
          <w:b/>
          <w:sz w:val="28"/>
        </w:rPr>
      </w:pPr>
      <w:bookmarkStart w:id="10" w:name="3、环保基础设施不断完善"/>
      <w:bookmarkEnd w:id="10"/>
      <w:bookmarkStart w:id="11" w:name="_bookmark6"/>
      <w:bookmarkEnd w:id="11"/>
      <w:r>
        <w:rPr>
          <w:rFonts w:ascii="Calibri" w:eastAsia="Calibri"/>
          <w:b/>
          <w:sz w:val="28"/>
        </w:rPr>
        <w:t>3</w:t>
      </w:r>
      <w:r>
        <w:rPr>
          <w:b/>
          <w:sz w:val="28"/>
        </w:rPr>
        <w:t>、环保基础设施不断完善</w:t>
      </w:r>
    </w:p>
    <w:p w14:paraId="2CD8857A">
      <w:pPr>
        <w:pStyle w:val="6"/>
        <w:spacing w:before="12"/>
        <w:rPr>
          <w:b/>
          <w:sz w:val="40"/>
        </w:rPr>
      </w:pPr>
    </w:p>
    <w:p w14:paraId="2CC881C3">
      <w:pPr>
        <w:pStyle w:val="6"/>
        <w:spacing w:line="417" w:lineRule="auto"/>
        <w:ind w:left="720" w:right="719" w:firstLine="559"/>
        <w:jc w:val="both"/>
      </w:pPr>
      <w:r>
        <w:rPr>
          <w:spacing w:val="-12"/>
        </w:rPr>
        <w:t>新增污水处理设施。“十三五”期间，濉溪县污水管网三期工程</w:t>
      </w:r>
      <w:r>
        <w:rPr>
          <w:spacing w:val="-16"/>
        </w:rPr>
        <w:t xml:space="preserve">建设，铺设 </w:t>
      </w:r>
      <w:r>
        <w:t>40</w:t>
      </w:r>
      <w:r>
        <w:rPr>
          <w:spacing w:val="-10"/>
        </w:rPr>
        <w:t xml:space="preserve"> 公里污水管网，收集城区污水进入污水处理厂进行处</w:t>
      </w:r>
    </w:p>
    <w:p w14:paraId="6814B42A">
      <w:pPr>
        <w:pStyle w:val="6"/>
        <w:spacing w:line="417" w:lineRule="auto"/>
        <w:ind w:left="720" w:right="719"/>
        <w:jc w:val="both"/>
      </w:pPr>
      <w:r>
        <w:rPr>
          <w:spacing w:val="-17"/>
        </w:rPr>
        <w:t xml:space="preserve">理；百善镇建设 </w:t>
      </w:r>
      <w:r>
        <w:t>1</w:t>
      </w:r>
      <w:r>
        <w:rPr>
          <w:spacing w:val="-23"/>
        </w:rPr>
        <w:t xml:space="preserve"> 万吨</w:t>
      </w:r>
      <w:r>
        <w:t>/</w:t>
      </w:r>
      <w:r>
        <w:rPr>
          <w:spacing w:val="-12"/>
        </w:rPr>
        <w:t xml:space="preserve">日污水处理厂及 </w:t>
      </w:r>
      <w:r>
        <w:t>25</w:t>
      </w:r>
      <w:r>
        <w:rPr>
          <w:spacing w:val="-13"/>
        </w:rPr>
        <w:t xml:space="preserve"> 公里配套管网，收集百善</w:t>
      </w:r>
      <w:r>
        <w:rPr>
          <w:spacing w:val="-7"/>
        </w:rPr>
        <w:t>镇和百善工业集中区的污水进入污水处理厂进行处理；濉溪县经济开</w:t>
      </w:r>
      <w:r>
        <w:rPr>
          <w:spacing w:val="-11"/>
        </w:rPr>
        <w:t xml:space="preserve">发区新建日处理 </w:t>
      </w:r>
      <w:r>
        <w:t>4</w:t>
      </w:r>
      <w:r>
        <w:rPr>
          <w:spacing w:val="-16"/>
        </w:rPr>
        <w:t xml:space="preserve"> 万吨污水处理厂一座及其管网工程，再生水用于平</w:t>
      </w:r>
    </w:p>
    <w:p w14:paraId="667B88F9">
      <w:pPr>
        <w:pStyle w:val="6"/>
        <w:spacing w:line="417" w:lineRule="auto"/>
        <w:ind w:left="720" w:right="580"/>
      </w:pPr>
      <w:r>
        <w:rPr>
          <w:spacing w:val="-14"/>
        </w:rPr>
        <w:t xml:space="preserve">山电厂工业用水；濉溪县平山电厂新建日处理 </w:t>
      </w:r>
      <w:r>
        <w:t>5</w:t>
      </w:r>
      <w:r>
        <w:rPr>
          <w:spacing w:val="-10"/>
        </w:rPr>
        <w:t xml:space="preserve"> 万吨污水处理厂一座</w:t>
      </w:r>
      <w:r>
        <w:rPr>
          <w:spacing w:val="-18"/>
        </w:rPr>
        <w:t>及其管网工程，再生水用于平山电厂工业用水；建设四铺镇、刘桥镇、</w:t>
      </w:r>
      <w:r>
        <w:rPr>
          <w:spacing w:val="-5"/>
        </w:rPr>
        <w:t>铁佛镇污水处理厂、县开发区中水回用及配套管网工程。</w:t>
      </w:r>
    </w:p>
    <w:p w14:paraId="3A140AF2">
      <w:pPr>
        <w:pStyle w:val="6"/>
        <w:spacing w:before="119" w:line="417" w:lineRule="auto"/>
        <w:ind w:left="720" w:right="719" w:firstLine="559"/>
        <w:jc w:val="both"/>
      </w:pPr>
      <w:r>
        <w:rPr>
          <w:spacing w:val="-12"/>
        </w:rPr>
        <w:t xml:space="preserve">固废收集处理。建设病死畜禽无害化集中处理厂 </w:t>
      </w:r>
      <w:r>
        <w:t>1</w:t>
      </w:r>
      <w:r>
        <w:rPr>
          <w:spacing w:val="-18"/>
        </w:rPr>
        <w:t xml:space="preserve"> 座，集中处置</w:t>
      </w:r>
      <w:r>
        <w:rPr>
          <w:spacing w:val="-5"/>
        </w:rPr>
        <w:t>病死牲畜。</w:t>
      </w:r>
    </w:p>
    <w:p w14:paraId="17281C69">
      <w:pPr>
        <w:pStyle w:val="6"/>
        <w:spacing w:before="119" w:line="417" w:lineRule="auto"/>
        <w:ind w:left="720" w:right="719" w:firstLine="559"/>
        <w:jc w:val="both"/>
      </w:pPr>
      <w:r>
        <w:rPr>
          <w:spacing w:val="-17"/>
        </w:rPr>
        <w:t xml:space="preserve">大气污染治理设施。投入 </w:t>
      </w:r>
      <w:r>
        <w:t>825.678</w:t>
      </w:r>
      <w:r>
        <w:rPr>
          <w:spacing w:val="-10"/>
        </w:rPr>
        <w:t xml:space="preserve"> 万元完成了大气环境网格化管</w:t>
      </w:r>
      <w:r>
        <w:rPr>
          <w:spacing w:val="-11"/>
        </w:rPr>
        <w:t>理系统建设，建立重污染天气监测预警应急体系，为突发性环境污染</w:t>
      </w:r>
      <w:r>
        <w:rPr>
          <w:spacing w:val="-12"/>
        </w:rPr>
        <w:t>事故提供可靠、强有力的技术支撑；建立空气监测站，监测全县城区</w:t>
      </w:r>
      <w:r>
        <w:rPr>
          <w:spacing w:val="12"/>
        </w:rPr>
        <w:t>域空气中</w:t>
      </w:r>
      <w:r>
        <w:t>PM</w:t>
      </w:r>
      <w:r>
        <w:rPr>
          <w:position w:val="-3"/>
          <w:sz w:val="14"/>
        </w:rPr>
        <w:t>2.5</w:t>
      </w:r>
      <w:r>
        <w:rPr>
          <w:spacing w:val="-3"/>
        </w:rPr>
        <w:t>，保障全县范围内大气环境质量。</w:t>
      </w:r>
    </w:p>
    <w:p w14:paraId="4D22CABD">
      <w:pPr>
        <w:spacing w:before="258"/>
        <w:ind w:left="720" w:right="0" w:firstLine="0"/>
        <w:jc w:val="left"/>
        <w:rPr>
          <w:b/>
          <w:sz w:val="28"/>
        </w:rPr>
      </w:pPr>
      <w:bookmarkStart w:id="12" w:name="_bookmark7"/>
      <w:bookmarkEnd w:id="12"/>
      <w:bookmarkStart w:id="13" w:name="4、环境保护能力得以提升"/>
      <w:bookmarkEnd w:id="13"/>
      <w:r>
        <w:rPr>
          <w:rFonts w:ascii="Calibri" w:eastAsia="Calibri"/>
          <w:b/>
          <w:sz w:val="28"/>
        </w:rPr>
        <w:t>4</w:t>
      </w:r>
      <w:r>
        <w:rPr>
          <w:b/>
          <w:sz w:val="28"/>
        </w:rPr>
        <w:t>、环境保护能力得以提升</w:t>
      </w:r>
    </w:p>
    <w:p w14:paraId="3E96E67A">
      <w:pPr>
        <w:pStyle w:val="6"/>
        <w:spacing w:before="1"/>
        <w:rPr>
          <w:b/>
          <w:sz w:val="41"/>
        </w:rPr>
      </w:pPr>
    </w:p>
    <w:p w14:paraId="36F2F89C">
      <w:pPr>
        <w:pStyle w:val="6"/>
        <w:spacing w:line="417" w:lineRule="auto"/>
        <w:ind w:left="720" w:right="719" w:firstLine="559"/>
        <w:jc w:val="both"/>
      </w:pPr>
      <w:r>
        <w:rPr>
          <w:spacing w:val="-11"/>
        </w:rPr>
        <w:t>加强风险管控，增加环保投资，增强环保意识，开展全县环保专</w:t>
      </w:r>
      <w:r>
        <w:rPr>
          <w:spacing w:val="-14"/>
          <w:w w:val="100"/>
        </w:rPr>
        <w:t>项行动，建立健全生态和农村环境监察工作基本框架和工作网络</w:t>
      </w:r>
      <w:r>
        <w:rPr>
          <w:spacing w:val="-84"/>
          <w:w w:val="100"/>
        </w:rPr>
        <w:t>，“十</w:t>
      </w:r>
      <w:r>
        <w:rPr>
          <w:spacing w:val="-11"/>
        </w:rPr>
        <w:t>三五”期间，濉溪县新增在线监测系统，做到对环境质量的实时监控</w:t>
      </w:r>
      <w:r>
        <w:rPr>
          <w:spacing w:val="-12"/>
        </w:rPr>
        <w:t>预警，建立了县、镇、村的网格化监管系统，实现责任制，加强全县</w:t>
      </w:r>
    </w:p>
    <w:p w14:paraId="284F5F51">
      <w:pPr>
        <w:spacing w:after="0" w:line="417" w:lineRule="auto"/>
        <w:jc w:val="both"/>
        <w:sectPr>
          <w:pgSz w:w="11910" w:h="16840"/>
          <w:pgMar w:top="1420" w:right="1080" w:bottom="1360" w:left="1080" w:header="878" w:footer="1164" w:gutter="0"/>
          <w:pgNumType w:fmt="decimal"/>
          <w:cols w:space="720" w:num="1"/>
        </w:sectPr>
      </w:pPr>
    </w:p>
    <w:p w14:paraId="0C6B6822">
      <w:pPr>
        <w:pStyle w:val="6"/>
        <w:spacing w:before="143"/>
        <w:ind w:left="720"/>
      </w:pPr>
      <w:r>
        <w:t>环境信访工作，全县的环境保护能力显著增强。</w:t>
      </w:r>
    </w:p>
    <w:p w14:paraId="4D333DC0">
      <w:pPr>
        <w:pStyle w:val="6"/>
        <w:spacing w:before="12"/>
        <w:rPr>
          <w:sz w:val="40"/>
        </w:rPr>
      </w:pPr>
    </w:p>
    <w:p w14:paraId="1250332C">
      <w:pPr>
        <w:spacing w:before="0"/>
        <w:ind w:left="720" w:right="0" w:firstLine="0"/>
        <w:jc w:val="left"/>
        <w:rPr>
          <w:b/>
          <w:sz w:val="28"/>
        </w:rPr>
      </w:pPr>
      <w:bookmarkStart w:id="14" w:name="5、环保执法能力增强"/>
      <w:bookmarkEnd w:id="14"/>
      <w:bookmarkStart w:id="15" w:name="_bookmark8"/>
      <w:bookmarkEnd w:id="15"/>
      <w:r>
        <w:rPr>
          <w:rFonts w:ascii="Calibri" w:eastAsia="Calibri"/>
          <w:b/>
          <w:sz w:val="28"/>
        </w:rPr>
        <w:t>5</w:t>
      </w:r>
      <w:r>
        <w:rPr>
          <w:b/>
          <w:sz w:val="28"/>
        </w:rPr>
        <w:t>、环保执法能力增强</w:t>
      </w:r>
    </w:p>
    <w:p w14:paraId="10D0BF40">
      <w:pPr>
        <w:pStyle w:val="6"/>
        <w:spacing w:before="12"/>
        <w:rPr>
          <w:b/>
          <w:sz w:val="40"/>
        </w:rPr>
      </w:pPr>
    </w:p>
    <w:p w14:paraId="226235A3">
      <w:pPr>
        <w:pStyle w:val="6"/>
        <w:ind w:left="1279"/>
      </w:pPr>
      <w:r>
        <w:t>“十三五”期间，濉溪县完善了环境执法体系，认真贯彻实施新</w:t>
      </w:r>
    </w:p>
    <w:p w14:paraId="48CC5566">
      <w:pPr>
        <w:pStyle w:val="6"/>
        <w:spacing w:before="9"/>
        <w:rPr>
          <w:sz w:val="20"/>
        </w:rPr>
      </w:pPr>
    </w:p>
    <w:p w14:paraId="6DF364D1">
      <w:pPr>
        <w:pStyle w:val="6"/>
        <w:spacing w:line="417" w:lineRule="auto"/>
        <w:ind w:left="720" w:right="623"/>
      </w:pPr>
      <w:r>
        <w:rPr>
          <w:spacing w:val="-3"/>
        </w:rPr>
        <w:t xml:space="preserve">《环保法》，深化环境综合执法体制改革，始终保持高压严管态势， </w:t>
      </w:r>
      <w:r>
        <w:rPr>
          <w:spacing w:val="-10"/>
        </w:rPr>
        <w:t>深入实施环境执法“网格化”监管模式，建立区域执法联动机制，打造“全覆盖”的环境执法网络，严格落实“双随机”检查制度，先后</w:t>
      </w:r>
      <w:r>
        <w:rPr>
          <w:spacing w:val="-7"/>
        </w:rPr>
        <w:t xml:space="preserve">出台了污染防治攻坚战实施方案、环保网格化管理工作方案等 </w:t>
      </w:r>
      <w:r>
        <w:t>80</w:t>
      </w:r>
      <w:r>
        <w:rPr>
          <w:spacing w:val="-35"/>
        </w:rPr>
        <w:t xml:space="preserve"> 多</w:t>
      </w:r>
      <w:r>
        <w:rPr>
          <w:spacing w:val="-13"/>
        </w:rPr>
        <w:t>个环保方面重要文件，为环境保护工作开展提供了强有力的顶层设计</w:t>
      </w:r>
      <w:r>
        <w:rPr>
          <w:spacing w:val="-11"/>
        </w:rPr>
        <w:t>和政策支撑；其次是线上线下双管，开展环境大检查，优先解决突出</w:t>
      </w:r>
      <w:r>
        <w:rPr>
          <w:spacing w:val="-12"/>
        </w:rPr>
        <w:t>环保问题，解决群众合理诉求问题，通过挂牌督办、联合查办等方式重点查处畜禽养殖和“散乱污”企业等问题，运用行政处罚、行政命</w:t>
      </w:r>
      <w:r>
        <w:rPr>
          <w:spacing w:val="-3"/>
        </w:rPr>
        <w:t xml:space="preserve">令，并联合司法机关采取刑事处罚等手段，集中力量查办未批先建， </w:t>
      </w:r>
      <w:r>
        <w:rPr>
          <w:spacing w:val="-12"/>
        </w:rPr>
        <w:t>非法收集、排放、倾倒、处置危险废物和生态环境破坏等典型违法犯</w:t>
      </w:r>
      <w:r>
        <w:rPr>
          <w:spacing w:val="-11"/>
        </w:rPr>
        <w:t>罪案件，以网格化工作为抓手，强化落实环境监管职能；强化环境监管执法能力，严惩环境违法行为，规范行政处罚案卷办理，全力提升</w:t>
      </w:r>
      <w:r>
        <w:rPr>
          <w:spacing w:val="-5"/>
        </w:rPr>
        <w:t>环境保护队伍整体素质和业务水平。</w:t>
      </w:r>
    </w:p>
    <w:p w14:paraId="57D34436">
      <w:pPr>
        <w:pStyle w:val="6"/>
        <w:spacing w:before="3"/>
        <w:rPr>
          <w:sz w:val="20"/>
        </w:rPr>
      </w:pPr>
    </w:p>
    <w:p w14:paraId="655558B0">
      <w:pPr>
        <w:spacing w:before="0"/>
        <w:ind w:left="720" w:right="0" w:firstLine="0"/>
        <w:jc w:val="left"/>
        <w:rPr>
          <w:b/>
          <w:sz w:val="28"/>
        </w:rPr>
      </w:pPr>
      <w:bookmarkStart w:id="16" w:name="6、环境监测能力提高"/>
      <w:bookmarkEnd w:id="16"/>
      <w:bookmarkStart w:id="17" w:name="_bookmark9"/>
      <w:bookmarkEnd w:id="17"/>
      <w:r>
        <w:rPr>
          <w:rFonts w:ascii="Calibri" w:eastAsia="Calibri"/>
          <w:b/>
          <w:sz w:val="28"/>
        </w:rPr>
        <w:t>6</w:t>
      </w:r>
      <w:r>
        <w:rPr>
          <w:b/>
          <w:sz w:val="28"/>
        </w:rPr>
        <w:t>、环境监测能力提高</w:t>
      </w:r>
    </w:p>
    <w:p w14:paraId="526CBE5D">
      <w:pPr>
        <w:pStyle w:val="6"/>
        <w:spacing w:before="12"/>
        <w:rPr>
          <w:b/>
          <w:sz w:val="40"/>
        </w:rPr>
      </w:pPr>
    </w:p>
    <w:p w14:paraId="7ACFE6DC">
      <w:pPr>
        <w:pStyle w:val="6"/>
        <w:spacing w:line="417" w:lineRule="auto"/>
        <w:ind w:left="720" w:right="580" w:firstLine="559"/>
      </w:pPr>
      <w:r>
        <w:rPr>
          <w:spacing w:val="-10"/>
        </w:rPr>
        <w:t>扩大监测范围。濉溪县定期对县级饮用水源地下水、出厂水、龙</w:t>
      </w:r>
      <w:r>
        <w:rPr>
          <w:spacing w:val="-4"/>
        </w:rPr>
        <w:t>头水水质监测情况进行监测,并将监测结果及时公布；定期组织人员</w:t>
      </w:r>
      <w:r>
        <w:rPr>
          <w:spacing w:val="-18"/>
        </w:rPr>
        <w:t>对县域境内的澥河、浍河、沱河、萧濉新河等主要河流进行取样监测，</w:t>
      </w:r>
    </w:p>
    <w:p w14:paraId="68E55086">
      <w:pPr>
        <w:spacing w:after="0" w:line="417" w:lineRule="auto"/>
        <w:sectPr>
          <w:pgSz w:w="11910" w:h="16840"/>
          <w:pgMar w:top="1420" w:right="1080" w:bottom="1360" w:left="1080" w:header="878" w:footer="1164" w:gutter="0"/>
          <w:pgNumType w:fmt="decimal"/>
          <w:cols w:space="720" w:num="1"/>
        </w:sectPr>
      </w:pPr>
    </w:p>
    <w:p w14:paraId="0AB18E3E">
      <w:pPr>
        <w:pStyle w:val="6"/>
        <w:spacing w:before="143" w:line="417" w:lineRule="auto"/>
        <w:ind w:left="720" w:right="719"/>
      </w:pPr>
      <w:r>
        <w:rPr>
          <w:spacing w:val="-8"/>
        </w:rPr>
        <w:t>并依据各类水污染物监测浓度，对各镇</w:t>
      </w:r>
      <w:r>
        <w:t>（</w:t>
      </w:r>
      <w:r>
        <w:rPr>
          <w:spacing w:val="-2"/>
        </w:rPr>
        <w:t>园区</w:t>
      </w:r>
      <w:r>
        <w:rPr>
          <w:spacing w:val="-34"/>
        </w:rPr>
        <w:t>）</w:t>
      </w:r>
      <w:r>
        <w:rPr>
          <w:spacing w:val="-3"/>
        </w:rPr>
        <w:t>水环境承载力进行评</w:t>
      </w:r>
      <w:r>
        <w:rPr>
          <w:spacing w:val="-11"/>
        </w:rPr>
        <w:t>价；要求各企业及施工场所定期对周围环境进行声环境监测和大气环</w:t>
      </w:r>
      <w:r>
        <w:rPr>
          <w:spacing w:val="-5"/>
        </w:rPr>
        <w:t>境质量监测，确保施工场所的噪声污染和大气污染控制在标准范围内。</w:t>
      </w:r>
    </w:p>
    <w:p w14:paraId="298458DA">
      <w:pPr>
        <w:pStyle w:val="6"/>
        <w:spacing w:line="358" w:lineRule="exact"/>
        <w:ind w:left="1279"/>
        <w:jc w:val="both"/>
      </w:pPr>
      <w:r>
        <w:t>提高检测频率。地表水监测由每年平水期、丰水期、枯水期 3 次</w:t>
      </w:r>
    </w:p>
    <w:p w14:paraId="30291E29">
      <w:pPr>
        <w:pStyle w:val="6"/>
        <w:spacing w:before="9"/>
        <w:rPr>
          <w:sz w:val="20"/>
        </w:rPr>
      </w:pPr>
    </w:p>
    <w:p w14:paraId="3B95FC99">
      <w:pPr>
        <w:pStyle w:val="6"/>
        <w:spacing w:line="417" w:lineRule="auto"/>
        <w:ind w:left="720" w:right="719"/>
        <w:jc w:val="both"/>
      </w:pPr>
      <w:r>
        <w:rPr>
          <w:spacing w:val="-10"/>
        </w:rPr>
        <w:t xml:space="preserve">取样监测调整为每月 </w:t>
      </w:r>
      <w:r>
        <w:t>1</w:t>
      </w:r>
      <w:r>
        <w:rPr>
          <w:spacing w:val="-14"/>
        </w:rPr>
        <w:t xml:space="preserve"> 次，主要针对的是流经各镇</w:t>
      </w:r>
      <w:r>
        <w:rPr>
          <w:spacing w:val="-3"/>
        </w:rPr>
        <w:t>（</w:t>
      </w:r>
      <w:r>
        <w:t>园区</w:t>
      </w:r>
      <w:r>
        <w:rPr>
          <w:spacing w:val="-34"/>
        </w:rPr>
        <w:t>）</w:t>
      </w:r>
      <w:r>
        <w:rPr>
          <w:spacing w:val="-2"/>
        </w:rPr>
        <w:t>的主河段</w:t>
      </w:r>
      <w:r>
        <w:rPr>
          <w:spacing w:val="-11"/>
        </w:rPr>
        <w:t>的出、入境断面，为全县水污染防治工作提供技术支撑，也为河流水</w:t>
      </w:r>
      <w:r>
        <w:rPr>
          <w:spacing w:val="-13"/>
        </w:rPr>
        <w:t>质评价、断面考核提供依据；督促企业尤其是重污染企业安装在线监</w:t>
      </w:r>
      <w:r>
        <w:rPr>
          <w:spacing w:val="-5"/>
        </w:rPr>
        <w:t>测，提高濉溪县全域范围内的监测覆盖面。</w:t>
      </w:r>
    </w:p>
    <w:p w14:paraId="2AAD6862">
      <w:pPr>
        <w:pStyle w:val="6"/>
        <w:spacing w:line="417" w:lineRule="auto"/>
        <w:ind w:left="720" w:right="580" w:firstLine="559"/>
      </w:pPr>
      <w:r>
        <w:rPr>
          <w:spacing w:val="-20"/>
        </w:rPr>
        <w:t xml:space="preserve">提高检测水平。投入 </w:t>
      </w:r>
      <w:r>
        <w:t>825.678</w:t>
      </w:r>
      <w:r>
        <w:rPr>
          <w:spacing w:val="-10"/>
        </w:rPr>
        <w:t xml:space="preserve"> 万元完成了大气环境网格化管理系</w:t>
      </w:r>
      <w:r>
        <w:rPr>
          <w:spacing w:val="-12"/>
        </w:rPr>
        <w:t>统建设，建立重污染天气监测预警应急体系，为突发性环境污染事故</w:t>
      </w:r>
      <w:r>
        <w:rPr>
          <w:spacing w:val="-17"/>
        </w:rPr>
        <w:t xml:space="preserve">提供可靠、强有力的技术支撑，有效提高了污染事故的应急处置能力， </w:t>
      </w:r>
      <w:r>
        <w:rPr>
          <w:spacing w:val="-12"/>
        </w:rPr>
        <w:t>为政府救援决策提供科学依据；对污染排放企业严格要求线上线下双监测，并将监测结果及时公布，为评估全县的水污染防治工作提供依据。</w:t>
      </w:r>
    </w:p>
    <w:p w14:paraId="3CAD978E">
      <w:pPr>
        <w:pStyle w:val="6"/>
        <w:spacing w:before="1"/>
        <w:rPr>
          <w:sz w:val="20"/>
        </w:rPr>
      </w:pPr>
    </w:p>
    <w:p w14:paraId="295D3379">
      <w:pPr>
        <w:spacing w:before="0"/>
        <w:ind w:left="720" w:right="0" w:firstLine="0"/>
        <w:jc w:val="left"/>
        <w:rPr>
          <w:b/>
          <w:sz w:val="28"/>
        </w:rPr>
      </w:pPr>
      <w:bookmarkStart w:id="18" w:name="7、环保宣传教育工作取得成效"/>
      <w:bookmarkEnd w:id="18"/>
      <w:bookmarkStart w:id="19" w:name="_bookmark10"/>
      <w:bookmarkEnd w:id="19"/>
      <w:r>
        <w:rPr>
          <w:rFonts w:ascii="Calibri" w:eastAsia="Calibri"/>
          <w:b/>
          <w:sz w:val="28"/>
        </w:rPr>
        <w:t>7</w:t>
      </w:r>
      <w:r>
        <w:rPr>
          <w:b/>
          <w:sz w:val="28"/>
        </w:rPr>
        <w:t>、环保宣传教育工作取得成效</w:t>
      </w:r>
    </w:p>
    <w:p w14:paraId="10E18D91">
      <w:pPr>
        <w:pStyle w:val="6"/>
        <w:spacing w:before="12"/>
        <w:rPr>
          <w:b/>
          <w:sz w:val="40"/>
        </w:rPr>
      </w:pPr>
    </w:p>
    <w:p w14:paraId="7689E95D">
      <w:pPr>
        <w:pStyle w:val="6"/>
        <w:spacing w:line="417" w:lineRule="auto"/>
        <w:ind w:left="720" w:right="719" w:firstLine="559"/>
        <w:jc w:val="both"/>
      </w:pPr>
      <w:r>
        <w:rPr>
          <w:spacing w:val="-10"/>
        </w:rPr>
        <w:t>“十三五”期间，在政府的带领下，编印新《环保法》、《中华</w:t>
      </w:r>
      <w:r>
        <w:rPr>
          <w:spacing w:val="-11"/>
        </w:rPr>
        <w:t>人民共和国大气污染防治法》、《安徽省大气污染防治条例》等新颁</w:t>
      </w:r>
      <w:r>
        <w:rPr>
          <w:spacing w:val="-9"/>
        </w:rPr>
        <w:t>布实施的法律、法规，发放到企业和群众，同时做好“六</w:t>
      </w:r>
      <w:r>
        <w:rPr>
          <w:spacing w:val="-17"/>
        </w:rPr>
        <w:t>·</w:t>
      </w:r>
      <w:r>
        <w:rPr>
          <w:spacing w:val="-6"/>
        </w:rPr>
        <w:t>五”世界</w:t>
      </w:r>
      <w:r>
        <w:rPr>
          <w:spacing w:val="-10"/>
        </w:rPr>
        <w:t>环境日宣传工作，发放环保宣传单、环保宣传手册、环保购物袋，同</w:t>
      </w:r>
      <w:r>
        <w:rPr>
          <w:spacing w:val="-9"/>
        </w:rPr>
        <w:t>时利用濉溪县生态环境局官方网站、微信公众号等新媒体开展公众参</w:t>
      </w:r>
    </w:p>
    <w:p w14:paraId="584DA6F5">
      <w:pPr>
        <w:spacing w:after="0" w:line="417" w:lineRule="auto"/>
        <w:jc w:val="both"/>
        <w:sectPr>
          <w:pgSz w:w="11910" w:h="16840"/>
          <w:pgMar w:top="1420" w:right="1080" w:bottom="1360" w:left="1080" w:header="878" w:footer="1164" w:gutter="0"/>
          <w:pgNumType w:fmt="decimal"/>
          <w:cols w:space="720" w:num="1"/>
        </w:sectPr>
      </w:pPr>
    </w:p>
    <w:p w14:paraId="3DE025C4">
      <w:pPr>
        <w:pStyle w:val="6"/>
        <w:spacing w:before="143" w:line="417" w:lineRule="auto"/>
        <w:ind w:left="720" w:right="580"/>
      </w:pPr>
      <w:r>
        <w:rPr>
          <w:spacing w:val="-11"/>
        </w:rPr>
        <w:t>与活动和科普宣传活动，及时更新环保信息，营造良好生态环境保护</w:t>
      </w:r>
      <w:r>
        <w:rPr>
          <w:spacing w:val="-17"/>
        </w:rPr>
        <w:t xml:space="preserve">氛围，经过五年的努力，全县人民的环境保护意识得到了极大的提高， </w:t>
      </w:r>
      <w:r>
        <w:rPr>
          <w:spacing w:val="-5"/>
        </w:rPr>
        <w:t>为建设生态文明和探索环保新道路营造了良好的舆论氛围。</w:t>
      </w:r>
    </w:p>
    <w:p w14:paraId="1676EBB7">
      <w:pPr>
        <w:pStyle w:val="4"/>
        <w:ind w:left="2839"/>
      </w:pPr>
      <w:bookmarkStart w:id="20" w:name="_bookmark11"/>
      <w:bookmarkEnd w:id="20"/>
      <w:bookmarkStart w:id="21" w:name="第三节 环保发展趋势背景分析"/>
      <w:bookmarkEnd w:id="21"/>
      <w:r>
        <w:t>第三节 环保发展趋势背景分析</w:t>
      </w:r>
    </w:p>
    <w:p w14:paraId="78D06663">
      <w:pPr>
        <w:pStyle w:val="6"/>
        <w:spacing w:before="12"/>
        <w:rPr>
          <w:b/>
          <w:sz w:val="39"/>
        </w:rPr>
      </w:pPr>
    </w:p>
    <w:p w14:paraId="3D4E4320">
      <w:pPr>
        <w:spacing w:before="0"/>
        <w:ind w:left="720" w:right="0" w:firstLine="0"/>
        <w:jc w:val="left"/>
        <w:rPr>
          <w:b/>
          <w:sz w:val="28"/>
        </w:rPr>
      </w:pPr>
      <w:bookmarkStart w:id="22" w:name="1、面临的主要机遇和挑战 "/>
      <w:bookmarkEnd w:id="22"/>
      <w:bookmarkStart w:id="23" w:name="_bookmark12"/>
      <w:bookmarkEnd w:id="23"/>
      <w:r>
        <w:rPr>
          <w:rFonts w:ascii="Calibri" w:eastAsia="Calibri"/>
          <w:b/>
          <w:sz w:val="28"/>
        </w:rPr>
        <w:t>1</w:t>
      </w:r>
      <w:r>
        <w:rPr>
          <w:b/>
          <w:sz w:val="28"/>
        </w:rPr>
        <w:t>、面临的主要机遇和挑战</w:t>
      </w:r>
    </w:p>
    <w:p w14:paraId="32C591EF">
      <w:pPr>
        <w:pStyle w:val="6"/>
        <w:spacing w:before="2"/>
        <w:rPr>
          <w:b/>
          <w:sz w:val="41"/>
        </w:rPr>
      </w:pPr>
    </w:p>
    <w:p w14:paraId="36AAE319">
      <w:pPr>
        <w:pStyle w:val="6"/>
        <w:spacing w:line="417" w:lineRule="auto"/>
        <w:ind w:left="720" w:right="580" w:firstLine="559"/>
      </w:pPr>
      <w:r>
        <w:rPr>
          <w:spacing w:val="-10"/>
        </w:rPr>
        <w:t>面临的挑战分析。国内外环境正在发生深刻复杂变化，经济发展</w:t>
      </w:r>
      <w:r>
        <w:rPr>
          <w:spacing w:val="-18"/>
        </w:rPr>
        <w:t xml:space="preserve">外部环境更是复杂严峻，不稳定不确定因素增多，经济下行压力加大， </w:t>
      </w:r>
      <w:r>
        <w:rPr>
          <w:spacing w:val="-10"/>
        </w:rPr>
        <w:t>一些企业和部门对保护与发展的辩证关系认识不高；我国全面进入小</w:t>
      </w:r>
      <w:r>
        <w:rPr>
          <w:spacing w:val="-12"/>
        </w:rPr>
        <w:t>康社会以后，经济迅速发展，科技力量不断壮大，经济社会发展的变</w:t>
      </w:r>
      <w:r>
        <w:rPr>
          <w:spacing w:val="-10"/>
        </w:rPr>
        <w:t>化必然会对生态环境保护有新定位、新需求、新使命。工业是濉溪经</w:t>
      </w:r>
      <w:r>
        <w:rPr>
          <w:spacing w:val="-11"/>
        </w:rPr>
        <w:t>济的重要支柱，也是构建和谐社会、全面建成小康社会、推进现代化</w:t>
      </w:r>
      <w:r>
        <w:rPr>
          <w:spacing w:val="-12"/>
        </w:rPr>
        <w:t>建设的重要力量，随着全县经济发展的持续增长，生态环境问题也将</w:t>
      </w:r>
      <w:r>
        <w:rPr>
          <w:spacing w:val="-13"/>
        </w:rPr>
        <w:t>日益突出；新农村建设和城镇人口的增加，人们对生活环境的要求也</w:t>
      </w:r>
      <w:r>
        <w:rPr>
          <w:spacing w:val="-11"/>
        </w:rPr>
        <w:t>将随之提高，这与落后的陈旧的基础环保设施相冲突；党的十九大报</w:t>
      </w:r>
      <w:r>
        <w:rPr>
          <w:spacing w:val="-18"/>
        </w:rPr>
        <w:t xml:space="preserve">告指出到 </w:t>
      </w:r>
      <w:r>
        <w:t>2035</w:t>
      </w:r>
      <w:r>
        <w:rPr>
          <w:spacing w:val="-10"/>
        </w:rPr>
        <w:t xml:space="preserve"> 年，要达到“生态环境根本好转，美丽中国目标基本</w:t>
      </w:r>
      <w:r>
        <w:rPr>
          <w:spacing w:val="-11"/>
        </w:rPr>
        <w:t>实现”的目标，然而，当前濉溪县发展质量和发展效益仍然不高、发</w:t>
      </w:r>
      <w:r>
        <w:rPr>
          <w:spacing w:val="-12"/>
        </w:rPr>
        <w:t>展与环保的矛盾尚未完全解决、发展不足与发展过度导致的环境破坏</w:t>
      </w:r>
      <w:r>
        <w:rPr>
          <w:spacing w:val="-13"/>
        </w:rPr>
        <w:t>等问题，生态文明建设仍然任重道远，完成污染防治攻坚战目标任务</w:t>
      </w:r>
      <w:r>
        <w:rPr>
          <w:spacing w:val="-4"/>
        </w:rPr>
        <w:t>非常艰巨。</w:t>
      </w:r>
    </w:p>
    <w:p w14:paraId="4B8EFB9F">
      <w:pPr>
        <w:pStyle w:val="6"/>
        <w:spacing w:before="117"/>
        <w:ind w:left="1279"/>
      </w:pPr>
      <w:r>
        <w:t>面临的机遇分析。随着人类与自然环境之间的矛盾逐渐加剧,许</w:t>
      </w:r>
    </w:p>
    <w:p w14:paraId="03E33D7C">
      <w:pPr>
        <w:spacing w:after="0"/>
        <w:sectPr>
          <w:pgSz w:w="11910" w:h="16840"/>
          <w:pgMar w:top="1420" w:right="1080" w:bottom="1360" w:left="1080" w:header="878" w:footer="1164" w:gutter="0"/>
          <w:pgNumType w:fmt="decimal"/>
          <w:cols w:space="720" w:num="1"/>
        </w:sectPr>
      </w:pPr>
    </w:p>
    <w:p w14:paraId="40BD673A">
      <w:pPr>
        <w:pStyle w:val="6"/>
        <w:spacing w:before="143" w:line="417" w:lineRule="auto"/>
        <w:ind w:left="720" w:right="719"/>
      </w:pPr>
      <w:r>
        <w:rPr>
          <w:spacing w:val="-3"/>
        </w:rPr>
        <w:t xml:space="preserve">多学者在关注社会文明的同时,也在时刻关注物质文明与环境的和 </w:t>
      </w:r>
      <w:r>
        <w:rPr>
          <w:spacing w:val="-12"/>
        </w:rPr>
        <w:t>谐；党的十八大以来，以习近平同志为核心的党中央把生态文明建设作为统筹推进“五位一体”总体布局和协调推进“四个全面”战略布局的重要内容，党中央、国务院把资源节约型、环境友好型社会作为</w:t>
      </w:r>
      <w:r>
        <w:rPr>
          <w:spacing w:val="-9"/>
        </w:rPr>
        <w:t>加快经济发展方式转变的重要着力点，把提高生态文明水平作为两型</w:t>
      </w:r>
      <w:r>
        <w:rPr>
          <w:spacing w:val="-10"/>
        </w:rPr>
        <w:t>社会建设的目标；虽然经济的发展会对环境造成一定的破坏，但同时也可以促进生态环境的良性循环，较好的经济基础可以为生态发展提</w:t>
      </w:r>
      <w:r>
        <w:rPr>
          <w:spacing w:val="-12"/>
        </w:rPr>
        <w:t>供必要的物质基础、资金支持和技术保障；濉溪县坚持用新发展理念统领经济社会发展，在发展经济的同时，全县把生态环境保护工作摆</w:t>
      </w:r>
      <w:r>
        <w:rPr>
          <w:spacing w:val="-10"/>
        </w:rPr>
        <w:t>在各项工作的首位，始终坚持“保护生态环境就是保护生产力，改善</w:t>
      </w:r>
      <w:r>
        <w:rPr>
          <w:spacing w:val="-4"/>
        </w:rPr>
        <w:t>生态环境就是发展生产力”的政治高度。</w:t>
      </w:r>
    </w:p>
    <w:p w14:paraId="6192B524">
      <w:pPr>
        <w:pStyle w:val="6"/>
        <w:spacing w:before="1"/>
        <w:rPr>
          <w:sz w:val="20"/>
        </w:rPr>
      </w:pPr>
    </w:p>
    <w:p w14:paraId="7CB17AC8">
      <w:pPr>
        <w:spacing w:before="0"/>
        <w:ind w:left="720" w:right="0" w:firstLine="0"/>
        <w:jc w:val="left"/>
        <w:rPr>
          <w:b/>
          <w:sz w:val="28"/>
        </w:rPr>
      </w:pPr>
      <w:bookmarkStart w:id="24" w:name="2、“十四五”时期需要解决的主要环境问题"/>
      <w:bookmarkEnd w:id="24"/>
      <w:bookmarkStart w:id="25" w:name="_bookmark13"/>
      <w:bookmarkEnd w:id="25"/>
      <w:r>
        <w:rPr>
          <w:rFonts w:ascii="Calibri" w:hAnsi="Calibri" w:eastAsia="Calibri"/>
          <w:b/>
          <w:sz w:val="28"/>
        </w:rPr>
        <w:t>2</w:t>
      </w:r>
      <w:r>
        <w:rPr>
          <w:b/>
          <w:sz w:val="28"/>
        </w:rPr>
        <w:t>、“十四五”时期需要解决的主要环境问题</w:t>
      </w:r>
    </w:p>
    <w:p w14:paraId="79ADEDD5">
      <w:pPr>
        <w:pStyle w:val="6"/>
        <w:spacing w:before="12"/>
        <w:rPr>
          <w:b/>
          <w:sz w:val="40"/>
        </w:rPr>
      </w:pPr>
    </w:p>
    <w:p w14:paraId="29A65641">
      <w:pPr>
        <w:pStyle w:val="6"/>
        <w:spacing w:line="417" w:lineRule="auto"/>
        <w:ind w:left="720" w:right="623" w:firstLine="559"/>
      </w:pPr>
      <w:r>
        <w:rPr>
          <w:spacing w:val="-11"/>
        </w:rPr>
        <w:t>加强城乡环境建设。着力全面提升城乡环境质量，改善城乡人居</w:t>
      </w:r>
      <w:r>
        <w:rPr>
          <w:spacing w:val="-3"/>
        </w:rPr>
        <w:t xml:space="preserve">环境，满足人民日益增长的优美生态环境需要。农村厕改继续实行， </w:t>
      </w:r>
      <w:r>
        <w:rPr>
          <w:spacing w:val="-9"/>
        </w:rPr>
        <w:t>争取全县旱厕全部改造完成，并保障后续使用和维护工作；实现全县</w:t>
      </w:r>
      <w:r>
        <w:rPr>
          <w:spacing w:val="-11"/>
        </w:rPr>
        <w:t>垃圾分类，回收有用垃圾，合理处置有害垃圾，做到垃圾不落地，不</w:t>
      </w:r>
      <w:r>
        <w:rPr>
          <w:spacing w:val="-5"/>
        </w:rPr>
        <w:t>产生二次污染；需进一步增加全县的绿化面积，改善人居环境等。</w:t>
      </w:r>
    </w:p>
    <w:p w14:paraId="6E83AF54">
      <w:pPr>
        <w:pStyle w:val="6"/>
        <w:spacing w:before="119" w:line="417" w:lineRule="auto"/>
        <w:ind w:left="720" w:right="719" w:firstLine="559"/>
        <w:jc w:val="both"/>
      </w:pPr>
      <w:r>
        <w:rPr>
          <w:spacing w:val="-11"/>
        </w:rPr>
        <w:t>污染物处置合理化。随着经济高速发展人口不断增加，生活垃圾和工业垃圾量也将不断增加，要进一步加强全县的垃圾和污染物处置</w:t>
      </w:r>
      <w:r>
        <w:rPr>
          <w:spacing w:val="-5"/>
        </w:rPr>
        <w:t>能力，提高废物的回收利用率，确保垃圾的无害化处理。</w:t>
      </w:r>
    </w:p>
    <w:p w14:paraId="2C4E1096">
      <w:pPr>
        <w:pStyle w:val="6"/>
        <w:spacing w:before="119"/>
        <w:ind w:left="578" w:right="21"/>
        <w:jc w:val="center"/>
      </w:pPr>
      <w:r>
        <w:t>加强基础设施建设，引进高技术人才，增加环保投入。老旧环保</w:t>
      </w:r>
    </w:p>
    <w:p w14:paraId="38457494">
      <w:pPr>
        <w:spacing w:after="0"/>
        <w:jc w:val="center"/>
        <w:sectPr>
          <w:footerReference r:id="rId8" w:type="default"/>
          <w:pgSz w:w="11910" w:h="16840"/>
          <w:pgMar w:top="1420" w:right="1080" w:bottom="1360" w:left="1080" w:header="878" w:footer="1164" w:gutter="0"/>
          <w:pgNumType w:fmt="decimal" w:start="20"/>
          <w:cols w:space="720" w:num="1"/>
        </w:sectPr>
      </w:pPr>
    </w:p>
    <w:p w14:paraId="32D16E31">
      <w:pPr>
        <w:pStyle w:val="6"/>
        <w:spacing w:before="143" w:line="417" w:lineRule="auto"/>
        <w:ind w:left="720" w:right="623"/>
      </w:pPr>
      <w:r>
        <w:rPr>
          <w:spacing w:val="-8"/>
        </w:rPr>
        <w:t>设施不但达不到处理污染物的能力，还有可能造成二次污染，督促企业和市政环保更换新的设备和工艺，提高处理能力和处理量；进一步加强全县雨污分离工作和污水处理基础建设，实现对县城全部污水和</w:t>
      </w:r>
      <w:r>
        <w:rPr>
          <w:spacing w:val="-10"/>
        </w:rPr>
        <w:t>初期雨水全面收集处理；规范全县范围内污水处理厂运行管理，提高</w:t>
      </w:r>
      <w:r>
        <w:rPr>
          <w:spacing w:val="-11"/>
        </w:rPr>
        <w:t>收集率及处理效率。提高大气污染物的监测能力和监测水平，减少排</w:t>
      </w:r>
      <w:r>
        <w:rPr>
          <w:spacing w:val="-12"/>
        </w:rPr>
        <w:t>入大气中的污染物量。垃圾收集储运系统仍然有待完善，尤其是农村</w:t>
      </w:r>
      <w:r>
        <w:rPr>
          <w:spacing w:val="-3"/>
        </w:rPr>
        <w:t xml:space="preserve">地区，覆盖面仍有很大提升空间，提高固体废弃物的处置处理能力， </w:t>
      </w:r>
      <w:r>
        <w:rPr>
          <w:spacing w:val="-8"/>
        </w:rPr>
        <w:t>确保固体废弃物的合理利用率和无害化处置。引进高技术人才，为濉</w:t>
      </w:r>
      <w:r>
        <w:rPr>
          <w:spacing w:val="-11"/>
        </w:rPr>
        <w:t>溪县的环保工作注入新力量。增加环境基础设施建设和防治污染的资</w:t>
      </w:r>
      <w:r>
        <w:rPr>
          <w:spacing w:val="-5"/>
        </w:rPr>
        <w:t>金投入，建立多元化环保投资渠道。</w:t>
      </w:r>
    </w:p>
    <w:p w14:paraId="47EDC189">
      <w:pPr>
        <w:pStyle w:val="6"/>
        <w:spacing w:before="118" w:line="417" w:lineRule="auto"/>
        <w:ind w:left="720" w:right="623" w:firstLine="559"/>
        <w:jc w:val="both"/>
      </w:pPr>
      <w:r>
        <w:t>深化塌陷区生态修复工作。妥善进行塌陷区生态治理修复工作， 设计理想的恢复性生态系统，使之既能与本地自然生态系统相协调， 又能把更多的物质财富带给社会。</w:t>
      </w:r>
    </w:p>
    <w:p w14:paraId="6B6A3603">
      <w:pPr>
        <w:pStyle w:val="6"/>
        <w:spacing w:before="120" w:line="417" w:lineRule="auto"/>
        <w:ind w:left="859" w:right="719" w:firstLine="561"/>
        <w:jc w:val="both"/>
      </w:pPr>
      <w:r>
        <w:rPr>
          <w:spacing w:val="-10"/>
        </w:rPr>
        <w:t>清洁能源改造。严格执行“宜气则气 、宜电则电”原则，加强</w:t>
      </w:r>
      <w:r>
        <w:rPr>
          <w:spacing w:val="-4"/>
        </w:rPr>
        <w:t xml:space="preserve">对濉溪县现有设备改造，淘汰高污染高能耗设备，改用清洁能源， </w:t>
      </w:r>
      <w:r>
        <w:rPr>
          <w:spacing w:val="-3"/>
        </w:rPr>
        <w:t>平衡发展、资源和污染的关系，在濉溪县建立绿色、高效、低碳的经济体系、能源体系和资源利用体系。</w:t>
      </w:r>
    </w:p>
    <w:p w14:paraId="331ED83C">
      <w:pPr>
        <w:pStyle w:val="6"/>
        <w:spacing w:before="119" w:line="417" w:lineRule="auto"/>
        <w:ind w:left="859" w:right="580" w:firstLine="561"/>
      </w:pPr>
      <w:r>
        <w:rPr>
          <w:spacing w:val="-3"/>
        </w:rPr>
        <w:t>进一步完善生态保护管理监察体系。进一步加大生态系统保护</w:t>
      </w:r>
      <w:r>
        <w:rPr>
          <w:spacing w:val="-11"/>
        </w:rPr>
        <w:t xml:space="preserve">力度，坚持保护与修复并重，建立市场化、多元化的生态补偿机制， </w:t>
      </w:r>
      <w:r>
        <w:rPr>
          <w:spacing w:val="-5"/>
        </w:rPr>
        <w:t>统筹力量紧盯重点区域、重点行业、重点企业，按重点时段、重点</w:t>
      </w:r>
      <w:r>
        <w:rPr>
          <w:spacing w:val="-3"/>
        </w:rPr>
        <w:t>问题开展环境执法监测，保时刻持执法高压态势。</w:t>
      </w:r>
    </w:p>
    <w:p w14:paraId="0D461965">
      <w:pPr>
        <w:spacing w:after="0" w:line="417" w:lineRule="auto"/>
        <w:sectPr>
          <w:pgSz w:w="11910" w:h="16840"/>
          <w:pgMar w:top="1420" w:right="1080" w:bottom="1360" w:left="1080" w:header="878" w:footer="1164" w:gutter="0"/>
          <w:pgNumType w:fmt="decimal"/>
          <w:cols w:space="720" w:num="1"/>
        </w:sectPr>
      </w:pPr>
    </w:p>
    <w:p w14:paraId="41BD58C5">
      <w:pPr>
        <w:pStyle w:val="6"/>
        <w:spacing w:before="143" w:line="417" w:lineRule="auto"/>
        <w:ind w:left="859" w:right="763" w:firstLine="561"/>
        <w:jc w:val="both"/>
      </w:pPr>
      <w:r>
        <w:t>提高准入门槛。严格执行先审再批程序，对不符合国家产业政策、环保法律法规、污染物排放总量控制和区域环境功能区划要求的项目坚决不批。</w:t>
      </w:r>
    </w:p>
    <w:p w14:paraId="0774D5C7">
      <w:pPr>
        <w:pStyle w:val="6"/>
        <w:spacing w:before="3"/>
        <w:rPr>
          <w:sz w:val="20"/>
        </w:rPr>
      </w:pPr>
    </w:p>
    <w:p w14:paraId="0E65AD52">
      <w:pPr>
        <w:spacing w:before="0"/>
        <w:ind w:left="720" w:right="0" w:firstLine="0"/>
        <w:jc w:val="left"/>
        <w:rPr>
          <w:b/>
          <w:sz w:val="28"/>
        </w:rPr>
      </w:pPr>
      <w:bookmarkStart w:id="26" w:name="_bookmark14"/>
      <w:bookmarkEnd w:id="26"/>
      <w:bookmarkStart w:id="27" w:name="3、环保发展趋势分析"/>
      <w:bookmarkEnd w:id="27"/>
      <w:r>
        <w:rPr>
          <w:rFonts w:ascii="Calibri" w:eastAsia="Calibri"/>
          <w:b/>
          <w:sz w:val="28"/>
        </w:rPr>
        <w:t>3</w:t>
      </w:r>
      <w:r>
        <w:rPr>
          <w:b/>
          <w:sz w:val="28"/>
        </w:rPr>
        <w:t>、环保发展趋势分析</w:t>
      </w:r>
    </w:p>
    <w:p w14:paraId="347773CC">
      <w:pPr>
        <w:pStyle w:val="6"/>
        <w:spacing w:before="12"/>
        <w:rPr>
          <w:b/>
          <w:sz w:val="40"/>
        </w:rPr>
      </w:pPr>
    </w:p>
    <w:p w14:paraId="776DA571">
      <w:pPr>
        <w:pStyle w:val="15"/>
        <w:numPr>
          <w:ilvl w:val="0"/>
          <w:numId w:val="2"/>
        </w:numPr>
        <w:tabs>
          <w:tab w:val="left" w:pos="1982"/>
        </w:tabs>
        <w:spacing w:before="0" w:after="0" w:line="417" w:lineRule="auto"/>
        <w:ind w:left="720" w:right="719" w:firstLine="559"/>
        <w:jc w:val="both"/>
        <w:rPr>
          <w:sz w:val="28"/>
        </w:rPr>
      </w:pPr>
      <w:r>
        <w:rPr>
          <w:spacing w:val="-3"/>
          <w:sz w:val="28"/>
        </w:rPr>
        <w:t>大气污染趋势分析。现阶段，濉溪县大气环境主要污染物</w:t>
      </w:r>
      <w:r>
        <w:rPr>
          <w:spacing w:val="-10"/>
          <w:sz w:val="28"/>
        </w:rPr>
        <w:t>为颗粒物、臭氧及挥发性有机废气等，随着监督力度的增加、监测力度的提高，已建企业污染排放基本能够达到下达标准，但是随着人口</w:t>
      </w:r>
      <w:r>
        <w:rPr>
          <w:spacing w:val="-12"/>
          <w:sz w:val="28"/>
        </w:rPr>
        <w:t>的迁移、工业区的扩展，污染物排放总量呈递增趋势。“十四五”期</w:t>
      </w:r>
      <w:r>
        <w:rPr>
          <w:spacing w:val="-10"/>
          <w:sz w:val="28"/>
        </w:rPr>
        <w:t>间，要保证污染物排放量控制在省市下达的指标范围内，依然要把开</w:t>
      </w:r>
      <w:r>
        <w:rPr>
          <w:spacing w:val="-4"/>
          <w:sz w:val="28"/>
        </w:rPr>
        <w:t>发新能源、增添新的污染物处理工艺作为重点。</w:t>
      </w:r>
    </w:p>
    <w:p w14:paraId="30CD4226">
      <w:pPr>
        <w:pStyle w:val="15"/>
        <w:numPr>
          <w:ilvl w:val="0"/>
          <w:numId w:val="2"/>
        </w:numPr>
        <w:tabs>
          <w:tab w:val="left" w:pos="1982"/>
        </w:tabs>
        <w:spacing w:before="118" w:after="0" w:line="417" w:lineRule="auto"/>
        <w:ind w:left="720" w:right="719" w:firstLine="559"/>
        <w:jc w:val="both"/>
        <w:rPr>
          <w:sz w:val="28"/>
        </w:rPr>
      </w:pPr>
      <w:r>
        <w:rPr>
          <w:spacing w:val="-3"/>
          <w:sz w:val="28"/>
        </w:rPr>
        <w:t>水污染趋势分析。濉溪县废水污染主要来自工业废水和生</w:t>
      </w:r>
      <w:r>
        <w:rPr>
          <w:spacing w:val="-12"/>
          <w:sz w:val="28"/>
        </w:rPr>
        <w:t>活污水，随着科技的发展，废水处理工艺逐步成熟，工业污水和生活</w:t>
      </w:r>
      <w:r>
        <w:rPr>
          <w:spacing w:val="-9"/>
          <w:sz w:val="28"/>
        </w:rPr>
        <w:t>污水排放基本能够达到规定标准，但是，污水排放总量大，污染物排</w:t>
      </w:r>
      <w:r>
        <w:rPr>
          <w:spacing w:val="-10"/>
          <w:sz w:val="28"/>
        </w:rPr>
        <w:t>放总量高，受纳水体负荷重依然是现阶段面临的难题。因此，十四五</w:t>
      </w:r>
      <w:r>
        <w:rPr>
          <w:spacing w:val="-9"/>
          <w:sz w:val="28"/>
        </w:rPr>
        <w:t>期间把清理河床河道作为重点，提高受纳水体承载负荷，同时，提高</w:t>
      </w:r>
      <w:r>
        <w:rPr>
          <w:spacing w:val="-10"/>
          <w:sz w:val="28"/>
        </w:rPr>
        <w:t>废水处理回收利用率，提倡废水二次使用，降低废水排放总量。“十</w:t>
      </w:r>
      <w:r>
        <w:rPr>
          <w:spacing w:val="-11"/>
          <w:sz w:val="28"/>
        </w:rPr>
        <w:t>四五”期间，濉溪县将建设南部次中心，随着污染物的迁移，受纳水</w:t>
      </w:r>
      <w:r>
        <w:rPr>
          <w:spacing w:val="-12"/>
          <w:sz w:val="28"/>
        </w:rPr>
        <w:t>体转变为浍河、澥河，因此，要科学判定收纳水体的承载力，确保水</w:t>
      </w:r>
      <w:r>
        <w:rPr>
          <w:spacing w:val="-5"/>
          <w:sz w:val="28"/>
        </w:rPr>
        <w:t>体水质不会因为污染物的增加而改变。</w:t>
      </w:r>
    </w:p>
    <w:p w14:paraId="47C460F0">
      <w:pPr>
        <w:pStyle w:val="15"/>
        <w:numPr>
          <w:ilvl w:val="0"/>
          <w:numId w:val="2"/>
        </w:numPr>
        <w:tabs>
          <w:tab w:val="left" w:pos="1982"/>
        </w:tabs>
        <w:spacing w:before="118" w:after="0" w:line="417" w:lineRule="auto"/>
        <w:ind w:left="720" w:right="719" w:firstLine="559"/>
        <w:jc w:val="left"/>
        <w:rPr>
          <w:sz w:val="28"/>
        </w:rPr>
      </w:pPr>
      <w:r>
        <w:rPr>
          <w:spacing w:val="-3"/>
          <w:sz w:val="28"/>
        </w:rPr>
        <w:t>声环境变化趋势分析。噪声污染主要来自建筑施工、工厂</w:t>
      </w:r>
      <w:r>
        <w:rPr>
          <w:spacing w:val="-11"/>
          <w:sz w:val="28"/>
        </w:rPr>
        <w:t>运营、汽车鸣笛等，随着人们生活水平的提高，居民对噪声环境的要</w:t>
      </w:r>
    </w:p>
    <w:p w14:paraId="00F75DA4">
      <w:pPr>
        <w:spacing w:after="0" w:line="417" w:lineRule="auto"/>
        <w:jc w:val="left"/>
        <w:rPr>
          <w:sz w:val="28"/>
        </w:rPr>
        <w:sectPr>
          <w:pgSz w:w="11910" w:h="16840"/>
          <w:pgMar w:top="1420" w:right="1080" w:bottom="1360" w:left="1080" w:header="878" w:footer="1164" w:gutter="0"/>
          <w:pgNumType w:fmt="decimal"/>
          <w:cols w:space="720" w:num="1"/>
        </w:sectPr>
      </w:pPr>
    </w:p>
    <w:p w14:paraId="20537EDC">
      <w:pPr>
        <w:pStyle w:val="6"/>
        <w:spacing w:before="143" w:line="417" w:lineRule="auto"/>
        <w:ind w:left="720" w:right="580"/>
      </w:pPr>
      <w:r>
        <w:rPr>
          <w:spacing w:val="-11"/>
        </w:rPr>
        <w:t>求越来越高。噪声治理主要是源头控制，加强交通管制，实行车辆错</w:t>
      </w:r>
      <w:r>
        <w:rPr>
          <w:spacing w:val="-18"/>
        </w:rPr>
        <w:t xml:space="preserve">峰行驶，降低城区噪声污染，施工区和工业区定期开展厂界噪声监测， </w:t>
      </w:r>
      <w:r>
        <w:rPr>
          <w:spacing w:val="-5"/>
        </w:rPr>
        <w:t>把噪声控制在区域范围以内。</w:t>
      </w:r>
    </w:p>
    <w:p w14:paraId="5F95DD44">
      <w:pPr>
        <w:pStyle w:val="15"/>
        <w:numPr>
          <w:ilvl w:val="0"/>
          <w:numId w:val="2"/>
        </w:numPr>
        <w:tabs>
          <w:tab w:val="left" w:pos="1982"/>
        </w:tabs>
        <w:spacing w:before="120" w:after="0" w:line="417" w:lineRule="auto"/>
        <w:ind w:left="720" w:right="719" w:firstLine="559"/>
        <w:jc w:val="both"/>
        <w:rPr>
          <w:sz w:val="28"/>
        </w:rPr>
      </w:pPr>
      <w:r>
        <w:rPr>
          <w:spacing w:val="-3"/>
          <w:sz w:val="28"/>
        </w:rPr>
        <w:t>固体废物污染趋势。濉溪县的固体废弃物主要来源于工业</w:t>
      </w:r>
      <w:r>
        <w:rPr>
          <w:spacing w:val="-12"/>
          <w:sz w:val="28"/>
        </w:rPr>
        <w:t>固体废弃物、农业固体废弃物和生活垃圾，随着工业的发展和新城区</w:t>
      </w:r>
      <w:r>
        <w:rPr>
          <w:spacing w:val="-11"/>
          <w:sz w:val="28"/>
        </w:rPr>
        <w:t>的建设，工业固体废物的产量和分布也将随之改变，工业固体废物主</w:t>
      </w:r>
      <w:r>
        <w:rPr>
          <w:spacing w:val="-8"/>
          <w:sz w:val="28"/>
        </w:rPr>
        <w:t>要依靠综合利用和循环使用等方式降低排放量；农业固体废物主要来</w:t>
      </w:r>
      <w:r>
        <w:rPr>
          <w:spacing w:val="-11"/>
          <w:sz w:val="28"/>
        </w:rPr>
        <w:t>源于农业生产养殖，农业固废主要依靠源头控制，从源头上控制农业</w:t>
      </w:r>
      <w:r>
        <w:rPr>
          <w:spacing w:val="-5"/>
          <w:sz w:val="28"/>
        </w:rPr>
        <w:t>固废的排放量；生活垃圾主要是无害化处置。</w:t>
      </w:r>
    </w:p>
    <w:p w14:paraId="046C14DF">
      <w:pPr>
        <w:pStyle w:val="15"/>
        <w:numPr>
          <w:ilvl w:val="0"/>
          <w:numId w:val="2"/>
        </w:numPr>
        <w:tabs>
          <w:tab w:val="left" w:pos="1982"/>
        </w:tabs>
        <w:spacing w:before="118" w:after="0" w:line="417" w:lineRule="auto"/>
        <w:ind w:left="720" w:right="719" w:firstLine="559"/>
        <w:jc w:val="both"/>
        <w:rPr>
          <w:sz w:val="28"/>
        </w:rPr>
      </w:pPr>
      <w:r>
        <w:rPr>
          <w:spacing w:val="-3"/>
          <w:sz w:val="28"/>
        </w:rPr>
        <w:t>生态环境发展趋势。随着环保技术的提高，濉溪县提出了</w:t>
      </w:r>
      <w:r>
        <w:rPr>
          <w:spacing w:val="-8"/>
          <w:sz w:val="28"/>
        </w:rPr>
        <w:t>符合濉溪县经济发展和实地状况的复垦模式，通过提高土地资源利用</w:t>
      </w:r>
      <w:r>
        <w:rPr>
          <w:spacing w:val="-10"/>
          <w:sz w:val="28"/>
        </w:rPr>
        <w:t>率，搞好塌陷区的土地复垦与生态重建，实现经济、社会、生态的可</w:t>
      </w:r>
      <w:r>
        <w:rPr>
          <w:spacing w:val="-11"/>
          <w:sz w:val="28"/>
        </w:rPr>
        <w:t>持续发展；通过全面推进大气、水、土壤污染防治工作，进一步强化环境风险防范机制，加强环境执法监管力度，促进县域环境质量持续改善，实现生态环境良性循环，未来五年，濉溪县的生态环境将会有</w:t>
      </w:r>
      <w:r>
        <w:rPr>
          <w:spacing w:val="-5"/>
          <w:sz w:val="28"/>
        </w:rPr>
        <w:t>进一步的提高。</w:t>
      </w:r>
    </w:p>
    <w:p w14:paraId="1A019F75">
      <w:pPr>
        <w:pStyle w:val="15"/>
        <w:numPr>
          <w:ilvl w:val="0"/>
          <w:numId w:val="2"/>
        </w:numPr>
        <w:tabs>
          <w:tab w:val="left" w:pos="1982"/>
        </w:tabs>
        <w:spacing w:before="119" w:after="0" w:line="417" w:lineRule="auto"/>
        <w:ind w:left="720" w:right="719" w:firstLine="559"/>
        <w:jc w:val="both"/>
        <w:rPr>
          <w:sz w:val="28"/>
        </w:rPr>
      </w:pPr>
      <w:r>
        <w:rPr>
          <w:spacing w:val="-3"/>
          <w:sz w:val="28"/>
        </w:rPr>
        <w:t>核与辐射污染趋势分析。通过加强对濉溪县全域内的辐射</w:t>
      </w:r>
      <w:r>
        <w:rPr>
          <w:spacing w:val="-11"/>
          <w:sz w:val="28"/>
        </w:rPr>
        <w:t>设备的管理监督，对运行中存在风险的情况，必须有严格的质量保障措施，将设备设施带来的核与辐射环境风险控制到最低水平，把核与</w:t>
      </w:r>
      <w:r>
        <w:rPr>
          <w:spacing w:val="-5"/>
          <w:sz w:val="28"/>
        </w:rPr>
        <w:t>辐射污染状况控制在天然本底范围之内。</w:t>
      </w:r>
    </w:p>
    <w:p w14:paraId="27CBE9DE">
      <w:pPr>
        <w:spacing w:after="0" w:line="417" w:lineRule="auto"/>
        <w:jc w:val="both"/>
        <w:rPr>
          <w:sz w:val="28"/>
        </w:rPr>
        <w:sectPr>
          <w:pgSz w:w="11910" w:h="16840"/>
          <w:pgMar w:top="1420" w:right="1080" w:bottom="1360" w:left="1080" w:header="878" w:footer="1164" w:gutter="0"/>
          <w:pgNumType w:fmt="decimal"/>
          <w:cols w:space="720" w:num="1"/>
        </w:sectPr>
      </w:pPr>
    </w:p>
    <w:p w14:paraId="49BBB3FE">
      <w:pPr>
        <w:pStyle w:val="3"/>
        <w:tabs>
          <w:tab w:val="left" w:pos="1403"/>
        </w:tabs>
      </w:pPr>
      <w:bookmarkStart w:id="28" w:name="第二章  “十四五”环境保护总体战略"/>
      <w:bookmarkEnd w:id="28"/>
      <w:bookmarkStart w:id="29" w:name="_bookmark15"/>
      <w:bookmarkEnd w:id="29"/>
      <w:r>
        <w:rPr>
          <w:spacing w:val="26"/>
        </w:rPr>
        <w:t>第二</w:t>
      </w:r>
      <w:r>
        <w:t>章</w:t>
      </w:r>
      <w:r>
        <w:tab/>
      </w:r>
      <w:r>
        <w:rPr>
          <w:spacing w:val="26"/>
        </w:rPr>
        <w:t>“十四五</w:t>
      </w:r>
      <w:r>
        <w:rPr>
          <w:spacing w:val="24"/>
        </w:rPr>
        <w:t>”</w:t>
      </w:r>
      <w:r>
        <w:rPr>
          <w:spacing w:val="26"/>
        </w:rPr>
        <w:t>环境保</w:t>
      </w:r>
      <w:r>
        <w:rPr>
          <w:spacing w:val="24"/>
        </w:rPr>
        <w:t>护</w:t>
      </w:r>
      <w:r>
        <w:rPr>
          <w:spacing w:val="26"/>
        </w:rPr>
        <w:t>总体战</w:t>
      </w:r>
      <w:r>
        <w:t>略</w:t>
      </w:r>
    </w:p>
    <w:p w14:paraId="118C13C1">
      <w:pPr>
        <w:pStyle w:val="6"/>
        <w:spacing w:before="12"/>
        <w:rPr>
          <w:b/>
          <w:sz w:val="37"/>
        </w:rPr>
      </w:pPr>
    </w:p>
    <w:p w14:paraId="73BCB976">
      <w:pPr>
        <w:pStyle w:val="4"/>
        <w:tabs>
          <w:tab w:val="left" w:pos="1204"/>
        </w:tabs>
        <w:spacing w:before="0"/>
        <w:ind w:right="2"/>
        <w:jc w:val="center"/>
      </w:pPr>
      <w:bookmarkStart w:id="30" w:name="_bookmark16"/>
      <w:bookmarkEnd w:id="30"/>
      <w:bookmarkStart w:id="31" w:name="第一节  指导思想"/>
      <w:bookmarkEnd w:id="31"/>
      <w:r>
        <w:t>第一节</w:t>
      </w:r>
      <w:r>
        <w:tab/>
      </w:r>
      <w:r>
        <w:t>指导思想</w:t>
      </w:r>
    </w:p>
    <w:p w14:paraId="63289CF3">
      <w:pPr>
        <w:pStyle w:val="6"/>
        <w:spacing w:before="12"/>
        <w:rPr>
          <w:b/>
          <w:sz w:val="39"/>
        </w:rPr>
      </w:pPr>
    </w:p>
    <w:p w14:paraId="618C60B8">
      <w:pPr>
        <w:pStyle w:val="6"/>
        <w:spacing w:line="417" w:lineRule="auto"/>
        <w:ind w:left="720" w:right="719" w:firstLine="559"/>
        <w:jc w:val="both"/>
      </w:pPr>
      <w:r>
        <w:rPr>
          <w:spacing w:val="-9"/>
        </w:rPr>
        <w:t>全面贯彻党的十九大及十九届二中、三中、四中全会精神和新发</w:t>
      </w:r>
      <w:r>
        <w:rPr>
          <w:spacing w:val="-11"/>
        </w:rPr>
        <w:t>展理念，以习近平新时代中国特色社会主义思想为引领，深入贯彻习近平生态文明思想，扎实践行绿色发展理念，按照中国特色社会主义</w:t>
      </w:r>
      <w:r>
        <w:rPr>
          <w:spacing w:val="-13"/>
        </w:rPr>
        <w:t>事业“五位一体”总体布局，加快建立健全生态文化体系、生态经济</w:t>
      </w:r>
      <w:r>
        <w:rPr>
          <w:spacing w:val="-12"/>
        </w:rPr>
        <w:t>体系、目标责任体系、生态文明制度体系、生态安全体系；全面优化全县空间开发布局，调整产业布局，培育壮大节能环保产业、清洁生</w:t>
      </w:r>
      <w:r>
        <w:rPr>
          <w:spacing w:val="-11"/>
        </w:rPr>
        <w:t>产产业、清洁能源产业，推进资源全面节约和循环利用，解决突出生态环境问题、改善生态环境质量，加强生态文明建设，建立生态环境保护责任制，强化问责机制，达到全县生态环境根本好转、建设美丽</w:t>
      </w:r>
      <w:r>
        <w:rPr>
          <w:spacing w:val="-5"/>
        </w:rPr>
        <w:t>濉溪的目标。</w:t>
      </w:r>
    </w:p>
    <w:p w14:paraId="43182EEE">
      <w:pPr>
        <w:pStyle w:val="4"/>
        <w:ind w:left="3667"/>
        <w:jc w:val="both"/>
      </w:pPr>
      <w:bookmarkStart w:id="32" w:name="_bookmark17"/>
      <w:bookmarkEnd w:id="32"/>
      <w:bookmarkStart w:id="33" w:name="第二节  基本原则"/>
      <w:bookmarkEnd w:id="33"/>
      <w:r>
        <w:t>第二节 基本原则</w:t>
      </w:r>
    </w:p>
    <w:p w14:paraId="6F1F8A6F">
      <w:pPr>
        <w:pStyle w:val="6"/>
        <w:spacing w:before="12"/>
        <w:rPr>
          <w:b/>
          <w:sz w:val="39"/>
        </w:rPr>
      </w:pPr>
    </w:p>
    <w:p w14:paraId="19D89ED6">
      <w:pPr>
        <w:pStyle w:val="6"/>
        <w:spacing w:line="417" w:lineRule="auto"/>
        <w:ind w:left="720" w:right="719" w:firstLine="559"/>
        <w:jc w:val="both"/>
      </w:pPr>
      <w:r>
        <w:rPr>
          <w:spacing w:val="-8"/>
        </w:rPr>
        <w:t>坚持推进绿色发展方式和生活方式的原则。坚定不移走绿色低碳</w:t>
      </w:r>
      <w:r>
        <w:rPr>
          <w:spacing w:val="-11"/>
        </w:rPr>
        <w:t>循环发展之路，把生态文明建设摆在全局工作的突出地位，坚持节约</w:t>
      </w:r>
      <w:r>
        <w:rPr>
          <w:spacing w:val="-10"/>
        </w:rPr>
        <w:t>资源和保护环境的基本国策，坚持节约优先、保护优先、自然恢复为</w:t>
      </w:r>
      <w:r>
        <w:rPr>
          <w:spacing w:val="-11"/>
        </w:rPr>
        <w:t>主，形成节约资源和保护环境的空间格局、产业结构、生产方式、生</w:t>
      </w:r>
      <w:r>
        <w:rPr>
          <w:spacing w:val="-5"/>
        </w:rPr>
        <w:t>活方式，加快构建绿色循环低碳发展产业体系。</w:t>
      </w:r>
    </w:p>
    <w:p w14:paraId="63DD2401">
      <w:pPr>
        <w:pStyle w:val="6"/>
        <w:spacing w:line="417" w:lineRule="auto"/>
        <w:ind w:left="720" w:right="719" w:firstLine="559"/>
      </w:pPr>
      <w:r>
        <w:rPr>
          <w:spacing w:val="-9"/>
        </w:rPr>
        <w:t>坚持着力全面提升城乡环境质量的原则。将改善城乡环境卫生面</w:t>
      </w:r>
      <w:r>
        <w:rPr>
          <w:spacing w:val="-10"/>
        </w:rPr>
        <w:t>貌作为重要内容来抓，紧紧围绕高质量发展的工作思路，不断加大城</w:t>
      </w:r>
    </w:p>
    <w:p w14:paraId="622D7D87">
      <w:pPr>
        <w:spacing w:after="0" w:line="417" w:lineRule="auto"/>
        <w:sectPr>
          <w:pgSz w:w="11910" w:h="16840"/>
          <w:pgMar w:top="1420" w:right="1080" w:bottom="1360" w:left="1080" w:header="878" w:footer="1164" w:gutter="0"/>
          <w:pgNumType w:fmt="decimal"/>
          <w:cols w:space="720" w:num="1"/>
        </w:sectPr>
      </w:pPr>
    </w:p>
    <w:p w14:paraId="06461292">
      <w:pPr>
        <w:pStyle w:val="6"/>
        <w:spacing w:before="143" w:line="417" w:lineRule="auto"/>
        <w:ind w:left="720" w:right="719"/>
      </w:pPr>
      <w:r>
        <w:rPr>
          <w:spacing w:val="-10"/>
        </w:rPr>
        <w:t>乡环卫投资力度，增加环卫基础设施建设，不断完善城区功能，不断</w:t>
      </w:r>
      <w:r>
        <w:rPr>
          <w:spacing w:val="-4"/>
        </w:rPr>
        <w:t>提升城市品位，满足人民日益增长的优美生态环境需要。</w:t>
      </w:r>
    </w:p>
    <w:p w14:paraId="074343C8">
      <w:pPr>
        <w:pStyle w:val="6"/>
        <w:spacing w:line="417" w:lineRule="auto"/>
        <w:ind w:left="720" w:right="719" w:firstLine="559"/>
        <w:jc w:val="both"/>
      </w:pPr>
      <w:r>
        <w:rPr>
          <w:spacing w:val="-9"/>
        </w:rPr>
        <w:t>坚持实行最严格的生态环保制度，保护和修复并重的原则。科学</w:t>
      </w:r>
      <w:r>
        <w:rPr>
          <w:spacing w:val="-12"/>
        </w:rPr>
        <w:t>划定自然资源保护的“底线”和“红线”，确保不碰“底线”、不触</w:t>
      </w:r>
      <w:r>
        <w:rPr>
          <w:spacing w:val="-11"/>
        </w:rPr>
        <w:t>“红线”，科学严谨、保质保量完成好自然保护地的整合优化、生态保护红线评估工作，统筹山水林田湖草系统的保护和治理，坚决落实</w:t>
      </w:r>
      <w:r>
        <w:rPr>
          <w:spacing w:val="-10"/>
        </w:rPr>
        <w:t>森林防火各项制度，加强地下水的监测、监控及污染防治，建立市场</w:t>
      </w:r>
      <w:r>
        <w:rPr>
          <w:spacing w:val="-4"/>
        </w:rPr>
        <w:t>化、多元化生态补偿机制，精心守护好濉溪的绿水青山。</w:t>
      </w:r>
    </w:p>
    <w:p w14:paraId="599BC880">
      <w:pPr>
        <w:pStyle w:val="6"/>
        <w:spacing w:line="417" w:lineRule="auto"/>
        <w:ind w:left="720" w:right="719" w:firstLine="559"/>
        <w:jc w:val="both"/>
      </w:pPr>
      <w:r>
        <w:rPr>
          <w:spacing w:val="-9"/>
        </w:rPr>
        <w:t>坚持人与自然和谐共生的原则。以资源环境承载能力为基础，以</w:t>
      </w:r>
      <w:r>
        <w:rPr>
          <w:spacing w:val="-10"/>
        </w:rPr>
        <w:t>自然规律为准则，以可持续发展、人与自然和谐为目标，树立践行绿</w:t>
      </w:r>
      <w:r>
        <w:rPr>
          <w:spacing w:val="-11"/>
        </w:rPr>
        <w:t>水青山就是金山银山的理念，统筹好经济发展和生态环境保护建设的</w:t>
      </w:r>
      <w:r>
        <w:rPr>
          <w:spacing w:val="-12"/>
        </w:rPr>
        <w:t>关系，加大生态系统保护力度，解决好人民群众反映强烈的突出环境</w:t>
      </w:r>
      <w:r>
        <w:rPr>
          <w:spacing w:val="-6"/>
        </w:rPr>
        <w:t>问题。</w:t>
      </w:r>
    </w:p>
    <w:p w14:paraId="00364AD5">
      <w:pPr>
        <w:pStyle w:val="6"/>
        <w:spacing w:line="417" w:lineRule="auto"/>
        <w:ind w:left="720" w:right="580" w:firstLine="559"/>
      </w:pPr>
      <w:r>
        <w:rPr>
          <w:spacing w:val="-9"/>
        </w:rPr>
        <w:t>坚持改革创新全面完善制度体系的原则。建立健全环境治理的领</w:t>
      </w:r>
      <w:r>
        <w:rPr>
          <w:spacing w:val="-3"/>
        </w:rPr>
        <w:t>导责任体系、企业责任体系、全民行动体系、监管体系、市场体系、</w:t>
      </w:r>
      <w:r>
        <w:rPr>
          <w:spacing w:val="-11"/>
        </w:rPr>
        <w:t>信用体系、法律法规政策体系，落实各类主体责任，提高市场主体和</w:t>
      </w:r>
      <w:r>
        <w:rPr>
          <w:spacing w:val="-20"/>
        </w:rPr>
        <w:t>公众参与的积极性，形成导向清晰、决策科学、执行有力、激励有效、</w:t>
      </w:r>
      <w:r>
        <w:rPr>
          <w:spacing w:val="-11"/>
        </w:rPr>
        <w:t>多元参与、良性互动的环境治理体；不断完善环境法律法规，改善环</w:t>
      </w:r>
      <w:r>
        <w:rPr>
          <w:spacing w:val="-5"/>
        </w:rPr>
        <w:t>境管理体制，建立健全生态补偿机制。</w:t>
      </w:r>
    </w:p>
    <w:p w14:paraId="3D6FAAA4">
      <w:pPr>
        <w:pStyle w:val="4"/>
        <w:tabs>
          <w:tab w:val="left" w:pos="4418"/>
        </w:tabs>
        <w:spacing w:before="243"/>
        <w:ind w:left="3216"/>
      </w:pPr>
      <w:bookmarkStart w:id="34" w:name="_bookmark18"/>
      <w:bookmarkEnd w:id="34"/>
      <w:bookmarkStart w:id="35" w:name="第三节  总体规划、目标"/>
      <w:bookmarkEnd w:id="35"/>
      <w:r>
        <w:t>第三节</w:t>
      </w:r>
      <w:r>
        <w:tab/>
      </w:r>
      <w:r>
        <w:t>总体规划、目标</w:t>
      </w:r>
    </w:p>
    <w:p w14:paraId="0DF0C9CC">
      <w:pPr>
        <w:pStyle w:val="6"/>
        <w:spacing w:before="11"/>
        <w:rPr>
          <w:b/>
          <w:sz w:val="39"/>
        </w:rPr>
      </w:pPr>
    </w:p>
    <w:p w14:paraId="2A39BBEB">
      <w:pPr>
        <w:pStyle w:val="6"/>
        <w:spacing w:before="1"/>
        <w:ind w:left="578" w:right="21"/>
        <w:jc w:val="center"/>
      </w:pPr>
      <w:r>
        <w:t>濉溪县旨在构建以主体功能为导向的生态空间体系，以循环高效</w:t>
      </w:r>
    </w:p>
    <w:p w14:paraId="387752FA">
      <w:pPr>
        <w:tabs>
          <w:tab w:val="left" w:pos="8497"/>
        </w:tabs>
        <w:bidi w:val="0"/>
        <w:jc w:val="left"/>
        <w:rPr>
          <w:rFonts w:ascii="仿宋" w:hAnsi="仿宋" w:eastAsia="仿宋" w:cs="仿宋"/>
          <w:sz w:val="22"/>
          <w:szCs w:val="22"/>
          <w:lang w:val="zh-CN" w:eastAsia="zh-CN" w:bidi="zh-CN"/>
        </w:rPr>
        <w:sectPr>
          <w:pgSz w:w="11910" w:h="16840"/>
          <w:pgMar w:top="1420" w:right="1080" w:bottom="1360" w:left="1080" w:header="878" w:footer="1164" w:gutter="0"/>
          <w:pgNumType w:fmt="decimal"/>
          <w:cols w:space="720" w:num="1"/>
        </w:sectPr>
      </w:pPr>
      <w:r>
        <w:rPr>
          <w:rFonts w:hint="eastAsia" w:cs="仿宋"/>
          <w:sz w:val="22"/>
          <w:szCs w:val="22"/>
          <w:lang w:val="zh-CN" w:eastAsia="zh-CN" w:bidi="zh-CN"/>
        </w:rPr>
        <w:tab/>
      </w:r>
    </w:p>
    <w:p w14:paraId="47199006">
      <w:pPr>
        <w:pStyle w:val="6"/>
        <w:spacing w:before="143" w:line="417" w:lineRule="auto"/>
        <w:ind w:left="720" w:right="719"/>
      </w:pPr>
      <w:r>
        <w:rPr>
          <w:spacing w:val="-10"/>
        </w:rPr>
        <w:t>为特征的生态产业体系，以防治结合为重点的环境保护体系，以人与</w:t>
      </w:r>
      <w:r>
        <w:rPr>
          <w:spacing w:val="-4"/>
        </w:rPr>
        <w:t>自然和谐为基础的生态生活体系，以多元共治为目标的生态制度体</w:t>
      </w:r>
      <w:r>
        <w:rPr>
          <w:spacing w:val="-10"/>
        </w:rPr>
        <w:t>系，要在全面建成小康社会、全面打赢污染防治攻坚战的基础上，进</w:t>
      </w:r>
      <w:r>
        <w:rPr>
          <w:spacing w:val="-8"/>
        </w:rPr>
        <w:t>一步做到全县主要污染物排放总量明显减少，生态系统稳定性显著增</w:t>
      </w:r>
      <w:r>
        <w:rPr>
          <w:spacing w:val="-12"/>
        </w:rPr>
        <w:t>强，人居环境进一步改善，环境管理体系、环境监管机制和行政执法</w:t>
      </w:r>
      <w:r>
        <w:rPr>
          <w:spacing w:val="-10"/>
        </w:rPr>
        <w:t>体制等生态环保制度法规体系进一步完善；最终在“十四五”结束时</w:t>
      </w:r>
      <w:r>
        <w:rPr>
          <w:spacing w:val="-9"/>
        </w:rPr>
        <w:t>实现生态环境质量大幅改善，为实现生态环境根本好转，建设美丽濉</w:t>
      </w:r>
      <w:r>
        <w:rPr>
          <w:spacing w:val="-4"/>
        </w:rPr>
        <w:t>溪的目标打下坚实基础。</w:t>
      </w:r>
    </w:p>
    <w:p w14:paraId="68CE3B95">
      <w:pPr>
        <w:pStyle w:val="4"/>
        <w:tabs>
          <w:tab w:val="left" w:pos="4418"/>
        </w:tabs>
        <w:spacing w:before="245"/>
        <w:ind w:left="3216"/>
      </w:pPr>
      <w:bookmarkStart w:id="36" w:name="_bookmark19"/>
      <w:bookmarkEnd w:id="36"/>
      <w:bookmarkStart w:id="37" w:name="第四节  规划的指标体系"/>
      <w:bookmarkEnd w:id="37"/>
      <w:r>
        <w:t>第四节</w:t>
      </w:r>
      <w:r>
        <w:tab/>
      </w:r>
      <w:r>
        <w:t>规划的指标体系</w:t>
      </w:r>
    </w:p>
    <w:p w14:paraId="6C6EE5DE">
      <w:pPr>
        <w:pStyle w:val="6"/>
        <w:spacing w:before="250" w:line="620" w:lineRule="atLeast"/>
        <w:ind w:left="720" w:right="719" w:firstLine="559"/>
      </w:pPr>
      <w:r>
        <w:rPr>
          <w:spacing w:val="-7"/>
        </w:rPr>
        <w:t>环境保护规划指标的确定依据是濉溪县具体情况和环境基础，同</w:t>
      </w:r>
      <w:r>
        <w:rPr>
          <w:spacing w:val="-6"/>
        </w:rPr>
        <w:t xml:space="preserve">时参考国家和省市相关环境指标，具体情况参见表 </w:t>
      </w:r>
      <w:r>
        <w:t>2。</w:t>
      </w:r>
    </w:p>
    <w:p w14:paraId="0AC967DC">
      <w:pPr>
        <w:pStyle w:val="6"/>
        <w:tabs>
          <w:tab w:val="left" w:pos="4144"/>
        </w:tabs>
        <w:spacing w:before="162"/>
        <w:ind w:left="3360"/>
      </w:pPr>
      <w:r>
        <w:t>表</w:t>
      </w:r>
      <w:r>
        <w:rPr>
          <w:spacing w:val="-73"/>
        </w:rPr>
        <w:t xml:space="preserve"> </w:t>
      </w:r>
      <w:r>
        <w:t>2</w:t>
      </w:r>
      <w:r>
        <w:tab/>
      </w:r>
      <w:r>
        <w:t>环</w:t>
      </w:r>
      <w:r>
        <w:rPr>
          <w:spacing w:val="-3"/>
        </w:rPr>
        <w:t>境</w:t>
      </w:r>
      <w:r>
        <w:t>保护</w:t>
      </w:r>
      <w:r>
        <w:rPr>
          <w:spacing w:val="-3"/>
        </w:rPr>
        <w:t>指</w:t>
      </w:r>
      <w:r>
        <w:t>标体系</w:t>
      </w:r>
    </w:p>
    <w:tbl>
      <w:tblPr>
        <w:tblStyle w:val="12"/>
        <w:tblW w:w="0" w:type="auto"/>
        <w:tblInd w:w="2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0"/>
        <w:gridCol w:w="660"/>
        <w:gridCol w:w="3416"/>
        <w:gridCol w:w="694"/>
        <w:gridCol w:w="2175"/>
        <w:gridCol w:w="1174"/>
      </w:tblGrid>
      <w:tr w14:paraId="49D15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1080" w:type="dxa"/>
          </w:tcPr>
          <w:p w14:paraId="60D87B2C">
            <w:pPr>
              <w:pStyle w:val="16"/>
              <w:ind w:right="39"/>
              <w:jc w:val="right"/>
              <w:rPr>
                <w:sz w:val="24"/>
              </w:rPr>
            </w:pPr>
            <w:r>
              <w:rPr>
                <w:sz w:val="24"/>
              </w:rPr>
              <w:t>指标类别</w:t>
            </w:r>
          </w:p>
        </w:tc>
        <w:tc>
          <w:tcPr>
            <w:tcW w:w="660" w:type="dxa"/>
          </w:tcPr>
          <w:p w14:paraId="26096DFD">
            <w:pPr>
              <w:pStyle w:val="16"/>
              <w:ind w:left="70" w:right="50"/>
              <w:jc w:val="center"/>
              <w:rPr>
                <w:sz w:val="24"/>
              </w:rPr>
            </w:pPr>
            <w:r>
              <w:rPr>
                <w:sz w:val="24"/>
              </w:rPr>
              <w:t>序号</w:t>
            </w:r>
          </w:p>
        </w:tc>
        <w:tc>
          <w:tcPr>
            <w:tcW w:w="3416" w:type="dxa"/>
          </w:tcPr>
          <w:p w14:paraId="0CAA10C6">
            <w:pPr>
              <w:pStyle w:val="16"/>
              <w:tabs>
                <w:tab w:val="left" w:pos="580"/>
              </w:tabs>
              <w:ind w:left="21"/>
              <w:jc w:val="center"/>
              <w:rPr>
                <w:sz w:val="24"/>
              </w:rPr>
            </w:pPr>
            <w:r>
              <w:rPr>
                <w:sz w:val="24"/>
              </w:rPr>
              <w:t>名</w:t>
            </w:r>
            <w:r>
              <w:rPr>
                <w:sz w:val="24"/>
              </w:rPr>
              <w:tab/>
            </w:r>
            <w:r>
              <w:rPr>
                <w:sz w:val="24"/>
              </w:rPr>
              <w:t>称</w:t>
            </w:r>
          </w:p>
        </w:tc>
        <w:tc>
          <w:tcPr>
            <w:tcW w:w="694" w:type="dxa"/>
          </w:tcPr>
          <w:p w14:paraId="28D167D9">
            <w:pPr>
              <w:pStyle w:val="16"/>
              <w:ind w:left="30" w:right="12"/>
              <w:jc w:val="center"/>
              <w:rPr>
                <w:sz w:val="24"/>
              </w:rPr>
            </w:pPr>
            <w:r>
              <w:rPr>
                <w:sz w:val="24"/>
              </w:rPr>
              <w:t>单位</w:t>
            </w:r>
          </w:p>
        </w:tc>
        <w:tc>
          <w:tcPr>
            <w:tcW w:w="2175" w:type="dxa"/>
          </w:tcPr>
          <w:p w14:paraId="48912FC0">
            <w:pPr>
              <w:pStyle w:val="16"/>
              <w:ind w:left="645" w:right="629"/>
              <w:jc w:val="center"/>
              <w:rPr>
                <w:sz w:val="24"/>
              </w:rPr>
            </w:pPr>
            <w:r>
              <w:rPr>
                <w:sz w:val="24"/>
              </w:rPr>
              <w:t>2025 年</w:t>
            </w:r>
          </w:p>
        </w:tc>
        <w:tc>
          <w:tcPr>
            <w:tcW w:w="1174" w:type="dxa"/>
          </w:tcPr>
          <w:p w14:paraId="3A14E319">
            <w:pPr>
              <w:pStyle w:val="16"/>
              <w:ind w:left="87" w:right="67"/>
              <w:jc w:val="center"/>
              <w:rPr>
                <w:sz w:val="24"/>
              </w:rPr>
            </w:pPr>
            <w:r>
              <w:rPr>
                <w:sz w:val="24"/>
              </w:rPr>
              <w:t>指标性质</w:t>
            </w:r>
          </w:p>
        </w:tc>
      </w:tr>
      <w:tr w14:paraId="7A89A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restart"/>
          </w:tcPr>
          <w:p w14:paraId="1E6DA272">
            <w:pPr>
              <w:pStyle w:val="16"/>
              <w:rPr>
                <w:sz w:val="24"/>
              </w:rPr>
            </w:pPr>
          </w:p>
          <w:p w14:paraId="44ABF8F7">
            <w:pPr>
              <w:pStyle w:val="16"/>
              <w:spacing w:before="6"/>
              <w:rPr>
                <w:sz w:val="23"/>
              </w:rPr>
            </w:pPr>
          </w:p>
          <w:p w14:paraId="0AD6A0FB">
            <w:pPr>
              <w:pStyle w:val="16"/>
              <w:ind w:left="178"/>
              <w:rPr>
                <w:sz w:val="24"/>
              </w:rPr>
            </w:pPr>
            <w:r>
              <w:rPr>
                <w:sz w:val="24"/>
              </w:rPr>
              <w:t>水环境</w:t>
            </w:r>
          </w:p>
        </w:tc>
        <w:tc>
          <w:tcPr>
            <w:tcW w:w="660" w:type="dxa"/>
          </w:tcPr>
          <w:p w14:paraId="12249A9A">
            <w:pPr>
              <w:pStyle w:val="16"/>
              <w:spacing w:line="307" w:lineRule="exact"/>
              <w:ind w:left="20"/>
              <w:jc w:val="center"/>
              <w:rPr>
                <w:sz w:val="24"/>
              </w:rPr>
            </w:pPr>
            <w:r>
              <w:rPr>
                <w:sz w:val="24"/>
              </w:rPr>
              <w:t>1</w:t>
            </w:r>
          </w:p>
        </w:tc>
        <w:tc>
          <w:tcPr>
            <w:tcW w:w="3416" w:type="dxa"/>
          </w:tcPr>
          <w:p w14:paraId="6B39F822">
            <w:pPr>
              <w:pStyle w:val="16"/>
              <w:spacing w:line="307" w:lineRule="exact"/>
              <w:ind w:left="19"/>
              <w:jc w:val="center"/>
              <w:rPr>
                <w:sz w:val="24"/>
              </w:rPr>
            </w:pPr>
            <w:r>
              <w:rPr>
                <w:sz w:val="24"/>
              </w:rPr>
              <w:t>地表水质量劣Ⅴ类水体比例</w:t>
            </w:r>
          </w:p>
        </w:tc>
        <w:tc>
          <w:tcPr>
            <w:tcW w:w="694" w:type="dxa"/>
          </w:tcPr>
          <w:p w14:paraId="4E57E76A">
            <w:pPr>
              <w:pStyle w:val="16"/>
              <w:spacing w:line="307" w:lineRule="exact"/>
              <w:ind w:left="18"/>
              <w:jc w:val="center"/>
              <w:rPr>
                <w:sz w:val="24"/>
              </w:rPr>
            </w:pPr>
            <w:r>
              <w:rPr>
                <w:sz w:val="24"/>
              </w:rPr>
              <w:t>%</w:t>
            </w:r>
          </w:p>
        </w:tc>
        <w:tc>
          <w:tcPr>
            <w:tcW w:w="2175" w:type="dxa"/>
          </w:tcPr>
          <w:p w14:paraId="20C45510">
            <w:pPr>
              <w:pStyle w:val="16"/>
              <w:spacing w:line="307" w:lineRule="exact"/>
              <w:ind w:left="19"/>
              <w:jc w:val="center"/>
              <w:rPr>
                <w:sz w:val="24"/>
              </w:rPr>
            </w:pPr>
            <w:r>
              <w:rPr>
                <w:sz w:val="24"/>
              </w:rPr>
              <w:t>0</w:t>
            </w:r>
          </w:p>
        </w:tc>
        <w:tc>
          <w:tcPr>
            <w:tcW w:w="1174" w:type="dxa"/>
          </w:tcPr>
          <w:p w14:paraId="422942A0">
            <w:pPr>
              <w:pStyle w:val="16"/>
              <w:spacing w:line="307" w:lineRule="exact"/>
              <w:ind w:left="87" w:right="67"/>
              <w:jc w:val="center"/>
              <w:rPr>
                <w:sz w:val="24"/>
              </w:rPr>
            </w:pPr>
            <w:r>
              <w:rPr>
                <w:sz w:val="24"/>
              </w:rPr>
              <w:t>约束性</w:t>
            </w:r>
          </w:p>
        </w:tc>
      </w:tr>
      <w:tr w14:paraId="674EB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4" w:hRule="atLeast"/>
        </w:trPr>
        <w:tc>
          <w:tcPr>
            <w:tcW w:w="1080" w:type="dxa"/>
            <w:vMerge w:val="continue"/>
            <w:tcBorders>
              <w:top w:val="nil"/>
            </w:tcBorders>
          </w:tcPr>
          <w:p w14:paraId="160E6418">
            <w:pPr>
              <w:rPr>
                <w:sz w:val="2"/>
                <w:szCs w:val="2"/>
              </w:rPr>
            </w:pPr>
          </w:p>
        </w:tc>
        <w:tc>
          <w:tcPr>
            <w:tcW w:w="660" w:type="dxa"/>
          </w:tcPr>
          <w:p w14:paraId="3B618E19">
            <w:pPr>
              <w:pStyle w:val="16"/>
              <w:spacing w:before="157"/>
              <w:ind w:left="20"/>
              <w:jc w:val="center"/>
              <w:rPr>
                <w:sz w:val="24"/>
              </w:rPr>
            </w:pPr>
            <w:r>
              <w:rPr>
                <w:sz w:val="24"/>
              </w:rPr>
              <w:t>2</w:t>
            </w:r>
          </w:p>
        </w:tc>
        <w:tc>
          <w:tcPr>
            <w:tcW w:w="3416" w:type="dxa"/>
          </w:tcPr>
          <w:p w14:paraId="0274E937">
            <w:pPr>
              <w:pStyle w:val="16"/>
              <w:spacing w:before="157"/>
              <w:ind w:left="19"/>
              <w:jc w:val="center"/>
              <w:rPr>
                <w:sz w:val="24"/>
              </w:rPr>
            </w:pPr>
            <w:r>
              <w:rPr>
                <w:sz w:val="24"/>
              </w:rPr>
              <w:t>主要水环境功能区水质达标率</w:t>
            </w:r>
          </w:p>
        </w:tc>
        <w:tc>
          <w:tcPr>
            <w:tcW w:w="694" w:type="dxa"/>
          </w:tcPr>
          <w:p w14:paraId="783EE4AB">
            <w:pPr>
              <w:pStyle w:val="16"/>
              <w:spacing w:before="157"/>
              <w:ind w:left="18"/>
              <w:jc w:val="center"/>
              <w:rPr>
                <w:sz w:val="24"/>
              </w:rPr>
            </w:pPr>
            <w:r>
              <w:rPr>
                <w:sz w:val="24"/>
              </w:rPr>
              <w:t>%</w:t>
            </w:r>
          </w:p>
        </w:tc>
        <w:tc>
          <w:tcPr>
            <w:tcW w:w="2175" w:type="dxa"/>
          </w:tcPr>
          <w:p w14:paraId="40CEBFE0">
            <w:pPr>
              <w:pStyle w:val="16"/>
              <w:spacing w:before="1" w:line="242" w:lineRule="auto"/>
              <w:ind w:left="367" w:right="105" w:hanging="240"/>
              <w:rPr>
                <w:sz w:val="24"/>
              </w:rPr>
            </w:pPr>
            <w:r>
              <w:rPr>
                <w:sz w:val="24"/>
              </w:rPr>
              <w:t>控制在省下达的总量控制指标内</w:t>
            </w:r>
          </w:p>
        </w:tc>
        <w:tc>
          <w:tcPr>
            <w:tcW w:w="1174" w:type="dxa"/>
          </w:tcPr>
          <w:p w14:paraId="19EB925D">
            <w:pPr>
              <w:pStyle w:val="16"/>
              <w:spacing w:before="157"/>
              <w:ind w:left="87" w:right="67"/>
              <w:jc w:val="center"/>
              <w:rPr>
                <w:sz w:val="24"/>
              </w:rPr>
            </w:pPr>
            <w:r>
              <w:rPr>
                <w:sz w:val="24"/>
              </w:rPr>
              <w:t>约束性</w:t>
            </w:r>
          </w:p>
        </w:tc>
      </w:tr>
      <w:tr w14:paraId="7F0B4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1080" w:type="dxa"/>
            <w:vMerge w:val="continue"/>
            <w:tcBorders>
              <w:top w:val="nil"/>
            </w:tcBorders>
          </w:tcPr>
          <w:p w14:paraId="0D06009F">
            <w:pPr>
              <w:rPr>
                <w:sz w:val="2"/>
                <w:szCs w:val="2"/>
              </w:rPr>
            </w:pPr>
          </w:p>
        </w:tc>
        <w:tc>
          <w:tcPr>
            <w:tcW w:w="660" w:type="dxa"/>
          </w:tcPr>
          <w:p w14:paraId="3079EC3D">
            <w:pPr>
              <w:pStyle w:val="16"/>
              <w:ind w:left="20"/>
              <w:jc w:val="center"/>
              <w:rPr>
                <w:sz w:val="24"/>
              </w:rPr>
            </w:pPr>
            <w:r>
              <w:rPr>
                <w:sz w:val="24"/>
              </w:rPr>
              <w:t>3</w:t>
            </w:r>
          </w:p>
        </w:tc>
        <w:tc>
          <w:tcPr>
            <w:tcW w:w="3416" w:type="dxa"/>
          </w:tcPr>
          <w:p w14:paraId="2A002909">
            <w:pPr>
              <w:pStyle w:val="16"/>
              <w:ind w:left="19"/>
              <w:jc w:val="center"/>
              <w:rPr>
                <w:sz w:val="24"/>
              </w:rPr>
            </w:pPr>
            <w:r>
              <w:rPr>
                <w:sz w:val="24"/>
              </w:rPr>
              <w:t>集中式饮用水水源地水质达标率</w:t>
            </w:r>
          </w:p>
        </w:tc>
        <w:tc>
          <w:tcPr>
            <w:tcW w:w="694" w:type="dxa"/>
          </w:tcPr>
          <w:p w14:paraId="5E6BF863">
            <w:pPr>
              <w:pStyle w:val="16"/>
              <w:ind w:left="18"/>
              <w:jc w:val="center"/>
              <w:rPr>
                <w:sz w:val="24"/>
              </w:rPr>
            </w:pPr>
            <w:r>
              <w:rPr>
                <w:sz w:val="24"/>
              </w:rPr>
              <w:t>%</w:t>
            </w:r>
          </w:p>
        </w:tc>
        <w:tc>
          <w:tcPr>
            <w:tcW w:w="2175" w:type="dxa"/>
          </w:tcPr>
          <w:p w14:paraId="0C47B0C1">
            <w:pPr>
              <w:pStyle w:val="16"/>
              <w:ind w:left="645" w:right="626"/>
              <w:jc w:val="center"/>
              <w:rPr>
                <w:sz w:val="24"/>
              </w:rPr>
            </w:pPr>
            <w:r>
              <w:rPr>
                <w:sz w:val="24"/>
              </w:rPr>
              <w:t>100</w:t>
            </w:r>
          </w:p>
        </w:tc>
        <w:tc>
          <w:tcPr>
            <w:tcW w:w="1174" w:type="dxa"/>
          </w:tcPr>
          <w:p w14:paraId="17E969D5">
            <w:pPr>
              <w:pStyle w:val="16"/>
              <w:ind w:left="87" w:right="67"/>
              <w:jc w:val="center"/>
              <w:rPr>
                <w:sz w:val="24"/>
              </w:rPr>
            </w:pPr>
            <w:r>
              <w:rPr>
                <w:sz w:val="24"/>
              </w:rPr>
              <w:t>约束性</w:t>
            </w:r>
          </w:p>
        </w:tc>
      </w:tr>
      <w:tr w14:paraId="6F54F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1080" w:type="dxa"/>
            <w:vMerge w:val="restart"/>
          </w:tcPr>
          <w:p w14:paraId="66BA9620">
            <w:pPr>
              <w:pStyle w:val="16"/>
              <w:spacing w:before="2"/>
              <w:rPr>
                <w:sz w:val="25"/>
              </w:rPr>
            </w:pPr>
          </w:p>
          <w:p w14:paraId="60E95875">
            <w:pPr>
              <w:pStyle w:val="16"/>
              <w:spacing w:before="1"/>
              <w:ind w:left="58"/>
              <w:rPr>
                <w:sz w:val="24"/>
              </w:rPr>
            </w:pPr>
            <w:r>
              <w:rPr>
                <w:sz w:val="24"/>
              </w:rPr>
              <w:t>大气环境</w:t>
            </w:r>
          </w:p>
        </w:tc>
        <w:tc>
          <w:tcPr>
            <w:tcW w:w="660" w:type="dxa"/>
          </w:tcPr>
          <w:p w14:paraId="6CE55834">
            <w:pPr>
              <w:pStyle w:val="16"/>
              <w:spacing w:before="97"/>
              <w:ind w:left="20"/>
              <w:jc w:val="center"/>
              <w:rPr>
                <w:sz w:val="24"/>
              </w:rPr>
            </w:pPr>
            <w:r>
              <w:rPr>
                <w:sz w:val="24"/>
              </w:rPr>
              <w:t>4</w:t>
            </w:r>
          </w:p>
        </w:tc>
        <w:tc>
          <w:tcPr>
            <w:tcW w:w="3416" w:type="dxa"/>
          </w:tcPr>
          <w:p w14:paraId="2E4CEC4C">
            <w:pPr>
              <w:pStyle w:val="16"/>
              <w:spacing w:before="97"/>
              <w:ind w:left="19"/>
              <w:jc w:val="center"/>
              <w:rPr>
                <w:sz w:val="24"/>
              </w:rPr>
            </w:pPr>
            <w:r>
              <w:rPr>
                <w:sz w:val="24"/>
              </w:rPr>
              <w:t>细颗粒物（PM2.5）浓度</w:t>
            </w:r>
          </w:p>
        </w:tc>
        <w:tc>
          <w:tcPr>
            <w:tcW w:w="694" w:type="dxa"/>
          </w:tcPr>
          <w:p w14:paraId="543EF67F">
            <w:pPr>
              <w:pStyle w:val="16"/>
              <w:spacing w:before="97"/>
              <w:ind w:left="46" w:right="12"/>
              <w:jc w:val="center"/>
              <w:rPr>
                <w:sz w:val="12"/>
              </w:rPr>
            </w:pPr>
            <w:r>
              <w:rPr>
                <w:spacing w:val="-17"/>
                <w:sz w:val="24"/>
              </w:rPr>
              <w:t>μg/m</w:t>
            </w:r>
            <w:r>
              <w:rPr>
                <w:spacing w:val="-17"/>
                <w:position w:val="12"/>
                <w:sz w:val="12"/>
              </w:rPr>
              <w:t>3</w:t>
            </w:r>
          </w:p>
        </w:tc>
        <w:tc>
          <w:tcPr>
            <w:tcW w:w="2175" w:type="dxa"/>
            <w:vMerge w:val="restart"/>
          </w:tcPr>
          <w:p w14:paraId="2644F672">
            <w:pPr>
              <w:pStyle w:val="16"/>
              <w:spacing w:before="167" w:line="242" w:lineRule="auto"/>
              <w:ind w:left="367" w:right="105" w:hanging="240"/>
              <w:rPr>
                <w:sz w:val="24"/>
              </w:rPr>
            </w:pPr>
            <w:r>
              <w:rPr>
                <w:sz w:val="24"/>
              </w:rPr>
              <w:t>控制在省下达的总量控制指标内</w:t>
            </w:r>
          </w:p>
        </w:tc>
        <w:tc>
          <w:tcPr>
            <w:tcW w:w="1174" w:type="dxa"/>
          </w:tcPr>
          <w:p w14:paraId="40CA00FF">
            <w:pPr>
              <w:pStyle w:val="16"/>
              <w:spacing w:before="97"/>
              <w:ind w:left="87" w:right="67"/>
              <w:jc w:val="center"/>
              <w:rPr>
                <w:sz w:val="24"/>
              </w:rPr>
            </w:pPr>
            <w:r>
              <w:rPr>
                <w:sz w:val="24"/>
              </w:rPr>
              <w:t>参考性</w:t>
            </w:r>
          </w:p>
        </w:tc>
      </w:tr>
      <w:tr w14:paraId="0C6EE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continue"/>
            <w:tcBorders>
              <w:top w:val="nil"/>
            </w:tcBorders>
          </w:tcPr>
          <w:p w14:paraId="312C9BFC">
            <w:pPr>
              <w:rPr>
                <w:sz w:val="2"/>
                <w:szCs w:val="2"/>
              </w:rPr>
            </w:pPr>
          </w:p>
        </w:tc>
        <w:tc>
          <w:tcPr>
            <w:tcW w:w="660" w:type="dxa"/>
          </w:tcPr>
          <w:p w14:paraId="621D4713">
            <w:pPr>
              <w:pStyle w:val="16"/>
              <w:spacing w:before="1"/>
              <w:ind w:left="20"/>
              <w:jc w:val="center"/>
              <w:rPr>
                <w:sz w:val="24"/>
              </w:rPr>
            </w:pPr>
            <w:r>
              <w:rPr>
                <w:sz w:val="24"/>
              </w:rPr>
              <w:t>5</w:t>
            </w:r>
          </w:p>
        </w:tc>
        <w:tc>
          <w:tcPr>
            <w:tcW w:w="3416" w:type="dxa"/>
          </w:tcPr>
          <w:p w14:paraId="170063CE">
            <w:pPr>
              <w:pStyle w:val="16"/>
              <w:spacing w:before="1"/>
              <w:ind w:left="19"/>
              <w:jc w:val="center"/>
              <w:rPr>
                <w:sz w:val="24"/>
              </w:rPr>
            </w:pPr>
            <w:r>
              <w:rPr>
                <w:sz w:val="24"/>
              </w:rPr>
              <w:t>县城空气环境质量优良率</w:t>
            </w:r>
          </w:p>
        </w:tc>
        <w:tc>
          <w:tcPr>
            <w:tcW w:w="694" w:type="dxa"/>
          </w:tcPr>
          <w:p w14:paraId="09B7E537">
            <w:pPr>
              <w:pStyle w:val="16"/>
              <w:spacing w:before="1"/>
              <w:ind w:left="18"/>
              <w:jc w:val="center"/>
              <w:rPr>
                <w:sz w:val="24"/>
              </w:rPr>
            </w:pPr>
            <w:r>
              <w:rPr>
                <w:sz w:val="24"/>
              </w:rPr>
              <w:t>%</w:t>
            </w:r>
          </w:p>
        </w:tc>
        <w:tc>
          <w:tcPr>
            <w:tcW w:w="2175" w:type="dxa"/>
            <w:vMerge w:val="continue"/>
            <w:tcBorders>
              <w:top w:val="nil"/>
            </w:tcBorders>
          </w:tcPr>
          <w:p w14:paraId="340BBB2A">
            <w:pPr>
              <w:rPr>
                <w:sz w:val="2"/>
                <w:szCs w:val="2"/>
              </w:rPr>
            </w:pPr>
          </w:p>
        </w:tc>
        <w:tc>
          <w:tcPr>
            <w:tcW w:w="1174" w:type="dxa"/>
          </w:tcPr>
          <w:p w14:paraId="1B78851B">
            <w:pPr>
              <w:pStyle w:val="16"/>
              <w:spacing w:before="1"/>
              <w:ind w:left="87" w:right="67"/>
              <w:jc w:val="center"/>
              <w:rPr>
                <w:sz w:val="24"/>
              </w:rPr>
            </w:pPr>
            <w:r>
              <w:rPr>
                <w:sz w:val="24"/>
              </w:rPr>
              <w:t>参考性</w:t>
            </w:r>
          </w:p>
        </w:tc>
      </w:tr>
      <w:tr w14:paraId="7C7B1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1" w:hRule="atLeast"/>
        </w:trPr>
        <w:tc>
          <w:tcPr>
            <w:tcW w:w="1080" w:type="dxa"/>
            <w:vMerge w:val="restart"/>
          </w:tcPr>
          <w:p w14:paraId="1B078898">
            <w:pPr>
              <w:pStyle w:val="16"/>
              <w:rPr>
                <w:sz w:val="24"/>
              </w:rPr>
            </w:pPr>
          </w:p>
          <w:p w14:paraId="077C0C94">
            <w:pPr>
              <w:pStyle w:val="16"/>
              <w:spacing w:before="6"/>
              <w:rPr>
                <w:sz w:val="34"/>
              </w:rPr>
            </w:pPr>
          </w:p>
          <w:p w14:paraId="1D737ADA">
            <w:pPr>
              <w:pStyle w:val="16"/>
              <w:spacing w:line="242" w:lineRule="auto"/>
              <w:ind w:left="178" w:right="39" w:hanging="120"/>
              <w:rPr>
                <w:sz w:val="24"/>
              </w:rPr>
            </w:pPr>
            <w:r>
              <w:rPr>
                <w:sz w:val="24"/>
              </w:rPr>
              <w:t>污染物排放总量</w:t>
            </w:r>
          </w:p>
        </w:tc>
        <w:tc>
          <w:tcPr>
            <w:tcW w:w="660" w:type="dxa"/>
          </w:tcPr>
          <w:p w14:paraId="062C8E32">
            <w:pPr>
              <w:pStyle w:val="16"/>
              <w:ind w:left="20"/>
              <w:jc w:val="center"/>
              <w:rPr>
                <w:sz w:val="24"/>
              </w:rPr>
            </w:pPr>
            <w:r>
              <w:rPr>
                <w:sz w:val="24"/>
              </w:rPr>
              <w:t>6</w:t>
            </w:r>
          </w:p>
        </w:tc>
        <w:tc>
          <w:tcPr>
            <w:tcW w:w="3416" w:type="dxa"/>
          </w:tcPr>
          <w:p w14:paraId="6C807E21">
            <w:pPr>
              <w:pStyle w:val="16"/>
              <w:ind w:left="19"/>
              <w:jc w:val="center"/>
              <w:rPr>
                <w:sz w:val="24"/>
              </w:rPr>
            </w:pPr>
            <w:r>
              <w:rPr>
                <w:sz w:val="24"/>
              </w:rPr>
              <w:t>化学需氧量排放量</w:t>
            </w:r>
          </w:p>
        </w:tc>
        <w:tc>
          <w:tcPr>
            <w:tcW w:w="694" w:type="dxa"/>
          </w:tcPr>
          <w:p w14:paraId="4E53626A">
            <w:pPr>
              <w:pStyle w:val="16"/>
              <w:ind w:left="18"/>
              <w:jc w:val="center"/>
              <w:rPr>
                <w:sz w:val="24"/>
              </w:rPr>
            </w:pPr>
            <w:r>
              <w:rPr>
                <w:sz w:val="24"/>
              </w:rPr>
              <w:t>吨</w:t>
            </w:r>
          </w:p>
        </w:tc>
        <w:tc>
          <w:tcPr>
            <w:tcW w:w="2175" w:type="dxa"/>
            <w:vMerge w:val="restart"/>
          </w:tcPr>
          <w:p w14:paraId="28347EBA">
            <w:pPr>
              <w:pStyle w:val="16"/>
              <w:spacing w:before="70" w:line="242" w:lineRule="auto"/>
              <w:ind w:left="367" w:right="105" w:hanging="240"/>
              <w:rPr>
                <w:sz w:val="24"/>
              </w:rPr>
            </w:pPr>
            <w:r>
              <w:rPr>
                <w:sz w:val="24"/>
              </w:rPr>
              <w:t>控制在省下达的总量控制指标内</w:t>
            </w:r>
          </w:p>
        </w:tc>
        <w:tc>
          <w:tcPr>
            <w:tcW w:w="1174" w:type="dxa"/>
          </w:tcPr>
          <w:p w14:paraId="5996320B">
            <w:pPr>
              <w:pStyle w:val="16"/>
              <w:ind w:left="87" w:right="67"/>
              <w:jc w:val="center"/>
              <w:rPr>
                <w:sz w:val="24"/>
              </w:rPr>
            </w:pPr>
            <w:r>
              <w:rPr>
                <w:sz w:val="24"/>
              </w:rPr>
              <w:t>约束性</w:t>
            </w:r>
          </w:p>
        </w:tc>
      </w:tr>
      <w:tr w14:paraId="20836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continue"/>
            <w:tcBorders>
              <w:top w:val="nil"/>
            </w:tcBorders>
          </w:tcPr>
          <w:p w14:paraId="0C43C5A6">
            <w:pPr>
              <w:rPr>
                <w:sz w:val="2"/>
                <w:szCs w:val="2"/>
              </w:rPr>
            </w:pPr>
          </w:p>
        </w:tc>
        <w:tc>
          <w:tcPr>
            <w:tcW w:w="660" w:type="dxa"/>
          </w:tcPr>
          <w:p w14:paraId="332E5353">
            <w:pPr>
              <w:pStyle w:val="16"/>
              <w:spacing w:line="307" w:lineRule="exact"/>
              <w:ind w:left="20"/>
              <w:jc w:val="center"/>
              <w:rPr>
                <w:sz w:val="24"/>
              </w:rPr>
            </w:pPr>
            <w:r>
              <w:rPr>
                <w:sz w:val="24"/>
              </w:rPr>
              <w:t>7</w:t>
            </w:r>
          </w:p>
        </w:tc>
        <w:tc>
          <w:tcPr>
            <w:tcW w:w="3416" w:type="dxa"/>
          </w:tcPr>
          <w:p w14:paraId="6F3858AF">
            <w:pPr>
              <w:pStyle w:val="16"/>
              <w:spacing w:line="307" w:lineRule="exact"/>
              <w:ind w:left="19"/>
              <w:jc w:val="center"/>
              <w:rPr>
                <w:sz w:val="24"/>
              </w:rPr>
            </w:pPr>
            <w:r>
              <w:rPr>
                <w:sz w:val="24"/>
              </w:rPr>
              <w:t>氨氮排放量</w:t>
            </w:r>
          </w:p>
        </w:tc>
        <w:tc>
          <w:tcPr>
            <w:tcW w:w="694" w:type="dxa"/>
          </w:tcPr>
          <w:p w14:paraId="43875659">
            <w:pPr>
              <w:pStyle w:val="16"/>
              <w:spacing w:line="307" w:lineRule="exact"/>
              <w:ind w:left="18"/>
              <w:jc w:val="center"/>
              <w:rPr>
                <w:sz w:val="24"/>
              </w:rPr>
            </w:pPr>
            <w:r>
              <w:rPr>
                <w:sz w:val="24"/>
              </w:rPr>
              <w:t>吨</w:t>
            </w:r>
          </w:p>
        </w:tc>
        <w:tc>
          <w:tcPr>
            <w:tcW w:w="2175" w:type="dxa"/>
            <w:vMerge w:val="continue"/>
            <w:tcBorders>
              <w:top w:val="nil"/>
            </w:tcBorders>
          </w:tcPr>
          <w:p w14:paraId="153F0DC3">
            <w:pPr>
              <w:rPr>
                <w:sz w:val="2"/>
                <w:szCs w:val="2"/>
              </w:rPr>
            </w:pPr>
          </w:p>
        </w:tc>
        <w:tc>
          <w:tcPr>
            <w:tcW w:w="1174" w:type="dxa"/>
          </w:tcPr>
          <w:p w14:paraId="6B2203E2">
            <w:pPr>
              <w:pStyle w:val="16"/>
              <w:spacing w:line="307" w:lineRule="exact"/>
              <w:ind w:left="87" w:right="67"/>
              <w:jc w:val="center"/>
              <w:rPr>
                <w:sz w:val="24"/>
              </w:rPr>
            </w:pPr>
            <w:r>
              <w:rPr>
                <w:sz w:val="24"/>
              </w:rPr>
              <w:t>约束性</w:t>
            </w:r>
          </w:p>
        </w:tc>
      </w:tr>
      <w:tr w14:paraId="5DB72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continue"/>
            <w:tcBorders>
              <w:top w:val="nil"/>
            </w:tcBorders>
          </w:tcPr>
          <w:p w14:paraId="6814F01A">
            <w:pPr>
              <w:rPr>
                <w:sz w:val="2"/>
                <w:szCs w:val="2"/>
              </w:rPr>
            </w:pPr>
          </w:p>
        </w:tc>
        <w:tc>
          <w:tcPr>
            <w:tcW w:w="660" w:type="dxa"/>
          </w:tcPr>
          <w:p w14:paraId="49313082">
            <w:pPr>
              <w:pStyle w:val="16"/>
              <w:spacing w:before="1"/>
              <w:ind w:left="20"/>
              <w:jc w:val="center"/>
              <w:rPr>
                <w:sz w:val="24"/>
              </w:rPr>
            </w:pPr>
            <w:r>
              <w:rPr>
                <w:sz w:val="24"/>
              </w:rPr>
              <w:t>8</w:t>
            </w:r>
          </w:p>
        </w:tc>
        <w:tc>
          <w:tcPr>
            <w:tcW w:w="3416" w:type="dxa"/>
          </w:tcPr>
          <w:p w14:paraId="435EA313">
            <w:pPr>
              <w:pStyle w:val="16"/>
              <w:spacing w:before="1"/>
              <w:ind w:left="19"/>
              <w:jc w:val="center"/>
              <w:rPr>
                <w:sz w:val="24"/>
              </w:rPr>
            </w:pPr>
            <w:r>
              <w:rPr>
                <w:sz w:val="24"/>
              </w:rPr>
              <w:t>二氧化硫排放量</w:t>
            </w:r>
          </w:p>
        </w:tc>
        <w:tc>
          <w:tcPr>
            <w:tcW w:w="694" w:type="dxa"/>
          </w:tcPr>
          <w:p w14:paraId="79B23B1F">
            <w:pPr>
              <w:pStyle w:val="16"/>
              <w:spacing w:before="1"/>
              <w:ind w:left="18"/>
              <w:jc w:val="center"/>
              <w:rPr>
                <w:sz w:val="24"/>
              </w:rPr>
            </w:pPr>
            <w:r>
              <w:rPr>
                <w:sz w:val="24"/>
              </w:rPr>
              <w:t>吨</w:t>
            </w:r>
          </w:p>
        </w:tc>
        <w:tc>
          <w:tcPr>
            <w:tcW w:w="2175" w:type="dxa"/>
            <w:vMerge w:val="restart"/>
            <w:tcBorders>
              <w:bottom w:val="single" w:color="000000" w:sz="6" w:space="0"/>
            </w:tcBorders>
          </w:tcPr>
          <w:p w14:paraId="46010423">
            <w:pPr>
              <w:pStyle w:val="16"/>
              <w:rPr>
                <w:sz w:val="24"/>
              </w:rPr>
            </w:pPr>
          </w:p>
          <w:p w14:paraId="6D15906C">
            <w:pPr>
              <w:pStyle w:val="16"/>
              <w:spacing w:before="214" w:line="242" w:lineRule="auto"/>
              <w:ind w:left="367" w:right="105" w:hanging="240"/>
              <w:rPr>
                <w:sz w:val="24"/>
              </w:rPr>
            </w:pPr>
            <w:r>
              <w:rPr>
                <w:sz w:val="24"/>
              </w:rPr>
              <w:t>控制在省下达的总量控制指标内</w:t>
            </w:r>
          </w:p>
        </w:tc>
        <w:tc>
          <w:tcPr>
            <w:tcW w:w="1174" w:type="dxa"/>
          </w:tcPr>
          <w:p w14:paraId="0A0DBAB2">
            <w:pPr>
              <w:pStyle w:val="16"/>
              <w:spacing w:before="1"/>
              <w:ind w:left="87" w:right="67"/>
              <w:jc w:val="center"/>
              <w:rPr>
                <w:sz w:val="24"/>
              </w:rPr>
            </w:pPr>
            <w:r>
              <w:rPr>
                <w:sz w:val="24"/>
              </w:rPr>
              <w:t>约束性</w:t>
            </w:r>
          </w:p>
        </w:tc>
      </w:tr>
      <w:tr w14:paraId="6D98E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continue"/>
            <w:tcBorders>
              <w:top w:val="nil"/>
            </w:tcBorders>
          </w:tcPr>
          <w:p w14:paraId="71E93486">
            <w:pPr>
              <w:rPr>
                <w:sz w:val="2"/>
                <w:szCs w:val="2"/>
              </w:rPr>
            </w:pPr>
          </w:p>
        </w:tc>
        <w:tc>
          <w:tcPr>
            <w:tcW w:w="660" w:type="dxa"/>
          </w:tcPr>
          <w:p w14:paraId="35D527B3">
            <w:pPr>
              <w:pStyle w:val="16"/>
              <w:ind w:left="20"/>
              <w:jc w:val="center"/>
              <w:rPr>
                <w:sz w:val="24"/>
              </w:rPr>
            </w:pPr>
            <w:r>
              <w:rPr>
                <w:sz w:val="24"/>
              </w:rPr>
              <w:t>9</w:t>
            </w:r>
          </w:p>
        </w:tc>
        <w:tc>
          <w:tcPr>
            <w:tcW w:w="3416" w:type="dxa"/>
          </w:tcPr>
          <w:p w14:paraId="43E04E3B">
            <w:pPr>
              <w:pStyle w:val="16"/>
              <w:ind w:left="19"/>
              <w:jc w:val="center"/>
              <w:rPr>
                <w:sz w:val="24"/>
              </w:rPr>
            </w:pPr>
            <w:r>
              <w:rPr>
                <w:sz w:val="24"/>
              </w:rPr>
              <w:t>氮氧化物排放量</w:t>
            </w:r>
          </w:p>
        </w:tc>
        <w:tc>
          <w:tcPr>
            <w:tcW w:w="694" w:type="dxa"/>
          </w:tcPr>
          <w:p w14:paraId="3E61D7D8">
            <w:pPr>
              <w:pStyle w:val="16"/>
              <w:ind w:left="18"/>
              <w:jc w:val="center"/>
              <w:rPr>
                <w:sz w:val="24"/>
              </w:rPr>
            </w:pPr>
            <w:r>
              <w:rPr>
                <w:sz w:val="24"/>
              </w:rPr>
              <w:t>吨</w:t>
            </w:r>
          </w:p>
        </w:tc>
        <w:tc>
          <w:tcPr>
            <w:tcW w:w="2175" w:type="dxa"/>
            <w:vMerge w:val="continue"/>
            <w:tcBorders>
              <w:top w:val="nil"/>
              <w:bottom w:val="single" w:color="000000" w:sz="6" w:space="0"/>
            </w:tcBorders>
          </w:tcPr>
          <w:p w14:paraId="175850A0">
            <w:pPr>
              <w:rPr>
                <w:sz w:val="2"/>
                <w:szCs w:val="2"/>
              </w:rPr>
            </w:pPr>
          </w:p>
        </w:tc>
        <w:tc>
          <w:tcPr>
            <w:tcW w:w="1174" w:type="dxa"/>
          </w:tcPr>
          <w:p w14:paraId="26A94B34">
            <w:pPr>
              <w:pStyle w:val="16"/>
              <w:ind w:left="87" w:right="67"/>
              <w:jc w:val="center"/>
              <w:rPr>
                <w:sz w:val="24"/>
              </w:rPr>
            </w:pPr>
            <w:r>
              <w:rPr>
                <w:sz w:val="24"/>
              </w:rPr>
              <w:t>约束性</w:t>
            </w:r>
          </w:p>
        </w:tc>
      </w:tr>
      <w:tr w14:paraId="2915E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1080" w:type="dxa"/>
            <w:vMerge w:val="continue"/>
            <w:tcBorders>
              <w:top w:val="nil"/>
            </w:tcBorders>
          </w:tcPr>
          <w:p w14:paraId="2C9CD781">
            <w:pPr>
              <w:rPr>
                <w:sz w:val="2"/>
                <w:szCs w:val="2"/>
              </w:rPr>
            </w:pPr>
          </w:p>
        </w:tc>
        <w:tc>
          <w:tcPr>
            <w:tcW w:w="660" w:type="dxa"/>
          </w:tcPr>
          <w:p w14:paraId="642CA49A">
            <w:pPr>
              <w:pStyle w:val="16"/>
              <w:spacing w:line="307" w:lineRule="exact"/>
              <w:ind w:left="70" w:right="50"/>
              <w:jc w:val="center"/>
              <w:rPr>
                <w:sz w:val="24"/>
              </w:rPr>
            </w:pPr>
            <w:r>
              <w:rPr>
                <w:sz w:val="24"/>
              </w:rPr>
              <w:t>10</w:t>
            </w:r>
          </w:p>
        </w:tc>
        <w:tc>
          <w:tcPr>
            <w:tcW w:w="3416" w:type="dxa"/>
          </w:tcPr>
          <w:p w14:paraId="40E4B6A9">
            <w:pPr>
              <w:pStyle w:val="16"/>
              <w:spacing w:line="307" w:lineRule="exact"/>
              <w:ind w:left="19"/>
              <w:jc w:val="center"/>
              <w:rPr>
                <w:sz w:val="24"/>
              </w:rPr>
            </w:pPr>
            <w:r>
              <w:rPr>
                <w:sz w:val="24"/>
              </w:rPr>
              <w:t>挥发性有机物</w:t>
            </w:r>
          </w:p>
        </w:tc>
        <w:tc>
          <w:tcPr>
            <w:tcW w:w="694" w:type="dxa"/>
          </w:tcPr>
          <w:p w14:paraId="6BFA3A7D">
            <w:pPr>
              <w:pStyle w:val="16"/>
              <w:spacing w:line="307" w:lineRule="exact"/>
              <w:ind w:left="18"/>
              <w:jc w:val="center"/>
              <w:rPr>
                <w:sz w:val="24"/>
              </w:rPr>
            </w:pPr>
            <w:r>
              <w:rPr>
                <w:sz w:val="24"/>
              </w:rPr>
              <w:t>吨</w:t>
            </w:r>
          </w:p>
        </w:tc>
        <w:tc>
          <w:tcPr>
            <w:tcW w:w="2175" w:type="dxa"/>
            <w:vMerge w:val="continue"/>
            <w:tcBorders>
              <w:top w:val="nil"/>
              <w:bottom w:val="single" w:color="000000" w:sz="6" w:space="0"/>
            </w:tcBorders>
          </w:tcPr>
          <w:p w14:paraId="7892C804">
            <w:pPr>
              <w:rPr>
                <w:sz w:val="2"/>
                <w:szCs w:val="2"/>
              </w:rPr>
            </w:pPr>
          </w:p>
        </w:tc>
        <w:tc>
          <w:tcPr>
            <w:tcW w:w="1174" w:type="dxa"/>
          </w:tcPr>
          <w:p w14:paraId="4248DC99">
            <w:pPr>
              <w:pStyle w:val="16"/>
              <w:spacing w:line="307" w:lineRule="exact"/>
              <w:ind w:left="87" w:right="67"/>
              <w:jc w:val="center"/>
              <w:rPr>
                <w:sz w:val="24"/>
              </w:rPr>
            </w:pPr>
            <w:r>
              <w:rPr>
                <w:sz w:val="24"/>
              </w:rPr>
              <w:t>约束性</w:t>
            </w:r>
          </w:p>
        </w:tc>
      </w:tr>
      <w:tr w14:paraId="056AC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1080" w:type="dxa"/>
            <w:tcBorders>
              <w:bottom w:val="single" w:color="000000" w:sz="6" w:space="0"/>
            </w:tcBorders>
          </w:tcPr>
          <w:p w14:paraId="2862604F">
            <w:pPr>
              <w:pStyle w:val="16"/>
              <w:spacing w:before="1"/>
              <w:ind w:right="39"/>
              <w:jc w:val="right"/>
              <w:rPr>
                <w:sz w:val="24"/>
              </w:rPr>
            </w:pPr>
            <w:r>
              <w:rPr>
                <w:sz w:val="24"/>
              </w:rPr>
              <w:t>生态建设</w:t>
            </w:r>
          </w:p>
        </w:tc>
        <w:tc>
          <w:tcPr>
            <w:tcW w:w="660" w:type="dxa"/>
          </w:tcPr>
          <w:p w14:paraId="2B312836">
            <w:pPr>
              <w:pStyle w:val="16"/>
              <w:spacing w:before="1"/>
              <w:ind w:left="70" w:right="50"/>
              <w:jc w:val="center"/>
              <w:rPr>
                <w:sz w:val="24"/>
              </w:rPr>
            </w:pPr>
            <w:r>
              <w:rPr>
                <w:sz w:val="24"/>
              </w:rPr>
              <w:t>11</w:t>
            </w:r>
          </w:p>
        </w:tc>
        <w:tc>
          <w:tcPr>
            <w:tcW w:w="3416" w:type="dxa"/>
          </w:tcPr>
          <w:p w14:paraId="51D07224">
            <w:pPr>
              <w:pStyle w:val="16"/>
              <w:spacing w:before="1"/>
              <w:ind w:left="19"/>
              <w:jc w:val="center"/>
              <w:rPr>
                <w:sz w:val="24"/>
              </w:rPr>
            </w:pPr>
            <w:r>
              <w:rPr>
                <w:sz w:val="24"/>
              </w:rPr>
              <w:t>森林覆盖率</w:t>
            </w:r>
          </w:p>
        </w:tc>
        <w:tc>
          <w:tcPr>
            <w:tcW w:w="694" w:type="dxa"/>
          </w:tcPr>
          <w:p w14:paraId="1126F333">
            <w:pPr>
              <w:pStyle w:val="16"/>
              <w:spacing w:before="1"/>
              <w:ind w:left="18"/>
              <w:jc w:val="center"/>
              <w:rPr>
                <w:sz w:val="24"/>
              </w:rPr>
            </w:pPr>
            <w:r>
              <w:rPr>
                <w:sz w:val="24"/>
              </w:rPr>
              <w:t>%</w:t>
            </w:r>
          </w:p>
        </w:tc>
        <w:tc>
          <w:tcPr>
            <w:tcW w:w="2175" w:type="dxa"/>
            <w:vMerge w:val="continue"/>
            <w:tcBorders>
              <w:top w:val="nil"/>
              <w:bottom w:val="single" w:color="000000" w:sz="6" w:space="0"/>
            </w:tcBorders>
          </w:tcPr>
          <w:p w14:paraId="376F0EED">
            <w:pPr>
              <w:rPr>
                <w:sz w:val="2"/>
                <w:szCs w:val="2"/>
              </w:rPr>
            </w:pPr>
          </w:p>
        </w:tc>
        <w:tc>
          <w:tcPr>
            <w:tcW w:w="1174" w:type="dxa"/>
          </w:tcPr>
          <w:p w14:paraId="1C66DC50">
            <w:pPr>
              <w:pStyle w:val="16"/>
              <w:spacing w:before="1"/>
              <w:ind w:left="87" w:right="67"/>
              <w:jc w:val="center"/>
              <w:rPr>
                <w:sz w:val="24"/>
              </w:rPr>
            </w:pPr>
            <w:r>
              <w:rPr>
                <w:sz w:val="24"/>
              </w:rPr>
              <w:t>约束性</w:t>
            </w:r>
          </w:p>
        </w:tc>
      </w:tr>
    </w:tbl>
    <w:p w14:paraId="1EBFF85F">
      <w:pPr>
        <w:spacing w:after="0"/>
        <w:jc w:val="center"/>
        <w:rPr>
          <w:sz w:val="24"/>
        </w:rPr>
        <w:sectPr>
          <w:pgSz w:w="11910" w:h="16840"/>
          <w:pgMar w:top="1420" w:right="1080" w:bottom="1360" w:left="1080" w:header="878" w:footer="1164" w:gutter="0"/>
          <w:pgNumType w:fmt="decimal"/>
          <w:cols w:space="720" w:num="1"/>
        </w:sectPr>
      </w:pPr>
    </w:p>
    <w:tbl>
      <w:tblPr>
        <w:tblStyle w:val="12"/>
        <w:tblW w:w="0" w:type="auto"/>
        <w:tblInd w:w="2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0"/>
        <w:gridCol w:w="660"/>
        <w:gridCol w:w="3416"/>
        <w:gridCol w:w="694"/>
        <w:gridCol w:w="2175"/>
        <w:gridCol w:w="1174"/>
      </w:tblGrid>
      <w:tr w14:paraId="5C18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tcBorders>
              <w:left w:val="single" w:color="000000" w:sz="8" w:space="0"/>
              <w:bottom w:val="single" w:color="000000" w:sz="8" w:space="0"/>
              <w:right w:val="single" w:color="000000" w:sz="8" w:space="0"/>
            </w:tcBorders>
          </w:tcPr>
          <w:p w14:paraId="28F3C192">
            <w:pPr>
              <w:pStyle w:val="16"/>
              <w:rPr>
                <w:rFonts w:ascii="Times New Roman"/>
                <w:sz w:val="22"/>
              </w:rPr>
            </w:pPr>
          </w:p>
        </w:tc>
        <w:tc>
          <w:tcPr>
            <w:tcW w:w="660" w:type="dxa"/>
            <w:tcBorders>
              <w:top w:val="single" w:color="000000" w:sz="8" w:space="0"/>
              <w:left w:val="single" w:color="000000" w:sz="8" w:space="0"/>
              <w:bottom w:val="single" w:color="000000" w:sz="8" w:space="0"/>
              <w:right w:val="single" w:color="000000" w:sz="8" w:space="0"/>
            </w:tcBorders>
          </w:tcPr>
          <w:p w14:paraId="50F5CB38">
            <w:pPr>
              <w:pStyle w:val="16"/>
              <w:spacing w:before="3"/>
              <w:ind w:left="70" w:right="50"/>
              <w:jc w:val="center"/>
              <w:rPr>
                <w:sz w:val="24"/>
              </w:rPr>
            </w:pPr>
            <w:r>
              <w:rPr>
                <w:sz w:val="24"/>
              </w:rPr>
              <w:t>12</w:t>
            </w:r>
          </w:p>
        </w:tc>
        <w:tc>
          <w:tcPr>
            <w:tcW w:w="3416" w:type="dxa"/>
            <w:tcBorders>
              <w:top w:val="single" w:color="000000" w:sz="8" w:space="0"/>
              <w:left w:val="single" w:color="000000" w:sz="8" w:space="0"/>
              <w:bottom w:val="single" w:color="000000" w:sz="8" w:space="0"/>
              <w:right w:val="single" w:color="000000" w:sz="8" w:space="0"/>
            </w:tcBorders>
          </w:tcPr>
          <w:p w14:paraId="336D2DA0">
            <w:pPr>
              <w:pStyle w:val="16"/>
              <w:spacing w:before="3"/>
              <w:ind w:left="19"/>
              <w:jc w:val="center"/>
              <w:rPr>
                <w:sz w:val="24"/>
              </w:rPr>
            </w:pPr>
            <w:r>
              <w:rPr>
                <w:sz w:val="24"/>
              </w:rPr>
              <w:t>建成区绿化覆盖率</w:t>
            </w:r>
          </w:p>
        </w:tc>
        <w:tc>
          <w:tcPr>
            <w:tcW w:w="694" w:type="dxa"/>
            <w:tcBorders>
              <w:top w:val="single" w:color="000000" w:sz="8" w:space="0"/>
              <w:left w:val="single" w:color="000000" w:sz="8" w:space="0"/>
              <w:bottom w:val="single" w:color="000000" w:sz="8" w:space="0"/>
              <w:right w:val="single" w:color="000000" w:sz="8" w:space="0"/>
            </w:tcBorders>
          </w:tcPr>
          <w:p w14:paraId="476D6F3E">
            <w:pPr>
              <w:pStyle w:val="16"/>
              <w:spacing w:before="3"/>
              <w:ind w:left="18"/>
              <w:jc w:val="center"/>
              <w:rPr>
                <w:sz w:val="24"/>
              </w:rPr>
            </w:pPr>
            <w:r>
              <w:rPr>
                <w:sz w:val="24"/>
              </w:rPr>
              <w:t>%</w:t>
            </w:r>
          </w:p>
        </w:tc>
        <w:tc>
          <w:tcPr>
            <w:tcW w:w="2175" w:type="dxa"/>
            <w:tcBorders>
              <w:left w:val="single" w:color="000000" w:sz="8" w:space="0"/>
              <w:bottom w:val="single" w:color="000000" w:sz="8" w:space="0"/>
              <w:right w:val="single" w:color="000000" w:sz="8" w:space="0"/>
            </w:tcBorders>
          </w:tcPr>
          <w:p w14:paraId="76499944">
            <w:pPr>
              <w:pStyle w:val="16"/>
              <w:rPr>
                <w:rFonts w:ascii="Times New Roman"/>
                <w:sz w:val="22"/>
              </w:rPr>
            </w:pPr>
          </w:p>
        </w:tc>
        <w:tc>
          <w:tcPr>
            <w:tcW w:w="1174" w:type="dxa"/>
            <w:tcBorders>
              <w:top w:val="single" w:color="000000" w:sz="8" w:space="0"/>
              <w:left w:val="single" w:color="000000" w:sz="8" w:space="0"/>
              <w:bottom w:val="single" w:color="000000" w:sz="8" w:space="0"/>
              <w:right w:val="single" w:color="000000" w:sz="8" w:space="0"/>
            </w:tcBorders>
          </w:tcPr>
          <w:p w14:paraId="19E79AE5">
            <w:pPr>
              <w:pStyle w:val="16"/>
              <w:spacing w:before="3"/>
              <w:ind w:left="87" w:right="67"/>
              <w:jc w:val="center"/>
              <w:rPr>
                <w:sz w:val="24"/>
              </w:rPr>
            </w:pPr>
            <w:r>
              <w:rPr>
                <w:sz w:val="24"/>
              </w:rPr>
              <w:t>约束性</w:t>
            </w:r>
          </w:p>
        </w:tc>
      </w:tr>
      <w:tr w14:paraId="05B3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80" w:type="dxa"/>
            <w:vMerge w:val="restart"/>
            <w:tcBorders>
              <w:top w:val="single" w:color="000000" w:sz="8" w:space="0"/>
              <w:left w:val="single" w:color="000000" w:sz="8" w:space="0"/>
              <w:bottom w:val="single" w:color="000000" w:sz="8" w:space="0"/>
              <w:right w:val="single" w:color="000000" w:sz="8" w:space="0"/>
            </w:tcBorders>
          </w:tcPr>
          <w:p w14:paraId="6753A061">
            <w:pPr>
              <w:pStyle w:val="16"/>
              <w:rPr>
                <w:sz w:val="24"/>
              </w:rPr>
            </w:pPr>
          </w:p>
          <w:p w14:paraId="01E6CE43">
            <w:pPr>
              <w:pStyle w:val="16"/>
              <w:rPr>
                <w:sz w:val="24"/>
              </w:rPr>
            </w:pPr>
          </w:p>
          <w:p w14:paraId="5AF950F5">
            <w:pPr>
              <w:pStyle w:val="16"/>
              <w:rPr>
                <w:sz w:val="24"/>
              </w:rPr>
            </w:pPr>
          </w:p>
          <w:p w14:paraId="676798F1">
            <w:pPr>
              <w:pStyle w:val="16"/>
              <w:rPr>
                <w:sz w:val="24"/>
              </w:rPr>
            </w:pPr>
          </w:p>
          <w:p w14:paraId="7569CBD4">
            <w:pPr>
              <w:pStyle w:val="16"/>
              <w:rPr>
                <w:sz w:val="24"/>
              </w:rPr>
            </w:pPr>
          </w:p>
          <w:p w14:paraId="68CFCA16">
            <w:pPr>
              <w:pStyle w:val="16"/>
              <w:spacing w:before="7"/>
              <w:rPr>
                <w:sz w:val="33"/>
              </w:rPr>
            </w:pPr>
          </w:p>
          <w:p w14:paraId="2EC2BFC9">
            <w:pPr>
              <w:pStyle w:val="16"/>
              <w:spacing w:line="242" w:lineRule="auto"/>
              <w:ind w:left="298" w:right="39" w:hanging="240"/>
              <w:rPr>
                <w:sz w:val="24"/>
              </w:rPr>
            </w:pPr>
            <w:r>
              <w:rPr>
                <w:sz w:val="24"/>
              </w:rPr>
              <w:t>污染综合防治</w:t>
            </w:r>
          </w:p>
        </w:tc>
        <w:tc>
          <w:tcPr>
            <w:tcW w:w="660" w:type="dxa"/>
            <w:tcBorders>
              <w:top w:val="single" w:color="000000" w:sz="8" w:space="0"/>
              <w:left w:val="single" w:color="000000" w:sz="8" w:space="0"/>
              <w:bottom w:val="single" w:color="000000" w:sz="8" w:space="0"/>
              <w:right w:val="single" w:color="000000" w:sz="8" w:space="0"/>
            </w:tcBorders>
          </w:tcPr>
          <w:p w14:paraId="18977F6A">
            <w:pPr>
              <w:pStyle w:val="16"/>
              <w:spacing w:before="2"/>
              <w:ind w:left="70" w:right="50"/>
              <w:jc w:val="center"/>
              <w:rPr>
                <w:sz w:val="24"/>
              </w:rPr>
            </w:pPr>
            <w:r>
              <w:rPr>
                <w:sz w:val="24"/>
              </w:rPr>
              <w:t>13</w:t>
            </w:r>
          </w:p>
        </w:tc>
        <w:tc>
          <w:tcPr>
            <w:tcW w:w="3416" w:type="dxa"/>
            <w:tcBorders>
              <w:top w:val="single" w:color="000000" w:sz="8" w:space="0"/>
              <w:left w:val="single" w:color="000000" w:sz="8" w:space="0"/>
              <w:bottom w:val="single" w:color="000000" w:sz="8" w:space="0"/>
              <w:right w:val="single" w:color="000000" w:sz="8" w:space="0"/>
            </w:tcBorders>
          </w:tcPr>
          <w:p w14:paraId="11C064B1">
            <w:pPr>
              <w:pStyle w:val="16"/>
              <w:spacing w:before="2"/>
              <w:ind w:left="19"/>
              <w:jc w:val="center"/>
              <w:rPr>
                <w:sz w:val="24"/>
              </w:rPr>
            </w:pPr>
            <w:r>
              <w:rPr>
                <w:sz w:val="24"/>
              </w:rPr>
              <w:t>县城生活污水集中处理率</w:t>
            </w:r>
          </w:p>
        </w:tc>
        <w:tc>
          <w:tcPr>
            <w:tcW w:w="694" w:type="dxa"/>
            <w:tcBorders>
              <w:top w:val="single" w:color="000000" w:sz="8" w:space="0"/>
              <w:left w:val="single" w:color="000000" w:sz="8" w:space="0"/>
              <w:bottom w:val="single" w:color="000000" w:sz="8" w:space="0"/>
              <w:right w:val="single" w:color="000000" w:sz="8" w:space="0"/>
            </w:tcBorders>
          </w:tcPr>
          <w:p w14:paraId="01AC3B95">
            <w:pPr>
              <w:pStyle w:val="16"/>
              <w:spacing w:before="2"/>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7EABD77F">
            <w:pPr>
              <w:pStyle w:val="16"/>
              <w:spacing w:before="2"/>
              <w:ind w:left="-130" w:right="825"/>
              <w:jc w:val="right"/>
              <w:rPr>
                <w:sz w:val="24"/>
              </w:rPr>
            </w:pPr>
            <w:r>
              <w:rPr>
                <w:sz w:val="24"/>
              </w:rPr>
              <w:t>≥95</w:t>
            </w:r>
          </w:p>
        </w:tc>
        <w:tc>
          <w:tcPr>
            <w:tcW w:w="1174" w:type="dxa"/>
            <w:tcBorders>
              <w:top w:val="single" w:color="000000" w:sz="8" w:space="0"/>
              <w:left w:val="single" w:color="000000" w:sz="8" w:space="0"/>
              <w:bottom w:val="single" w:color="000000" w:sz="8" w:space="0"/>
              <w:right w:val="single" w:color="000000" w:sz="8" w:space="0"/>
            </w:tcBorders>
          </w:tcPr>
          <w:p w14:paraId="2945908E">
            <w:pPr>
              <w:pStyle w:val="16"/>
              <w:spacing w:before="2"/>
              <w:ind w:left="87" w:right="67"/>
              <w:jc w:val="center"/>
              <w:rPr>
                <w:sz w:val="24"/>
              </w:rPr>
            </w:pPr>
            <w:r>
              <w:rPr>
                <w:sz w:val="24"/>
              </w:rPr>
              <w:t>约束性</w:t>
            </w:r>
          </w:p>
        </w:tc>
      </w:tr>
      <w:tr w14:paraId="2A94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bottom w:val="single" w:color="000000" w:sz="8" w:space="0"/>
              <w:right w:val="single" w:color="000000" w:sz="8" w:space="0"/>
            </w:tcBorders>
          </w:tcPr>
          <w:p w14:paraId="12F14689">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0595CA7F">
            <w:pPr>
              <w:pStyle w:val="16"/>
              <w:spacing w:before="3"/>
              <w:ind w:left="70" w:right="50"/>
              <w:jc w:val="center"/>
              <w:rPr>
                <w:sz w:val="24"/>
              </w:rPr>
            </w:pPr>
            <w:r>
              <w:rPr>
                <w:sz w:val="24"/>
              </w:rPr>
              <w:t>14</w:t>
            </w:r>
          </w:p>
        </w:tc>
        <w:tc>
          <w:tcPr>
            <w:tcW w:w="3416" w:type="dxa"/>
            <w:tcBorders>
              <w:top w:val="single" w:color="000000" w:sz="8" w:space="0"/>
              <w:left w:val="single" w:color="000000" w:sz="8" w:space="0"/>
              <w:bottom w:val="single" w:color="000000" w:sz="8" w:space="0"/>
              <w:right w:val="single" w:color="000000" w:sz="8" w:space="0"/>
            </w:tcBorders>
          </w:tcPr>
          <w:p w14:paraId="0C31A2FE">
            <w:pPr>
              <w:pStyle w:val="16"/>
              <w:spacing w:before="3"/>
              <w:ind w:left="19"/>
              <w:jc w:val="center"/>
              <w:rPr>
                <w:sz w:val="24"/>
              </w:rPr>
            </w:pPr>
            <w:r>
              <w:rPr>
                <w:sz w:val="24"/>
              </w:rPr>
              <w:t>县城生活垃圾无害化处理率</w:t>
            </w:r>
          </w:p>
        </w:tc>
        <w:tc>
          <w:tcPr>
            <w:tcW w:w="694" w:type="dxa"/>
            <w:tcBorders>
              <w:top w:val="single" w:color="000000" w:sz="8" w:space="0"/>
              <w:left w:val="single" w:color="000000" w:sz="8" w:space="0"/>
              <w:bottom w:val="single" w:color="000000" w:sz="8" w:space="0"/>
              <w:right w:val="single" w:color="000000" w:sz="8" w:space="0"/>
            </w:tcBorders>
          </w:tcPr>
          <w:p w14:paraId="24FB37D8">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5F168F03">
            <w:pPr>
              <w:pStyle w:val="16"/>
              <w:spacing w:before="3"/>
              <w:ind w:left="-130" w:right="825"/>
              <w:jc w:val="right"/>
              <w:rPr>
                <w:sz w:val="24"/>
              </w:rPr>
            </w:pPr>
            <w:r>
              <w:rPr>
                <w:sz w:val="24"/>
              </w:rPr>
              <w:t>≥95</w:t>
            </w:r>
          </w:p>
        </w:tc>
        <w:tc>
          <w:tcPr>
            <w:tcW w:w="1174" w:type="dxa"/>
            <w:tcBorders>
              <w:top w:val="single" w:color="000000" w:sz="8" w:space="0"/>
              <w:left w:val="single" w:color="000000" w:sz="8" w:space="0"/>
              <w:bottom w:val="single" w:color="000000" w:sz="8" w:space="0"/>
              <w:right w:val="single" w:color="000000" w:sz="8" w:space="0"/>
            </w:tcBorders>
          </w:tcPr>
          <w:p w14:paraId="391D1AC1">
            <w:pPr>
              <w:pStyle w:val="16"/>
              <w:spacing w:before="3"/>
              <w:ind w:left="87" w:right="67"/>
              <w:jc w:val="center"/>
              <w:rPr>
                <w:sz w:val="24"/>
              </w:rPr>
            </w:pPr>
            <w:r>
              <w:rPr>
                <w:sz w:val="24"/>
              </w:rPr>
              <w:t>参考性</w:t>
            </w:r>
          </w:p>
        </w:tc>
      </w:tr>
      <w:tr w14:paraId="6134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bottom w:val="single" w:color="000000" w:sz="8" w:space="0"/>
              <w:right w:val="single" w:color="000000" w:sz="8" w:space="0"/>
            </w:tcBorders>
          </w:tcPr>
          <w:p w14:paraId="75606F44">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572B3754">
            <w:pPr>
              <w:pStyle w:val="16"/>
              <w:spacing w:before="3"/>
              <w:ind w:left="70" w:right="50"/>
              <w:jc w:val="center"/>
              <w:rPr>
                <w:sz w:val="24"/>
              </w:rPr>
            </w:pPr>
            <w:r>
              <w:rPr>
                <w:sz w:val="24"/>
              </w:rPr>
              <w:t>15</w:t>
            </w:r>
          </w:p>
        </w:tc>
        <w:tc>
          <w:tcPr>
            <w:tcW w:w="3416" w:type="dxa"/>
            <w:tcBorders>
              <w:top w:val="single" w:color="000000" w:sz="8" w:space="0"/>
              <w:left w:val="single" w:color="000000" w:sz="8" w:space="0"/>
              <w:bottom w:val="single" w:color="000000" w:sz="8" w:space="0"/>
              <w:right w:val="single" w:color="000000" w:sz="8" w:space="0"/>
            </w:tcBorders>
          </w:tcPr>
          <w:p w14:paraId="1931A8B1">
            <w:pPr>
              <w:pStyle w:val="16"/>
              <w:spacing w:before="3"/>
              <w:ind w:left="19"/>
              <w:jc w:val="center"/>
              <w:rPr>
                <w:sz w:val="24"/>
              </w:rPr>
            </w:pPr>
            <w:r>
              <w:rPr>
                <w:sz w:val="24"/>
              </w:rPr>
              <w:t>工业固体废物处置利用率</w:t>
            </w:r>
          </w:p>
        </w:tc>
        <w:tc>
          <w:tcPr>
            <w:tcW w:w="694" w:type="dxa"/>
            <w:tcBorders>
              <w:top w:val="single" w:color="000000" w:sz="8" w:space="0"/>
              <w:left w:val="single" w:color="000000" w:sz="8" w:space="0"/>
              <w:bottom w:val="single" w:color="000000" w:sz="8" w:space="0"/>
              <w:right w:val="single" w:color="000000" w:sz="8" w:space="0"/>
            </w:tcBorders>
          </w:tcPr>
          <w:p w14:paraId="481FA9E4">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448B469A">
            <w:pPr>
              <w:pStyle w:val="16"/>
              <w:spacing w:before="3"/>
              <w:ind w:left="-130" w:right="825"/>
              <w:jc w:val="right"/>
              <w:rPr>
                <w:sz w:val="24"/>
              </w:rPr>
            </w:pPr>
            <w:r>
              <w:rPr>
                <w:sz w:val="24"/>
              </w:rPr>
              <w:t>≥98</w:t>
            </w:r>
          </w:p>
        </w:tc>
        <w:tc>
          <w:tcPr>
            <w:tcW w:w="1174" w:type="dxa"/>
            <w:tcBorders>
              <w:top w:val="single" w:color="000000" w:sz="8" w:space="0"/>
              <w:left w:val="single" w:color="000000" w:sz="8" w:space="0"/>
              <w:bottom w:val="single" w:color="000000" w:sz="8" w:space="0"/>
              <w:right w:val="single" w:color="000000" w:sz="8" w:space="0"/>
            </w:tcBorders>
          </w:tcPr>
          <w:p w14:paraId="448D8F7E">
            <w:pPr>
              <w:pStyle w:val="16"/>
              <w:spacing w:before="3"/>
              <w:ind w:left="87" w:right="67"/>
              <w:jc w:val="center"/>
              <w:rPr>
                <w:sz w:val="24"/>
              </w:rPr>
            </w:pPr>
            <w:r>
              <w:rPr>
                <w:sz w:val="24"/>
              </w:rPr>
              <w:t>参考性</w:t>
            </w:r>
          </w:p>
        </w:tc>
      </w:tr>
      <w:tr w14:paraId="25B9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bottom w:val="single" w:color="000000" w:sz="8" w:space="0"/>
              <w:right w:val="single" w:color="000000" w:sz="8" w:space="0"/>
            </w:tcBorders>
          </w:tcPr>
          <w:p w14:paraId="1261F839">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53BEBFC1">
            <w:pPr>
              <w:pStyle w:val="16"/>
              <w:spacing w:before="2"/>
              <w:ind w:left="70" w:right="50"/>
              <w:jc w:val="center"/>
              <w:rPr>
                <w:sz w:val="24"/>
              </w:rPr>
            </w:pPr>
            <w:r>
              <w:rPr>
                <w:sz w:val="24"/>
              </w:rPr>
              <w:t>16</w:t>
            </w:r>
          </w:p>
        </w:tc>
        <w:tc>
          <w:tcPr>
            <w:tcW w:w="3416" w:type="dxa"/>
            <w:tcBorders>
              <w:top w:val="single" w:color="000000" w:sz="8" w:space="0"/>
              <w:left w:val="single" w:color="000000" w:sz="8" w:space="0"/>
              <w:bottom w:val="single" w:color="000000" w:sz="8" w:space="0"/>
              <w:right w:val="single" w:color="000000" w:sz="8" w:space="0"/>
            </w:tcBorders>
          </w:tcPr>
          <w:p w14:paraId="6841F8E5">
            <w:pPr>
              <w:pStyle w:val="16"/>
              <w:spacing w:before="2"/>
              <w:ind w:left="19"/>
              <w:jc w:val="center"/>
              <w:rPr>
                <w:sz w:val="24"/>
              </w:rPr>
            </w:pPr>
            <w:r>
              <w:rPr>
                <w:sz w:val="24"/>
              </w:rPr>
              <w:t>危险废物集中处置率</w:t>
            </w:r>
          </w:p>
        </w:tc>
        <w:tc>
          <w:tcPr>
            <w:tcW w:w="694" w:type="dxa"/>
            <w:tcBorders>
              <w:top w:val="single" w:color="000000" w:sz="8" w:space="0"/>
              <w:left w:val="single" w:color="000000" w:sz="8" w:space="0"/>
              <w:bottom w:val="single" w:color="000000" w:sz="8" w:space="0"/>
              <w:right w:val="single" w:color="000000" w:sz="8" w:space="0"/>
            </w:tcBorders>
          </w:tcPr>
          <w:p w14:paraId="712EE9FE">
            <w:pPr>
              <w:pStyle w:val="16"/>
              <w:spacing w:before="2"/>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7DE4B5FA">
            <w:pPr>
              <w:pStyle w:val="16"/>
              <w:spacing w:before="2"/>
              <w:ind w:left="645" w:right="626"/>
              <w:jc w:val="center"/>
              <w:rPr>
                <w:sz w:val="24"/>
              </w:rPr>
            </w:pPr>
            <w:r>
              <w:rPr>
                <w:sz w:val="24"/>
              </w:rPr>
              <w:t>100</w:t>
            </w:r>
          </w:p>
        </w:tc>
        <w:tc>
          <w:tcPr>
            <w:tcW w:w="1174" w:type="dxa"/>
            <w:tcBorders>
              <w:top w:val="single" w:color="000000" w:sz="8" w:space="0"/>
              <w:left w:val="single" w:color="000000" w:sz="8" w:space="0"/>
              <w:bottom w:val="single" w:color="000000" w:sz="8" w:space="0"/>
              <w:right w:val="single" w:color="000000" w:sz="8" w:space="0"/>
            </w:tcBorders>
          </w:tcPr>
          <w:p w14:paraId="7482D981">
            <w:pPr>
              <w:pStyle w:val="16"/>
              <w:spacing w:before="2"/>
              <w:ind w:left="87" w:right="67"/>
              <w:jc w:val="center"/>
              <w:rPr>
                <w:sz w:val="24"/>
              </w:rPr>
            </w:pPr>
            <w:r>
              <w:rPr>
                <w:sz w:val="24"/>
              </w:rPr>
              <w:t>约束性</w:t>
            </w:r>
          </w:p>
        </w:tc>
      </w:tr>
      <w:tr w14:paraId="3533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bottom w:val="single" w:color="000000" w:sz="8" w:space="0"/>
              <w:right w:val="single" w:color="000000" w:sz="8" w:space="0"/>
            </w:tcBorders>
          </w:tcPr>
          <w:p w14:paraId="5D741535">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4526A10C">
            <w:pPr>
              <w:pStyle w:val="16"/>
              <w:spacing w:before="4"/>
              <w:ind w:left="70" w:right="50"/>
              <w:jc w:val="center"/>
              <w:rPr>
                <w:sz w:val="24"/>
              </w:rPr>
            </w:pPr>
            <w:r>
              <w:rPr>
                <w:sz w:val="24"/>
              </w:rPr>
              <w:t>17</w:t>
            </w:r>
          </w:p>
        </w:tc>
        <w:tc>
          <w:tcPr>
            <w:tcW w:w="3416" w:type="dxa"/>
            <w:tcBorders>
              <w:top w:val="single" w:color="000000" w:sz="8" w:space="0"/>
              <w:left w:val="single" w:color="000000" w:sz="8" w:space="0"/>
              <w:bottom w:val="single" w:color="000000" w:sz="8" w:space="0"/>
              <w:right w:val="single" w:color="000000" w:sz="8" w:space="0"/>
            </w:tcBorders>
          </w:tcPr>
          <w:p w14:paraId="5F003209">
            <w:pPr>
              <w:pStyle w:val="16"/>
              <w:spacing w:before="4"/>
              <w:ind w:left="16"/>
              <w:jc w:val="center"/>
              <w:rPr>
                <w:sz w:val="24"/>
              </w:rPr>
            </w:pPr>
            <w:r>
              <w:rPr>
                <w:sz w:val="24"/>
              </w:rPr>
              <w:t>交通干线噪声排放限值（L</w:t>
            </w:r>
            <w:r>
              <w:rPr>
                <w:position w:val="-2"/>
                <w:sz w:val="12"/>
              </w:rPr>
              <w:t>Aeq</w:t>
            </w:r>
            <w:r>
              <w:rPr>
                <w:sz w:val="24"/>
              </w:rPr>
              <w:t>）</w:t>
            </w:r>
          </w:p>
        </w:tc>
        <w:tc>
          <w:tcPr>
            <w:tcW w:w="694" w:type="dxa"/>
            <w:tcBorders>
              <w:top w:val="single" w:color="000000" w:sz="8" w:space="0"/>
              <w:left w:val="single" w:color="000000" w:sz="8" w:space="0"/>
              <w:bottom w:val="single" w:color="000000" w:sz="8" w:space="0"/>
              <w:right w:val="single" w:color="000000" w:sz="8" w:space="0"/>
            </w:tcBorders>
          </w:tcPr>
          <w:p w14:paraId="089B51BE">
            <w:pPr>
              <w:pStyle w:val="16"/>
              <w:spacing w:before="4"/>
              <w:ind w:left="10"/>
              <w:rPr>
                <w:sz w:val="24"/>
              </w:rPr>
            </w:pPr>
            <w:r>
              <w:rPr>
                <w:sz w:val="24"/>
              </w:rPr>
              <w:t>dB（A</w:t>
            </w:r>
          </w:p>
        </w:tc>
        <w:tc>
          <w:tcPr>
            <w:tcW w:w="2175" w:type="dxa"/>
            <w:tcBorders>
              <w:top w:val="single" w:color="000000" w:sz="8" w:space="0"/>
              <w:left w:val="single" w:color="000000" w:sz="8" w:space="0"/>
              <w:bottom w:val="single" w:color="000000" w:sz="8" w:space="0"/>
              <w:right w:val="single" w:color="000000" w:sz="8" w:space="0"/>
            </w:tcBorders>
          </w:tcPr>
          <w:p w14:paraId="71B5533C">
            <w:pPr>
              <w:pStyle w:val="16"/>
              <w:tabs>
                <w:tab w:val="left" w:pos="847"/>
              </w:tabs>
              <w:spacing w:before="4"/>
              <w:ind w:left="-130" w:right="825"/>
              <w:jc w:val="right"/>
              <w:rPr>
                <w:sz w:val="24"/>
              </w:rPr>
            </w:pPr>
            <w:r>
              <w:rPr>
                <w:sz w:val="24"/>
              </w:rPr>
              <w:t>）</w:t>
            </w:r>
            <w:r>
              <w:rPr>
                <w:sz w:val="24"/>
              </w:rPr>
              <w:tab/>
            </w:r>
            <w:r>
              <w:rPr>
                <w:spacing w:val="-6"/>
                <w:sz w:val="24"/>
              </w:rPr>
              <w:t>≤70</w:t>
            </w:r>
          </w:p>
        </w:tc>
        <w:tc>
          <w:tcPr>
            <w:tcW w:w="1174" w:type="dxa"/>
            <w:tcBorders>
              <w:top w:val="single" w:color="000000" w:sz="8" w:space="0"/>
              <w:left w:val="single" w:color="000000" w:sz="8" w:space="0"/>
              <w:bottom w:val="single" w:color="000000" w:sz="8" w:space="0"/>
              <w:right w:val="single" w:color="000000" w:sz="8" w:space="0"/>
            </w:tcBorders>
          </w:tcPr>
          <w:p w14:paraId="2C84024F">
            <w:pPr>
              <w:pStyle w:val="16"/>
              <w:spacing w:before="64"/>
              <w:ind w:left="87" w:right="67"/>
              <w:jc w:val="center"/>
              <w:rPr>
                <w:sz w:val="24"/>
              </w:rPr>
            </w:pPr>
            <w:r>
              <w:rPr>
                <w:sz w:val="24"/>
              </w:rPr>
              <w:t>约束性</w:t>
            </w:r>
          </w:p>
        </w:tc>
      </w:tr>
      <w:tr w14:paraId="444DC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trPr>
        <w:tc>
          <w:tcPr>
            <w:tcW w:w="1080" w:type="dxa"/>
            <w:vMerge w:val="continue"/>
            <w:tcBorders>
              <w:top w:val="nil"/>
              <w:left w:val="single" w:color="000000" w:sz="8" w:space="0"/>
              <w:bottom w:val="single" w:color="000000" w:sz="8" w:space="0"/>
              <w:right w:val="single" w:color="000000" w:sz="8" w:space="0"/>
            </w:tcBorders>
          </w:tcPr>
          <w:p w14:paraId="62D3EF3D">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62DCF54F">
            <w:pPr>
              <w:pStyle w:val="16"/>
              <w:spacing w:before="159"/>
              <w:ind w:left="70" w:right="50"/>
              <w:jc w:val="center"/>
              <w:rPr>
                <w:sz w:val="24"/>
              </w:rPr>
            </w:pPr>
            <w:r>
              <w:rPr>
                <w:sz w:val="24"/>
              </w:rPr>
              <w:t>18</w:t>
            </w:r>
          </w:p>
        </w:tc>
        <w:tc>
          <w:tcPr>
            <w:tcW w:w="3416" w:type="dxa"/>
            <w:tcBorders>
              <w:top w:val="single" w:color="000000" w:sz="8" w:space="0"/>
              <w:left w:val="single" w:color="000000" w:sz="8" w:space="0"/>
              <w:bottom w:val="single" w:color="000000" w:sz="8" w:space="0"/>
              <w:right w:val="single" w:color="000000" w:sz="8" w:space="0"/>
            </w:tcBorders>
          </w:tcPr>
          <w:p w14:paraId="2B646CF0">
            <w:pPr>
              <w:pStyle w:val="16"/>
              <w:spacing w:before="159"/>
              <w:ind w:left="16"/>
              <w:jc w:val="center"/>
              <w:rPr>
                <w:sz w:val="24"/>
              </w:rPr>
            </w:pPr>
            <w:r>
              <w:rPr>
                <w:sz w:val="24"/>
              </w:rPr>
              <w:t>区域环境噪声平均值（L</w:t>
            </w:r>
            <w:r>
              <w:rPr>
                <w:position w:val="-2"/>
                <w:sz w:val="12"/>
              </w:rPr>
              <w:t>Aeq</w:t>
            </w:r>
            <w:r>
              <w:rPr>
                <w:sz w:val="24"/>
              </w:rPr>
              <w:t>）</w:t>
            </w:r>
          </w:p>
        </w:tc>
        <w:tc>
          <w:tcPr>
            <w:tcW w:w="694" w:type="dxa"/>
            <w:tcBorders>
              <w:top w:val="single" w:color="000000" w:sz="8" w:space="0"/>
              <w:left w:val="single" w:color="000000" w:sz="8" w:space="0"/>
              <w:bottom w:val="single" w:color="000000" w:sz="8" w:space="0"/>
              <w:right w:val="single" w:color="000000" w:sz="8" w:space="0"/>
            </w:tcBorders>
          </w:tcPr>
          <w:p w14:paraId="49BAAFB2">
            <w:pPr>
              <w:pStyle w:val="16"/>
              <w:spacing w:before="159"/>
              <w:ind w:left="10"/>
              <w:rPr>
                <w:sz w:val="24"/>
              </w:rPr>
            </w:pPr>
            <w:r>
              <w:rPr>
                <w:sz w:val="24"/>
              </w:rPr>
              <w:t>dB（A</w:t>
            </w:r>
          </w:p>
        </w:tc>
        <w:tc>
          <w:tcPr>
            <w:tcW w:w="2175" w:type="dxa"/>
            <w:tcBorders>
              <w:top w:val="single" w:color="000000" w:sz="8" w:space="0"/>
              <w:left w:val="single" w:color="000000" w:sz="8" w:space="0"/>
              <w:bottom w:val="single" w:color="000000" w:sz="8" w:space="0"/>
              <w:right w:val="single" w:color="000000" w:sz="8" w:space="0"/>
            </w:tcBorders>
          </w:tcPr>
          <w:p w14:paraId="228B83C4">
            <w:pPr>
              <w:pStyle w:val="16"/>
              <w:spacing w:before="30" w:line="156" w:lineRule="auto"/>
              <w:ind w:left="-130"/>
              <w:rPr>
                <w:sz w:val="24"/>
              </w:rPr>
            </w:pPr>
            <w:r>
              <w:rPr>
                <w:position w:val="-15"/>
                <w:sz w:val="24"/>
              </w:rPr>
              <w:t>）</w:t>
            </w:r>
            <w:r>
              <w:rPr>
                <w:sz w:val="24"/>
              </w:rPr>
              <w:t>达到各功能区标准</w:t>
            </w:r>
          </w:p>
          <w:p w14:paraId="199518DE">
            <w:pPr>
              <w:pStyle w:val="16"/>
              <w:spacing w:line="229" w:lineRule="exact"/>
              <w:ind w:left="645" w:right="626"/>
              <w:jc w:val="center"/>
              <w:rPr>
                <w:sz w:val="24"/>
              </w:rPr>
            </w:pPr>
            <w:r>
              <w:rPr>
                <w:sz w:val="24"/>
              </w:rPr>
              <w:t>要求</w:t>
            </w:r>
          </w:p>
        </w:tc>
        <w:tc>
          <w:tcPr>
            <w:tcW w:w="1174" w:type="dxa"/>
            <w:tcBorders>
              <w:top w:val="single" w:color="000000" w:sz="8" w:space="0"/>
              <w:left w:val="single" w:color="000000" w:sz="8" w:space="0"/>
              <w:bottom w:val="single" w:color="000000" w:sz="8" w:space="0"/>
              <w:right w:val="single" w:color="000000" w:sz="8" w:space="0"/>
            </w:tcBorders>
          </w:tcPr>
          <w:p w14:paraId="218E1052">
            <w:pPr>
              <w:pStyle w:val="16"/>
              <w:spacing w:before="1"/>
              <w:rPr>
                <w:sz w:val="17"/>
              </w:rPr>
            </w:pPr>
          </w:p>
          <w:p w14:paraId="162622BF">
            <w:pPr>
              <w:pStyle w:val="16"/>
              <w:ind w:left="87" w:right="67"/>
              <w:jc w:val="center"/>
              <w:rPr>
                <w:sz w:val="24"/>
              </w:rPr>
            </w:pPr>
            <w:r>
              <w:rPr>
                <w:sz w:val="24"/>
              </w:rPr>
              <w:t>约束性</w:t>
            </w:r>
          </w:p>
        </w:tc>
      </w:tr>
      <w:tr w14:paraId="17050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080" w:type="dxa"/>
            <w:vMerge w:val="continue"/>
            <w:tcBorders>
              <w:top w:val="nil"/>
              <w:left w:val="single" w:color="000000" w:sz="8" w:space="0"/>
              <w:bottom w:val="single" w:color="000000" w:sz="8" w:space="0"/>
              <w:right w:val="single" w:color="000000" w:sz="8" w:space="0"/>
            </w:tcBorders>
          </w:tcPr>
          <w:p w14:paraId="7AAFF29B">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5E4E3567">
            <w:pPr>
              <w:pStyle w:val="16"/>
              <w:spacing w:before="158"/>
              <w:ind w:left="70" w:right="50"/>
              <w:jc w:val="center"/>
              <w:rPr>
                <w:sz w:val="24"/>
              </w:rPr>
            </w:pPr>
            <w:r>
              <w:rPr>
                <w:sz w:val="24"/>
              </w:rPr>
              <w:t>19</w:t>
            </w:r>
          </w:p>
        </w:tc>
        <w:tc>
          <w:tcPr>
            <w:tcW w:w="3416" w:type="dxa"/>
            <w:tcBorders>
              <w:top w:val="single" w:color="000000" w:sz="8" w:space="0"/>
              <w:left w:val="single" w:color="000000" w:sz="8" w:space="0"/>
              <w:bottom w:val="single" w:color="000000" w:sz="8" w:space="0"/>
              <w:right w:val="single" w:color="000000" w:sz="8" w:space="0"/>
            </w:tcBorders>
          </w:tcPr>
          <w:p w14:paraId="6E624B7A">
            <w:pPr>
              <w:pStyle w:val="16"/>
              <w:spacing w:before="2" w:line="242" w:lineRule="auto"/>
              <w:ind w:left="1587" w:right="6" w:hanging="1560"/>
              <w:rPr>
                <w:sz w:val="24"/>
              </w:rPr>
            </w:pPr>
            <w:r>
              <w:rPr>
                <w:sz w:val="24"/>
              </w:rPr>
              <w:t>规模化畜禽养殖场粪便综合利用率</w:t>
            </w:r>
          </w:p>
        </w:tc>
        <w:tc>
          <w:tcPr>
            <w:tcW w:w="694" w:type="dxa"/>
            <w:tcBorders>
              <w:top w:val="single" w:color="000000" w:sz="8" w:space="0"/>
              <w:left w:val="single" w:color="000000" w:sz="8" w:space="0"/>
              <w:bottom w:val="single" w:color="000000" w:sz="8" w:space="0"/>
              <w:right w:val="single" w:color="000000" w:sz="8" w:space="0"/>
            </w:tcBorders>
          </w:tcPr>
          <w:p w14:paraId="67577F24">
            <w:pPr>
              <w:pStyle w:val="16"/>
              <w:spacing w:before="158"/>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5359435A">
            <w:pPr>
              <w:pStyle w:val="16"/>
              <w:spacing w:before="158"/>
              <w:ind w:left="-130" w:right="825"/>
              <w:jc w:val="right"/>
              <w:rPr>
                <w:sz w:val="24"/>
              </w:rPr>
            </w:pPr>
            <w:r>
              <w:rPr>
                <w:sz w:val="24"/>
              </w:rPr>
              <w:t>≥80</w:t>
            </w:r>
          </w:p>
        </w:tc>
        <w:tc>
          <w:tcPr>
            <w:tcW w:w="1174" w:type="dxa"/>
            <w:tcBorders>
              <w:top w:val="single" w:color="000000" w:sz="8" w:space="0"/>
              <w:left w:val="single" w:color="000000" w:sz="8" w:space="0"/>
              <w:bottom w:val="single" w:color="000000" w:sz="8" w:space="0"/>
              <w:right w:val="single" w:color="000000" w:sz="8" w:space="0"/>
            </w:tcBorders>
          </w:tcPr>
          <w:p w14:paraId="14266C48">
            <w:pPr>
              <w:pStyle w:val="16"/>
              <w:spacing w:before="158"/>
              <w:ind w:left="87" w:right="67"/>
              <w:jc w:val="center"/>
              <w:rPr>
                <w:sz w:val="24"/>
              </w:rPr>
            </w:pPr>
            <w:r>
              <w:rPr>
                <w:sz w:val="24"/>
              </w:rPr>
              <w:t>参考性</w:t>
            </w:r>
          </w:p>
        </w:tc>
      </w:tr>
      <w:tr w14:paraId="54383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bottom w:val="single" w:color="000000" w:sz="8" w:space="0"/>
              <w:right w:val="single" w:color="000000" w:sz="8" w:space="0"/>
            </w:tcBorders>
          </w:tcPr>
          <w:p w14:paraId="5DC1EFFD">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0D70FA73">
            <w:pPr>
              <w:pStyle w:val="16"/>
              <w:spacing w:before="3"/>
              <w:ind w:left="70" w:right="50"/>
              <w:jc w:val="center"/>
              <w:rPr>
                <w:sz w:val="24"/>
              </w:rPr>
            </w:pPr>
            <w:r>
              <w:rPr>
                <w:sz w:val="24"/>
              </w:rPr>
              <w:t>20</w:t>
            </w:r>
          </w:p>
        </w:tc>
        <w:tc>
          <w:tcPr>
            <w:tcW w:w="3416" w:type="dxa"/>
            <w:tcBorders>
              <w:top w:val="single" w:color="000000" w:sz="8" w:space="0"/>
              <w:left w:val="single" w:color="000000" w:sz="8" w:space="0"/>
              <w:bottom w:val="single" w:color="000000" w:sz="8" w:space="0"/>
              <w:right w:val="single" w:color="000000" w:sz="8" w:space="0"/>
            </w:tcBorders>
          </w:tcPr>
          <w:p w14:paraId="34691B20">
            <w:pPr>
              <w:pStyle w:val="16"/>
              <w:spacing w:before="3"/>
              <w:ind w:left="19"/>
              <w:jc w:val="center"/>
              <w:rPr>
                <w:sz w:val="24"/>
              </w:rPr>
            </w:pPr>
            <w:r>
              <w:rPr>
                <w:sz w:val="24"/>
              </w:rPr>
              <w:t>工业废水排放达标率</w:t>
            </w:r>
          </w:p>
        </w:tc>
        <w:tc>
          <w:tcPr>
            <w:tcW w:w="694" w:type="dxa"/>
            <w:tcBorders>
              <w:top w:val="single" w:color="000000" w:sz="8" w:space="0"/>
              <w:left w:val="single" w:color="000000" w:sz="8" w:space="0"/>
              <w:bottom w:val="single" w:color="000000" w:sz="8" w:space="0"/>
              <w:right w:val="single" w:color="000000" w:sz="8" w:space="0"/>
            </w:tcBorders>
          </w:tcPr>
          <w:p w14:paraId="77499705">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202271F6">
            <w:pPr>
              <w:pStyle w:val="16"/>
              <w:spacing w:before="3"/>
              <w:ind w:left="-130" w:right="825"/>
              <w:jc w:val="right"/>
              <w:rPr>
                <w:sz w:val="24"/>
              </w:rPr>
            </w:pPr>
            <w:r>
              <w:rPr>
                <w:sz w:val="24"/>
              </w:rPr>
              <w:t>≥96</w:t>
            </w:r>
          </w:p>
        </w:tc>
        <w:tc>
          <w:tcPr>
            <w:tcW w:w="1174" w:type="dxa"/>
            <w:tcBorders>
              <w:top w:val="single" w:color="000000" w:sz="8" w:space="0"/>
              <w:left w:val="single" w:color="000000" w:sz="8" w:space="0"/>
              <w:bottom w:val="single" w:color="000000" w:sz="8" w:space="0"/>
              <w:right w:val="single" w:color="000000" w:sz="8" w:space="0"/>
            </w:tcBorders>
          </w:tcPr>
          <w:p w14:paraId="0576CD91">
            <w:pPr>
              <w:pStyle w:val="16"/>
              <w:spacing w:before="3"/>
              <w:ind w:left="87" w:right="67"/>
              <w:jc w:val="center"/>
              <w:rPr>
                <w:sz w:val="24"/>
              </w:rPr>
            </w:pPr>
            <w:r>
              <w:rPr>
                <w:sz w:val="24"/>
              </w:rPr>
              <w:t>约束性</w:t>
            </w:r>
          </w:p>
        </w:tc>
      </w:tr>
      <w:tr w14:paraId="6F96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80" w:type="dxa"/>
            <w:vMerge w:val="continue"/>
            <w:tcBorders>
              <w:top w:val="nil"/>
              <w:left w:val="single" w:color="000000" w:sz="8" w:space="0"/>
              <w:bottom w:val="single" w:color="000000" w:sz="8" w:space="0"/>
              <w:right w:val="single" w:color="000000" w:sz="8" w:space="0"/>
            </w:tcBorders>
          </w:tcPr>
          <w:p w14:paraId="77D56C8F">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32B43478">
            <w:pPr>
              <w:pStyle w:val="16"/>
              <w:spacing w:before="3"/>
              <w:ind w:left="70" w:right="50"/>
              <w:jc w:val="center"/>
              <w:rPr>
                <w:sz w:val="24"/>
              </w:rPr>
            </w:pPr>
            <w:r>
              <w:rPr>
                <w:sz w:val="24"/>
              </w:rPr>
              <w:t>21</w:t>
            </w:r>
          </w:p>
        </w:tc>
        <w:tc>
          <w:tcPr>
            <w:tcW w:w="3416" w:type="dxa"/>
            <w:tcBorders>
              <w:top w:val="single" w:color="000000" w:sz="8" w:space="0"/>
              <w:left w:val="single" w:color="000000" w:sz="8" w:space="0"/>
              <w:bottom w:val="single" w:color="000000" w:sz="8" w:space="0"/>
              <w:right w:val="single" w:color="000000" w:sz="8" w:space="0"/>
            </w:tcBorders>
          </w:tcPr>
          <w:p w14:paraId="5AFFEF74">
            <w:pPr>
              <w:pStyle w:val="16"/>
              <w:spacing w:before="3"/>
              <w:ind w:left="19"/>
              <w:jc w:val="center"/>
              <w:rPr>
                <w:sz w:val="24"/>
              </w:rPr>
            </w:pPr>
            <w:r>
              <w:rPr>
                <w:sz w:val="24"/>
              </w:rPr>
              <w:t>机动车尾气排放达标率</w:t>
            </w:r>
          </w:p>
        </w:tc>
        <w:tc>
          <w:tcPr>
            <w:tcW w:w="694" w:type="dxa"/>
            <w:tcBorders>
              <w:top w:val="single" w:color="000000" w:sz="8" w:space="0"/>
              <w:left w:val="single" w:color="000000" w:sz="8" w:space="0"/>
              <w:bottom w:val="single" w:color="000000" w:sz="8" w:space="0"/>
              <w:right w:val="single" w:color="000000" w:sz="8" w:space="0"/>
            </w:tcBorders>
          </w:tcPr>
          <w:p w14:paraId="09E693A6">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34C11E37">
            <w:pPr>
              <w:pStyle w:val="16"/>
              <w:spacing w:before="3"/>
              <w:ind w:left="-130" w:right="825"/>
              <w:jc w:val="right"/>
              <w:rPr>
                <w:sz w:val="24"/>
              </w:rPr>
            </w:pPr>
            <w:r>
              <w:rPr>
                <w:sz w:val="24"/>
              </w:rPr>
              <w:t>≥95</w:t>
            </w:r>
          </w:p>
        </w:tc>
        <w:tc>
          <w:tcPr>
            <w:tcW w:w="1174" w:type="dxa"/>
            <w:tcBorders>
              <w:top w:val="single" w:color="000000" w:sz="8" w:space="0"/>
              <w:left w:val="single" w:color="000000" w:sz="8" w:space="0"/>
              <w:bottom w:val="single" w:color="000000" w:sz="8" w:space="0"/>
              <w:right w:val="single" w:color="000000" w:sz="8" w:space="0"/>
            </w:tcBorders>
          </w:tcPr>
          <w:p w14:paraId="683D3797">
            <w:pPr>
              <w:pStyle w:val="16"/>
              <w:spacing w:before="3"/>
              <w:ind w:left="87" w:right="67"/>
              <w:jc w:val="center"/>
              <w:rPr>
                <w:sz w:val="24"/>
              </w:rPr>
            </w:pPr>
            <w:r>
              <w:rPr>
                <w:sz w:val="24"/>
              </w:rPr>
              <w:t>约束性</w:t>
            </w:r>
          </w:p>
        </w:tc>
      </w:tr>
      <w:tr w14:paraId="737C0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trPr>
        <w:tc>
          <w:tcPr>
            <w:tcW w:w="1080" w:type="dxa"/>
            <w:vMerge w:val="restart"/>
            <w:tcBorders>
              <w:top w:val="single" w:color="000000" w:sz="8" w:space="0"/>
              <w:left w:val="single" w:color="000000" w:sz="8" w:space="0"/>
              <w:right w:val="single" w:color="000000" w:sz="8" w:space="0"/>
            </w:tcBorders>
          </w:tcPr>
          <w:p w14:paraId="6EA401E9">
            <w:pPr>
              <w:pStyle w:val="16"/>
              <w:rPr>
                <w:sz w:val="24"/>
              </w:rPr>
            </w:pPr>
          </w:p>
          <w:p w14:paraId="632C365E">
            <w:pPr>
              <w:pStyle w:val="16"/>
              <w:spacing w:before="2"/>
              <w:rPr>
                <w:sz w:val="29"/>
              </w:rPr>
            </w:pPr>
          </w:p>
          <w:p w14:paraId="78AFDB75">
            <w:pPr>
              <w:pStyle w:val="16"/>
              <w:spacing w:line="242" w:lineRule="auto"/>
              <w:ind w:left="298" w:right="39" w:hanging="240"/>
              <w:rPr>
                <w:sz w:val="24"/>
              </w:rPr>
            </w:pPr>
            <w:r>
              <w:rPr>
                <w:sz w:val="24"/>
              </w:rPr>
              <w:t>环保能力建设</w:t>
            </w:r>
          </w:p>
        </w:tc>
        <w:tc>
          <w:tcPr>
            <w:tcW w:w="660" w:type="dxa"/>
            <w:tcBorders>
              <w:top w:val="single" w:color="000000" w:sz="8" w:space="0"/>
              <w:left w:val="single" w:color="000000" w:sz="8" w:space="0"/>
              <w:bottom w:val="single" w:color="000000" w:sz="8" w:space="0"/>
              <w:right w:val="single" w:color="000000" w:sz="8" w:space="0"/>
            </w:tcBorders>
          </w:tcPr>
          <w:p w14:paraId="34B1F63A">
            <w:pPr>
              <w:pStyle w:val="16"/>
              <w:spacing w:before="158"/>
              <w:ind w:left="70" w:right="50"/>
              <w:jc w:val="center"/>
              <w:rPr>
                <w:sz w:val="24"/>
              </w:rPr>
            </w:pPr>
            <w:r>
              <w:rPr>
                <w:sz w:val="24"/>
              </w:rPr>
              <w:t>22</w:t>
            </w:r>
          </w:p>
        </w:tc>
        <w:tc>
          <w:tcPr>
            <w:tcW w:w="3416" w:type="dxa"/>
            <w:tcBorders>
              <w:top w:val="single" w:color="000000" w:sz="8" w:space="0"/>
              <w:left w:val="single" w:color="000000" w:sz="8" w:space="0"/>
              <w:bottom w:val="single" w:color="000000" w:sz="8" w:space="0"/>
              <w:right w:val="single" w:color="000000" w:sz="8" w:space="0"/>
            </w:tcBorders>
          </w:tcPr>
          <w:p w14:paraId="1D71531D">
            <w:pPr>
              <w:pStyle w:val="16"/>
              <w:spacing w:before="2" w:line="242" w:lineRule="auto"/>
              <w:ind w:left="987" w:right="6" w:hanging="960"/>
              <w:rPr>
                <w:sz w:val="24"/>
              </w:rPr>
            </w:pPr>
            <w:r>
              <w:rPr>
                <w:sz w:val="24"/>
              </w:rPr>
              <w:t>环境监测、监察、应急、宣传及信息能力建设</w:t>
            </w:r>
          </w:p>
        </w:tc>
        <w:tc>
          <w:tcPr>
            <w:tcW w:w="694" w:type="dxa"/>
            <w:tcBorders>
              <w:top w:val="single" w:color="000000" w:sz="8" w:space="0"/>
              <w:left w:val="single" w:color="000000" w:sz="8" w:space="0"/>
              <w:bottom w:val="single" w:color="000000" w:sz="8" w:space="0"/>
              <w:right w:val="single" w:color="000000" w:sz="8" w:space="0"/>
            </w:tcBorders>
          </w:tcPr>
          <w:p w14:paraId="7B640FDA">
            <w:pPr>
              <w:pStyle w:val="16"/>
              <w:rPr>
                <w:rFonts w:ascii="Times New Roman"/>
                <w:sz w:val="22"/>
              </w:rPr>
            </w:pPr>
          </w:p>
        </w:tc>
        <w:tc>
          <w:tcPr>
            <w:tcW w:w="2175" w:type="dxa"/>
            <w:tcBorders>
              <w:top w:val="single" w:color="000000" w:sz="8" w:space="0"/>
              <w:left w:val="single" w:color="000000" w:sz="8" w:space="0"/>
              <w:bottom w:val="single" w:color="000000" w:sz="8" w:space="0"/>
              <w:right w:val="single" w:color="000000" w:sz="8" w:space="0"/>
            </w:tcBorders>
          </w:tcPr>
          <w:p w14:paraId="60FA89F1">
            <w:pPr>
              <w:pStyle w:val="16"/>
              <w:spacing w:before="2" w:line="242" w:lineRule="auto"/>
              <w:ind w:left="487" w:right="105" w:hanging="360"/>
              <w:rPr>
                <w:sz w:val="24"/>
              </w:rPr>
            </w:pPr>
            <w:r>
              <w:rPr>
                <w:sz w:val="24"/>
              </w:rPr>
              <w:t>达到相应区域及级别标准要求</w:t>
            </w:r>
          </w:p>
        </w:tc>
        <w:tc>
          <w:tcPr>
            <w:tcW w:w="1174" w:type="dxa"/>
            <w:tcBorders>
              <w:top w:val="single" w:color="000000" w:sz="8" w:space="0"/>
              <w:left w:val="single" w:color="000000" w:sz="8" w:space="0"/>
              <w:bottom w:val="single" w:color="000000" w:sz="8" w:space="0"/>
              <w:right w:val="single" w:color="000000" w:sz="8" w:space="0"/>
            </w:tcBorders>
          </w:tcPr>
          <w:p w14:paraId="37CB1306">
            <w:pPr>
              <w:pStyle w:val="16"/>
              <w:spacing w:before="158"/>
              <w:ind w:left="87" w:right="67"/>
              <w:jc w:val="center"/>
              <w:rPr>
                <w:sz w:val="24"/>
              </w:rPr>
            </w:pPr>
            <w:r>
              <w:rPr>
                <w:sz w:val="24"/>
              </w:rPr>
              <w:t>预期性</w:t>
            </w:r>
          </w:p>
        </w:tc>
      </w:tr>
      <w:tr w14:paraId="053C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right w:val="single" w:color="000000" w:sz="8" w:space="0"/>
            </w:tcBorders>
          </w:tcPr>
          <w:p w14:paraId="3287EE7C">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11BB8413">
            <w:pPr>
              <w:pStyle w:val="16"/>
              <w:spacing w:before="3"/>
              <w:ind w:left="70" w:right="50"/>
              <w:jc w:val="center"/>
              <w:rPr>
                <w:sz w:val="24"/>
              </w:rPr>
            </w:pPr>
            <w:r>
              <w:rPr>
                <w:sz w:val="24"/>
              </w:rPr>
              <w:t>23</w:t>
            </w:r>
          </w:p>
        </w:tc>
        <w:tc>
          <w:tcPr>
            <w:tcW w:w="3416" w:type="dxa"/>
            <w:tcBorders>
              <w:top w:val="single" w:color="000000" w:sz="8" w:space="0"/>
              <w:left w:val="single" w:color="000000" w:sz="8" w:space="0"/>
              <w:bottom w:val="single" w:color="000000" w:sz="8" w:space="0"/>
              <w:right w:val="single" w:color="000000" w:sz="8" w:space="0"/>
            </w:tcBorders>
          </w:tcPr>
          <w:p w14:paraId="0588FC13">
            <w:pPr>
              <w:pStyle w:val="16"/>
              <w:spacing w:before="3"/>
              <w:ind w:left="19"/>
              <w:jc w:val="center"/>
              <w:rPr>
                <w:sz w:val="24"/>
              </w:rPr>
            </w:pPr>
            <w:r>
              <w:rPr>
                <w:sz w:val="24"/>
              </w:rPr>
              <w:t>重点污染源自动在线控制率</w:t>
            </w:r>
          </w:p>
        </w:tc>
        <w:tc>
          <w:tcPr>
            <w:tcW w:w="694" w:type="dxa"/>
            <w:tcBorders>
              <w:top w:val="single" w:color="000000" w:sz="8" w:space="0"/>
              <w:left w:val="single" w:color="000000" w:sz="8" w:space="0"/>
              <w:bottom w:val="single" w:color="000000" w:sz="8" w:space="0"/>
              <w:right w:val="single" w:color="000000" w:sz="8" w:space="0"/>
            </w:tcBorders>
          </w:tcPr>
          <w:p w14:paraId="0D8249F4">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23B4E365">
            <w:pPr>
              <w:pStyle w:val="16"/>
              <w:spacing w:before="3"/>
              <w:ind w:left="645" w:right="626"/>
              <w:jc w:val="center"/>
              <w:rPr>
                <w:sz w:val="24"/>
              </w:rPr>
            </w:pPr>
            <w:r>
              <w:rPr>
                <w:sz w:val="24"/>
              </w:rPr>
              <w:t>100</w:t>
            </w:r>
          </w:p>
        </w:tc>
        <w:tc>
          <w:tcPr>
            <w:tcW w:w="1174" w:type="dxa"/>
            <w:tcBorders>
              <w:top w:val="single" w:color="000000" w:sz="8" w:space="0"/>
              <w:left w:val="single" w:color="000000" w:sz="8" w:space="0"/>
              <w:bottom w:val="single" w:color="000000" w:sz="8" w:space="0"/>
              <w:right w:val="single" w:color="000000" w:sz="8" w:space="0"/>
            </w:tcBorders>
          </w:tcPr>
          <w:p w14:paraId="38AB6985">
            <w:pPr>
              <w:pStyle w:val="16"/>
              <w:spacing w:before="3"/>
              <w:ind w:left="87" w:right="67"/>
              <w:jc w:val="center"/>
              <w:rPr>
                <w:sz w:val="24"/>
              </w:rPr>
            </w:pPr>
            <w:r>
              <w:rPr>
                <w:sz w:val="24"/>
              </w:rPr>
              <w:t>约束性</w:t>
            </w:r>
          </w:p>
        </w:tc>
      </w:tr>
      <w:tr w14:paraId="571D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1080" w:type="dxa"/>
            <w:vMerge w:val="continue"/>
            <w:tcBorders>
              <w:top w:val="nil"/>
              <w:left w:val="single" w:color="000000" w:sz="8" w:space="0"/>
              <w:right w:val="single" w:color="000000" w:sz="8" w:space="0"/>
            </w:tcBorders>
          </w:tcPr>
          <w:p w14:paraId="4FD76A40">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420E0717">
            <w:pPr>
              <w:pStyle w:val="16"/>
              <w:spacing w:before="3"/>
              <w:ind w:left="70" w:right="50"/>
              <w:jc w:val="center"/>
              <w:rPr>
                <w:sz w:val="24"/>
              </w:rPr>
            </w:pPr>
            <w:r>
              <w:rPr>
                <w:sz w:val="24"/>
              </w:rPr>
              <w:t>24</w:t>
            </w:r>
          </w:p>
        </w:tc>
        <w:tc>
          <w:tcPr>
            <w:tcW w:w="3416" w:type="dxa"/>
            <w:tcBorders>
              <w:top w:val="single" w:color="000000" w:sz="8" w:space="0"/>
              <w:left w:val="single" w:color="000000" w:sz="8" w:space="0"/>
              <w:bottom w:val="single" w:color="000000" w:sz="8" w:space="0"/>
              <w:right w:val="single" w:color="000000" w:sz="8" w:space="0"/>
            </w:tcBorders>
          </w:tcPr>
          <w:p w14:paraId="75E9A183">
            <w:pPr>
              <w:pStyle w:val="16"/>
              <w:spacing w:before="3"/>
              <w:ind w:left="19"/>
              <w:jc w:val="center"/>
              <w:rPr>
                <w:sz w:val="24"/>
              </w:rPr>
            </w:pPr>
            <w:r>
              <w:rPr>
                <w:sz w:val="24"/>
              </w:rPr>
              <w:t>重点污染源排污许可证发放率</w:t>
            </w:r>
          </w:p>
        </w:tc>
        <w:tc>
          <w:tcPr>
            <w:tcW w:w="694" w:type="dxa"/>
            <w:tcBorders>
              <w:top w:val="single" w:color="000000" w:sz="8" w:space="0"/>
              <w:left w:val="single" w:color="000000" w:sz="8" w:space="0"/>
              <w:bottom w:val="single" w:color="000000" w:sz="8" w:space="0"/>
              <w:right w:val="single" w:color="000000" w:sz="8" w:space="0"/>
            </w:tcBorders>
          </w:tcPr>
          <w:p w14:paraId="74C6525D">
            <w:pPr>
              <w:pStyle w:val="16"/>
              <w:spacing w:before="3"/>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3F3C0E7B">
            <w:pPr>
              <w:pStyle w:val="16"/>
              <w:spacing w:before="3"/>
              <w:ind w:left="645" w:right="626"/>
              <w:jc w:val="center"/>
              <w:rPr>
                <w:sz w:val="24"/>
              </w:rPr>
            </w:pPr>
            <w:r>
              <w:rPr>
                <w:sz w:val="24"/>
              </w:rPr>
              <w:t>100</w:t>
            </w:r>
          </w:p>
        </w:tc>
        <w:tc>
          <w:tcPr>
            <w:tcW w:w="1174" w:type="dxa"/>
            <w:tcBorders>
              <w:top w:val="single" w:color="000000" w:sz="8" w:space="0"/>
              <w:left w:val="single" w:color="000000" w:sz="8" w:space="0"/>
              <w:bottom w:val="single" w:color="000000" w:sz="8" w:space="0"/>
              <w:right w:val="single" w:color="000000" w:sz="8" w:space="0"/>
            </w:tcBorders>
          </w:tcPr>
          <w:p w14:paraId="204BB80E">
            <w:pPr>
              <w:pStyle w:val="16"/>
              <w:spacing w:before="3"/>
              <w:ind w:left="87" w:right="67"/>
              <w:jc w:val="center"/>
              <w:rPr>
                <w:sz w:val="24"/>
              </w:rPr>
            </w:pPr>
            <w:r>
              <w:rPr>
                <w:sz w:val="24"/>
              </w:rPr>
              <w:t>约束性</w:t>
            </w:r>
          </w:p>
        </w:tc>
      </w:tr>
      <w:tr w14:paraId="3CF7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80" w:type="dxa"/>
            <w:vMerge w:val="continue"/>
            <w:tcBorders>
              <w:top w:val="nil"/>
              <w:left w:val="single" w:color="000000" w:sz="8" w:space="0"/>
              <w:right w:val="single" w:color="000000" w:sz="8" w:space="0"/>
            </w:tcBorders>
          </w:tcPr>
          <w:p w14:paraId="3ED6FB24">
            <w:pPr>
              <w:rPr>
                <w:sz w:val="2"/>
                <w:szCs w:val="2"/>
              </w:rPr>
            </w:pPr>
          </w:p>
        </w:tc>
        <w:tc>
          <w:tcPr>
            <w:tcW w:w="660" w:type="dxa"/>
            <w:tcBorders>
              <w:top w:val="single" w:color="000000" w:sz="8" w:space="0"/>
              <w:left w:val="single" w:color="000000" w:sz="8" w:space="0"/>
              <w:bottom w:val="single" w:color="000000" w:sz="8" w:space="0"/>
              <w:right w:val="single" w:color="000000" w:sz="8" w:space="0"/>
            </w:tcBorders>
          </w:tcPr>
          <w:p w14:paraId="255A41F1">
            <w:pPr>
              <w:pStyle w:val="16"/>
              <w:spacing w:before="2"/>
              <w:ind w:left="70" w:right="50"/>
              <w:jc w:val="center"/>
              <w:rPr>
                <w:sz w:val="24"/>
              </w:rPr>
            </w:pPr>
            <w:r>
              <w:rPr>
                <w:sz w:val="24"/>
              </w:rPr>
              <w:t>25</w:t>
            </w:r>
          </w:p>
        </w:tc>
        <w:tc>
          <w:tcPr>
            <w:tcW w:w="3416" w:type="dxa"/>
            <w:tcBorders>
              <w:top w:val="single" w:color="000000" w:sz="8" w:space="0"/>
              <w:left w:val="single" w:color="000000" w:sz="8" w:space="0"/>
              <w:bottom w:val="single" w:color="000000" w:sz="8" w:space="0"/>
              <w:right w:val="single" w:color="000000" w:sz="8" w:space="0"/>
            </w:tcBorders>
          </w:tcPr>
          <w:p w14:paraId="0B3CF343">
            <w:pPr>
              <w:pStyle w:val="16"/>
              <w:spacing w:before="2"/>
              <w:ind w:left="19"/>
              <w:jc w:val="center"/>
              <w:rPr>
                <w:sz w:val="24"/>
              </w:rPr>
            </w:pPr>
            <w:r>
              <w:rPr>
                <w:sz w:val="24"/>
              </w:rPr>
              <w:t>辐射工作单位安全许可证发放率</w:t>
            </w:r>
          </w:p>
        </w:tc>
        <w:tc>
          <w:tcPr>
            <w:tcW w:w="694" w:type="dxa"/>
            <w:tcBorders>
              <w:top w:val="single" w:color="000000" w:sz="8" w:space="0"/>
              <w:left w:val="single" w:color="000000" w:sz="8" w:space="0"/>
              <w:bottom w:val="single" w:color="000000" w:sz="8" w:space="0"/>
              <w:right w:val="single" w:color="000000" w:sz="8" w:space="0"/>
            </w:tcBorders>
          </w:tcPr>
          <w:p w14:paraId="2629BE66">
            <w:pPr>
              <w:pStyle w:val="16"/>
              <w:spacing w:before="2"/>
              <w:ind w:left="18"/>
              <w:jc w:val="center"/>
              <w:rPr>
                <w:sz w:val="24"/>
              </w:rPr>
            </w:pPr>
            <w:r>
              <w:rPr>
                <w:sz w:val="24"/>
              </w:rPr>
              <w:t>%</w:t>
            </w:r>
          </w:p>
        </w:tc>
        <w:tc>
          <w:tcPr>
            <w:tcW w:w="2175" w:type="dxa"/>
            <w:tcBorders>
              <w:top w:val="single" w:color="000000" w:sz="8" w:space="0"/>
              <w:left w:val="single" w:color="000000" w:sz="8" w:space="0"/>
              <w:bottom w:val="single" w:color="000000" w:sz="8" w:space="0"/>
              <w:right w:val="single" w:color="000000" w:sz="8" w:space="0"/>
            </w:tcBorders>
          </w:tcPr>
          <w:p w14:paraId="60394217">
            <w:pPr>
              <w:pStyle w:val="16"/>
              <w:spacing w:before="2"/>
              <w:ind w:left="645" w:right="626"/>
              <w:jc w:val="center"/>
              <w:rPr>
                <w:sz w:val="24"/>
              </w:rPr>
            </w:pPr>
            <w:r>
              <w:rPr>
                <w:sz w:val="24"/>
              </w:rPr>
              <w:t>100</w:t>
            </w:r>
          </w:p>
        </w:tc>
        <w:tc>
          <w:tcPr>
            <w:tcW w:w="1174" w:type="dxa"/>
            <w:tcBorders>
              <w:top w:val="single" w:color="000000" w:sz="8" w:space="0"/>
              <w:left w:val="single" w:color="000000" w:sz="8" w:space="0"/>
              <w:bottom w:val="single" w:color="000000" w:sz="8" w:space="0"/>
              <w:right w:val="single" w:color="000000" w:sz="8" w:space="0"/>
            </w:tcBorders>
          </w:tcPr>
          <w:p w14:paraId="15252CEB">
            <w:pPr>
              <w:pStyle w:val="16"/>
              <w:spacing w:before="2"/>
              <w:ind w:left="87" w:right="67"/>
              <w:jc w:val="center"/>
              <w:rPr>
                <w:sz w:val="24"/>
              </w:rPr>
            </w:pPr>
            <w:r>
              <w:rPr>
                <w:sz w:val="24"/>
              </w:rPr>
              <w:t>约束性</w:t>
            </w:r>
          </w:p>
        </w:tc>
      </w:tr>
    </w:tbl>
    <w:p w14:paraId="5C5B3F28">
      <w:pPr>
        <w:spacing w:after="0"/>
        <w:jc w:val="center"/>
        <w:rPr>
          <w:sz w:val="24"/>
        </w:rPr>
        <w:sectPr>
          <w:pgSz w:w="11910" w:h="16840"/>
          <w:pgMar w:top="1420" w:right="1080" w:bottom="1360" w:left="1080" w:header="878" w:footer="1164" w:gutter="0"/>
          <w:pgNumType w:fmt="decimal"/>
          <w:cols w:space="720" w:num="1"/>
        </w:sectPr>
      </w:pPr>
    </w:p>
    <w:p w14:paraId="76DFB2A0">
      <w:pPr>
        <w:pStyle w:val="3"/>
        <w:ind w:left="2788" w:right="0"/>
        <w:jc w:val="both"/>
      </w:pPr>
      <w:bookmarkStart w:id="38" w:name="第三章  环境保护具体规划"/>
      <w:bookmarkEnd w:id="38"/>
      <w:bookmarkStart w:id="39" w:name="_bookmark20"/>
      <w:bookmarkEnd w:id="39"/>
      <w:r>
        <w:t>第三章 环境保护具体规划</w:t>
      </w:r>
    </w:p>
    <w:p w14:paraId="652743D7">
      <w:pPr>
        <w:pStyle w:val="6"/>
        <w:spacing w:before="239" w:line="417" w:lineRule="auto"/>
        <w:ind w:left="720" w:right="719" w:firstLine="559"/>
        <w:jc w:val="both"/>
      </w:pPr>
      <w:r>
        <w:rPr>
          <w:spacing w:val="-7"/>
        </w:rPr>
        <w:t>濉溪县继续坚持以生态文明建设和环境保护战略为统领，牢固树</w:t>
      </w:r>
      <w:r>
        <w:rPr>
          <w:spacing w:val="-9"/>
        </w:rPr>
        <w:t>立绿水青山就是金山银山的发展理念，把绿色发展理念始终贯穿全县</w:t>
      </w:r>
      <w:r>
        <w:rPr>
          <w:spacing w:val="-11"/>
        </w:rPr>
        <w:t>经济社会发展的全过程，进一步加严高污染、高能耗产业的能耗与排</w:t>
      </w:r>
      <w:r>
        <w:rPr>
          <w:spacing w:val="-12"/>
        </w:rPr>
        <w:t>放标准，加大落后产能、工艺和设备的淘汰力度；依据资源承载力和</w:t>
      </w:r>
      <w:r>
        <w:rPr>
          <w:spacing w:val="-10"/>
        </w:rPr>
        <w:t>环境容量，推动产业结构调整，加强产业和企业科学布局谋划，防止</w:t>
      </w:r>
      <w:r>
        <w:rPr>
          <w:spacing w:val="-11"/>
        </w:rPr>
        <w:t>污染产业的梯度转移；加强“散乱污”企业及集群综合整治；加强企业绿色化升级改造，发展节能环保产业；加强大气、水、土壤污染治理工作，增加城镇绿化面积，改善人居环境，努力把濉溪县变成天更</w:t>
      </w:r>
      <w:r>
        <w:rPr>
          <w:spacing w:val="-5"/>
        </w:rPr>
        <w:t>蓝，水更清，地更绿，街道更干净的美好县城。</w:t>
      </w:r>
    </w:p>
    <w:p w14:paraId="15E8CCD2">
      <w:pPr>
        <w:pStyle w:val="4"/>
        <w:spacing w:before="245"/>
        <w:ind w:left="3208"/>
        <w:jc w:val="both"/>
      </w:pPr>
      <w:bookmarkStart w:id="40" w:name="_bookmark21"/>
      <w:bookmarkEnd w:id="40"/>
      <w:bookmarkStart w:id="41" w:name="第1节  水环境保护规划"/>
      <w:bookmarkEnd w:id="41"/>
      <w:r>
        <w:t xml:space="preserve">第 </w:t>
      </w:r>
      <w:r>
        <w:rPr>
          <w:rFonts w:ascii="Arial" w:eastAsia="Arial"/>
        </w:rPr>
        <w:t xml:space="preserve">1 </w:t>
      </w:r>
      <w:r>
        <w:t>节 水环境保护规划</w:t>
      </w:r>
    </w:p>
    <w:p w14:paraId="7510EBC1">
      <w:pPr>
        <w:pStyle w:val="6"/>
        <w:spacing w:before="12"/>
        <w:rPr>
          <w:b/>
          <w:sz w:val="39"/>
        </w:rPr>
      </w:pPr>
    </w:p>
    <w:p w14:paraId="23405294">
      <w:pPr>
        <w:pStyle w:val="5"/>
      </w:pPr>
      <w:bookmarkStart w:id="42" w:name="_bookmark22"/>
      <w:bookmarkEnd w:id="42"/>
      <w:bookmarkStart w:id="43" w:name="1、水环境保护规划目标"/>
      <w:bookmarkEnd w:id="43"/>
      <w:r>
        <w:rPr>
          <w:rFonts w:ascii="Calibri" w:eastAsia="Calibri"/>
        </w:rPr>
        <w:t>1</w:t>
      </w:r>
      <w:r>
        <w:t>、水环境保护规划目标</w:t>
      </w:r>
    </w:p>
    <w:p w14:paraId="44C8F7AA">
      <w:pPr>
        <w:pStyle w:val="6"/>
        <w:spacing w:before="1"/>
        <w:rPr>
          <w:b/>
          <w:sz w:val="41"/>
        </w:rPr>
      </w:pPr>
    </w:p>
    <w:p w14:paraId="50C1AFAD">
      <w:pPr>
        <w:pStyle w:val="6"/>
        <w:spacing w:line="417" w:lineRule="auto"/>
        <w:ind w:left="904" w:right="887" w:firstLine="561"/>
      </w:pPr>
      <w:r>
        <w:rPr>
          <w:spacing w:val="-34"/>
        </w:rPr>
        <w:t xml:space="preserve">到 </w:t>
      </w:r>
      <w:r>
        <w:t>2025</w:t>
      </w:r>
      <w:r>
        <w:rPr>
          <w:spacing w:val="-12"/>
        </w:rPr>
        <w:t xml:space="preserve"> 年濉溪县受污染水体得到有效控制，地表水环境治理</w:t>
      </w:r>
      <w:r>
        <w:rPr>
          <w:spacing w:val="-5"/>
        </w:rPr>
        <w:t>再上一个新台阶，消除全县境内劣Ⅴ类水体，现阶段劣Ⅴ类水体</w:t>
      </w:r>
      <w:r>
        <w:rPr>
          <w:spacing w:val="-3"/>
        </w:rPr>
        <w:t>仅剩萧濉新河黄桥闸断面时有检出，进一步提高Ⅳ类水体占比， 孟河、巴河地表水水质再上一个新台阶，保持澥河、沱河、浍河</w:t>
      </w:r>
    </w:p>
    <w:p w14:paraId="50AF5D6D">
      <w:pPr>
        <w:pStyle w:val="6"/>
        <w:spacing w:line="417" w:lineRule="auto"/>
        <w:ind w:left="904" w:right="995"/>
        <w:jc w:val="both"/>
      </w:pPr>
      <w:r>
        <w:t>、王引河的水质现状，确保在“十四五”期间，濉溪县境内地表水出境水质普遍优于入境水质；加强对城西沟浍河路立交桥至乾南路段、黄桥沟符夹线至黄桥闸段黑臭水体治理，确保到“十四五”末期，要基本消除全县境内黑臭水体。</w:t>
      </w:r>
    </w:p>
    <w:p w14:paraId="49866DBB">
      <w:pPr>
        <w:spacing w:after="0" w:line="417" w:lineRule="auto"/>
        <w:jc w:val="both"/>
        <w:sectPr>
          <w:pgSz w:w="11910" w:h="16840"/>
          <w:pgMar w:top="1420" w:right="1080" w:bottom="1360" w:left="1080" w:header="878" w:footer="1164" w:gutter="0"/>
          <w:pgNumType w:fmt="decimal"/>
          <w:cols w:space="720" w:num="1"/>
        </w:sectPr>
      </w:pPr>
    </w:p>
    <w:p w14:paraId="3C59BF83">
      <w:pPr>
        <w:pStyle w:val="6"/>
        <w:spacing w:before="143" w:line="417" w:lineRule="auto"/>
        <w:ind w:left="720" w:right="719" w:firstLine="559"/>
        <w:jc w:val="both"/>
      </w:pPr>
      <w:r>
        <w:rPr>
          <w:spacing w:val="-10"/>
        </w:rPr>
        <w:t>合理开采利用地下水，严防地下水水质受到污染；加强饮用水水</w:t>
      </w:r>
      <w:r>
        <w:rPr>
          <w:spacing w:val="-11"/>
        </w:rPr>
        <w:t>源保护工作，切实保障人民群众生产生活用水，保证</w:t>
      </w:r>
      <w:r>
        <w:rPr>
          <w:color w:val="333333"/>
          <w:spacing w:val="-3"/>
        </w:rPr>
        <w:t>集中式饮用水</w:t>
      </w:r>
      <w:r>
        <w:t>水</w:t>
      </w:r>
      <w:r>
        <w:rPr>
          <w:spacing w:val="-20"/>
        </w:rPr>
        <w:t xml:space="preserve">质稳在 </w:t>
      </w:r>
      <w:r>
        <w:t>100%。</w:t>
      </w:r>
    </w:p>
    <w:p w14:paraId="3D5D059F">
      <w:pPr>
        <w:pStyle w:val="6"/>
        <w:spacing w:line="417" w:lineRule="auto"/>
        <w:ind w:left="720" w:right="719" w:firstLine="559"/>
        <w:jc w:val="both"/>
      </w:pPr>
      <w:r>
        <w:rPr>
          <w:spacing w:val="-11"/>
        </w:rPr>
        <w:t xml:space="preserve">延伸生活污水管网，做到城镇区域生活污水应收尽收，确保县城生活污水集中处理率达到 </w:t>
      </w:r>
      <w:r>
        <w:t>95%</w:t>
      </w:r>
      <w:r>
        <w:rPr>
          <w:spacing w:val="-6"/>
        </w:rPr>
        <w:t>以上，乡镇生活污水集中处理效率达到90%</w:t>
      </w:r>
      <w:r>
        <w:rPr>
          <w:spacing w:val="-3"/>
        </w:rPr>
        <w:t>以上；提高工业废水的收集处理效率，确保工业废水排放达标率</w:t>
      </w:r>
      <w:r>
        <w:rPr>
          <w:spacing w:val="-27"/>
        </w:rPr>
        <w:t xml:space="preserve">达到 </w:t>
      </w:r>
      <w:r>
        <w:t>96%</w:t>
      </w:r>
      <w:r>
        <w:rPr>
          <w:spacing w:val="-2"/>
        </w:rPr>
        <w:t>以上。</w:t>
      </w:r>
    </w:p>
    <w:p w14:paraId="0DBEFCE8">
      <w:pPr>
        <w:pStyle w:val="6"/>
        <w:spacing w:before="2"/>
        <w:rPr>
          <w:sz w:val="20"/>
        </w:rPr>
      </w:pPr>
    </w:p>
    <w:p w14:paraId="43A7F065">
      <w:pPr>
        <w:pStyle w:val="5"/>
      </w:pPr>
      <w:bookmarkStart w:id="44" w:name="2、水环境质量保护主要任务及措施"/>
      <w:bookmarkEnd w:id="44"/>
      <w:bookmarkStart w:id="45" w:name="_bookmark23"/>
      <w:bookmarkEnd w:id="45"/>
      <w:r>
        <w:rPr>
          <w:rFonts w:ascii="Calibri" w:eastAsia="Calibri"/>
        </w:rPr>
        <w:t>2</w:t>
      </w:r>
      <w:r>
        <w:t>、水环境质量保护主要任务及措施</w:t>
      </w:r>
    </w:p>
    <w:p w14:paraId="7888F5FB">
      <w:pPr>
        <w:pStyle w:val="6"/>
        <w:spacing w:before="12"/>
        <w:rPr>
          <w:b/>
          <w:sz w:val="40"/>
        </w:rPr>
      </w:pPr>
    </w:p>
    <w:p w14:paraId="3C043060">
      <w:pPr>
        <w:pStyle w:val="6"/>
        <w:ind w:left="1279"/>
      </w:pPr>
      <w:r>
        <w:t>依据《水污染防治行动计划》、《濉溪县水污染防治工作方案》、</w:t>
      </w:r>
    </w:p>
    <w:p w14:paraId="2EC66515">
      <w:pPr>
        <w:pStyle w:val="6"/>
        <w:spacing w:before="9"/>
        <w:rPr>
          <w:sz w:val="20"/>
        </w:rPr>
      </w:pPr>
    </w:p>
    <w:p w14:paraId="17FD42A6">
      <w:pPr>
        <w:pStyle w:val="6"/>
        <w:spacing w:line="417" w:lineRule="auto"/>
        <w:ind w:left="720" w:right="719"/>
      </w:pPr>
      <w:r>
        <w:rPr>
          <w:spacing w:val="-10"/>
        </w:rPr>
        <w:t>《濉溪县黑臭水体整治实施方案》，编制实施濉溪县重点水域污染防</w:t>
      </w:r>
      <w:r>
        <w:rPr>
          <w:spacing w:val="-5"/>
        </w:rPr>
        <w:t>治规划</w:t>
      </w:r>
      <w:r>
        <w:t>（2021-2025）。</w:t>
      </w:r>
    </w:p>
    <w:p w14:paraId="6F2E70BB">
      <w:pPr>
        <w:pStyle w:val="6"/>
        <w:spacing w:before="119" w:line="417" w:lineRule="auto"/>
        <w:ind w:left="720" w:right="580" w:firstLine="559"/>
      </w:pPr>
      <w:r>
        <w:rPr>
          <w:b/>
        </w:rPr>
        <w:t>加强地表水保护及治理。</w:t>
      </w:r>
      <w:r>
        <w:rPr>
          <w:spacing w:val="-3"/>
        </w:rPr>
        <w:t xml:space="preserve">对澥河李大桥断面水质水体给与保护， </w:t>
      </w:r>
      <w:r>
        <w:rPr>
          <w:spacing w:val="-9"/>
        </w:rPr>
        <w:t>确保良好水体水质不降低，对萧濉新河黄桥闸断面加大整治力度，以</w:t>
      </w:r>
      <w:r>
        <w:rPr>
          <w:spacing w:val="-10"/>
        </w:rPr>
        <w:t>水质改善为核心目标，着重削减排放总量，增加生态流量，不断健全</w:t>
      </w:r>
      <w:r>
        <w:rPr>
          <w:spacing w:val="-17"/>
        </w:rPr>
        <w:t>全县地表水生态保护长效机制。南部次新城建成以后，会加大对浍河、</w:t>
      </w:r>
      <w:r>
        <w:rPr>
          <w:spacing w:val="-12"/>
        </w:rPr>
        <w:t>澥河的污染，加强对排入浍河、澥河污水的监管力度，对浍河、澥河</w:t>
      </w:r>
      <w:r>
        <w:rPr>
          <w:spacing w:val="-19"/>
        </w:rPr>
        <w:t xml:space="preserve">进行清污，提高其污染物容纳力，开展生态修复工程，保证“十四五” </w:t>
      </w:r>
      <w:r>
        <w:rPr>
          <w:spacing w:val="-5"/>
        </w:rPr>
        <w:t>期间浍河、澥河水质状况不降低；</w:t>
      </w:r>
      <w:r>
        <w:t>2021</w:t>
      </w:r>
      <w:r>
        <w:rPr>
          <w:spacing w:val="-10"/>
        </w:rPr>
        <w:t xml:space="preserve"> 年开始，开展王引河水环境</w:t>
      </w:r>
      <w:r>
        <w:rPr>
          <w:spacing w:val="-8"/>
        </w:rPr>
        <w:t xml:space="preserve">综合治理项目，新建顶管施工污水管网 </w:t>
      </w:r>
      <w:r>
        <w:t>14</w:t>
      </w:r>
      <w:r>
        <w:rPr>
          <w:spacing w:val="-18"/>
        </w:rPr>
        <w:t xml:space="preserve"> 公里，提升泵站 </w:t>
      </w:r>
      <w:r>
        <w:t>4</w:t>
      </w:r>
      <w:r>
        <w:rPr>
          <w:spacing w:val="-18"/>
        </w:rPr>
        <w:t xml:space="preserve"> 座，引</w:t>
      </w:r>
      <w:r>
        <w:rPr>
          <w:spacing w:val="-10"/>
        </w:rPr>
        <w:t xml:space="preserve">王引河水进中心沟，中水回用管网 </w:t>
      </w:r>
      <w:r>
        <w:t>10</w:t>
      </w:r>
      <w:r>
        <w:rPr>
          <w:spacing w:val="-18"/>
        </w:rPr>
        <w:t xml:space="preserve"> 公里，实施对浍河 </w:t>
      </w:r>
      <w:r>
        <w:t>12km</w:t>
      </w:r>
      <w:r>
        <w:rPr>
          <w:spacing w:val="-4"/>
        </w:rPr>
        <w:t>、大沟73km</w:t>
      </w:r>
      <w:r>
        <w:rPr>
          <w:spacing w:val="-10"/>
        </w:rPr>
        <w:t xml:space="preserve"> 生态河沟治理，开展浍河蓝带的治理修工程，对积於不畅的河</w:t>
      </w:r>
    </w:p>
    <w:p w14:paraId="0F4A06B8">
      <w:pPr>
        <w:spacing w:after="0" w:line="417" w:lineRule="auto"/>
        <w:sectPr>
          <w:pgSz w:w="11910" w:h="16840"/>
          <w:pgMar w:top="1420" w:right="1080" w:bottom="1360" w:left="1080" w:header="878" w:footer="1164" w:gutter="0"/>
          <w:pgNumType w:fmt="decimal"/>
          <w:cols w:space="720" w:num="1"/>
        </w:sectPr>
      </w:pPr>
    </w:p>
    <w:p w14:paraId="3127FAEF">
      <w:pPr>
        <w:pStyle w:val="6"/>
        <w:spacing w:before="143" w:line="417" w:lineRule="auto"/>
        <w:ind w:left="720" w:right="719"/>
      </w:pPr>
      <w:r>
        <w:rPr>
          <w:spacing w:val="-10"/>
        </w:rPr>
        <w:t>段进行清淤疏浚，使水系流畅，对浍河河道进行护坡检修，保障浍河面面宽度及安全，合理的选择绿化植物对护坡及河岸进行覆盖，减少</w:t>
      </w:r>
      <w:r>
        <w:rPr>
          <w:spacing w:val="-4"/>
        </w:rPr>
        <w:t>水土流失，同时美化环境，净化水域。</w:t>
      </w:r>
      <w:r>
        <w:t>2021</w:t>
      </w:r>
      <w:r>
        <w:rPr>
          <w:spacing w:val="-10"/>
        </w:rPr>
        <w:t xml:space="preserve"> 年开始，实施对全县采</w:t>
      </w:r>
      <w:r>
        <w:rPr>
          <w:spacing w:val="-11"/>
        </w:rPr>
        <w:t>煤沉陷区综合整治，开展采煤沉陷区综合治理水产养殖、采煤沉陷区</w:t>
      </w:r>
      <w:r>
        <w:rPr>
          <w:spacing w:val="-5"/>
        </w:rPr>
        <w:t>水域治理等。“十四五”期间，把地表水河道清污作为重点，</w:t>
      </w:r>
      <w:r>
        <w:t xml:space="preserve">2022 </w:t>
      </w:r>
      <w:r>
        <w:rPr>
          <w:spacing w:val="-11"/>
        </w:rPr>
        <w:t>年开始，实施对丁沟河、任李沟、直河、小漕沟、王郢沟等境内河道</w:t>
      </w:r>
      <w:r>
        <w:rPr>
          <w:spacing w:val="-4"/>
        </w:rPr>
        <w:t>进行清淤。</w:t>
      </w:r>
    </w:p>
    <w:p w14:paraId="5E1C3B39">
      <w:pPr>
        <w:pStyle w:val="6"/>
        <w:spacing w:before="155" w:line="417" w:lineRule="auto"/>
        <w:ind w:left="720" w:right="602" w:firstLine="559"/>
        <w:rPr>
          <w:spacing w:val="-3"/>
        </w:rPr>
      </w:pPr>
      <w:r>
        <w:rPr>
          <w:b/>
          <w:spacing w:val="-1"/>
        </w:rPr>
        <w:t>完善濉溪县全域范围内生活污水处理系统。</w:t>
      </w:r>
      <w:r>
        <w:rPr>
          <w:spacing w:val="-3"/>
        </w:rPr>
        <w:t>建立新型的适应城、镇、村发展的污水处理系统,筛选技术先进、经济适用的污水处理设</w:t>
      </w:r>
      <w:r>
        <w:rPr>
          <w:spacing w:val="-18"/>
        </w:rPr>
        <w:t xml:space="preserve">备，建立一套适宜濉溪县城、镇、村实际的科学减排指标和监测体系, </w:t>
      </w:r>
      <w:r>
        <w:rPr>
          <w:spacing w:val="-6"/>
        </w:rPr>
        <w:t>加大城镇污水收集处理工作，2021</w:t>
      </w:r>
      <w:r>
        <w:rPr>
          <w:spacing w:val="-10"/>
        </w:rPr>
        <w:t>年开始实施刘桥、四铺、韩村、铁</w:t>
      </w:r>
      <w:r>
        <w:rPr>
          <w:spacing w:val="-12"/>
        </w:rPr>
        <w:t>佛、南坪、孙疃、五沟、临涣等乡镇污水处理及管网建设项目，新建</w:t>
      </w:r>
      <w:r>
        <w:rPr>
          <w:spacing w:val="-5"/>
        </w:rPr>
        <w:t>韩村镇祁集街区新增日处理污水</w:t>
      </w:r>
      <w:r>
        <w:t>400</w:t>
      </w:r>
      <w:r>
        <w:rPr>
          <w:spacing w:val="-3"/>
        </w:rPr>
        <w:t>立方米污水处理站；新增濉溪县污水处理设施建设及配套管网工程，争取做到城镇生活污水应收尽 收，建立南部次中心污水处理厂，收集处理新城区污水。“十四五” 末期，县城生活污水集中处置率达到95%以上。</w:t>
      </w:r>
    </w:p>
    <w:p w14:paraId="702F39B2">
      <w:pPr>
        <w:pStyle w:val="6"/>
        <w:spacing w:before="155" w:line="417" w:lineRule="auto"/>
        <w:ind w:left="720" w:right="602" w:firstLine="559"/>
        <w:rPr>
          <w:spacing w:val="-3"/>
        </w:rPr>
      </w:pPr>
      <w:r>
        <w:rPr>
          <w:b/>
          <w:spacing w:val="-1"/>
        </w:rPr>
        <w:t>提高工业区污水处理能力，推行循环工艺</w:t>
      </w:r>
      <w:r>
        <w:rPr>
          <w:spacing w:val="-3"/>
        </w:rPr>
        <w:t>。全县推行清洁生产工艺，加大对老旧重污染企业改造力度，提倡中水回用，提高废水回收利用率，降低污染物的排放率；紧抓污水应收尽收关键环节，积极实施污水处理厂扩建提标工程，从源头上做到对县城的污水应收尽收， 把全县污水全部纳入污水处理厂处理。“十四五”期间，开展</w:t>
      </w:r>
      <w:r>
        <w:rPr>
          <w:rFonts w:hint="eastAsia"/>
          <w:spacing w:val="-3"/>
          <w:lang w:val="en-US" w:eastAsia="zh-CN"/>
        </w:rPr>
        <w:t>濉溪第二污水处理厂扩建及提标改造项目，主要分成两部分，提标改造6万m³/d及扩建4万m³/d（含化工废水预处理1.5万m³/d，土建按1.5万m³/d规模实施，设备按0.75万m³/d·期，分期安装）。规划工期为2022年至2023年。</w:t>
      </w:r>
    </w:p>
    <w:p w14:paraId="41B5B7BB">
      <w:pPr>
        <w:spacing w:before="0" w:line="417" w:lineRule="auto"/>
        <w:ind w:left="720" w:right="719" w:firstLine="559"/>
        <w:jc w:val="both"/>
        <w:rPr>
          <w:sz w:val="28"/>
        </w:rPr>
      </w:pPr>
      <w:r>
        <w:rPr>
          <w:b/>
          <w:spacing w:val="-9"/>
          <w:sz w:val="28"/>
        </w:rPr>
        <w:t>继续开展雨污分流设计、施工，扩大雨污分流的覆盖面。</w:t>
      </w:r>
      <w:r>
        <w:rPr>
          <w:spacing w:val="-2"/>
          <w:sz w:val="28"/>
        </w:rPr>
        <w:t>在城区</w:t>
      </w:r>
      <w:r>
        <w:rPr>
          <w:spacing w:val="-3"/>
          <w:sz w:val="28"/>
        </w:rPr>
        <w:t>继续实施雨污分流工程，2021</w:t>
      </w:r>
      <w:r>
        <w:rPr>
          <w:spacing w:val="-34"/>
          <w:sz w:val="28"/>
        </w:rPr>
        <w:t xml:space="preserve"> 年至 </w:t>
      </w:r>
      <w:r>
        <w:rPr>
          <w:sz w:val="28"/>
        </w:rPr>
        <w:t>2023</w:t>
      </w:r>
      <w:r>
        <w:rPr>
          <w:spacing w:val="-11"/>
          <w:sz w:val="28"/>
        </w:rPr>
        <w:t xml:space="preserve"> 年，实施对韩村镇区、孙疃</w:t>
      </w:r>
      <w:r>
        <w:rPr>
          <w:spacing w:val="-8"/>
          <w:sz w:val="28"/>
        </w:rPr>
        <w:t xml:space="preserve">街街区等乡镇地区实施雨污分流，铺设雨水管网 </w:t>
      </w:r>
      <w:r>
        <w:rPr>
          <w:sz w:val="28"/>
        </w:rPr>
        <w:t>6</w:t>
      </w:r>
      <w:r>
        <w:rPr>
          <w:spacing w:val="-19"/>
          <w:sz w:val="28"/>
        </w:rPr>
        <w:t xml:space="preserve"> 千米。</w:t>
      </w:r>
    </w:p>
    <w:p w14:paraId="7AA17F96">
      <w:pPr>
        <w:spacing w:before="120" w:line="417" w:lineRule="auto"/>
        <w:ind w:left="720" w:right="719" w:firstLine="559"/>
        <w:jc w:val="both"/>
        <w:rPr>
          <w:sz w:val="28"/>
        </w:rPr>
      </w:pPr>
      <w:r>
        <w:rPr>
          <w:b/>
          <w:spacing w:val="-11"/>
          <w:sz w:val="28"/>
        </w:rPr>
        <w:t>制定实施方案，进一步强化对全县黑臭水体的治理能力。</w:t>
      </w:r>
      <w:r>
        <w:rPr>
          <w:spacing w:val="-2"/>
          <w:sz w:val="28"/>
        </w:rPr>
        <w:t>公布黑</w:t>
      </w:r>
      <w:r>
        <w:rPr>
          <w:spacing w:val="-11"/>
          <w:sz w:val="28"/>
        </w:rPr>
        <w:t>臭水体名单、治理责任人及达标期限，争取在十四五期间，消除全县</w:t>
      </w:r>
      <w:r>
        <w:rPr>
          <w:spacing w:val="-5"/>
          <w:sz w:val="28"/>
        </w:rPr>
        <w:t>地表黑臭水体。</w:t>
      </w:r>
    </w:p>
    <w:p w14:paraId="15AAFAD4">
      <w:pPr>
        <w:pStyle w:val="6"/>
        <w:spacing w:before="143" w:line="417" w:lineRule="auto"/>
        <w:ind w:left="720" w:right="719" w:firstLine="518" w:firstLineChars="200"/>
        <w:jc w:val="both"/>
        <w:rPr>
          <w:rFonts w:hint="eastAsia"/>
          <w:spacing w:val="-3"/>
          <w:lang w:eastAsia="zh-CN"/>
        </w:rPr>
      </w:pPr>
      <w:r>
        <w:rPr>
          <w:b/>
          <w:spacing w:val="-11"/>
        </w:rPr>
        <w:t>加强管理能力，严防地下水及饮用水源污染。</w:t>
      </w:r>
      <w:r>
        <w:rPr>
          <w:spacing w:val="-3"/>
        </w:rPr>
        <w:t>加强饮用水源区的</w:t>
      </w:r>
      <w:r>
        <w:rPr>
          <w:spacing w:val="-11"/>
        </w:rPr>
        <w:t>监测和保护，严格控制影响饮用水水源的建设项目；饮用水水源区严</w:t>
      </w:r>
      <w:r>
        <w:rPr>
          <w:spacing w:val="-9"/>
        </w:rPr>
        <w:t>禁堆放化工原料和危险物品，严禁违法取土、乱耕乱种等行为；强化</w:t>
      </w:r>
      <w:r>
        <w:rPr>
          <w:spacing w:val="-11"/>
        </w:rPr>
        <w:t>饮用水源环境保护，开展饮用水源规范化建设，加强全县饮用水水资源保护和水质监测；加强对农村现有简易水厂和供水设施的改造，落</w:t>
      </w:r>
      <w:r>
        <w:rPr>
          <w:spacing w:val="-10"/>
        </w:rPr>
        <w:t>实各项净水措施，因地制宜解决农村饮用水安全问题；定期调查评估</w:t>
      </w:r>
      <w:r>
        <w:rPr>
          <w:spacing w:val="-11"/>
        </w:rPr>
        <w:t>地下水饮用水水质状况，确保集中式饮用水水源地水质达标率稳定在</w:t>
      </w:r>
      <w:r>
        <w:rPr>
          <w:spacing w:val="-1"/>
        </w:rPr>
        <w:t>100%</w:t>
      </w:r>
      <w:r>
        <w:rPr>
          <w:spacing w:val="-12"/>
        </w:rPr>
        <w:t>。做好城市和农村生活垃圾防渗处理，加强畜禽养殖污染防治工</w:t>
      </w:r>
      <w:r>
        <w:rPr>
          <w:spacing w:val="-11"/>
        </w:rPr>
        <w:t>作，确保地下水质稳定。加强农村面源和生活污染治理，加快低毒低残留无公害农药的开发应用，从源头抓好农药对土壤环境和地下水的影响；完善农村改厕和垃圾收集、中转及处理系统，完善农村污水管</w:t>
      </w:r>
      <w:r>
        <w:rPr>
          <w:spacing w:val="-12"/>
        </w:rPr>
        <w:t>网收集率和处理能力，避免农村面源和生活污染直接污染到地下水水</w:t>
      </w:r>
      <w:r>
        <w:rPr>
          <w:spacing w:val="-11"/>
        </w:rPr>
        <w:t>质安全。在城区建设环卫综合基地，修建维修车间、车辆清洗站、垃</w:t>
      </w:r>
      <w:r>
        <w:rPr>
          <w:spacing w:val="-8"/>
        </w:rPr>
        <w:t>圾渗滤液处理车间及管理用房等主体设施，确保废水的合理处置，谨</w:t>
      </w:r>
      <w:r>
        <w:rPr>
          <w:spacing w:val="-3"/>
        </w:rPr>
        <w:t>防发生地下水污染事件</w:t>
      </w:r>
      <w:r>
        <w:rPr>
          <w:rFonts w:hint="eastAsia"/>
          <w:spacing w:val="-3"/>
          <w:lang w:eastAsia="zh-CN"/>
        </w:rPr>
        <w:t>。</w:t>
      </w:r>
    </w:p>
    <w:p w14:paraId="3A47F491">
      <w:pPr>
        <w:pStyle w:val="6"/>
        <w:spacing w:before="119" w:line="417" w:lineRule="auto"/>
        <w:ind w:left="720" w:right="623" w:firstLine="559"/>
      </w:pPr>
      <w:r>
        <w:rPr>
          <w:b/>
          <w:spacing w:val="-5"/>
        </w:rPr>
        <w:t>加强湿地生态系统水源保护。</w:t>
      </w:r>
      <w:r>
        <w:rPr>
          <w:spacing w:val="-9"/>
        </w:rPr>
        <w:t>依据濉溪县实际情况，科学规划生</w:t>
      </w:r>
      <w:r>
        <w:rPr>
          <w:spacing w:val="-11"/>
        </w:rPr>
        <w:t>态保护红线，强化水源涵养林建设与保护，开展湿地保护与修复，加</w:t>
      </w:r>
      <w:r>
        <w:rPr>
          <w:spacing w:val="-5"/>
        </w:rPr>
        <w:t>大塌陷区的生态修复和环境建设。</w:t>
      </w:r>
      <w:r>
        <w:t>2021</w:t>
      </w:r>
      <w:r>
        <w:rPr>
          <w:spacing w:val="-10"/>
        </w:rPr>
        <w:t xml:space="preserve"> 年开始，濉溪县开展采煤沉</w:t>
      </w:r>
      <w:r>
        <w:rPr>
          <w:spacing w:val="-3"/>
        </w:rPr>
        <w:t>陷区水域治理项目，“十四五”期间实施对丁合沟、任李沟、直河、</w:t>
      </w:r>
      <w:r>
        <w:rPr>
          <w:spacing w:val="-15"/>
        </w:rPr>
        <w:t xml:space="preserve">小漕沟、王郢沟 </w:t>
      </w:r>
      <w:r>
        <w:t>5</w:t>
      </w:r>
      <w:r>
        <w:rPr>
          <w:spacing w:val="-13"/>
        </w:rPr>
        <w:t xml:space="preserve"> 条大沟清淤，提高凤栖湖水系生态环境质量；开展</w:t>
      </w:r>
      <w:r>
        <w:rPr>
          <w:spacing w:val="-3"/>
        </w:rPr>
        <w:t xml:space="preserve">韩村镇浍河生态综合治理项目，对滩涂地进行治理，建设河堤公园； </w:t>
      </w:r>
      <w:r>
        <w:rPr>
          <w:spacing w:val="-9"/>
        </w:rPr>
        <w:t xml:space="preserve">开展生态河沟治理工程，对浍河 </w:t>
      </w:r>
      <w:r>
        <w:t>12km</w:t>
      </w:r>
      <w:r>
        <w:rPr>
          <w:spacing w:val="-21"/>
        </w:rPr>
        <w:t xml:space="preserve">、大沟 </w:t>
      </w:r>
      <w:r>
        <w:t>73km</w:t>
      </w:r>
      <w:r>
        <w:rPr>
          <w:spacing w:val="-11"/>
        </w:rPr>
        <w:t xml:space="preserve"> 进行生态治理；巴</w:t>
      </w:r>
      <w:r>
        <w:rPr>
          <w:spacing w:val="-12"/>
        </w:rPr>
        <w:t>河、杨楼沟、利民沟、濉临沟、幸福沟、老溪河、小溪沟等水生态环</w:t>
      </w:r>
      <w:r>
        <w:rPr>
          <w:spacing w:val="-5"/>
        </w:rPr>
        <w:t>境修复提升、给排水管网新建提升等。</w:t>
      </w:r>
    </w:p>
    <w:p w14:paraId="270D332A">
      <w:pPr>
        <w:pStyle w:val="6"/>
        <w:spacing w:before="143" w:line="417" w:lineRule="auto"/>
        <w:ind w:right="719"/>
        <w:jc w:val="both"/>
        <w:rPr>
          <w:rFonts w:hint="eastAsia"/>
          <w:spacing w:val="-3"/>
          <w:lang w:eastAsia="zh-CN"/>
        </w:rPr>
        <w:sectPr>
          <w:footerReference r:id="rId9" w:type="default"/>
          <w:pgSz w:w="11910" w:h="16840"/>
          <w:pgMar w:top="1420" w:right="1080" w:bottom="1360" w:left="1080" w:header="878" w:footer="1164" w:gutter="0"/>
          <w:pgNumType w:fmt="decimal"/>
          <w:cols w:space="720" w:num="1"/>
        </w:sectPr>
      </w:pPr>
    </w:p>
    <w:p w14:paraId="21D2D0BC">
      <w:pPr>
        <w:pStyle w:val="4"/>
        <w:tabs>
          <w:tab w:val="left" w:pos="1219"/>
        </w:tabs>
        <w:spacing w:before="131"/>
        <w:ind w:right="2"/>
        <w:jc w:val="center"/>
      </w:pPr>
      <w:bookmarkStart w:id="46" w:name="_bookmark24"/>
      <w:bookmarkEnd w:id="46"/>
      <w:bookmarkStart w:id="47" w:name="第2节  大气环境保护规划"/>
      <w:bookmarkEnd w:id="47"/>
      <w:r>
        <w:t>第</w:t>
      </w:r>
      <w:r>
        <w:rPr>
          <w:spacing w:val="-76"/>
        </w:rPr>
        <w:t xml:space="preserve"> </w:t>
      </w:r>
      <w:r>
        <w:rPr>
          <w:rFonts w:ascii="Arial" w:eastAsia="Arial"/>
        </w:rPr>
        <w:t>2</w:t>
      </w:r>
      <w:r>
        <w:rPr>
          <w:rFonts w:ascii="Arial" w:eastAsia="Arial"/>
          <w:spacing w:val="-8"/>
        </w:rPr>
        <w:t xml:space="preserve"> </w:t>
      </w:r>
      <w:r>
        <w:t>节</w:t>
      </w:r>
      <w:r>
        <w:tab/>
      </w:r>
      <w:r>
        <w:t>大气环境保护规划</w:t>
      </w:r>
    </w:p>
    <w:p w14:paraId="25A3B3F0">
      <w:pPr>
        <w:pStyle w:val="6"/>
        <w:spacing w:before="11"/>
        <w:rPr>
          <w:b/>
          <w:sz w:val="39"/>
        </w:rPr>
      </w:pPr>
    </w:p>
    <w:p w14:paraId="2E48D8F3">
      <w:pPr>
        <w:pStyle w:val="5"/>
        <w:spacing w:before="1"/>
      </w:pPr>
      <w:bookmarkStart w:id="48" w:name="1、大气环境质量保护目标"/>
      <w:bookmarkEnd w:id="48"/>
      <w:bookmarkStart w:id="49" w:name="_bookmark25"/>
      <w:bookmarkEnd w:id="49"/>
      <w:r>
        <w:rPr>
          <w:rFonts w:ascii="Calibri" w:eastAsia="Calibri"/>
        </w:rPr>
        <w:t>1</w:t>
      </w:r>
      <w:r>
        <w:t>、大气环境质量保护目标</w:t>
      </w:r>
    </w:p>
    <w:p w14:paraId="23EBCD95">
      <w:pPr>
        <w:pStyle w:val="6"/>
        <w:spacing w:before="11"/>
        <w:rPr>
          <w:b/>
          <w:sz w:val="40"/>
        </w:rPr>
      </w:pPr>
    </w:p>
    <w:p w14:paraId="37E2C05B">
      <w:pPr>
        <w:pStyle w:val="6"/>
        <w:tabs>
          <w:tab w:val="left" w:pos="4816"/>
        </w:tabs>
        <w:spacing w:before="1" w:line="417" w:lineRule="auto"/>
        <w:ind w:left="720" w:right="580" w:firstLine="420"/>
      </w:pPr>
      <w:r>
        <mc:AlternateContent>
          <mc:Choice Requires="wps">
            <w:drawing>
              <wp:anchor distT="0" distB="0" distL="114300" distR="114300" simplePos="0" relativeHeight="251662336" behindDoc="1" locked="0" layoutInCell="1" allowOverlap="1">
                <wp:simplePos x="0" y="0"/>
                <wp:positionH relativeFrom="page">
                  <wp:posOffset>5321300</wp:posOffset>
                </wp:positionH>
                <wp:positionV relativeFrom="paragraph">
                  <wp:posOffset>1316990</wp:posOffset>
                </wp:positionV>
                <wp:extent cx="88900" cy="88265"/>
                <wp:effectExtent l="0" t="0" r="0" b="0"/>
                <wp:wrapNone/>
                <wp:docPr id="2" name="文本框 3"/>
                <wp:cNvGraphicFramePr/>
                <a:graphic xmlns:a="http://schemas.openxmlformats.org/drawingml/2006/main">
                  <a:graphicData uri="http://schemas.microsoft.com/office/word/2010/wordprocessingShape">
                    <wps:wsp>
                      <wps:cNvSpPr txBox="1"/>
                      <wps:spPr>
                        <a:xfrm>
                          <a:off x="0" y="0"/>
                          <a:ext cx="88900" cy="88265"/>
                        </a:xfrm>
                        <a:prstGeom prst="rect">
                          <a:avLst/>
                        </a:prstGeom>
                        <a:noFill/>
                        <a:ln>
                          <a:noFill/>
                        </a:ln>
                      </wps:spPr>
                      <wps:txbx>
                        <w:txbxContent>
                          <w:p w14:paraId="325DC9EB">
                            <w:pPr>
                              <w:spacing w:before="0" w:line="139" w:lineRule="exact"/>
                              <w:ind w:left="0" w:right="0" w:firstLine="0"/>
                              <w:jc w:val="left"/>
                              <w:rPr>
                                <w:sz w:val="14"/>
                              </w:rPr>
                            </w:pPr>
                            <w:r>
                              <w:rPr>
                                <w:w w:val="95"/>
                                <w:sz w:val="14"/>
                              </w:rPr>
                              <w:t>10</w:t>
                            </w:r>
                          </w:p>
                        </w:txbxContent>
                      </wps:txbx>
                      <wps:bodyPr lIns="0" tIns="0" rIns="0" bIns="0" upright="1"/>
                    </wps:wsp>
                  </a:graphicData>
                </a:graphic>
              </wp:anchor>
            </w:drawing>
          </mc:Choice>
          <mc:Fallback>
            <w:pict>
              <v:shape id="文本框 3" o:spid="_x0000_s1026" o:spt="202" type="#_x0000_t202" style="position:absolute;left:0pt;margin-left:419pt;margin-top:103.7pt;height:6.95pt;width:7pt;mso-position-horizontal-relative:page;z-index:-251654144;mso-width-relative:page;mso-height-relative:page;" filled="f" stroked="f" coordsize="21600,21600" o:gfxdata="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W6yC2QAAAAsBAAAPAAAAAAAAAAEAIAAAACIAAABkcnMvZG93bnJldi54bWxQSwECFAAU&#10;AAAACACHTuJAM1ZvVLcBAABvAwAADgAAAAAAAAABACAAAAAoAQAAZHJzL2Uyb0RvYy54bWxQSwUG&#10;AAAAAAYABgBZAQAAUQUAAAAA&#10;">
                <v:fill on="f" focussize="0,0"/>
                <v:stroke on="f"/>
                <v:imagedata o:title=""/>
                <o:lock v:ext="edit" aspectratio="f"/>
                <v:textbox inset="0mm,0mm,0mm,0mm">
                  <w:txbxContent>
                    <w:p w14:paraId="325DC9EB">
                      <w:pPr>
                        <w:spacing w:before="0" w:line="139" w:lineRule="exact"/>
                        <w:ind w:left="0" w:right="0" w:firstLine="0"/>
                        <w:jc w:val="left"/>
                        <w:rPr>
                          <w:sz w:val="14"/>
                        </w:rPr>
                      </w:pPr>
                      <w:r>
                        <w:rPr>
                          <w:w w:val="95"/>
                          <w:sz w:val="14"/>
                        </w:rPr>
                        <w:t>10</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3589020</wp:posOffset>
                </wp:positionH>
                <wp:positionV relativeFrom="paragraph">
                  <wp:posOffset>2505710</wp:posOffset>
                </wp:positionV>
                <wp:extent cx="132715" cy="882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2715" cy="88265"/>
                        </a:xfrm>
                        <a:prstGeom prst="rect">
                          <a:avLst/>
                        </a:prstGeom>
                        <a:noFill/>
                        <a:ln>
                          <a:noFill/>
                        </a:ln>
                      </wps:spPr>
                      <wps:txbx>
                        <w:txbxContent>
                          <w:p w14:paraId="42F86312">
                            <w:pPr>
                              <w:spacing w:before="0" w:line="139" w:lineRule="exact"/>
                              <w:ind w:left="0" w:right="0" w:firstLine="0"/>
                              <w:jc w:val="left"/>
                              <w:rPr>
                                <w:sz w:val="14"/>
                              </w:rPr>
                            </w:pPr>
                            <w:r>
                              <w:rPr>
                                <w:w w:val="95"/>
                                <w:sz w:val="14"/>
                              </w:rPr>
                              <w:t>2.5</w:t>
                            </w:r>
                          </w:p>
                        </w:txbxContent>
                      </wps:txbx>
                      <wps:bodyPr lIns="0" tIns="0" rIns="0" bIns="0" upright="1"/>
                    </wps:wsp>
                  </a:graphicData>
                </a:graphic>
              </wp:anchor>
            </w:drawing>
          </mc:Choice>
          <mc:Fallback>
            <w:pict>
              <v:shape id="_x0000_s1026" o:spid="_x0000_s1026" o:spt="202" type="#_x0000_t202" style="position:absolute;left:0pt;margin-left:282.6pt;margin-top:197.3pt;height:6.95pt;width:10.45pt;mso-position-horizontal-relative:page;z-index:-251653120;mso-width-relative:page;mso-height-relative:page;" filled="f" stroked="f" coordsize="21600,21600" o:gfxdata="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I8F/bAAAACwEAAA8AAAAAAAAAAQAgAAAAIgAAAGRycy9kb3ducmV2LnhtbFBL&#10;AQIUABQAAAAIAIdO4kCb31A2ugEAAHADAAAOAAAAAAAAAAEAIAAAACoBAABkcnMvZTJvRG9jLnht&#10;bFBLBQYAAAAABgAGAFkBAABWBQAAAAA=&#10;">
                <v:fill on="f" focussize="0,0"/>
                <v:stroke on="f"/>
                <v:imagedata o:title=""/>
                <o:lock v:ext="edit" aspectratio="f"/>
                <v:textbox inset="0mm,0mm,0mm,0mm">
                  <w:txbxContent>
                    <w:p w14:paraId="42F86312">
                      <w:pPr>
                        <w:spacing w:before="0" w:line="139" w:lineRule="exact"/>
                        <w:ind w:left="0" w:right="0" w:firstLine="0"/>
                        <w:jc w:val="left"/>
                        <w:rPr>
                          <w:sz w:val="14"/>
                        </w:rPr>
                      </w:pPr>
                      <w:r>
                        <w:rPr>
                          <w:w w:val="95"/>
                          <w:sz w:val="14"/>
                        </w:rPr>
                        <w:t>2.5</w:t>
                      </w:r>
                    </w:p>
                  </w:txbxContent>
                </v:textbox>
              </v:shape>
            </w:pict>
          </mc:Fallback>
        </mc:AlternateContent>
      </w:r>
      <w:r>
        <w:t>争取到“十四五”末期，濉溪县空气质量有明显的改善，全年优</w:t>
      </w:r>
      <w:r>
        <w:rPr>
          <w:spacing w:val="-1"/>
        </w:rPr>
        <w:t>良</w:t>
      </w:r>
      <w:r>
        <w:rPr>
          <w:spacing w:val="-3"/>
        </w:rPr>
        <w:t>天</w:t>
      </w:r>
      <w:r>
        <w:t>气占</w:t>
      </w:r>
      <w:r>
        <w:rPr>
          <w:spacing w:val="-3"/>
        </w:rPr>
        <w:t>比</w:t>
      </w:r>
      <w:r>
        <w:t>明显</w:t>
      </w:r>
      <w:r>
        <w:rPr>
          <w:spacing w:val="-3"/>
        </w:rPr>
        <w:t>高</w:t>
      </w:r>
      <w:r>
        <w:rPr>
          <w:spacing w:val="-80"/>
        </w:rPr>
        <w:t>于</w:t>
      </w:r>
      <w:r>
        <w:t>“十</w:t>
      </w:r>
      <w:r>
        <w:rPr>
          <w:spacing w:val="-3"/>
        </w:rPr>
        <w:t>三</w:t>
      </w:r>
      <w:r>
        <w:t>五</w:t>
      </w:r>
      <w:r>
        <w:rPr>
          <w:spacing w:val="-82"/>
        </w:rPr>
        <w:t>”</w:t>
      </w:r>
      <w:r>
        <w:t>末期</w:t>
      </w:r>
      <w:r>
        <w:rPr>
          <w:spacing w:val="-80"/>
        </w:rPr>
        <w:t>，</w:t>
      </w:r>
      <w:r>
        <w:t>达</w:t>
      </w:r>
      <w:r>
        <w:rPr>
          <w:spacing w:val="-3"/>
        </w:rPr>
        <w:t>到</w:t>
      </w:r>
      <w:r>
        <w:t>省下</w:t>
      </w:r>
      <w:r>
        <w:rPr>
          <w:spacing w:val="-3"/>
        </w:rPr>
        <w:t>达</w:t>
      </w:r>
      <w:r>
        <w:t>的控</w:t>
      </w:r>
      <w:r>
        <w:rPr>
          <w:spacing w:val="-3"/>
        </w:rPr>
        <w:t>制</w:t>
      </w:r>
      <w:r>
        <w:t>指标</w:t>
      </w:r>
      <w:r>
        <w:rPr>
          <w:spacing w:val="-3"/>
        </w:rPr>
        <w:t>范</w:t>
      </w:r>
      <w:r>
        <w:t>围</w:t>
      </w:r>
      <w:r>
        <w:rPr>
          <w:spacing w:val="-3"/>
        </w:rPr>
        <w:t>内</w:t>
      </w:r>
      <w:r>
        <w:t>； PM</w:t>
      </w:r>
      <w:r>
        <w:rPr>
          <w:position w:val="-3"/>
          <w:sz w:val="14"/>
        </w:rPr>
        <w:t>10</w:t>
      </w:r>
      <w:r>
        <w:rPr>
          <w:spacing w:val="-27"/>
          <w:position w:val="-3"/>
          <w:sz w:val="14"/>
        </w:rPr>
        <w:t xml:space="preserve"> </w:t>
      </w:r>
      <w:r>
        <w:t>年均浓度和</w:t>
      </w:r>
      <w:r>
        <w:rPr>
          <w:spacing w:val="-58"/>
        </w:rPr>
        <w:t xml:space="preserve"> </w:t>
      </w:r>
      <w:r>
        <w:t>PM</w:t>
      </w:r>
      <w:r>
        <w:rPr>
          <w:position w:val="-3"/>
          <w:sz w:val="14"/>
        </w:rPr>
        <w:t>2.5</w:t>
      </w:r>
      <w:r>
        <w:rPr>
          <w:spacing w:val="-23"/>
          <w:position w:val="-3"/>
          <w:sz w:val="14"/>
        </w:rPr>
        <w:t xml:space="preserve"> </w:t>
      </w:r>
      <w:r>
        <w:t>年均浓度明显下降，PM</w:t>
      </w:r>
      <w:r>
        <w:rPr>
          <w:position w:val="-3"/>
          <w:sz w:val="14"/>
        </w:rPr>
        <w:t>10</w:t>
      </w:r>
      <w:r>
        <w:rPr>
          <w:spacing w:val="-24"/>
          <w:position w:val="-3"/>
          <w:sz w:val="14"/>
        </w:rPr>
        <w:t xml:space="preserve"> </w:t>
      </w:r>
      <w:r>
        <w:t>年均浓度尽量达到《环境</w:t>
      </w:r>
      <w:r>
        <w:rPr>
          <w:spacing w:val="-3"/>
        </w:rPr>
        <w:t>空</w:t>
      </w:r>
      <w:r>
        <w:t>气质</w:t>
      </w:r>
      <w:r>
        <w:rPr>
          <w:spacing w:val="-3"/>
        </w:rPr>
        <w:t>量</w:t>
      </w:r>
      <w:r>
        <w:t>标准</w:t>
      </w:r>
      <w:r>
        <w:rPr>
          <w:spacing w:val="-3"/>
        </w:rPr>
        <w:t>》</w:t>
      </w:r>
      <w:r>
        <w:t>（GB3095-2012）</w:t>
      </w:r>
      <w:r>
        <w:rPr>
          <w:spacing w:val="-3"/>
        </w:rPr>
        <w:t>二</w:t>
      </w:r>
      <w:r>
        <w:t>级标</w:t>
      </w:r>
      <w:r>
        <w:rPr>
          <w:spacing w:val="-3"/>
        </w:rPr>
        <w:t>准</w:t>
      </w:r>
      <w:r>
        <w:t>要求（PM</w:t>
      </w:r>
      <w:r>
        <w:rPr>
          <w:spacing w:val="-5"/>
        </w:rPr>
        <w:t xml:space="preserve"> </w:t>
      </w:r>
      <w:r>
        <w:t>70μg/m</w:t>
      </w:r>
      <w:r>
        <w:rPr>
          <w:position w:val="14"/>
          <w:sz w:val="14"/>
        </w:rPr>
        <w:t>3</w:t>
      </w:r>
      <w:r>
        <w:t>）， 根</w:t>
      </w:r>
      <w:r>
        <w:rPr>
          <w:spacing w:val="-34"/>
        </w:rPr>
        <w:t>据</w:t>
      </w:r>
      <w:r>
        <w:rPr>
          <w:spacing w:val="-3"/>
        </w:rPr>
        <w:t>《</w:t>
      </w:r>
      <w:r>
        <w:t>安</w:t>
      </w:r>
      <w:r>
        <w:rPr>
          <w:spacing w:val="-3"/>
        </w:rPr>
        <w:t>徽</w:t>
      </w:r>
      <w:r>
        <w:t>省人</w:t>
      </w:r>
      <w:r>
        <w:rPr>
          <w:spacing w:val="-3"/>
        </w:rPr>
        <w:t>民</w:t>
      </w:r>
      <w:r>
        <w:t>政府关</w:t>
      </w:r>
      <w:r>
        <w:rPr>
          <w:spacing w:val="-3"/>
        </w:rPr>
        <w:t>于</w:t>
      </w:r>
      <w:r>
        <w:t>加快</w:t>
      </w:r>
      <w:r>
        <w:rPr>
          <w:spacing w:val="-3"/>
        </w:rPr>
        <w:t>实</w:t>
      </w:r>
      <w:r>
        <w:rPr>
          <w:spacing w:val="-32"/>
        </w:rPr>
        <w:t>施</w:t>
      </w:r>
      <w:r>
        <w:t>“三</w:t>
      </w:r>
      <w:r>
        <w:rPr>
          <w:spacing w:val="-3"/>
        </w:rPr>
        <w:t>线</w:t>
      </w:r>
      <w:r>
        <w:t>一</w:t>
      </w:r>
      <w:r>
        <w:rPr>
          <w:spacing w:val="-3"/>
        </w:rPr>
        <w:t>单</w:t>
      </w:r>
      <w:r>
        <w:rPr>
          <w:spacing w:val="-32"/>
        </w:rPr>
        <w:t>”</w:t>
      </w:r>
      <w:r>
        <w:t>生</w:t>
      </w:r>
      <w:r>
        <w:rPr>
          <w:spacing w:val="-3"/>
        </w:rPr>
        <w:t>态</w:t>
      </w:r>
      <w:r>
        <w:t>环境</w:t>
      </w:r>
      <w:r>
        <w:rPr>
          <w:spacing w:val="-3"/>
        </w:rPr>
        <w:t>分</w:t>
      </w:r>
      <w:r>
        <w:t>区管控的</w:t>
      </w:r>
      <w:r>
        <w:rPr>
          <w:spacing w:val="-3"/>
        </w:rPr>
        <w:t>通</w:t>
      </w:r>
      <w:r>
        <w:t>知</w:t>
      </w:r>
      <w:r>
        <w:rPr>
          <w:spacing w:val="-20"/>
        </w:rPr>
        <w:t>》</w:t>
      </w:r>
      <w:r>
        <w:rPr>
          <w:spacing w:val="-22"/>
        </w:rPr>
        <w:t>，</w:t>
      </w:r>
      <w:r>
        <w:t>到</w:t>
      </w:r>
      <w:r>
        <w:rPr>
          <w:spacing w:val="-69"/>
        </w:rPr>
        <w:t xml:space="preserve"> </w:t>
      </w:r>
      <w:r>
        <w:t>2025</w:t>
      </w:r>
      <w:r>
        <w:rPr>
          <w:spacing w:val="-67"/>
        </w:rPr>
        <w:t xml:space="preserve"> </w:t>
      </w:r>
      <w:r>
        <w:rPr>
          <w:spacing w:val="-3"/>
        </w:rPr>
        <w:t>年</w:t>
      </w:r>
      <w:r>
        <w:rPr>
          <w:spacing w:val="-20"/>
        </w:rPr>
        <w:t>，</w:t>
      </w:r>
      <w:r>
        <w:t>在</w:t>
      </w:r>
      <w:r>
        <w:rPr>
          <w:spacing w:val="-68"/>
        </w:rPr>
        <w:t xml:space="preserve"> </w:t>
      </w:r>
      <w:r>
        <w:t>2020</w:t>
      </w:r>
      <w:r>
        <w:rPr>
          <w:spacing w:val="-67"/>
        </w:rPr>
        <w:t xml:space="preserve"> </w:t>
      </w:r>
      <w:r>
        <w:t>年</w:t>
      </w:r>
      <w:r>
        <w:rPr>
          <w:spacing w:val="-3"/>
        </w:rPr>
        <w:t>目</w:t>
      </w:r>
      <w:r>
        <w:rPr>
          <w:spacing w:val="-20"/>
        </w:rPr>
        <w:t>标</w:t>
      </w:r>
      <w:r>
        <w:rPr>
          <w:spacing w:val="-3"/>
        </w:rPr>
        <w:t>（</w:t>
      </w:r>
      <w:r>
        <w:t>折</w:t>
      </w:r>
      <w:r>
        <w:rPr>
          <w:spacing w:val="-3"/>
        </w:rPr>
        <w:t>合</w:t>
      </w:r>
      <w:r>
        <w:t>成实况</w:t>
      </w:r>
      <w:r>
        <w:rPr>
          <w:spacing w:val="-68"/>
        </w:rPr>
        <w:t xml:space="preserve"> </w:t>
      </w:r>
      <w:r>
        <w:rPr>
          <w:spacing w:val="-4"/>
        </w:rPr>
        <w:t>45μg/m</w:t>
      </w:r>
      <w:r>
        <w:rPr>
          <w:spacing w:val="-4"/>
          <w:position w:val="14"/>
          <w:sz w:val="14"/>
        </w:rPr>
        <w:t>3</w:t>
      </w:r>
      <w:r>
        <w:rPr>
          <w:spacing w:val="-4"/>
        </w:rPr>
        <w:t>）</w:t>
      </w:r>
      <w:r>
        <w:t>的基础上</w:t>
      </w:r>
      <w:r>
        <w:rPr>
          <w:spacing w:val="-3"/>
        </w:rPr>
        <w:t>，</w:t>
      </w:r>
      <w:r>
        <w:t>全省</w:t>
      </w:r>
      <w:r>
        <w:rPr>
          <w:spacing w:val="-70"/>
        </w:rPr>
        <w:t xml:space="preserve"> </w:t>
      </w:r>
      <w:r>
        <w:t>14</w:t>
      </w:r>
      <w:r>
        <w:rPr>
          <w:spacing w:val="-70"/>
        </w:rPr>
        <w:t xml:space="preserve"> </w:t>
      </w:r>
      <w:r>
        <w:t>个未</w:t>
      </w:r>
      <w:r>
        <w:rPr>
          <w:spacing w:val="-3"/>
        </w:rPr>
        <w:t>达</w:t>
      </w:r>
      <w:r>
        <w:t>标城</w:t>
      </w:r>
      <w:r>
        <w:rPr>
          <w:spacing w:val="69"/>
        </w:rPr>
        <w:t>市</w:t>
      </w:r>
      <w:r>
        <w:t>PM</w:t>
      </w:r>
      <w:r>
        <w:tab/>
      </w:r>
      <w:r>
        <w:t>平均</w:t>
      </w:r>
      <w:r>
        <w:rPr>
          <w:spacing w:val="-3"/>
        </w:rPr>
        <w:t>浓</w:t>
      </w:r>
      <w:r>
        <w:t>度暂定为</w:t>
      </w:r>
      <w:r>
        <w:rPr>
          <w:spacing w:val="-69"/>
        </w:rPr>
        <w:t xml:space="preserve"> </w:t>
      </w:r>
      <w:r>
        <w:t>43μg/m</w:t>
      </w:r>
      <w:r>
        <w:rPr>
          <w:position w:val="14"/>
          <w:sz w:val="14"/>
        </w:rPr>
        <w:t>3</w:t>
      </w:r>
      <w:r>
        <w:t>，因</w:t>
      </w:r>
      <w:r>
        <w:rPr>
          <w:spacing w:val="-3"/>
        </w:rPr>
        <w:t>此</w:t>
      </w:r>
      <w:r>
        <w:t>， 濉溪县暂定</w:t>
      </w:r>
      <w:r>
        <w:rPr>
          <w:spacing w:val="-62"/>
        </w:rPr>
        <w:t xml:space="preserve"> </w:t>
      </w:r>
      <w:r>
        <w:t>2025</w:t>
      </w:r>
      <w:r>
        <w:rPr>
          <w:spacing w:val="-63"/>
        </w:rPr>
        <w:t xml:space="preserve"> </w:t>
      </w:r>
      <w:r>
        <w:t>年</w:t>
      </w:r>
      <w:r>
        <w:rPr>
          <w:spacing w:val="-58"/>
        </w:rPr>
        <w:t xml:space="preserve"> </w:t>
      </w:r>
      <w:r>
        <w:t>PM</w:t>
      </w:r>
      <w:r>
        <w:rPr>
          <w:position w:val="-3"/>
          <w:sz w:val="14"/>
        </w:rPr>
        <w:t>2.5</w:t>
      </w:r>
      <w:r>
        <w:rPr>
          <w:spacing w:val="-26"/>
          <w:position w:val="-3"/>
          <w:sz w:val="14"/>
        </w:rPr>
        <w:t xml:space="preserve"> </w:t>
      </w:r>
      <w:r>
        <w:t>年平均浓度目标为</w:t>
      </w:r>
      <w:r>
        <w:rPr>
          <w:spacing w:val="-64"/>
        </w:rPr>
        <w:t xml:space="preserve"> </w:t>
      </w:r>
      <w:r>
        <w:rPr>
          <w:rFonts w:ascii="Calibri" w:hAnsi="Calibri" w:eastAsia="Calibri"/>
        </w:rPr>
        <w:t>43μg/m</w:t>
      </w:r>
      <w:r>
        <w:rPr>
          <w:rFonts w:ascii="Calibri" w:hAnsi="Calibri" w:eastAsia="Calibri"/>
          <w:position w:val="9"/>
          <w:sz w:val="18"/>
        </w:rPr>
        <w:t>3</w:t>
      </w:r>
      <w:r>
        <w:t>，在全省降尘排名</w:t>
      </w:r>
      <w:r>
        <w:rPr>
          <w:spacing w:val="-3"/>
        </w:rPr>
        <w:t>有</w:t>
      </w:r>
      <w:r>
        <w:t>所进</w:t>
      </w:r>
      <w:r>
        <w:rPr>
          <w:spacing w:val="-3"/>
        </w:rPr>
        <w:t>步</w:t>
      </w:r>
      <w:r>
        <w:rPr>
          <w:spacing w:val="-49"/>
        </w:rPr>
        <w:t>，</w:t>
      </w:r>
      <w:r>
        <w:t>争</w:t>
      </w:r>
      <w:r>
        <w:rPr>
          <w:spacing w:val="-3"/>
        </w:rPr>
        <w:t>取</w:t>
      </w:r>
      <w:r>
        <w:t>退出</w:t>
      </w:r>
      <w:r>
        <w:rPr>
          <w:spacing w:val="-3"/>
        </w:rPr>
        <w:t>全</w:t>
      </w:r>
      <w:r>
        <w:t>省排</w:t>
      </w:r>
      <w:r>
        <w:rPr>
          <w:spacing w:val="-3"/>
        </w:rPr>
        <w:t>名</w:t>
      </w:r>
      <w:r>
        <w:t>后十</w:t>
      </w:r>
      <w:r>
        <w:rPr>
          <w:spacing w:val="-3"/>
        </w:rPr>
        <w:t>名</w:t>
      </w:r>
      <w:r>
        <w:rPr>
          <w:spacing w:val="-49"/>
        </w:rPr>
        <w:t>；</w:t>
      </w:r>
      <w:r>
        <w:t>二</w:t>
      </w:r>
      <w:r>
        <w:rPr>
          <w:spacing w:val="-3"/>
        </w:rPr>
        <w:t>氧</w:t>
      </w:r>
      <w:r>
        <w:t>化硫</w:t>
      </w:r>
      <w:r>
        <w:rPr>
          <w:spacing w:val="-3"/>
        </w:rPr>
        <w:t>和</w:t>
      </w:r>
      <w:r>
        <w:t>二氧</w:t>
      </w:r>
      <w:r>
        <w:rPr>
          <w:spacing w:val="-3"/>
        </w:rPr>
        <w:t>化</w:t>
      </w:r>
      <w:r>
        <w:t>氮等</w:t>
      </w:r>
      <w:r>
        <w:rPr>
          <w:spacing w:val="-3"/>
        </w:rPr>
        <w:t>污</w:t>
      </w:r>
      <w:r>
        <w:t>染物</w:t>
      </w:r>
      <w:r>
        <w:rPr>
          <w:spacing w:val="-3"/>
        </w:rPr>
        <w:t>年</w:t>
      </w:r>
      <w:r>
        <w:t>平均</w:t>
      </w:r>
      <w:r>
        <w:rPr>
          <w:spacing w:val="-3"/>
        </w:rPr>
        <w:t>浓</w:t>
      </w:r>
      <w:r>
        <w:t>度稳</w:t>
      </w:r>
      <w:r>
        <w:rPr>
          <w:spacing w:val="-3"/>
        </w:rPr>
        <w:t>中</w:t>
      </w:r>
      <w:r>
        <w:t>有降</w:t>
      </w:r>
      <w:r>
        <w:rPr>
          <w:spacing w:val="-34"/>
        </w:rPr>
        <w:t>；</w:t>
      </w:r>
      <w:r>
        <w:t>严</w:t>
      </w:r>
      <w:r>
        <w:rPr>
          <w:spacing w:val="-3"/>
        </w:rPr>
        <w:t>格</w:t>
      </w:r>
      <w:r>
        <w:t>控制</w:t>
      </w:r>
      <w:r>
        <w:rPr>
          <w:spacing w:val="-3"/>
        </w:rPr>
        <w:t>臭</w:t>
      </w:r>
      <w:r>
        <w:t>氧的</w:t>
      </w:r>
      <w:r>
        <w:rPr>
          <w:spacing w:val="-3"/>
        </w:rPr>
        <w:t>年</w:t>
      </w:r>
      <w:r>
        <w:t>平均</w:t>
      </w:r>
      <w:r>
        <w:rPr>
          <w:spacing w:val="-3"/>
        </w:rPr>
        <w:t>浓</w:t>
      </w:r>
      <w:r>
        <w:t>度</w:t>
      </w:r>
      <w:r>
        <w:rPr>
          <w:spacing w:val="-32"/>
        </w:rPr>
        <w:t>，</w:t>
      </w:r>
      <w:r>
        <w:t>保障</w:t>
      </w:r>
      <w:r>
        <w:rPr>
          <w:spacing w:val="-70"/>
        </w:rPr>
        <w:t xml:space="preserve"> </w:t>
      </w:r>
      <w:r>
        <w:t>O</w:t>
      </w:r>
      <w:r>
        <w:rPr>
          <w:position w:val="-3"/>
          <w:sz w:val="14"/>
        </w:rPr>
        <w:t>3</w:t>
      </w:r>
      <w:r>
        <w:rPr>
          <w:spacing w:val="-33"/>
          <w:position w:val="-3"/>
          <w:sz w:val="14"/>
        </w:rPr>
        <w:t xml:space="preserve"> </w:t>
      </w:r>
      <w:r>
        <w:t>8</w:t>
      </w:r>
      <w:r>
        <w:rPr>
          <w:spacing w:val="-70"/>
        </w:rPr>
        <w:t xml:space="preserve"> </w:t>
      </w:r>
      <w:r>
        <w:t>小时</w:t>
      </w:r>
      <w:r>
        <w:rPr>
          <w:spacing w:val="4"/>
        </w:rPr>
        <w:t>平均</w:t>
      </w:r>
      <w:r>
        <w:rPr>
          <w:spacing w:val="7"/>
        </w:rPr>
        <w:t>浓</w:t>
      </w:r>
      <w:r>
        <w:rPr>
          <w:spacing w:val="4"/>
        </w:rPr>
        <w:t>度不</w:t>
      </w:r>
      <w:r>
        <w:rPr>
          <w:spacing w:val="7"/>
        </w:rPr>
        <w:t>再</w:t>
      </w:r>
      <w:r>
        <w:rPr>
          <w:spacing w:val="4"/>
        </w:rPr>
        <w:t>增</w:t>
      </w:r>
      <w:r>
        <w:rPr>
          <w:spacing w:val="7"/>
        </w:rPr>
        <w:t>长</w:t>
      </w:r>
      <w:r>
        <w:rPr>
          <w:spacing w:val="4"/>
        </w:rPr>
        <w:t>；挥</w:t>
      </w:r>
      <w:r>
        <w:rPr>
          <w:spacing w:val="7"/>
        </w:rPr>
        <w:t>发</w:t>
      </w:r>
      <w:r>
        <w:rPr>
          <w:spacing w:val="4"/>
        </w:rPr>
        <w:t>性</w:t>
      </w:r>
      <w:r>
        <w:rPr>
          <w:spacing w:val="7"/>
        </w:rPr>
        <w:t>有</w:t>
      </w:r>
      <w:r>
        <w:rPr>
          <w:spacing w:val="4"/>
        </w:rPr>
        <w:t>机废</w:t>
      </w:r>
      <w:r>
        <w:rPr>
          <w:spacing w:val="7"/>
        </w:rPr>
        <w:t>气</w:t>
      </w:r>
      <w:r>
        <w:rPr>
          <w:spacing w:val="4"/>
        </w:rPr>
        <w:t>监测</w:t>
      </w:r>
      <w:r>
        <w:rPr>
          <w:spacing w:val="7"/>
        </w:rPr>
        <w:t>和</w:t>
      </w:r>
      <w:r>
        <w:rPr>
          <w:spacing w:val="4"/>
        </w:rPr>
        <w:t>治</w:t>
      </w:r>
      <w:r>
        <w:rPr>
          <w:spacing w:val="7"/>
        </w:rPr>
        <w:t>理</w:t>
      </w:r>
      <w:r>
        <w:rPr>
          <w:spacing w:val="4"/>
        </w:rPr>
        <w:t>能力</w:t>
      </w:r>
      <w:r>
        <w:rPr>
          <w:spacing w:val="7"/>
        </w:rPr>
        <w:t>再</w:t>
      </w:r>
      <w:r>
        <w:rPr>
          <w:spacing w:val="4"/>
        </w:rPr>
        <w:t>上</w:t>
      </w:r>
      <w:r>
        <w:rPr>
          <w:spacing w:val="7"/>
        </w:rPr>
        <w:t>一</w:t>
      </w:r>
      <w:r>
        <w:rPr>
          <w:spacing w:val="4"/>
        </w:rPr>
        <w:t>个新</w:t>
      </w:r>
      <w:r>
        <w:t>台</w:t>
      </w:r>
      <w:r>
        <w:rPr>
          <w:spacing w:val="-1"/>
        </w:rPr>
        <w:t>阶</w:t>
      </w:r>
      <w:r>
        <w:rPr>
          <w:spacing w:val="-82"/>
        </w:rPr>
        <w:t>，</w:t>
      </w:r>
      <w:r>
        <w:t>全</w:t>
      </w:r>
      <w:r>
        <w:rPr>
          <w:spacing w:val="-3"/>
        </w:rPr>
        <w:t>力</w:t>
      </w:r>
      <w:r>
        <w:t>做好</w:t>
      </w:r>
      <w:r>
        <w:rPr>
          <w:spacing w:val="-3"/>
        </w:rPr>
        <w:t>挥</w:t>
      </w:r>
      <w:r>
        <w:t>发性</w:t>
      </w:r>
      <w:r>
        <w:rPr>
          <w:spacing w:val="-3"/>
        </w:rPr>
        <w:t>有</w:t>
      </w:r>
      <w:r>
        <w:t>机物</w:t>
      </w:r>
      <w:r>
        <w:rPr>
          <w:spacing w:val="-3"/>
        </w:rPr>
        <w:t>污</w:t>
      </w:r>
      <w:r>
        <w:t>染防</w:t>
      </w:r>
      <w:r>
        <w:rPr>
          <w:spacing w:val="-3"/>
        </w:rPr>
        <w:t>治</w:t>
      </w:r>
      <w:r>
        <w:t>管控</w:t>
      </w:r>
      <w:r>
        <w:rPr>
          <w:spacing w:val="-80"/>
        </w:rPr>
        <w:t>，</w:t>
      </w:r>
      <w:r>
        <w:t>立</w:t>
      </w:r>
      <w:r>
        <w:rPr>
          <w:spacing w:val="-3"/>
        </w:rPr>
        <w:t>行</w:t>
      </w:r>
      <w:r>
        <w:t>立</w:t>
      </w:r>
      <w:r>
        <w:rPr>
          <w:spacing w:val="-3"/>
        </w:rPr>
        <w:t>改</w:t>
      </w:r>
      <w:r>
        <w:rPr>
          <w:spacing w:val="-80"/>
        </w:rPr>
        <w:t>，</w:t>
      </w:r>
      <w:r>
        <w:t>加</w:t>
      </w:r>
      <w:r>
        <w:rPr>
          <w:spacing w:val="-3"/>
        </w:rPr>
        <w:t>强</w:t>
      </w:r>
      <w:r>
        <w:t>科技</w:t>
      </w:r>
      <w:r>
        <w:rPr>
          <w:spacing w:val="-3"/>
        </w:rPr>
        <w:t>监</w:t>
      </w:r>
      <w:r>
        <w:t>测， 确</w:t>
      </w:r>
      <w:r>
        <w:rPr>
          <w:spacing w:val="-3"/>
        </w:rPr>
        <w:t>保</w:t>
      </w:r>
      <w:r>
        <w:t>挥发</w:t>
      </w:r>
      <w:r>
        <w:rPr>
          <w:spacing w:val="-3"/>
        </w:rPr>
        <w:t>性</w:t>
      </w:r>
      <w:r>
        <w:t>有机</w:t>
      </w:r>
      <w:r>
        <w:rPr>
          <w:spacing w:val="-3"/>
        </w:rPr>
        <w:t>物</w:t>
      </w:r>
      <w:r>
        <w:t>治理</w:t>
      </w:r>
      <w:r>
        <w:rPr>
          <w:spacing w:val="-3"/>
        </w:rPr>
        <w:t>取</w:t>
      </w:r>
      <w:r>
        <w:t>得实</w:t>
      </w:r>
      <w:r>
        <w:rPr>
          <w:spacing w:val="-3"/>
        </w:rPr>
        <w:t>效</w:t>
      </w:r>
      <w:r>
        <w:t>。</w:t>
      </w:r>
    </w:p>
    <w:p w14:paraId="6EF0B569">
      <w:pPr>
        <w:pStyle w:val="5"/>
        <w:spacing w:line="354" w:lineRule="exact"/>
      </w:pPr>
      <w:bookmarkStart w:id="50" w:name="_bookmark26"/>
      <w:bookmarkEnd w:id="50"/>
      <w:r>
        <w:rPr>
          <w:rFonts w:ascii="Calibri" w:eastAsia="Calibri"/>
        </w:rPr>
        <w:t>2</w:t>
      </w:r>
      <w:r>
        <w:t>、大气环境质量保护主要任务及措施</w:t>
      </w:r>
    </w:p>
    <w:p w14:paraId="54B368B7">
      <w:pPr>
        <w:pStyle w:val="6"/>
        <w:rPr>
          <w:b/>
          <w:sz w:val="30"/>
        </w:rPr>
      </w:pPr>
    </w:p>
    <w:p w14:paraId="3F0F2D30">
      <w:pPr>
        <w:pStyle w:val="6"/>
        <w:spacing w:line="417" w:lineRule="auto"/>
        <w:ind w:left="720" w:right="719" w:firstLine="559"/>
        <w:jc w:val="both"/>
      </w:pPr>
      <w:r>
        <w:rPr>
          <w:spacing w:val="-10"/>
        </w:rPr>
        <w:t>依照《大气污染防治法》、《大气污染防治行动计划》、《安徽</w:t>
      </w:r>
      <w:r>
        <w:rPr>
          <w:spacing w:val="-4"/>
        </w:rPr>
        <w:t>省大气污染防治条例》 、《淮北市主要污染物总量减排工作实施方</w:t>
      </w:r>
      <w:r>
        <w:rPr>
          <w:spacing w:val="-3"/>
        </w:rPr>
        <w:t>案》、《安徽省人民政府关于濉溪经济开发区扩区的批复》(皖政秘[2013]19</w:t>
      </w:r>
      <w:r>
        <w:rPr>
          <w:spacing w:val="-10"/>
        </w:rPr>
        <w:t xml:space="preserve"> 号)等制定十四五期间大气污染物减排战略路线。</w:t>
      </w:r>
    </w:p>
    <w:p w14:paraId="29ECD453">
      <w:pPr>
        <w:spacing w:after="0" w:line="417" w:lineRule="auto"/>
        <w:jc w:val="both"/>
        <w:sectPr>
          <w:pgSz w:w="11910" w:h="16840"/>
          <w:pgMar w:top="1420" w:right="1080" w:bottom="1360" w:left="1080" w:header="878" w:footer="1164" w:gutter="0"/>
          <w:pgNumType w:fmt="decimal"/>
          <w:cols w:space="720" w:num="1"/>
        </w:sectPr>
      </w:pPr>
    </w:p>
    <w:p w14:paraId="10447213">
      <w:pPr>
        <w:pStyle w:val="6"/>
        <w:spacing w:before="143" w:line="417" w:lineRule="auto"/>
        <w:ind w:left="720" w:right="578" w:firstLine="420"/>
      </w:pPr>
      <w:r>
        <w:rPr>
          <w:b/>
          <w:spacing w:val="-11"/>
        </w:rPr>
        <w:t>进一步推进重点项目实施，加快工业炉窑治理特排提标任务实施。</w:t>
      </w:r>
      <w:r>
        <w:rPr>
          <w:spacing w:val="-12"/>
        </w:rPr>
        <w:t>“十四五”期间，深入开展锅炉综合整治，全面执行锅炉颗粒物、二</w:t>
      </w:r>
      <w:r>
        <w:rPr>
          <w:spacing w:val="-16"/>
        </w:rPr>
        <w:t xml:space="preserve">氧化硫和氮氧化物特别排放限值。推进“散尘”治理，狠抓“散乱污” </w:t>
      </w:r>
      <w:r>
        <w:rPr>
          <w:spacing w:val="-13"/>
        </w:rPr>
        <w:t>综合整治，对“散乱污”企业实施分类处置，严防“散乱污”企业死</w:t>
      </w:r>
      <w:r>
        <w:rPr>
          <w:spacing w:val="-12"/>
        </w:rPr>
        <w:t>灰复燃、异地转移，实现“散乱污”企业动态管理，对违规违法企业进行实名制曝光、批评、处罚，责令其停产改造，甚至是查封。深化</w:t>
      </w:r>
      <w:r>
        <w:rPr>
          <w:spacing w:val="-6"/>
        </w:rPr>
        <w:t>工业污染治理，加大环境执法力度，</w:t>
      </w:r>
      <w:r>
        <w:rPr>
          <w:spacing w:val="-3"/>
        </w:rPr>
        <w:t>2020</w:t>
      </w:r>
      <w:r>
        <w:rPr>
          <w:spacing w:val="-35"/>
        </w:rPr>
        <w:t xml:space="preserve"> 年至 </w:t>
      </w:r>
      <w:r>
        <w:t>2021</w:t>
      </w:r>
      <w:r>
        <w:rPr>
          <w:spacing w:val="-12"/>
        </w:rPr>
        <w:t xml:space="preserve"> 年，重点做好超</w:t>
      </w:r>
      <w:r>
        <w:rPr>
          <w:spacing w:val="-11"/>
        </w:rPr>
        <w:t>标排放处罚，未达标排放的企业一律依法停产整治，重点检查高污染</w:t>
      </w:r>
      <w:r>
        <w:rPr>
          <w:spacing w:val="-12"/>
        </w:rPr>
        <w:t>企业的自行监测，确保企业监测报告符合规定具有参考性。进一步调</w:t>
      </w:r>
      <w:r>
        <w:rPr>
          <w:spacing w:val="-11"/>
        </w:rPr>
        <w:t>整扩大高污染燃料禁燃区范围，禁燃区禁止销售、使用煤炭及煤炭制</w:t>
      </w:r>
      <w:r>
        <w:rPr>
          <w:spacing w:val="-12"/>
        </w:rPr>
        <w:t>品等高污染燃料，加强推进燃煤锅炉淘汰和整治，建设焦炉煤气深度脱氨项目新增硫铵工程，在原有脱硫工段后增加硫铵装置，利用煤气</w:t>
      </w:r>
      <w:r>
        <w:rPr>
          <w:spacing w:val="-11"/>
        </w:rPr>
        <w:t>中的氨生产硫酸铵产品；“十四五”期间，要求对剩余工业企业、工</w:t>
      </w:r>
      <w:r>
        <w:rPr>
          <w:spacing w:val="-12"/>
        </w:rPr>
        <w:t>业锅炉进行改造，要求其必须达到特别排放限值标准，未完成排放限</w:t>
      </w:r>
      <w:r>
        <w:rPr>
          <w:spacing w:val="-11"/>
        </w:rPr>
        <w:t>值改造的停产治理；已有行业排放标准的工业炉窑，严格执行排放标</w:t>
      </w:r>
      <w:r>
        <w:rPr>
          <w:spacing w:val="-12"/>
        </w:rPr>
        <w:t>准要求，确保达标排放，暂未制定行业排放标准的，参照相关行业已</w:t>
      </w:r>
      <w:r>
        <w:rPr>
          <w:spacing w:val="-11"/>
        </w:rPr>
        <w:t>出台的标准，全面加大污染治理力度；加强无组织排放管理，生产工</w:t>
      </w:r>
      <w:r>
        <w:rPr>
          <w:spacing w:val="-5"/>
        </w:rPr>
        <w:t xml:space="preserve">艺过程及相关物料储存、输送等全流程，在保障生产安全的前提下， </w:t>
      </w:r>
      <w:r>
        <w:rPr>
          <w:spacing w:val="-12"/>
        </w:rPr>
        <w:t>采取密闭、封闭等有效措施，提高废气收集率；建设砖瓦窑炉示范企</w:t>
      </w:r>
      <w:r>
        <w:rPr>
          <w:spacing w:val="-5"/>
        </w:rPr>
        <w:t>业，实行典型带动，完成全县砖瓦窑厂达标改造。</w:t>
      </w:r>
    </w:p>
    <w:p w14:paraId="76E23A4D">
      <w:pPr>
        <w:spacing w:before="0" w:line="417" w:lineRule="auto"/>
        <w:ind w:left="720" w:right="578" w:firstLine="559"/>
        <w:jc w:val="left"/>
        <w:rPr>
          <w:sz w:val="28"/>
        </w:rPr>
      </w:pPr>
      <w:r>
        <w:rPr>
          <w:b/>
          <w:spacing w:val="-21"/>
          <w:sz w:val="28"/>
        </w:rPr>
        <w:t xml:space="preserve">按照《淮北市关于开展 </w:t>
      </w:r>
      <w:r>
        <w:rPr>
          <w:b/>
          <w:sz w:val="28"/>
        </w:rPr>
        <w:t>VOCs</w:t>
      </w:r>
      <w:r>
        <w:rPr>
          <w:b/>
          <w:spacing w:val="-9"/>
          <w:sz w:val="28"/>
        </w:rPr>
        <w:t xml:space="preserve"> 大气污染治理专项行动的实施方案》</w:t>
      </w:r>
      <w:r>
        <w:rPr>
          <w:b/>
          <w:sz w:val="28"/>
        </w:rPr>
        <w:t>要求，加快推进重点企业VOCs</w:t>
      </w:r>
      <w:r>
        <w:rPr>
          <w:b/>
          <w:spacing w:val="-23"/>
          <w:sz w:val="28"/>
        </w:rPr>
        <w:t xml:space="preserve"> 治理。</w:t>
      </w:r>
      <w:r>
        <w:rPr>
          <w:sz w:val="28"/>
        </w:rPr>
        <w:t>2020</w:t>
      </w:r>
      <w:r>
        <w:rPr>
          <w:spacing w:val="-37"/>
          <w:sz w:val="28"/>
        </w:rPr>
        <w:t xml:space="preserve"> 年至 </w:t>
      </w:r>
      <w:r>
        <w:rPr>
          <w:sz w:val="28"/>
        </w:rPr>
        <w:t>2021</w:t>
      </w:r>
      <w:r>
        <w:rPr>
          <w:spacing w:val="-14"/>
          <w:sz w:val="28"/>
        </w:rPr>
        <w:t xml:space="preserve"> 年，督查医药、</w:t>
      </w:r>
    </w:p>
    <w:p w14:paraId="2F95EB6E">
      <w:pPr>
        <w:spacing w:after="0" w:line="417" w:lineRule="auto"/>
        <w:jc w:val="left"/>
        <w:rPr>
          <w:sz w:val="28"/>
        </w:rPr>
        <w:sectPr>
          <w:pgSz w:w="11910" w:h="16840"/>
          <w:pgMar w:top="1420" w:right="1080" w:bottom="1360" w:left="1080" w:header="878" w:footer="1164" w:gutter="0"/>
          <w:pgNumType w:fmt="decimal"/>
          <w:cols w:space="720" w:num="1"/>
        </w:sectPr>
      </w:pPr>
    </w:p>
    <w:p w14:paraId="69AAC18D">
      <w:pPr>
        <w:pStyle w:val="6"/>
        <w:spacing w:before="143" w:line="417" w:lineRule="auto"/>
        <w:ind w:left="720" w:right="578"/>
      </w:pPr>
      <w:r>
        <w:rPr>
          <w:spacing w:val="11"/>
        </w:rPr>
        <w:t>包装印刷等</w:t>
      </w:r>
      <w:r>
        <w:t>VOCs</w:t>
      </w:r>
      <w:r>
        <w:rPr>
          <w:spacing w:val="-11"/>
        </w:rPr>
        <w:t xml:space="preserve"> 重点排放企业，鼓励使用低(无)</w:t>
      </w:r>
      <w:r>
        <w:t>VOCs</w:t>
      </w:r>
      <w:r>
        <w:rPr>
          <w:spacing w:val="-12"/>
        </w:rPr>
        <w:t xml:space="preserve"> 含量的原辅材</w:t>
      </w:r>
      <w:r>
        <w:rPr>
          <w:spacing w:val="-14"/>
        </w:rPr>
        <w:t xml:space="preserve">料，提高废气收集能力，安装高效治理设施，完成重点企业 </w:t>
      </w:r>
      <w:r>
        <w:t>VOCs</w:t>
      </w:r>
      <w:r>
        <w:rPr>
          <w:spacing w:val="-32"/>
        </w:rPr>
        <w:t xml:space="preserve"> 的</w:t>
      </w:r>
      <w:r>
        <w:rPr>
          <w:spacing w:val="-27"/>
        </w:rPr>
        <w:t>监控体系建设，形成有效的管理机制，加大</w:t>
      </w:r>
      <w:r>
        <w:t>VOCs</w:t>
      </w:r>
      <w:r>
        <w:rPr>
          <w:spacing w:val="-9"/>
        </w:rPr>
        <w:t xml:space="preserve"> 的回收利用力度， </w:t>
      </w:r>
      <w:r>
        <w:rPr>
          <w:spacing w:val="3"/>
        </w:rPr>
        <w:t>对无法回收利用的按照相关技术规范要求选择末端治理工艺，确保VOCs</w:t>
      </w:r>
      <w:r>
        <w:rPr>
          <w:spacing w:val="-17"/>
        </w:rPr>
        <w:t xml:space="preserve"> 的达标排放，对重点企业实行</w:t>
      </w:r>
      <w:r>
        <w:t>VOCs</w:t>
      </w:r>
      <w:r>
        <w:rPr>
          <w:spacing w:val="-19"/>
        </w:rPr>
        <w:t xml:space="preserve"> 排放总量控制，安装厂区</w:t>
      </w:r>
      <w:r>
        <w:t xml:space="preserve">VOCs </w:t>
      </w:r>
      <w:r>
        <w:rPr>
          <w:spacing w:val="-11"/>
        </w:rPr>
        <w:t xml:space="preserve">在线监测系统，做到重点排放企业厂内 </w:t>
      </w:r>
      <w:r>
        <w:t>VOCs</w:t>
      </w:r>
      <w:r>
        <w:rPr>
          <w:spacing w:val="-15"/>
        </w:rPr>
        <w:t xml:space="preserve"> 实时监测。到“十四五” </w:t>
      </w:r>
      <w:r>
        <w:rPr>
          <w:spacing w:val="1"/>
        </w:rPr>
        <w:t>末期，全县</w:t>
      </w:r>
      <w:r>
        <w:t>VOCs</w:t>
      </w:r>
      <w:r>
        <w:rPr>
          <w:spacing w:val="-8"/>
        </w:rPr>
        <w:t xml:space="preserve"> 排放总量较“十三五”时期有所下降，完成省下达</w:t>
      </w:r>
      <w:r>
        <w:rPr>
          <w:spacing w:val="-3"/>
        </w:rPr>
        <w:t>的目标任务。</w:t>
      </w:r>
    </w:p>
    <w:p w14:paraId="6FB6C042">
      <w:pPr>
        <w:spacing w:before="0" w:line="417" w:lineRule="auto"/>
        <w:ind w:left="720" w:right="719" w:firstLine="559"/>
        <w:jc w:val="both"/>
        <w:rPr>
          <w:sz w:val="28"/>
        </w:rPr>
      </w:pPr>
      <w:r>
        <w:rPr>
          <w:b/>
          <w:spacing w:val="-10"/>
          <w:sz w:val="28"/>
        </w:rPr>
        <w:t>加强餐饮油烟污染整治，合理规划餐饮服务业布点。</w:t>
      </w:r>
      <w:r>
        <w:rPr>
          <w:spacing w:val="-2"/>
          <w:sz w:val="28"/>
        </w:rPr>
        <w:t>合理划定管</w:t>
      </w:r>
      <w:r>
        <w:rPr>
          <w:spacing w:val="-10"/>
          <w:sz w:val="28"/>
        </w:rPr>
        <w:t>理露天烧烤区域，严格把关新建餐饮服务业项目的审批，确保油烟稳</w:t>
      </w:r>
      <w:r>
        <w:rPr>
          <w:spacing w:val="-4"/>
          <w:sz w:val="28"/>
        </w:rPr>
        <w:t>定达标排放。</w:t>
      </w:r>
    </w:p>
    <w:p w14:paraId="5F66D89F">
      <w:pPr>
        <w:spacing w:before="118" w:line="417" w:lineRule="auto"/>
        <w:ind w:left="720" w:right="580" w:firstLine="559"/>
        <w:jc w:val="left"/>
        <w:rPr>
          <w:sz w:val="28"/>
        </w:rPr>
      </w:pPr>
      <w:r>
        <w:rPr>
          <w:b/>
          <w:spacing w:val="-7"/>
          <w:sz w:val="28"/>
        </w:rPr>
        <w:t>加强濉溪县全域范围内扬尘污染防治，源头控制扬尘的产生。</w:t>
      </w:r>
      <w:r>
        <w:rPr>
          <w:sz w:val="28"/>
        </w:rPr>
        <w:t>增</w:t>
      </w:r>
      <w:r>
        <w:rPr>
          <w:spacing w:val="-18"/>
          <w:sz w:val="28"/>
        </w:rPr>
        <w:t xml:space="preserve">加城区洒水力度，尤其在干燥大风时节；规范各类施工工地日常作业， </w:t>
      </w:r>
      <w:r>
        <w:rPr>
          <w:spacing w:val="-5"/>
          <w:sz w:val="28"/>
        </w:rPr>
        <w:t>混凝土搅拌站、物料堆场、物料运输等增加遮盖布和洒水力度。</w:t>
      </w:r>
    </w:p>
    <w:p w14:paraId="3E259EA6">
      <w:pPr>
        <w:pStyle w:val="6"/>
        <w:spacing w:before="119" w:line="417" w:lineRule="auto"/>
        <w:ind w:left="720" w:right="719" w:firstLine="559"/>
        <w:jc w:val="both"/>
      </w:pPr>
      <w:r>
        <w:rPr>
          <w:b/>
          <w:spacing w:val="-10"/>
        </w:rPr>
        <w:t>继续推广绿色出行，大力发展公共交通。</w:t>
      </w:r>
      <w:r>
        <w:rPr>
          <w:spacing w:val="-3"/>
        </w:rPr>
        <w:t>加强城市步行和自行车</w:t>
      </w:r>
      <w:r>
        <w:rPr>
          <w:spacing w:val="-11"/>
        </w:rPr>
        <w:t>交通系统建设，增加公共自行车及公共电动车的覆盖面，继续推广使用新能源公交车和出租车，新增电动车充电桩及充电车位公用充电设</w:t>
      </w:r>
      <w:r>
        <w:rPr>
          <w:spacing w:val="-5"/>
        </w:rPr>
        <w:t>施，鼓励绿色出行。</w:t>
      </w:r>
    </w:p>
    <w:p w14:paraId="62C21C63">
      <w:pPr>
        <w:pStyle w:val="6"/>
        <w:spacing w:line="417" w:lineRule="auto"/>
        <w:ind w:left="720" w:right="608" w:firstLine="559"/>
      </w:pPr>
      <w:r>
        <w:rPr>
          <w:b/>
          <w:spacing w:val="-1"/>
        </w:rPr>
        <w:t>继续抓好农作物秸秆全面禁烧。</w:t>
      </w:r>
      <w:r>
        <w:rPr>
          <w:spacing w:val="-3"/>
        </w:rPr>
        <w:t xml:space="preserve">农忙时节，由县政府领导带队， </w:t>
      </w:r>
      <w:r>
        <w:rPr>
          <w:spacing w:val="-10"/>
        </w:rPr>
        <w:t>对全县范围内秸秆禁烧巡查，确保“十四五”期间全县范围内不发生</w:t>
      </w:r>
      <w:r>
        <w:rPr>
          <w:spacing w:val="-11"/>
        </w:rPr>
        <w:t>私自焚烧农作物秸秆事件。引进新技术，推进秸秆机械化粉碎还田使</w:t>
      </w:r>
    </w:p>
    <w:p w14:paraId="41208DE4">
      <w:pPr>
        <w:spacing w:after="0" w:line="417" w:lineRule="auto"/>
        <w:sectPr>
          <w:pgSz w:w="11910" w:h="16840"/>
          <w:pgMar w:top="1420" w:right="1080" w:bottom="1360" w:left="1080" w:header="878" w:footer="1164" w:gutter="0"/>
          <w:pgNumType w:fmt="decimal"/>
          <w:cols w:space="720" w:num="1"/>
        </w:sectPr>
      </w:pPr>
    </w:p>
    <w:p w14:paraId="5325C26C">
      <w:pPr>
        <w:pStyle w:val="6"/>
        <w:spacing w:before="143" w:line="417" w:lineRule="auto"/>
        <w:ind w:left="720" w:right="717"/>
      </w:pPr>
      <w:r>
        <w:rPr>
          <w:spacing w:val="-11"/>
        </w:rPr>
        <w:t>用，积极探索秸秆发电、饲料化、肥料化等渠道，提高秸秆能源利用率。</w:t>
      </w:r>
    </w:p>
    <w:p w14:paraId="6AC945CD">
      <w:pPr>
        <w:spacing w:before="0" w:line="417" w:lineRule="auto"/>
        <w:ind w:left="720" w:right="719" w:firstLine="559"/>
        <w:jc w:val="left"/>
        <w:rPr>
          <w:sz w:val="28"/>
        </w:rPr>
      </w:pPr>
      <w:r>
        <w:rPr>
          <w:b/>
          <w:spacing w:val="-10"/>
          <w:sz w:val="28"/>
        </w:rPr>
        <w:t>加强全域范围内燃油管理。</w:t>
      </w:r>
      <w:r>
        <w:rPr>
          <w:spacing w:val="-3"/>
          <w:sz w:val="28"/>
        </w:rPr>
        <w:t>严把车用成品油生产和流通准入审查关，排查加油站、油罐车和储油库油气回收治理系统使用状况。</w:t>
      </w:r>
    </w:p>
    <w:p w14:paraId="36D0B38A">
      <w:pPr>
        <w:pStyle w:val="4"/>
        <w:tabs>
          <w:tab w:val="left" w:pos="4427"/>
        </w:tabs>
        <w:ind w:left="3208"/>
      </w:pPr>
      <w:bookmarkStart w:id="51" w:name="第3节  声环境保护规划"/>
      <w:bookmarkEnd w:id="51"/>
      <w:bookmarkStart w:id="52" w:name="_bookmark27"/>
      <w:bookmarkEnd w:id="52"/>
      <w:r>
        <w:t>第</w:t>
      </w:r>
      <w:r>
        <w:rPr>
          <w:spacing w:val="-76"/>
        </w:rPr>
        <w:t xml:space="preserve"> </w:t>
      </w:r>
      <w:r>
        <w:rPr>
          <w:rFonts w:ascii="Arial" w:eastAsia="Arial"/>
        </w:rPr>
        <w:t>3</w:t>
      </w:r>
      <w:r>
        <w:rPr>
          <w:rFonts w:ascii="Arial" w:eastAsia="Arial"/>
          <w:spacing w:val="-8"/>
        </w:rPr>
        <w:t xml:space="preserve"> </w:t>
      </w:r>
      <w:r>
        <w:t>节</w:t>
      </w:r>
      <w:r>
        <w:tab/>
      </w:r>
      <w:r>
        <w:t>声环境保护规划</w:t>
      </w:r>
    </w:p>
    <w:p w14:paraId="67931ABF">
      <w:pPr>
        <w:pStyle w:val="6"/>
        <w:spacing w:before="12"/>
        <w:rPr>
          <w:b/>
          <w:sz w:val="39"/>
        </w:rPr>
      </w:pPr>
    </w:p>
    <w:p w14:paraId="5279AA4D">
      <w:pPr>
        <w:pStyle w:val="5"/>
      </w:pPr>
      <w:bookmarkStart w:id="53" w:name="_bookmark28"/>
      <w:bookmarkEnd w:id="53"/>
      <w:bookmarkStart w:id="54" w:name="1、声环境保护规划目标"/>
      <w:bookmarkEnd w:id="54"/>
      <w:r>
        <w:rPr>
          <w:rFonts w:ascii="Calibri" w:eastAsia="Calibri"/>
        </w:rPr>
        <w:t>1</w:t>
      </w:r>
      <w:r>
        <w:t>、声环境保护规划目标</w:t>
      </w:r>
    </w:p>
    <w:p w14:paraId="294705BD">
      <w:pPr>
        <w:pStyle w:val="6"/>
        <w:spacing w:before="1"/>
        <w:rPr>
          <w:b/>
          <w:sz w:val="41"/>
        </w:rPr>
      </w:pPr>
    </w:p>
    <w:p w14:paraId="1D7B01D4">
      <w:pPr>
        <w:pStyle w:val="6"/>
        <w:spacing w:line="417" w:lineRule="auto"/>
        <w:ind w:left="720" w:right="719" w:firstLine="561"/>
        <w:jc w:val="both"/>
      </w:pPr>
      <w:r>
        <w:rPr>
          <w:spacing w:val="-11"/>
        </w:rPr>
        <w:t>“十四五”期间，声环境质量保护的重点继续放在削减交通干线</w:t>
      </w:r>
      <w:r>
        <w:rPr>
          <w:spacing w:val="-2"/>
        </w:rPr>
        <w:t>噪声上，等效连续</w:t>
      </w:r>
      <w:r>
        <w:t>A</w:t>
      </w:r>
      <w:r>
        <w:rPr>
          <w:spacing w:val="-15"/>
        </w:rPr>
        <w:t xml:space="preserve"> 声级平均值控制在 </w:t>
      </w:r>
      <w:r>
        <w:t>70</w:t>
      </w:r>
      <w:r>
        <w:rPr>
          <w:spacing w:val="-8"/>
        </w:rPr>
        <w:t xml:space="preserve"> 分贝以内，进一步扩大城</w:t>
      </w:r>
      <w:r>
        <w:rPr>
          <w:spacing w:val="-3"/>
        </w:rPr>
        <w:t>区禁鸣范围，全县区域声环境分别达到功能区划标准要求。</w:t>
      </w:r>
    </w:p>
    <w:p w14:paraId="45BF43BD">
      <w:pPr>
        <w:pStyle w:val="6"/>
        <w:spacing w:before="3"/>
        <w:rPr>
          <w:sz w:val="20"/>
        </w:rPr>
      </w:pPr>
    </w:p>
    <w:p w14:paraId="33736B38">
      <w:pPr>
        <w:pStyle w:val="5"/>
      </w:pPr>
      <w:bookmarkStart w:id="55" w:name="_bookmark29"/>
      <w:bookmarkEnd w:id="55"/>
      <w:bookmarkStart w:id="56" w:name="2、声环境保护规划主要任务及措施"/>
      <w:bookmarkEnd w:id="56"/>
      <w:r>
        <w:rPr>
          <w:rFonts w:ascii="Calibri" w:eastAsia="Calibri"/>
        </w:rPr>
        <w:t>2</w:t>
      </w:r>
      <w:r>
        <w:t>、声环境保护规划主要任务及措施</w:t>
      </w:r>
    </w:p>
    <w:p w14:paraId="6927DB72">
      <w:pPr>
        <w:pStyle w:val="6"/>
        <w:spacing w:before="11"/>
        <w:rPr>
          <w:b/>
          <w:sz w:val="40"/>
        </w:rPr>
      </w:pPr>
    </w:p>
    <w:p w14:paraId="1872F948">
      <w:pPr>
        <w:pStyle w:val="6"/>
        <w:spacing w:before="1" w:line="417" w:lineRule="auto"/>
        <w:ind w:left="720" w:right="580" w:firstLine="559"/>
      </w:pPr>
      <w:r>
        <w:rPr>
          <w:spacing w:val="-16"/>
          <w:w w:val="100"/>
        </w:rPr>
        <w:t>噪声主要来源于交通噪声、建筑施工及工业区，“十四五”期间，</w:t>
      </w:r>
      <w:r>
        <w:rPr>
          <w:spacing w:val="-5"/>
        </w:rPr>
        <w:t>濉溪县将继续加强噪声管理，尽量从源头控制噪声。</w:t>
      </w:r>
    </w:p>
    <w:p w14:paraId="6DAFC0FD">
      <w:pPr>
        <w:pStyle w:val="6"/>
        <w:spacing w:before="119" w:line="417" w:lineRule="auto"/>
        <w:ind w:left="720" w:right="719" w:firstLine="559"/>
        <w:jc w:val="both"/>
      </w:pPr>
      <w:r>
        <w:rPr>
          <w:b/>
          <w:spacing w:val="-8"/>
        </w:rPr>
        <w:t>强化城区噪声区域的建设和管制。</w:t>
      </w:r>
      <w:r>
        <w:rPr>
          <w:spacing w:val="-3"/>
        </w:rPr>
        <w:t>对于南部次等新建城区进行科</w:t>
      </w:r>
      <w:r>
        <w:rPr>
          <w:spacing w:val="-12"/>
        </w:rPr>
        <w:t>学规划，合理安排声功能区和建设布局，科学设定建筑物与交通干线</w:t>
      </w:r>
      <w:r>
        <w:rPr>
          <w:spacing w:val="-11"/>
        </w:rPr>
        <w:t>的噪声防护距离，增加减噪路面的覆盖率，严格按照环评要求设置声</w:t>
      </w:r>
      <w:r>
        <w:rPr>
          <w:spacing w:val="-12"/>
        </w:rPr>
        <w:t>屏障，加强环境噪声污染的防治措施，划定行政区域内各类声环境质</w:t>
      </w:r>
      <w:r>
        <w:rPr>
          <w:spacing w:val="-10"/>
        </w:rPr>
        <w:t xml:space="preserve">量的标准，确保新城区环境噪声达标区覆盖率达到 </w:t>
      </w:r>
      <w:r>
        <w:rPr>
          <w:spacing w:val="-4"/>
        </w:rPr>
        <w:t>100</w:t>
      </w:r>
      <w:r>
        <w:rPr>
          <w:spacing w:val="-3"/>
        </w:rPr>
        <w:t>％；对于已建</w:t>
      </w:r>
      <w:r>
        <w:rPr>
          <w:spacing w:val="-11"/>
        </w:rPr>
        <w:t>城区，加强管理，严格按照各类声功能区域噪声标准进行管制，确保</w:t>
      </w:r>
      <w:r>
        <w:rPr>
          <w:spacing w:val="-5"/>
        </w:rPr>
        <w:t>各类功能区环境噪声达标排放。</w:t>
      </w:r>
    </w:p>
    <w:p w14:paraId="465BB033">
      <w:pPr>
        <w:spacing w:after="0" w:line="417" w:lineRule="auto"/>
        <w:jc w:val="both"/>
        <w:sectPr>
          <w:pgSz w:w="11910" w:h="16840"/>
          <w:pgMar w:top="1420" w:right="1080" w:bottom="1360" w:left="1080" w:header="878" w:footer="1164" w:gutter="0"/>
          <w:pgNumType w:fmt="decimal"/>
          <w:cols w:space="720" w:num="1"/>
        </w:sectPr>
      </w:pPr>
    </w:p>
    <w:p w14:paraId="28BCBC2A">
      <w:pPr>
        <w:pStyle w:val="6"/>
        <w:spacing w:before="143" w:line="417" w:lineRule="auto"/>
        <w:ind w:left="720" w:right="623" w:firstLine="559"/>
      </w:pPr>
      <w:r>
        <w:rPr>
          <w:b/>
        </w:rPr>
        <w:t>加强建筑施工噪声监管力度。</w:t>
      </w:r>
      <w:r>
        <w:t>加大有关防治建筑施工噪声的法律、法规的执法力度，监督检查施工机械的减震降噪装置及使用率， 施工期间噪声值是否符合区域环境噪声标准，对超标区域进行整治和惩罚，降低施工噪声对环境及周围居民的影响。</w:t>
      </w:r>
    </w:p>
    <w:p w14:paraId="0A3B2B5A">
      <w:pPr>
        <w:pStyle w:val="6"/>
        <w:spacing w:line="417" w:lineRule="auto"/>
        <w:ind w:left="720" w:right="580" w:firstLine="559"/>
      </w:pPr>
      <w:r>
        <w:rPr>
          <w:b/>
          <w:spacing w:val="-3"/>
        </w:rPr>
        <w:t>强化工业区噪声污染控制。</w:t>
      </w:r>
      <w:r>
        <w:rPr>
          <w:spacing w:val="-11"/>
        </w:rPr>
        <w:t>对产噪的新、改、扩建项目，加强噪</w:t>
      </w:r>
      <w:r>
        <w:rPr>
          <w:spacing w:val="-18"/>
        </w:rPr>
        <w:t xml:space="preserve">声污染防治管理，合理规划厂区产噪区域的布局，增加配套降噪设施， </w:t>
      </w:r>
      <w:r>
        <w:rPr>
          <w:spacing w:val="-13"/>
        </w:rPr>
        <w:t>扩大绿化面积，降低噪声对周围环境的影响；在工业区和居住区之间</w:t>
      </w:r>
      <w:r>
        <w:rPr>
          <w:spacing w:val="-12"/>
        </w:rPr>
        <w:t>设置合理的噪声安全距离，建立绿化隔离带，降低工业区噪声对居住</w:t>
      </w:r>
      <w:r>
        <w:rPr>
          <w:spacing w:val="-4"/>
        </w:rPr>
        <w:t>区的影响。</w:t>
      </w:r>
    </w:p>
    <w:p w14:paraId="7C10F57D">
      <w:pPr>
        <w:pStyle w:val="4"/>
        <w:tabs>
          <w:tab w:val="left" w:pos="3825"/>
        </w:tabs>
        <w:spacing w:before="245"/>
        <w:ind w:left="2606"/>
      </w:pPr>
      <w:bookmarkStart w:id="57" w:name="_bookmark30"/>
      <w:bookmarkEnd w:id="57"/>
      <w:bookmarkStart w:id="58" w:name="第4节  固体废弃物污染防治规划"/>
      <w:bookmarkEnd w:id="58"/>
      <w:r>
        <w:t>第</w:t>
      </w:r>
      <w:r>
        <w:rPr>
          <w:spacing w:val="-76"/>
        </w:rPr>
        <w:t xml:space="preserve"> </w:t>
      </w:r>
      <w:r>
        <w:rPr>
          <w:rFonts w:ascii="Arial" w:eastAsia="Arial"/>
        </w:rPr>
        <w:t>4</w:t>
      </w:r>
      <w:r>
        <w:rPr>
          <w:rFonts w:ascii="Arial" w:eastAsia="Arial"/>
          <w:spacing w:val="-8"/>
        </w:rPr>
        <w:t xml:space="preserve"> </w:t>
      </w:r>
      <w:r>
        <w:t>节</w:t>
      </w:r>
      <w:r>
        <w:tab/>
      </w:r>
      <w:r>
        <w:t>固体废弃物污染防治规划</w:t>
      </w:r>
    </w:p>
    <w:p w14:paraId="5DB780E2">
      <w:pPr>
        <w:pStyle w:val="6"/>
        <w:spacing w:before="12"/>
        <w:rPr>
          <w:b/>
          <w:sz w:val="39"/>
        </w:rPr>
      </w:pPr>
    </w:p>
    <w:p w14:paraId="23C15764">
      <w:pPr>
        <w:pStyle w:val="5"/>
      </w:pPr>
      <w:bookmarkStart w:id="59" w:name="1、固体废弃物污染防治目标"/>
      <w:bookmarkEnd w:id="59"/>
      <w:bookmarkStart w:id="60" w:name="_bookmark31"/>
      <w:bookmarkEnd w:id="60"/>
      <w:r>
        <w:rPr>
          <w:rFonts w:ascii="Calibri" w:eastAsia="Calibri"/>
        </w:rPr>
        <w:t>1</w:t>
      </w:r>
      <w:r>
        <w:t>、固体废弃物污染防治目标</w:t>
      </w:r>
    </w:p>
    <w:p w14:paraId="0BB6A976">
      <w:pPr>
        <w:pStyle w:val="6"/>
        <w:spacing w:before="1"/>
        <w:rPr>
          <w:b/>
          <w:sz w:val="41"/>
        </w:rPr>
      </w:pPr>
    </w:p>
    <w:p w14:paraId="514E62C4">
      <w:pPr>
        <w:pStyle w:val="6"/>
        <w:spacing w:line="417" w:lineRule="auto"/>
        <w:ind w:left="720" w:right="719" w:firstLine="559"/>
      </w:pPr>
      <w:r>
        <w:rPr>
          <w:spacing w:val="-34"/>
        </w:rPr>
        <w:t xml:space="preserve">到 </w:t>
      </w:r>
      <w:r>
        <w:t>2025</w:t>
      </w:r>
      <w:r>
        <w:rPr>
          <w:spacing w:val="-10"/>
        </w:rPr>
        <w:t xml:space="preserve"> 年濉溪县一般工业固体废物排放总量明显减少，处置利</w:t>
      </w:r>
      <w:r>
        <w:rPr>
          <w:spacing w:val="-14"/>
        </w:rPr>
        <w:t xml:space="preserve">用率进一步提高，达到 </w:t>
      </w:r>
      <w:r>
        <w:t>98%</w:t>
      </w:r>
      <w:r>
        <w:rPr>
          <w:spacing w:val="-10"/>
        </w:rPr>
        <w:t xml:space="preserve">以上，危险废物处置率率达到 </w:t>
      </w:r>
      <w:r>
        <w:rPr>
          <w:spacing w:val="-8"/>
        </w:rPr>
        <w:t>100%</w:t>
      </w:r>
      <w:r>
        <w:rPr>
          <w:spacing w:val="-3"/>
        </w:rPr>
        <w:t>，不发生二次污染事件，县城生活垃圾得到有效处置，无害化处置率达到95%</w:t>
      </w:r>
      <w:r>
        <w:rPr>
          <w:spacing w:val="-2"/>
        </w:rPr>
        <w:t>以上。</w:t>
      </w:r>
    </w:p>
    <w:p w14:paraId="6589E9C6">
      <w:pPr>
        <w:pStyle w:val="6"/>
        <w:spacing w:before="2"/>
        <w:rPr>
          <w:sz w:val="20"/>
        </w:rPr>
      </w:pPr>
    </w:p>
    <w:p w14:paraId="18841A72">
      <w:pPr>
        <w:pStyle w:val="5"/>
      </w:pPr>
      <w:bookmarkStart w:id="61" w:name="2、固体废弃物污染防治主要任务及措施"/>
      <w:bookmarkEnd w:id="61"/>
      <w:bookmarkStart w:id="62" w:name="_bookmark32"/>
      <w:bookmarkEnd w:id="62"/>
      <w:r>
        <w:rPr>
          <w:rFonts w:ascii="Calibri" w:eastAsia="Calibri"/>
        </w:rPr>
        <w:t>2</w:t>
      </w:r>
      <w:r>
        <w:t>、固体废弃物污染防治主要任务及措施</w:t>
      </w:r>
    </w:p>
    <w:p w14:paraId="2DDCAEF5">
      <w:pPr>
        <w:pStyle w:val="6"/>
        <w:spacing w:before="8"/>
        <w:rPr>
          <w:b/>
          <w:sz w:val="42"/>
        </w:rPr>
      </w:pPr>
    </w:p>
    <w:p w14:paraId="1281888F">
      <w:pPr>
        <w:pStyle w:val="6"/>
        <w:spacing w:line="417" w:lineRule="auto"/>
        <w:ind w:left="720" w:right="608" w:firstLine="559"/>
      </w:pPr>
      <w:r>
        <w:rPr>
          <w:b/>
          <w:spacing w:val="-1"/>
        </w:rPr>
        <w:t>加强城区生活垃圾的收集和管理。</w:t>
      </w:r>
      <w:r>
        <w:rPr>
          <w:spacing w:val="-3"/>
        </w:rPr>
        <w:t xml:space="preserve">增加垃圾处理基础设施建设， </w:t>
      </w:r>
      <w:r>
        <w:rPr>
          <w:spacing w:val="-10"/>
        </w:rPr>
        <w:t>完善生活垃圾从分类、运输、无害化处理的安全通道。“十四五”期</w:t>
      </w:r>
      <w:r>
        <w:rPr>
          <w:spacing w:val="-13"/>
        </w:rPr>
        <w:t xml:space="preserve">间，规划在城区改建生活垃圾分类站 </w:t>
      </w:r>
      <w:r>
        <w:t>8</w:t>
      </w:r>
      <w:r>
        <w:rPr>
          <w:spacing w:val="-12"/>
        </w:rPr>
        <w:t xml:space="preserve"> 座，新增生活垃圾运输专业车</w:t>
      </w:r>
    </w:p>
    <w:p w14:paraId="165AEADA">
      <w:pPr>
        <w:pStyle w:val="6"/>
        <w:spacing w:line="358" w:lineRule="exact"/>
        <w:ind w:left="720"/>
      </w:pPr>
      <w:r>
        <w:t>辆 40 辆，建设大件垃圾分拣中心 1 座，规划年限为 2021 年至 2023</w:t>
      </w:r>
    </w:p>
    <w:p w14:paraId="722DDCFD">
      <w:pPr>
        <w:spacing w:after="0" w:line="358" w:lineRule="exact"/>
        <w:sectPr>
          <w:pgSz w:w="11910" w:h="16840"/>
          <w:pgMar w:top="1420" w:right="1080" w:bottom="1360" w:left="1080" w:header="878" w:footer="1164" w:gutter="0"/>
          <w:pgNumType w:fmt="decimal"/>
          <w:cols w:space="720" w:num="1"/>
        </w:sectPr>
      </w:pPr>
    </w:p>
    <w:p w14:paraId="5D3F633B">
      <w:pPr>
        <w:pStyle w:val="6"/>
        <w:spacing w:before="143" w:line="417" w:lineRule="auto"/>
        <w:ind w:left="720" w:right="719"/>
        <w:jc w:val="both"/>
      </w:pPr>
      <w:r>
        <w:rPr>
          <w:spacing w:val="-13"/>
        </w:rPr>
        <w:t xml:space="preserve">年；在全县范围内设置垃圾分类装置，投入各类生活垃圾分类桶 </w:t>
      </w:r>
      <w:r>
        <w:t>2</w:t>
      </w:r>
      <w:r>
        <w:rPr>
          <w:spacing w:val="-33"/>
        </w:rPr>
        <w:t xml:space="preserve"> 万</w:t>
      </w:r>
      <w:r>
        <w:rPr>
          <w:spacing w:val="-12"/>
        </w:rPr>
        <w:t>个，回收可循环使用垃圾，合理处置有毒有害垃圾，提高生活垃圾的无害化处置率，建设环卫综合基地，把县城内两座坑槽式垃圾中转站</w:t>
      </w:r>
      <w:r>
        <w:rPr>
          <w:spacing w:val="-10"/>
        </w:rPr>
        <w:t>改建成压缩式中转站，在河西新区新增垃圾中转站一座，提高生活垃</w:t>
      </w:r>
      <w:r>
        <w:rPr>
          <w:spacing w:val="-12"/>
        </w:rPr>
        <w:t>圾的收集率处置效率，“十四五”期间，确保城区生活垃圾的无害化</w:t>
      </w:r>
      <w:r>
        <w:rPr>
          <w:spacing w:val="-16"/>
        </w:rPr>
        <w:t xml:space="preserve">处置率达到 </w:t>
      </w:r>
      <w:r>
        <w:t>95%</w:t>
      </w:r>
      <w:r>
        <w:rPr>
          <w:spacing w:val="-2"/>
        </w:rPr>
        <w:t>以上。</w:t>
      </w:r>
    </w:p>
    <w:p w14:paraId="143FDA8B">
      <w:pPr>
        <w:pStyle w:val="6"/>
        <w:spacing w:before="8"/>
        <w:rPr>
          <w:sz w:val="21"/>
        </w:rPr>
      </w:pPr>
    </w:p>
    <w:p w14:paraId="24E296B8">
      <w:pPr>
        <w:pStyle w:val="6"/>
        <w:spacing w:line="417" w:lineRule="auto"/>
        <w:ind w:left="720" w:right="719" w:firstLine="559"/>
        <w:jc w:val="both"/>
      </w:pPr>
      <w:r>
        <w:rPr>
          <w:b/>
          <w:spacing w:val="-5"/>
        </w:rPr>
        <w:t>大力推行城乡环卫一体化，加强乡村环卫管理。</w:t>
      </w:r>
      <w:r>
        <w:rPr>
          <w:spacing w:val="-11"/>
        </w:rPr>
        <w:t>按“户分类、村收集、镇办运输、市县处理”的模式进行管理，按照“谁生产、谁付费”的原则建立市场化运作经费保障机制，增加全县范围内农村垃圾收集基础设施，建立农村垃圾运输处理管理制度，提高农村垃圾处置</w:t>
      </w:r>
      <w:r>
        <w:rPr>
          <w:spacing w:val="-12"/>
        </w:rPr>
        <w:t>效率，确保“十四五”期间，各建制村生活垃圾无害化处置率不低于90%</w:t>
      </w:r>
      <w:r>
        <w:rPr>
          <w:spacing w:val="-9"/>
        </w:rPr>
        <w:t xml:space="preserve">，农村生活垃圾无害化处置率保持在 </w:t>
      </w:r>
      <w:r>
        <w:t>70%</w:t>
      </w:r>
      <w:r>
        <w:rPr>
          <w:spacing w:val="-2"/>
        </w:rPr>
        <w:t>以上。</w:t>
      </w:r>
    </w:p>
    <w:p w14:paraId="1DB82C3A">
      <w:pPr>
        <w:pStyle w:val="6"/>
        <w:spacing w:before="119" w:line="417" w:lineRule="auto"/>
        <w:ind w:left="720" w:right="623" w:firstLine="559"/>
      </w:pPr>
      <w:r>
        <w:rPr>
          <w:b/>
          <w:spacing w:val="-5"/>
        </w:rPr>
        <w:t>加强对危险废弃物及危险化学品循环使用和排放企业的监管。</w:t>
      </w:r>
      <w:r>
        <w:t>对</w:t>
      </w:r>
      <w:r>
        <w:rPr>
          <w:spacing w:val="-3"/>
        </w:rPr>
        <w:t xml:space="preserve">危险废物申报登记、转移联单制度全程监督，强化危险废物的管理， </w:t>
      </w:r>
      <w:r>
        <w:rPr>
          <w:spacing w:val="-8"/>
        </w:rPr>
        <w:t>要求危险废弃物排放企业建立日监测制，加强对危险废物的收集、贮</w:t>
      </w:r>
      <w:r>
        <w:rPr>
          <w:spacing w:val="-13"/>
        </w:rPr>
        <w:t>存、运输、处置等环节的管理，要求生产和使用危险化学品的企业和</w:t>
      </w:r>
      <w:r>
        <w:rPr>
          <w:spacing w:val="-12"/>
        </w:rPr>
        <w:t>单位采取有效预防和应急措施。制定医疗废物集中处置运作程序及具</w:t>
      </w:r>
      <w:r>
        <w:rPr>
          <w:spacing w:val="-11"/>
        </w:rPr>
        <w:t>体方案，积极落实部门责任制，严格规范医疗废物的运输及处置，严</w:t>
      </w:r>
      <w:r>
        <w:rPr>
          <w:spacing w:val="-12"/>
        </w:rPr>
        <w:t>格禁止医疗废物混入生活垃圾中，由专用的运输工具运至医疗废物处</w:t>
      </w:r>
      <w:r>
        <w:rPr>
          <w:spacing w:val="-5"/>
        </w:rPr>
        <w:t>置中心统一焚烧。</w:t>
      </w:r>
    </w:p>
    <w:p w14:paraId="192393B6">
      <w:pPr>
        <w:pStyle w:val="6"/>
        <w:spacing w:before="10"/>
        <w:rPr>
          <w:sz w:val="21"/>
        </w:rPr>
      </w:pPr>
    </w:p>
    <w:p w14:paraId="7C306429">
      <w:pPr>
        <w:spacing w:before="0"/>
        <w:ind w:left="1279" w:right="0" w:firstLine="0"/>
        <w:jc w:val="left"/>
        <w:rPr>
          <w:sz w:val="28"/>
        </w:rPr>
      </w:pPr>
      <w:r>
        <w:rPr>
          <w:b/>
          <w:sz w:val="28"/>
        </w:rPr>
        <w:t>推行清洁生产，实现固体废物的减量化</w:t>
      </w:r>
      <w:r>
        <w:rPr>
          <w:rFonts w:hint="eastAsia" w:ascii="宋体" w:eastAsia="宋体"/>
          <w:b/>
          <w:sz w:val="28"/>
        </w:rPr>
        <w:t>。</w:t>
      </w:r>
      <w:r>
        <w:rPr>
          <w:sz w:val="28"/>
        </w:rPr>
        <w:t>大力发展循环经济，提</w:t>
      </w:r>
    </w:p>
    <w:p w14:paraId="701C2CA4">
      <w:pPr>
        <w:spacing w:after="0"/>
        <w:jc w:val="left"/>
        <w:rPr>
          <w:sz w:val="28"/>
        </w:rPr>
        <w:sectPr>
          <w:pgSz w:w="11910" w:h="16840"/>
          <w:pgMar w:top="1420" w:right="1080" w:bottom="1360" w:left="1080" w:header="878" w:footer="1164" w:gutter="0"/>
          <w:pgNumType w:fmt="decimal"/>
          <w:cols w:space="720" w:num="1"/>
        </w:sectPr>
      </w:pPr>
    </w:p>
    <w:p w14:paraId="3C07D019">
      <w:pPr>
        <w:pStyle w:val="6"/>
        <w:spacing w:before="143" w:line="417" w:lineRule="auto"/>
        <w:ind w:left="720" w:right="623"/>
        <w:jc w:val="both"/>
      </w:pPr>
      <w:r>
        <w:t>高固体废物的回收使用率，建立再生资源回收利用免烧空心砖项目； 建立建筑垃圾消纳处置场，实现年破碎建筑垃圾量 60 万吨，建立韩</w:t>
      </w:r>
    </w:p>
    <w:p w14:paraId="588454EE">
      <w:pPr>
        <w:pStyle w:val="6"/>
        <w:spacing w:line="417" w:lineRule="auto"/>
        <w:ind w:left="720" w:right="693"/>
        <w:jc w:val="both"/>
      </w:pPr>
      <w:r>
        <w:rPr>
          <w:spacing w:val="-6"/>
        </w:rPr>
        <w:t xml:space="preserve">村镇循环经济产业园建设项目，吸引循环经济投资者进园；实施 </w:t>
      </w:r>
      <w:r>
        <w:t xml:space="preserve">20 </w:t>
      </w:r>
      <w:r>
        <w:rPr>
          <w:spacing w:val="-2"/>
        </w:rPr>
        <w:t>万吨</w:t>
      </w:r>
      <w:r>
        <w:t>/</w:t>
      </w:r>
      <w:r>
        <w:rPr>
          <w:spacing w:val="-3"/>
        </w:rPr>
        <w:t>年废旧锂电池清洁回收及再生铅循环综合利用项目，对全县锂</w:t>
      </w:r>
      <w:r>
        <w:rPr>
          <w:spacing w:val="-9"/>
        </w:rPr>
        <w:t>电池和再生铅进行回收利用；引进绿阳再生资源有限公司，建设固废</w:t>
      </w:r>
      <w:r>
        <w:rPr>
          <w:spacing w:val="-10"/>
        </w:rPr>
        <w:t>资源智能化回收基地；提高一般工业固体废物的回收利用率。确保到2025</w:t>
      </w:r>
      <w:r>
        <w:rPr>
          <w:spacing w:val="-17"/>
        </w:rPr>
        <w:t xml:space="preserve"> 年，工业固废资源化处置率达到 </w:t>
      </w:r>
      <w:r>
        <w:t>90</w:t>
      </w:r>
      <w:r>
        <w:rPr>
          <w:spacing w:val="-8"/>
        </w:rPr>
        <w:t>%以上。落实全县产业结构调</w:t>
      </w:r>
      <w:r>
        <w:rPr>
          <w:spacing w:val="-12"/>
        </w:rPr>
        <w:t>整政策，大力发展低耗能产业，对濉溪县产生高风险污染物的企业进</w:t>
      </w:r>
      <w:r>
        <w:rPr>
          <w:spacing w:val="-11"/>
        </w:rPr>
        <w:t>行技术改造，最大限度的减少工业废弃物堆放带来的环境污染。对全</w:t>
      </w:r>
      <w:r>
        <w:rPr>
          <w:spacing w:val="-12"/>
        </w:rPr>
        <w:t>县产废经营企业进行规范化管理。对全县范围内的企业进行资质审查</w:t>
      </w:r>
      <w:r>
        <w:rPr>
          <w:spacing w:val="-13"/>
        </w:rPr>
        <w:t>和管理，加强固体废弃物处置的管理管控，建立固体废物的管理协调</w:t>
      </w:r>
      <w:r>
        <w:rPr>
          <w:spacing w:val="-12"/>
        </w:rPr>
        <w:t>工作机制，对固体废物的产生、收集、运输、处理处置实施全过程监</w:t>
      </w:r>
      <w:r>
        <w:rPr>
          <w:spacing w:val="-8"/>
        </w:rPr>
        <w:t xml:space="preserve">督，确保在“十四五”期间，工业固体废物的处置率达到 </w:t>
      </w:r>
      <w:r>
        <w:t>98%</w:t>
      </w:r>
      <w:r>
        <w:rPr>
          <w:spacing w:val="-2"/>
        </w:rPr>
        <w:t>以上。</w:t>
      </w:r>
    </w:p>
    <w:p w14:paraId="00C798DC">
      <w:pPr>
        <w:pStyle w:val="6"/>
        <w:spacing w:before="7"/>
        <w:rPr>
          <w:sz w:val="21"/>
        </w:rPr>
      </w:pPr>
    </w:p>
    <w:p w14:paraId="09893A9B">
      <w:pPr>
        <w:pStyle w:val="6"/>
        <w:spacing w:line="417" w:lineRule="auto"/>
        <w:ind w:left="720" w:right="719" w:firstLine="559"/>
        <w:jc w:val="both"/>
      </w:pPr>
      <w:r>
        <w:rPr>
          <w:b/>
          <w:spacing w:val="-7"/>
        </w:rPr>
        <w:t>加强农业固废管理。</w:t>
      </w:r>
      <w:r>
        <w:rPr>
          <w:spacing w:val="-7"/>
        </w:rPr>
        <w:t>建立农业废弃物回收管理机制，加强农业固</w:t>
      </w:r>
      <w:r>
        <w:rPr>
          <w:spacing w:val="-11"/>
        </w:rPr>
        <w:t>废的监督检查，开展废弃农膜回收利用工作，加强农药废弃物回收无</w:t>
      </w:r>
      <w:r>
        <w:rPr>
          <w:spacing w:val="-12"/>
        </w:rPr>
        <w:t>害化处理工作；提高秸秆综合利用率，大力推广秸秆固化成型燃料和</w:t>
      </w:r>
      <w:r>
        <w:rPr>
          <w:spacing w:val="-10"/>
        </w:rPr>
        <w:t>高效低排户用秸秆炉具，积极引进秸秆发电、秸秆造纸、秸秆粉碎回</w:t>
      </w:r>
      <w:r>
        <w:rPr>
          <w:spacing w:val="-4"/>
        </w:rPr>
        <w:t>田等新技术。</w:t>
      </w:r>
    </w:p>
    <w:p w14:paraId="5EA7EC7C">
      <w:pPr>
        <w:spacing w:after="0" w:line="417" w:lineRule="auto"/>
        <w:jc w:val="both"/>
        <w:sectPr>
          <w:pgSz w:w="11910" w:h="16840"/>
          <w:pgMar w:top="1420" w:right="1080" w:bottom="1360" w:left="1080" w:header="878" w:footer="1164" w:gutter="0"/>
          <w:pgNumType w:fmt="decimal"/>
          <w:cols w:space="720" w:num="1"/>
        </w:sectPr>
      </w:pPr>
    </w:p>
    <w:p w14:paraId="0AFD648F">
      <w:pPr>
        <w:pStyle w:val="4"/>
        <w:tabs>
          <w:tab w:val="left" w:pos="1219"/>
        </w:tabs>
        <w:spacing w:before="131"/>
        <w:ind w:right="2"/>
        <w:jc w:val="center"/>
      </w:pPr>
      <w:bookmarkStart w:id="63" w:name="_bookmark33"/>
      <w:bookmarkEnd w:id="63"/>
      <w:bookmarkStart w:id="64" w:name="第5节  土壤污染防治规划"/>
      <w:bookmarkEnd w:id="64"/>
      <w:r>
        <w:t>第</w:t>
      </w:r>
      <w:r>
        <w:rPr>
          <w:spacing w:val="-76"/>
        </w:rPr>
        <w:t xml:space="preserve"> </w:t>
      </w:r>
      <w:r>
        <w:rPr>
          <w:rFonts w:ascii="Arial" w:eastAsia="Arial"/>
        </w:rPr>
        <w:t>5</w:t>
      </w:r>
      <w:r>
        <w:rPr>
          <w:rFonts w:ascii="Arial" w:eastAsia="Arial"/>
          <w:spacing w:val="-8"/>
        </w:rPr>
        <w:t xml:space="preserve"> </w:t>
      </w:r>
      <w:r>
        <w:t>节</w:t>
      </w:r>
      <w:r>
        <w:tab/>
      </w:r>
      <w:r>
        <w:t>土壤污染防治规划</w:t>
      </w:r>
    </w:p>
    <w:p w14:paraId="099E7704">
      <w:pPr>
        <w:pStyle w:val="6"/>
        <w:spacing w:before="11"/>
        <w:rPr>
          <w:b/>
          <w:sz w:val="39"/>
        </w:rPr>
      </w:pPr>
    </w:p>
    <w:p w14:paraId="2C536446">
      <w:pPr>
        <w:pStyle w:val="5"/>
        <w:spacing w:before="1"/>
      </w:pPr>
      <w:bookmarkStart w:id="65" w:name="1、土壤污染防治目标"/>
      <w:bookmarkEnd w:id="65"/>
      <w:bookmarkStart w:id="66" w:name="_bookmark34"/>
      <w:bookmarkEnd w:id="66"/>
      <w:r>
        <w:rPr>
          <w:rFonts w:ascii="Calibri" w:eastAsia="Calibri"/>
        </w:rPr>
        <w:t>1</w:t>
      </w:r>
      <w:r>
        <w:t>、土壤污染防治目标</w:t>
      </w:r>
    </w:p>
    <w:p w14:paraId="032AFBA9">
      <w:pPr>
        <w:pStyle w:val="6"/>
        <w:spacing w:before="11"/>
        <w:rPr>
          <w:b/>
          <w:sz w:val="40"/>
        </w:rPr>
      </w:pPr>
    </w:p>
    <w:p w14:paraId="7593275A">
      <w:pPr>
        <w:pStyle w:val="6"/>
        <w:spacing w:before="1" w:line="417" w:lineRule="auto"/>
        <w:ind w:left="720" w:right="719" w:firstLine="561"/>
        <w:jc w:val="both"/>
      </w:pPr>
      <w:r>
        <w:rPr>
          <w:spacing w:val="-9"/>
        </w:rPr>
        <w:t>加强对受污染土壤的治理，对未受污染土地的保护，保证受污染</w:t>
      </w:r>
      <w:r>
        <w:rPr>
          <w:spacing w:val="-13"/>
        </w:rPr>
        <w:t xml:space="preserve">土壤面积通过治理逐年减小，到 </w:t>
      </w:r>
      <w:r>
        <w:t>2025</w:t>
      </w:r>
      <w:r>
        <w:rPr>
          <w:spacing w:val="-8"/>
        </w:rPr>
        <w:t xml:space="preserve"> 年，濉溪县全区土壤环境质量</w:t>
      </w:r>
      <w:r>
        <w:rPr>
          <w:spacing w:val="-10"/>
        </w:rPr>
        <w:t>稳中向好，农用地和建设用地土壤环境安全得到有效保障，土壤环境</w:t>
      </w:r>
      <w:r>
        <w:rPr>
          <w:spacing w:val="-11"/>
        </w:rPr>
        <w:t>风险得到全面管控，受污染耕地和建设用地污染地块安全利用率，完</w:t>
      </w:r>
      <w:r>
        <w:rPr>
          <w:spacing w:val="-5"/>
        </w:rPr>
        <w:t>成上级下达的任务。</w:t>
      </w:r>
    </w:p>
    <w:p w14:paraId="27E8DB25">
      <w:pPr>
        <w:pStyle w:val="6"/>
        <w:spacing w:before="4"/>
        <w:rPr>
          <w:sz w:val="20"/>
        </w:rPr>
      </w:pPr>
    </w:p>
    <w:p w14:paraId="5C60FC9B">
      <w:pPr>
        <w:pStyle w:val="5"/>
      </w:pPr>
      <w:bookmarkStart w:id="67" w:name="_bookmark35"/>
      <w:bookmarkEnd w:id="67"/>
      <w:bookmarkStart w:id="68" w:name="2、土壤污染防治主要任务及措施"/>
      <w:bookmarkEnd w:id="68"/>
      <w:r>
        <w:rPr>
          <w:rFonts w:ascii="Calibri" w:eastAsia="Calibri"/>
        </w:rPr>
        <w:t>2</w:t>
      </w:r>
      <w:r>
        <w:t>、土壤污染防治主要任务及措施</w:t>
      </w:r>
    </w:p>
    <w:p w14:paraId="3723255D">
      <w:pPr>
        <w:pStyle w:val="6"/>
        <w:spacing w:before="12"/>
        <w:rPr>
          <w:b/>
          <w:sz w:val="40"/>
        </w:rPr>
      </w:pPr>
    </w:p>
    <w:p w14:paraId="5F6EB351">
      <w:pPr>
        <w:pStyle w:val="6"/>
        <w:spacing w:line="417" w:lineRule="auto"/>
        <w:ind w:left="720" w:right="580" w:firstLine="559"/>
      </w:pPr>
      <w:r>
        <w:rPr>
          <w:spacing w:val="-11"/>
        </w:rPr>
        <w:t>依照《土壤污染防治行动计划》、《淮北市土壤污染防治工作方</w:t>
      </w:r>
      <w:r>
        <w:rPr>
          <w:spacing w:val="-13"/>
        </w:rPr>
        <w:t>案》、《淮北市土壤污染治理与修复规划》、《濉溪县土壤污染防治</w:t>
      </w:r>
      <w:r>
        <w:rPr>
          <w:spacing w:val="-5"/>
        </w:rPr>
        <w:t>工作方案》濉政[</w:t>
      </w:r>
      <w:r>
        <w:t>2016]60</w:t>
      </w:r>
      <w:r>
        <w:rPr>
          <w:spacing w:val="-11"/>
        </w:rPr>
        <w:t xml:space="preserve"> 号、《濉溪县土壤污染防治工作实施方案》</w:t>
      </w:r>
      <w:r>
        <w:rPr>
          <w:spacing w:val="-4"/>
        </w:rPr>
        <w:t>濉政办秘[</w:t>
      </w:r>
      <w:r>
        <w:t>2017]203</w:t>
      </w:r>
      <w:r>
        <w:rPr>
          <w:spacing w:val="-2"/>
        </w:rPr>
        <w:t xml:space="preserve"> 号等落实十四五濉溪县土壤污染防治责任和任务。</w:t>
      </w:r>
    </w:p>
    <w:p w14:paraId="3324519D">
      <w:pPr>
        <w:pStyle w:val="6"/>
        <w:spacing w:line="417" w:lineRule="auto"/>
        <w:ind w:left="720" w:right="580" w:firstLine="559"/>
      </w:pPr>
      <w:r>
        <w:rPr>
          <w:b/>
          <w:spacing w:val="-3"/>
        </w:rPr>
        <w:t>合理规划修复土壤，提高土壤利用率。</w:t>
      </w:r>
      <w:r>
        <w:t>2021</w:t>
      </w:r>
      <w:r>
        <w:rPr>
          <w:spacing w:val="-12"/>
        </w:rPr>
        <w:t xml:space="preserve"> 年开始，对韩村镇、孙疃镇、双堆集镇等采煤沉陷区实施土地复垦，规划建设农用地及景</w:t>
      </w:r>
      <w:r>
        <w:rPr>
          <w:spacing w:val="-14"/>
        </w:rPr>
        <w:t xml:space="preserve">观用地，规划年限为 </w:t>
      </w:r>
      <w:r>
        <w:t>2021</w:t>
      </w:r>
      <w:r>
        <w:rPr>
          <w:spacing w:val="-47"/>
        </w:rPr>
        <w:t xml:space="preserve"> 至 </w:t>
      </w:r>
      <w:r>
        <w:t>2025</w:t>
      </w:r>
      <w:r>
        <w:rPr>
          <w:spacing w:val="-14"/>
        </w:rPr>
        <w:t xml:space="preserve"> 年；“十四五”期间，对全县范围</w:t>
      </w:r>
    </w:p>
    <w:p w14:paraId="6B753EF1">
      <w:pPr>
        <w:pStyle w:val="6"/>
        <w:spacing w:line="417" w:lineRule="auto"/>
        <w:ind w:left="720" w:right="719"/>
        <w:jc w:val="both"/>
      </w:pPr>
      <w:r>
        <w:rPr>
          <w:spacing w:val="-11"/>
        </w:rPr>
        <w:t xml:space="preserve">内建设用地土壤环境管理类型进行登记确定，实施濉溪县 </w:t>
      </w:r>
      <w:r>
        <w:t>20000</w:t>
      </w:r>
      <w:r>
        <w:rPr>
          <w:spacing w:val="-23"/>
        </w:rPr>
        <w:t xml:space="preserve"> 亩土</w:t>
      </w:r>
      <w:r>
        <w:rPr>
          <w:spacing w:val="-11"/>
        </w:rPr>
        <w:t>地综合整治，建设高标准农田及田间道路，对老旧村庄进行搬迁，对工矿废弃地进行治理，建立农业产业示范园，落实各项建设用地符合</w:t>
      </w:r>
      <w:r>
        <w:rPr>
          <w:spacing w:val="-12"/>
        </w:rPr>
        <w:t>国家要求，对划定好的“绿色”、“黄色”“红色”农用地范围进行</w:t>
      </w:r>
    </w:p>
    <w:p w14:paraId="3A1812D5">
      <w:pPr>
        <w:spacing w:after="0" w:line="417" w:lineRule="auto"/>
        <w:jc w:val="both"/>
        <w:sectPr>
          <w:footerReference r:id="rId10" w:type="default"/>
          <w:pgSz w:w="11910" w:h="16840"/>
          <w:pgMar w:top="1420" w:right="1080" w:bottom="1360" w:left="1080" w:header="878" w:footer="1164" w:gutter="0"/>
          <w:pgNumType w:fmt="decimal" w:start="40"/>
          <w:cols w:space="720" w:num="1"/>
        </w:sectPr>
      </w:pPr>
    </w:p>
    <w:p w14:paraId="095666F1">
      <w:pPr>
        <w:pStyle w:val="6"/>
        <w:spacing w:before="143" w:line="417" w:lineRule="auto"/>
        <w:ind w:left="720" w:right="623"/>
      </w:pPr>
      <w:r>
        <w:rPr>
          <w:spacing w:val="-3"/>
        </w:rPr>
        <w:t xml:space="preserve">差异化管理，在优先保护类耕地集中区域，严禁重污染企业的建设， </w:t>
      </w:r>
      <w:r>
        <w:rPr>
          <w:spacing w:val="-9"/>
        </w:rPr>
        <w:t>严格实施建设用地准入管理制，防范人居环境风险。由土地使用权人</w:t>
      </w:r>
      <w:r>
        <w:rPr>
          <w:spacing w:val="-8"/>
        </w:rPr>
        <w:t>负责对土壤环境状况进行调查评估，保证新建居住、商业、学校、医</w:t>
      </w:r>
      <w:r>
        <w:rPr>
          <w:spacing w:val="-3"/>
        </w:rPr>
        <w:t>疗等公共设施的企业用地安全。</w:t>
      </w:r>
    </w:p>
    <w:p w14:paraId="11083345">
      <w:pPr>
        <w:pStyle w:val="6"/>
        <w:spacing w:before="120" w:line="417" w:lineRule="auto"/>
        <w:ind w:left="720" w:right="578" w:firstLine="559"/>
      </w:pPr>
      <w:r>
        <w:rPr>
          <w:b/>
          <w:spacing w:val="-7"/>
        </w:rPr>
        <w:t>加强化肥农药的控制及使用，严防农用土地受到污染</w:t>
      </w:r>
      <w:r>
        <w:rPr>
          <w:b/>
          <w:spacing w:val="-173"/>
        </w:rPr>
        <w:t>。</w:t>
      </w:r>
      <w:r>
        <w:rPr>
          <w:spacing w:val="-3"/>
        </w:rPr>
        <w:t xml:space="preserve">“十四五” </w:t>
      </w:r>
      <w:r>
        <w:rPr>
          <w:spacing w:val="-13"/>
        </w:rPr>
        <w:t>期间，建立并完善农药包装废弃物处置抵押金制度和收集处理系统进</w:t>
      </w:r>
      <w:r>
        <w:rPr>
          <w:spacing w:val="-5"/>
        </w:rPr>
        <w:t>行管理，降低农药废物对土壤的污染；全县范围内禁止使用重金属、</w:t>
      </w:r>
      <w:r>
        <w:rPr>
          <w:spacing w:val="-9"/>
        </w:rPr>
        <w:t>有毒有害物质超标的肥料，对化肥包装袋进行回收；禁止在农业生产</w:t>
      </w:r>
      <w:r>
        <w:rPr>
          <w:spacing w:val="-10"/>
        </w:rPr>
        <w:t>中使用含重金属、难降解有机污染物的污水进行灌溉，不定期组织对农田灌溉水质进行检测，提高检测频次，确保灌溉土壤的安全；强化</w:t>
      </w:r>
      <w:r>
        <w:rPr>
          <w:spacing w:val="-9"/>
        </w:rPr>
        <w:t>废弃农膜回收和综合利用的监管力度，因地制宜建立回收站点，形成</w:t>
      </w:r>
      <w:r>
        <w:rPr>
          <w:spacing w:val="-11"/>
        </w:rPr>
        <w:t>回收网络，降低农业固废对土壤的影响。登记受污染农用地面积、分</w:t>
      </w:r>
      <w:r>
        <w:rPr>
          <w:spacing w:val="-13"/>
        </w:rPr>
        <w:t>布及污染现状，进行科学的分析和治理，严防控制农用地污染面积扩</w:t>
      </w:r>
      <w:r>
        <w:rPr>
          <w:spacing w:val="-21"/>
        </w:rPr>
        <w:t xml:space="preserve">散的现象。到 </w:t>
      </w:r>
      <w:r>
        <w:t>2025</w:t>
      </w:r>
      <w:r>
        <w:rPr>
          <w:spacing w:val="-9"/>
        </w:rPr>
        <w:t xml:space="preserve"> 年，完成省政府下达濉溪县的轻度和中度污染耕</w:t>
      </w:r>
      <w:r>
        <w:rPr>
          <w:spacing w:val="-3"/>
        </w:rPr>
        <w:t>地安全利用指标。</w:t>
      </w:r>
    </w:p>
    <w:p w14:paraId="28E926C1">
      <w:pPr>
        <w:spacing w:before="0" w:line="417" w:lineRule="auto"/>
        <w:ind w:left="720" w:right="719" w:firstLine="559"/>
        <w:jc w:val="both"/>
        <w:rPr>
          <w:sz w:val="28"/>
        </w:rPr>
      </w:pPr>
      <w:r>
        <w:rPr>
          <w:b/>
          <w:spacing w:val="-7"/>
          <w:w w:val="95"/>
          <w:sz w:val="28"/>
        </w:rPr>
        <w:t xml:space="preserve">根据淮北市土壤环境质量状况定期调查制度，合理制定濉溪县土 </w:t>
      </w:r>
      <w:r>
        <w:rPr>
          <w:b/>
          <w:spacing w:val="-5"/>
          <w:sz w:val="28"/>
        </w:rPr>
        <w:t>壤环境质量状况定期调查制度。</w:t>
      </w:r>
      <w:r>
        <w:rPr>
          <w:spacing w:val="-8"/>
          <w:sz w:val="28"/>
        </w:rPr>
        <w:t>“十四五”期间，要定期开展土壤环</w:t>
      </w:r>
      <w:r>
        <w:rPr>
          <w:spacing w:val="-10"/>
          <w:sz w:val="28"/>
        </w:rPr>
        <w:t>境质量状况调查，重点对土壤中的镉、汞、砷、铅、铬等重金属和多环芳烃、石油烃等有机污染物进行监测，提高检测频次，扩大监测范</w:t>
      </w:r>
      <w:r>
        <w:rPr>
          <w:spacing w:val="-4"/>
          <w:sz w:val="28"/>
        </w:rPr>
        <w:t>围，确保受污染土壤面积不再扩大。</w:t>
      </w:r>
    </w:p>
    <w:p w14:paraId="2DB4F816">
      <w:pPr>
        <w:spacing w:before="116"/>
        <w:ind w:left="575" w:right="21" w:firstLine="0"/>
        <w:jc w:val="center"/>
        <w:rPr>
          <w:b/>
          <w:sz w:val="28"/>
        </w:rPr>
      </w:pPr>
      <w:r>
        <w:rPr>
          <w:b/>
          <w:sz w:val="28"/>
        </w:rPr>
        <w:t>对全县涉及重金属冶炼、重金属排放等污染物单位进行重点监督</w:t>
      </w:r>
    </w:p>
    <w:p w14:paraId="558C0EE0">
      <w:pPr>
        <w:spacing w:after="0"/>
        <w:jc w:val="center"/>
        <w:rPr>
          <w:sz w:val="28"/>
        </w:rPr>
        <w:sectPr>
          <w:pgSz w:w="11910" w:h="16840"/>
          <w:pgMar w:top="1420" w:right="1080" w:bottom="1360" w:left="1080" w:header="878" w:footer="1164" w:gutter="0"/>
          <w:pgNumType w:fmt="decimal"/>
          <w:cols w:space="720" w:num="1"/>
        </w:sectPr>
      </w:pPr>
    </w:p>
    <w:p w14:paraId="44570EDE">
      <w:pPr>
        <w:pStyle w:val="6"/>
        <w:spacing w:before="143" w:line="417" w:lineRule="auto"/>
        <w:ind w:left="720" w:right="719"/>
        <w:jc w:val="both"/>
      </w:pPr>
      <w:r>
        <w:rPr>
          <w:b/>
          <w:spacing w:val="-14"/>
        </w:rPr>
        <w:t>管理。</w:t>
      </w:r>
      <w:r>
        <w:rPr>
          <w:spacing w:val="-9"/>
        </w:rPr>
        <w:t>“十四五”期间，加强对各排污单位的监督管理，制定检查计</w:t>
      </w:r>
      <w:r>
        <w:rPr>
          <w:spacing w:val="-12"/>
        </w:rPr>
        <w:t>划，明确责任负责人，加强区域范围内涉污企业土壤自行监测的监督</w:t>
      </w:r>
      <w:r>
        <w:rPr>
          <w:spacing w:val="-11"/>
        </w:rPr>
        <w:t>检查，查看企业自行监测数据的真实性、全面性，保障区域范围内土</w:t>
      </w:r>
      <w:r>
        <w:rPr>
          <w:spacing w:val="-5"/>
        </w:rPr>
        <w:t>壤环境的安全。</w:t>
      </w:r>
    </w:p>
    <w:p w14:paraId="57812B43">
      <w:pPr>
        <w:pStyle w:val="4"/>
        <w:ind w:left="2003"/>
        <w:jc w:val="both"/>
      </w:pPr>
      <w:r>
        <w:t xml:space="preserve">第 </w:t>
      </w:r>
      <w:r>
        <w:rPr>
          <w:rFonts w:ascii="Arial" w:eastAsia="Arial"/>
        </w:rPr>
        <w:t xml:space="preserve">6 </w:t>
      </w:r>
      <w:r>
        <w:t>节 改善区域生态，维护生态系统功能</w:t>
      </w:r>
    </w:p>
    <w:p w14:paraId="1DE4BC88">
      <w:pPr>
        <w:pStyle w:val="6"/>
        <w:spacing w:before="12"/>
        <w:rPr>
          <w:b/>
          <w:sz w:val="39"/>
        </w:rPr>
      </w:pPr>
    </w:p>
    <w:p w14:paraId="58E1AA8B">
      <w:pPr>
        <w:pStyle w:val="5"/>
      </w:pPr>
      <w:bookmarkStart w:id="69" w:name="_bookmark37"/>
      <w:bookmarkEnd w:id="69"/>
      <w:bookmarkStart w:id="70" w:name="1、生态环境建设目标"/>
      <w:bookmarkEnd w:id="70"/>
      <w:r>
        <w:rPr>
          <w:rFonts w:ascii="Calibri" w:eastAsia="Calibri"/>
        </w:rPr>
        <w:t>1</w:t>
      </w:r>
      <w:r>
        <w:t>、生态环境建设目标</w:t>
      </w:r>
    </w:p>
    <w:p w14:paraId="763EAB8C">
      <w:pPr>
        <w:pStyle w:val="6"/>
        <w:spacing w:before="1"/>
        <w:rPr>
          <w:b/>
          <w:sz w:val="41"/>
        </w:rPr>
      </w:pPr>
    </w:p>
    <w:p w14:paraId="29F95128">
      <w:pPr>
        <w:pStyle w:val="6"/>
        <w:spacing w:line="417" w:lineRule="auto"/>
        <w:ind w:left="720" w:right="719" w:firstLine="559"/>
        <w:jc w:val="both"/>
      </w:pPr>
      <w:r>
        <w:rPr>
          <w:spacing w:val="-7"/>
        </w:rPr>
        <w:t>建立与濉溪县发展相适应的生态环境保护监督管理机制，提出符</w:t>
      </w:r>
      <w:r>
        <w:rPr>
          <w:spacing w:val="-8"/>
        </w:rPr>
        <w:t>合濉溪县经济发展和实地状况的复垦模式，在实现经济、社会、生态</w:t>
      </w:r>
      <w:r>
        <w:rPr>
          <w:spacing w:val="-10"/>
        </w:rPr>
        <w:t>的可持续发展基础上，全面推进大气、水、土壤污染防治工作，进一步强化环境风险防范机制，加强环境执法监管力度，促进县域环境质</w:t>
      </w:r>
      <w:r>
        <w:rPr>
          <w:spacing w:val="-11"/>
        </w:rPr>
        <w:t>量持续改善，努力发展循环经济，实现生态环境良性循环，确保未来五年，濉溪县的生态环境将会有进一步的提高，构建起一个人与自然</w:t>
      </w:r>
      <w:r>
        <w:rPr>
          <w:spacing w:val="-5"/>
        </w:rPr>
        <w:t>和谐共生的美好县城。</w:t>
      </w:r>
    </w:p>
    <w:p w14:paraId="03BD2452">
      <w:pPr>
        <w:pStyle w:val="6"/>
        <w:spacing w:before="2"/>
        <w:rPr>
          <w:sz w:val="20"/>
        </w:rPr>
      </w:pPr>
    </w:p>
    <w:p w14:paraId="221CF99B">
      <w:pPr>
        <w:pStyle w:val="5"/>
      </w:pPr>
      <w:bookmarkStart w:id="71" w:name="2、生态环境建设主要任务及措施"/>
      <w:bookmarkEnd w:id="71"/>
      <w:bookmarkStart w:id="72" w:name="_bookmark38"/>
      <w:bookmarkEnd w:id="72"/>
      <w:r>
        <w:rPr>
          <w:rFonts w:ascii="Calibri" w:eastAsia="Calibri"/>
        </w:rPr>
        <w:t>2</w:t>
      </w:r>
      <w:r>
        <w:t>、生态环境建设主要任务及措施</w:t>
      </w:r>
    </w:p>
    <w:p w14:paraId="1CC08D07">
      <w:pPr>
        <w:pStyle w:val="6"/>
        <w:spacing w:before="12"/>
        <w:rPr>
          <w:b/>
          <w:sz w:val="40"/>
        </w:rPr>
      </w:pPr>
    </w:p>
    <w:p w14:paraId="7030270D">
      <w:pPr>
        <w:pStyle w:val="6"/>
        <w:spacing w:line="417" w:lineRule="auto"/>
        <w:ind w:left="720" w:right="623" w:firstLine="559"/>
        <w:jc w:val="both"/>
      </w:pPr>
      <w:r>
        <w:rPr>
          <w:b/>
          <w:spacing w:val="-11"/>
        </w:rPr>
        <w:t>划定生态红线，明晰重点生态保护区域和功能。</w:t>
      </w:r>
      <w:r>
        <w:rPr>
          <w:spacing w:val="-3"/>
        </w:rPr>
        <w:t>加强生态环境保</w:t>
      </w:r>
      <w:r>
        <w:rPr>
          <w:spacing w:val="-11"/>
        </w:rPr>
        <w:t>护，重在开发与治理，明确濉溪县生态保护红线范围，推进分类分区管控，将生态红线作为项目审批和布局的约束依据，在生态保护红线</w:t>
      </w:r>
      <w:r>
        <w:rPr>
          <w:spacing w:val="-13"/>
        </w:rPr>
        <w:t>范围内，严禁一切与污染相关的产业活动，禁止建设与破坏生态有关</w:t>
      </w:r>
      <w:r>
        <w:rPr>
          <w:spacing w:val="-11"/>
        </w:rPr>
        <w:t>的任何项目，禁止改变区域生态用地，保证生态功能不降低。“十四</w:t>
      </w:r>
      <w:r>
        <w:rPr>
          <w:spacing w:val="-3"/>
        </w:rPr>
        <w:t>五”期间，加大对运河、柳孜等生态保护区的资金支持和政策保护，</w:t>
      </w:r>
    </w:p>
    <w:p w14:paraId="52D2B793">
      <w:pPr>
        <w:spacing w:after="0" w:line="417" w:lineRule="auto"/>
        <w:jc w:val="both"/>
        <w:sectPr>
          <w:pgSz w:w="11910" w:h="16840"/>
          <w:pgMar w:top="1420" w:right="1080" w:bottom="1360" w:left="1080" w:header="878" w:footer="1164" w:gutter="0"/>
          <w:pgNumType w:fmt="decimal"/>
          <w:cols w:space="720" w:num="1"/>
        </w:sectPr>
      </w:pPr>
    </w:p>
    <w:p w14:paraId="68104C1F">
      <w:pPr>
        <w:pStyle w:val="6"/>
        <w:spacing w:before="143" w:line="417" w:lineRule="auto"/>
        <w:ind w:left="720" w:right="580"/>
      </w:pPr>
      <w:r>
        <w:rPr>
          <w:spacing w:val="-9"/>
        </w:rPr>
        <w:t>在重点保护区实行产业准入负面清单制度，加强开发建设活动的生态</w:t>
      </w:r>
      <w:r>
        <w:rPr>
          <w:spacing w:val="-13"/>
        </w:rPr>
        <w:t>监管，建立大运河文化带，复建柳孜千年古村，新建隋堤沟运河景观带，开展柳孜运河遗址环境综合治理项目，修复柳孜运河遗址生态环</w:t>
      </w:r>
      <w:r>
        <w:rPr>
          <w:spacing w:val="-42"/>
        </w:rPr>
        <w:t xml:space="preserve">境 </w:t>
      </w:r>
      <w:r>
        <w:t>6400</w:t>
      </w:r>
      <w:r>
        <w:rPr>
          <w:spacing w:val="-18"/>
        </w:rPr>
        <w:t xml:space="preserve"> 平方米，着手四铺镇大运河生态文化项目建设，建设 </w:t>
      </w:r>
      <w:r>
        <w:t>17.5</w:t>
      </w:r>
      <w:r>
        <w:rPr>
          <w:spacing w:val="-35"/>
        </w:rPr>
        <w:t xml:space="preserve"> 千</w:t>
      </w:r>
      <w:r>
        <w:rPr>
          <w:spacing w:val="-12"/>
        </w:rPr>
        <w:t>米的生态绿水休闲步行长廊及旅游景点建设，提升重点生态功能区的</w:t>
      </w:r>
      <w:r>
        <w:rPr>
          <w:spacing w:val="-14"/>
        </w:rPr>
        <w:t xml:space="preserve">生态状况，规划年限为 </w:t>
      </w:r>
      <w:r>
        <w:t>2021</w:t>
      </w:r>
      <w:r>
        <w:rPr>
          <w:spacing w:val="-36"/>
        </w:rPr>
        <w:t xml:space="preserve"> 年至 </w:t>
      </w:r>
      <w:r>
        <w:t>2025</w:t>
      </w:r>
      <w:r>
        <w:rPr>
          <w:spacing w:val="-13"/>
        </w:rPr>
        <w:t xml:space="preserve"> 年。坚持资源有序开发，优先</w:t>
      </w:r>
      <w:r>
        <w:rPr>
          <w:spacing w:val="-11"/>
        </w:rPr>
        <w:t>保护生态环境原则，杜绝产生新的重大生态破坏事件，建立资源开发</w:t>
      </w:r>
      <w:r>
        <w:rPr>
          <w:spacing w:val="-5"/>
        </w:rPr>
        <w:t>监管体系，提高矿产、水等重要资源开发的生态环境保护监管能力， 2021</w:t>
      </w:r>
      <w:r>
        <w:rPr>
          <w:spacing w:val="-40"/>
        </w:rPr>
        <w:t xml:space="preserve"> 年至 </w:t>
      </w:r>
      <w:r>
        <w:t>2023</w:t>
      </w:r>
      <w:r>
        <w:rPr>
          <w:spacing w:val="-17"/>
        </w:rPr>
        <w:t xml:space="preserve"> 年，开展乾隆湖及周边工业集中区环境综合治理项目， </w:t>
      </w:r>
      <w:r>
        <w:rPr>
          <w:spacing w:val="-12"/>
        </w:rPr>
        <w:t>加强景观建设，开展乾隆湖湿地修复与保护工程，并对乾隆湖周边工</w:t>
      </w:r>
      <w:r>
        <w:rPr>
          <w:spacing w:val="-5"/>
        </w:rPr>
        <w:t>业集中区环境进行综合治理，改善乾隆湖的生态系统。</w:t>
      </w:r>
    </w:p>
    <w:p w14:paraId="2F08853B">
      <w:pPr>
        <w:pStyle w:val="6"/>
        <w:spacing w:line="417" w:lineRule="auto"/>
        <w:ind w:left="720" w:right="578" w:firstLine="559"/>
      </w:pPr>
      <w:r>
        <w:rPr>
          <w:b/>
          <w:spacing w:val="-7"/>
        </w:rPr>
        <w:t>加强区域绿化，推广绿色产业。</w:t>
      </w:r>
      <w:r>
        <w:rPr>
          <w:spacing w:val="-8"/>
        </w:rPr>
        <w:t>“十四五”期间，开展实施濉溪</w:t>
      </w:r>
      <w:r>
        <w:rPr>
          <w:spacing w:val="-3"/>
        </w:rPr>
        <w:t xml:space="preserve">县生态廊道、农田林网、林产品基地建设工程以及森林增长工程等， </w:t>
      </w:r>
      <w:r>
        <w:rPr>
          <w:spacing w:val="-10"/>
        </w:rPr>
        <w:t>不断提高森林覆盖率，结合城乡环境整治、城中村改造、弃置地生态</w:t>
      </w:r>
      <w:r>
        <w:rPr>
          <w:spacing w:val="-13"/>
        </w:rPr>
        <w:t>修复等，推动绿色城市建设。进一步提高全县人均绿地面积和城市建</w:t>
      </w:r>
      <w:r>
        <w:rPr>
          <w:spacing w:val="-17"/>
        </w:rPr>
        <w:t>成区绿化覆盖率，到</w:t>
      </w:r>
      <w:r>
        <w:t>2025</w:t>
      </w:r>
      <w:r>
        <w:rPr>
          <w:spacing w:val="-16"/>
        </w:rPr>
        <w:t xml:space="preserve"> 年，全县建成区人均公园绿地面积达到</w:t>
      </w:r>
      <w:r>
        <w:t>15m</w:t>
      </w:r>
      <w:r>
        <w:rPr>
          <w:position w:val="14"/>
          <w:sz w:val="14"/>
        </w:rPr>
        <w:t>2</w:t>
      </w:r>
      <w:r>
        <w:t>。</w:t>
      </w:r>
      <w:r>
        <w:rPr>
          <w:spacing w:val="-9"/>
        </w:rPr>
        <w:t>充分发挥淮水北调配水工程作用，加快建设河湖贯通工程，打造一批</w:t>
      </w:r>
      <w:r>
        <w:rPr>
          <w:spacing w:val="-11"/>
        </w:rPr>
        <w:t>柳孜、浍河、乾隆湖景观带，发展水文景观。提高绿化覆盖率，实施主干道两侧、沿河两岸等绿化，构建城市生态绿色廊道，打造立体生</w:t>
      </w:r>
      <w:r>
        <w:rPr>
          <w:spacing w:val="-5"/>
        </w:rPr>
        <w:t>态景观。</w:t>
      </w:r>
    </w:p>
    <w:p w14:paraId="6B29C510">
      <w:pPr>
        <w:spacing w:before="0" w:line="417" w:lineRule="auto"/>
        <w:ind w:left="720" w:right="719" w:firstLine="559"/>
        <w:jc w:val="left"/>
        <w:rPr>
          <w:sz w:val="28"/>
        </w:rPr>
      </w:pPr>
      <w:r>
        <w:rPr>
          <w:b/>
          <w:spacing w:val="-6"/>
          <w:sz w:val="28"/>
        </w:rPr>
        <w:t>加强对矿产资源的开采活动实行集中统一管理。</w:t>
      </w:r>
      <w:r>
        <w:rPr>
          <w:spacing w:val="-3"/>
          <w:sz w:val="28"/>
        </w:rPr>
        <w:t>加强矿产资源调</w:t>
      </w:r>
      <w:r>
        <w:rPr>
          <w:spacing w:val="-11"/>
          <w:sz w:val="28"/>
        </w:rPr>
        <w:t>查评价与勘查、开发利用和矿区地质与生态环境保护工作，改变矿产</w:t>
      </w:r>
    </w:p>
    <w:p w14:paraId="2C9078E2">
      <w:pPr>
        <w:spacing w:after="0" w:line="417" w:lineRule="auto"/>
        <w:jc w:val="left"/>
        <w:rPr>
          <w:sz w:val="28"/>
        </w:rPr>
        <w:sectPr>
          <w:pgSz w:w="11910" w:h="16840"/>
          <w:pgMar w:top="1420" w:right="1080" w:bottom="1360" w:left="1080" w:header="878" w:footer="1164" w:gutter="0"/>
          <w:pgNumType w:fmt="decimal"/>
          <w:cols w:space="720" w:num="1"/>
        </w:sectPr>
      </w:pPr>
    </w:p>
    <w:p w14:paraId="353018E3">
      <w:pPr>
        <w:pStyle w:val="6"/>
        <w:spacing w:before="143" w:line="417" w:lineRule="auto"/>
        <w:ind w:left="720" w:right="580"/>
      </w:pPr>
      <w:r>
        <w:rPr>
          <w:spacing w:val="-9"/>
        </w:rPr>
        <w:t>资源利用方式和管理方式，推广绿色矿区建设，继续实施煤矿塌陷区</w:t>
      </w:r>
      <w:r>
        <w:rPr>
          <w:spacing w:val="-10"/>
        </w:rPr>
        <w:t>复垦工程，建立健全矿区生态环境监督管理制度，加大对塌陷区的治</w:t>
      </w:r>
      <w:r>
        <w:rPr>
          <w:spacing w:val="-18"/>
        </w:rPr>
        <w:t>理和生态修复，实施四铺镇张圩村、韩村镇采煤沉陷区祁集村胜利村、</w:t>
      </w:r>
      <w:r>
        <w:rPr>
          <w:spacing w:val="-13"/>
        </w:rPr>
        <w:t>孙疃镇陈楼村代庙村、凤栖湖、铁佛镇等采煤沉陷区的搬迁和生态建</w:t>
      </w:r>
      <w:r>
        <w:rPr>
          <w:spacing w:val="-12"/>
        </w:rPr>
        <w:t xml:space="preserve">设，开展海孜矿采煤沉陷区生态修复及环境整治工程建设，对采煤沉陷区水域进行综合治理，到 </w:t>
      </w:r>
      <w:r>
        <w:t>2025</w:t>
      </w:r>
      <w:r>
        <w:rPr>
          <w:spacing w:val="-14"/>
        </w:rPr>
        <w:t xml:space="preserve"> 年，濉溪县复垦复绿比例高于 </w:t>
      </w:r>
      <w:r>
        <w:t>78%。</w:t>
      </w:r>
    </w:p>
    <w:p w14:paraId="52283DE5">
      <w:pPr>
        <w:pStyle w:val="4"/>
        <w:ind w:left="3434"/>
      </w:pPr>
      <w:bookmarkStart w:id="73" w:name="_bookmark39"/>
      <w:bookmarkEnd w:id="73"/>
      <w:bookmarkStart w:id="74" w:name="第7节 污染减排规划"/>
      <w:bookmarkEnd w:id="74"/>
      <w:r>
        <w:t xml:space="preserve">第 </w:t>
      </w:r>
      <w:r>
        <w:rPr>
          <w:rFonts w:ascii="Arial" w:eastAsia="Arial"/>
        </w:rPr>
        <w:t xml:space="preserve">7 </w:t>
      </w:r>
      <w:r>
        <w:t>节 污染减排规划</w:t>
      </w:r>
    </w:p>
    <w:p w14:paraId="0A39B5CC">
      <w:pPr>
        <w:pStyle w:val="6"/>
        <w:spacing w:before="11"/>
        <w:rPr>
          <w:b/>
          <w:sz w:val="39"/>
        </w:rPr>
      </w:pPr>
    </w:p>
    <w:p w14:paraId="6607A7EF">
      <w:pPr>
        <w:pStyle w:val="5"/>
      </w:pPr>
      <w:r>
        <w:rPr>
          <w:rFonts w:ascii="Calibri" w:eastAsia="Calibri"/>
        </w:rPr>
        <w:t>1</w:t>
      </w:r>
      <w:r>
        <w:t>、污染减排的目标</w:t>
      </w:r>
    </w:p>
    <w:p w14:paraId="25FF136F">
      <w:pPr>
        <w:pStyle w:val="6"/>
        <w:spacing w:before="2"/>
        <w:rPr>
          <w:b/>
          <w:sz w:val="41"/>
        </w:rPr>
      </w:pPr>
    </w:p>
    <w:p w14:paraId="5DF0474B">
      <w:pPr>
        <w:pStyle w:val="6"/>
        <w:spacing w:line="417" w:lineRule="auto"/>
        <w:ind w:left="720" w:right="717" w:firstLine="561"/>
        <w:jc w:val="both"/>
      </w:pPr>
      <w:r>
        <w:rPr>
          <w:spacing w:val="-31"/>
        </w:rPr>
        <w:t xml:space="preserve">到 </w:t>
      </w:r>
      <w:r>
        <w:t>2025</w:t>
      </w:r>
      <w:r>
        <w:rPr>
          <w:spacing w:val="-8"/>
        </w:rPr>
        <w:t xml:space="preserve"> 年濉溪县主要污染物化学需氧量、氨氮、二氧化硫、氮</w:t>
      </w:r>
      <w:r>
        <w:rPr>
          <w:spacing w:val="-11"/>
        </w:rPr>
        <w:t>氧化物、挥发性有等指标控制在省下达的总量控制指标范围内；严格监督控制工业区污染物排放，通过更换清洁能源、增加环保设备、提倡循环工艺等措施，保证“十四五”期间的工业排放量不超过“十三</w:t>
      </w:r>
      <w:r>
        <w:rPr>
          <w:spacing w:val="-12"/>
        </w:rPr>
        <w:t>五”时期；生活污染物减排主要是源头控制和无害化处理，调整能源</w:t>
      </w:r>
      <w:r>
        <w:rPr>
          <w:spacing w:val="-11"/>
        </w:rPr>
        <w:t>结构减少大气污染物排放，增加基础设施建设，提高生活污水收集率</w:t>
      </w:r>
      <w:r>
        <w:rPr>
          <w:spacing w:val="-12"/>
        </w:rPr>
        <w:t>和处理率。确保“十四五”时期的环境质量和生态保护目标能够实现</w:t>
      </w:r>
      <w:r>
        <w:rPr>
          <w:spacing w:val="-5"/>
        </w:rPr>
        <w:t>预期值。</w:t>
      </w:r>
    </w:p>
    <w:p w14:paraId="0FE13D74">
      <w:pPr>
        <w:pStyle w:val="6"/>
        <w:spacing w:before="1"/>
        <w:rPr>
          <w:sz w:val="20"/>
        </w:rPr>
      </w:pPr>
    </w:p>
    <w:p w14:paraId="3C2B535A">
      <w:pPr>
        <w:pStyle w:val="5"/>
      </w:pPr>
      <w:r>
        <w:t>2</w:t>
      </w:r>
      <w:bookmarkStart w:id="75" w:name="2、污染减排的主要任务及措施"/>
      <w:bookmarkEnd w:id="75"/>
      <w:r>
        <w:t>、污染减排的主要任务及措施</w:t>
      </w:r>
    </w:p>
    <w:p w14:paraId="2CE10168">
      <w:pPr>
        <w:pStyle w:val="6"/>
        <w:spacing w:before="12"/>
        <w:rPr>
          <w:b/>
          <w:sz w:val="40"/>
        </w:rPr>
      </w:pPr>
    </w:p>
    <w:p w14:paraId="0D5DC546">
      <w:pPr>
        <w:pStyle w:val="6"/>
        <w:spacing w:line="417" w:lineRule="auto"/>
        <w:ind w:left="720" w:right="719" w:firstLine="559"/>
        <w:jc w:val="both"/>
      </w:pPr>
      <w:r>
        <w:rPr>
          <w:b/>
          <w:spacing w:val="-7"/>
        </w:rPr>
        <w:t>发展循环经济，降低污染物排放。</w:t>
      </w:r>
      <w:r>
        <w:rPr>
          <w:spacing w:val="-8"/>
        </w:rPr>
        <w:t>“十四五”期间，把发展循环</w:t>
      </w:r>
      <w:r>
        <w:rPr>
          <w:spacing w:val="-4"/>
        </w:rPr>
        <w:t>经济作为重点来抓，2021</w:t>
      </w:r>
      <w:r>
        <w:rPr>
          <w:spacing w:val="-34"/>
        </w:rPr>
        <w:t xml:space="preserve"> 年至 </w:t>
      </w:r>
      <w:r>
        <w:t>2023</w:t>
      </w:r>
      <w:r>
        <w:rPr>
          <w:spacing w:val="-10"/>
        </w:rPr>
        <w:t xml:space="preserve"> 年，规划建设安徽省淮北市濉溪</w:t>
      </w:r>
      <w:r>
        <w:rPr>
          <w:spacing w:val="-9"/>
        </w:rPr>
        <w:t>县韩村镇循环经济产业园，配套完善基础设施，实行土地整改，吸引</w:t>
      </w:r>
    </w:p>
    <w:p w14:paraId="3637109B">
      <w:pPr>
        <w:spacing w:after="0" w:line="417" w:lineRule="auto"/>
        <w:jc w:val="both"/>
        <w:sectPr>
          <w:pgSz w:w="11910" w:h="16840"/>
          <w:pgMar w:top="1420" w:right="1080" w:bottom="1360" w:left="1080" w:header="878" w:footer="1164" w:gutter="0"/>
          <w:pgNumType w:fmt="decimal"/>
          <w:cols w:space="720" w:num="1"/>
        </w:sectPr>
      </w:pPr>
    </w:p>
    <w:p w14:paraId="4C2B86BE">
      <w:pPr>
        <w:pStyle w:val="6"/>
        <w:spacing w:before="143" w:line="417" w:lineRule="auto"/>
        <w:ind w:left="720" w:right="832"/>
        <w:jc w:val="both"/>
      </w:pPr>
      <w:r>
        <w:rPr>
          <w:spacing w:val="-3"/>
        </w:rPr>
        <w:t>投资者进园，带动当地经济的同时发展循环经济。</w:t>
      </w:r>
      <w:r>
        <w:t>2021</w:t>
      </w:r>
      <w:r>
        <w:rPr>
          <w:spacing w:val="-13"/>
        </w:rPr>
        <w:t xml:space="preserve"> 年规划建设</w:t>
      </w:r>
      <w:r>
        <w:rPr>
          <w:spacing w:val="-5"/>
        </w:rPr>
        <w:t>淮北绿阳再生资源有限公司，提高固废资源回收利用率；</w:t>
      </w:r>
      <w:r>
        <w:t>2021</w:t>
      </w:r>
      <w:r>
        <w:rPr>
          <w:spacing w:val="-23"/>
        </w:rPr>
        <w:t xml:space="preserve"> 年至2022</w:t>
      </w:r>
      <w:r>
        <w:rPr>
          <w:spacing w:val="-10"/>
        </w:rPr>
        <w:t xml:space="preserve"> 年，开展再生资源回收利用免烧空心砖项目，提高濉溪县的一</w:t>
      </w:r>
    </w:p>
    <w:p w14:paraId="547573F1">
      <w:pPr>
        <w:pStyle w:val="6"/>
        <w:spacing w:line="417" w:lineRule="auto"/>
        <w:ind w:left="720" w:right="580"/>
      </w:pPr>
      <w:r>
        <w:rPr>
          <w:spacing w:val="-9"/>
        </w:rPr>
        <w:t xml:space="preserve">般工业固废利用率；规划 </w:t>
      </w:r>
      <w:r>
        <w:t>2021</w:t>
      </w:r>
      <w:r>
        <w:rPr>
          <w:spacing w:val="-36"/>
        </w:rPr>
        <w:t xml:space="preserve"> 年至 </w:t>
      </w:r>
      <w:r>
        <w:t>20204</w:t>
      </w:r>
      <w:r>
        <w:rPr>
          <w:spacing w:val="-25"/>
        </w:rPr>
        <w:t xml:space="preserve"> 年，建设 </w:t>
      </w:r>
      <w:r>
        <w:t>20</w:t>
      </w:r>
      <w:r>
        <w:rPr>
          <w:spacing w:val="-25"/>
        </w:rPr>
        <w:t xml:space="preserve"> 万吨</w:t>
      </w:r>
      <w:r>
        <w:t>/</w:t>
      </w:r>
      <w:r>
        <w:rPr>
          <w:spacing w:val="-2"/>
        </w:rPr>
        <w:t>年废旧</w:t>
      </w:r>
      <w:r>
        <w:rPr>
          <w:spacing w:val="-9"/>
        </w:rPr>
        <w:t>电池清洁回收及再生铅循环综合利用项目，解决濉溪县部分危废处理</w:t>
      </w:r>
      <w:r>
        <w:rPr>
          <w:spacing w:val="-13"/>
        </w:rPr>
        <w:t>难题。科学规划，统筹安排，加强对循环经济发展的调查研究，统筹安排节能、节水、工业垃圾综合利用、生活垃圾回收利用等重点领域</w:t>
      </w:r>
      <w:r>
        <w:rPr>
          <w:spacing w:val="-11"/>
        </w:rPr>
        <w:t>的专项规划，建立符合濉溪县实际的循环经济发展体系。用循环经济</w:t>
      </w:r>
      <w:r>
        <w:rPr>
          <w:spacing w:val="-18"/>
        </w:rPr>
        <w:t xml:space="preserve">理念指导产业转型，促进产业布局合理调整。要依靠科技，加快创新， </w:t>
      </w:r>
      <w:r>
        <w:rPr>
          <w:spacing w:val="-12"/>
        </w:rPr>
        <w:t>加快引进、开发和推广先进适用的生态循环型新工艺、新技术和新设</w:t>
      </w:r>
      <w:r>
        <w:rPr>
          <w:spacing w:val="-11"/>
        </w:rPr>
        <w:t>备，加速改造传统生产工艺，开发生产再循环型产品，推进企业生产</w:t>
      </w:r>
      <w:r>
        <w:rPr>
          <w:spacing w:val="-12"/>
        </w:rPr>
        <w:t>经营的生态转型。要完善政策，整合资源，加大对循环经济发展的资金支持，把发展循环经济作为政府投资的重点领域，通过制定相关的优惠政策，鼓励民间资本对有利于促进循环经济发展的重点项目进行</w:t>
      </w:r>
      <w:r>
        <w:rPr>
          <w:spacing w:val="-6"/>
        </w:rPr>
        <w:t>投资。</w:t>
      </w:r>
    </w:p>
    <w:p w14:paraId="20463D37">
      <w:pPr>
        <w:pStyle w:val="6"/>
        <w:spacing w:before="117" w:line="417" w:lineRule="auto"/>
        <w:ind w:left="720" w:right="623" w:firstLine="559"/>
        <w:jc w:val="both"/>
      </w:pPr>
      <w:r>
        <w:rPr>
          <w:b/>
          <w:spacing w:val="-11"/>
        </w:rPr>
        <w:t>以污染物总量减排为核心，大力开展重点行业企业污染综合整治</w:t>
      </w:r>
      <w:r>
        <w:rPr>
          <w:b/>
          <w:spacing w:val="-21"/>
        </w:rPr>
        <w:t>工作。</w:t>
      </w:r>
      <w:r>
        <w:rPr>
          <w:spacing w:val="-9"/>
        </w:rPr>
        <w:t>“十四五”期间，加强节能管理，继续开展锅炉更新和技术改</w:t>
      </w:r>
      <w:r>
        <w:rPr>
          <w:spacing w:val="-3"/>
        </w:rPr>
        <w:t>造、余热余压利用、绿色照明等节能工作，</w:t>
      </w:r>
      <w:r>
        <w:t>2021</w:t>
      </w:r>
      <w:r>
        <w:rPr>
          <w:spacing w:val="-36"/>
        </w:rPr>
        <w:t xml:space="preserve"> 年至 </w:t>
      </w:r>
      <w:r>
        <w:t>2025</w:t>
      </w:r>
      <w:r>
        <w:rPr>
          <w:spacing w:val="-16"/>
        </w:rPr>
        <w:t xml:space="preserve"> 年期间， </w:t>
      </w:r>
      <w:r>
        <w:rPr>
          <w:spacing w:val="-11"/>
        </w:rPr>
        <w:t>规划建设储能电站、濉溪县开发区电网升级改造、壹念风能科技垂直</w:t>
      </w:r>
      <w:r>
        <w:rPr>
          <w:spacing w:val="-12"/>
        </w:rPr>
        <w:t>轴风力发电等项目，继续实施宜点则电、宜气则气的原则；对企业污染物特征开展排查筛选，重点对涉重的化工企业进行提标改造；全县</w:t>
      </w:r>
      <w:r>
        <w:rPr>
          <w:spacing w:val="-3"/>
        </w:rPr>
        <w:t>禁燃区内燃煤锅炉全部整治，不断加强大气污染重点企业运行管理，</w:t>
      </w:r>
    </w:p>
    <w:p w14:paraId="4241CDAB">
      <w:pPr>
        <w:spacing w:after="0" w:line="417" w:lineRule="auto"/>
        <w:jc w:val="both"/>
        <w:sectPr>
          <w:pgSz w:w="11910" w:h="16840"/>
          <w:pgMar w:top="1420" w:right="1080" w:bottom="1360" w:left="1080" w:header="878" w:footer="1164" w:gutter="0"/>
          <w:pgNumType w:fmt="decimal"/>
          <w:cols w:space="720" w:num="1"/>
        </w:sectPr>
      </w:pPr>
    </w:p>
    <w:p w14:paraId="3FE14B14">
      <w:pPr>
        <w:pStyle w:val="6"/>
        <w:spacing w:before="143" w:line="417" w:lineRule="auto"/>
        <w:ind w:left="720" w:right="580"/>
      </w:pPr>
      <w:r>
        <w:rPr>
          <w:spacing w:val="-11"/>
        </w:rPr>
        <w:t>不断提高脱硫脱硝效率；涉重企业产生的危险废物均委托有资质单位</w:t>
      </w:r>
      <w:r>
        <w:rPr>
          <w:spacing w:val="-12"/>
        </w:rPr>
        <w:t>进行，无害化处理，把全县污染控制在规定范围内；完善市政污水管</w:t>
      </w:r>
      <w:r>
        <w:rPr>
          <w:spacing w:val="-5"/>
        </w:rPr>
        <w:t xml:space="preserve">网，增强污水收集能力，提升污水处理厂运行负荷率，加强“三废” </w:t>
      </w:r>
      <w:r>
        <w:rPr>
          <w:spacing w:val="-13"/>
        </w:rPr>
        <w:t>管理力度，对清污分流、雨污分流不断完善；加强畜禽养殖场污染治</w:t>
      </w:r>
      <w:r>
        <w:rPr>
          <w:spacing w:val="-11"/>
        </w:rPr>
        <w:t>理设施建设能力，改善污染治理水平，在保证经济发展的同时，控制</w:t>
      </w:r>
      <w:r>
        <w:rPr>
          <w:spacing w:val="-18"/>
        </w:rPr>
        <w:t>污染物排放总量；加强农村污染物排放管理，对生活污水、生活垃圾、</w:t>
      </w:r>
      <w:r>
        <w:rPr>
          <w:spacing w:val="-5"/>
        </w:rPr>
        <w:t xml:space="preserve">农业秸秆进行集中处置，严禁私自倾倒、掩埋或焚烧；引进新技术， </w:t>
      </w:r>
      <w:r>
        <w:rPr>
          <w:spacing w:val="-10"/>
        </w:rPr>
        <w:t>实施精准施肥，推广配方肥和有机肥，优化氮磷钾配方，促进大量元</w:t>
      </w:r>
      <w:r>
        <w:rPr>
          <w:spacing w:val="-4"/>
        </w:rPr>
        <w:t xml:space="preserve">素与中微量元素配合，减少化肥使用量；推广高效低毒低残留农药， </w:t>
      </w:r>
      <w:r>
        <w:rPr>
          <w:spacing w:val="-9"/>
        </w:rPr>
        <w:t>提倡使用新型高效植保机械，减少农药使用量；回收利用农业废弃塑</w:t>
      </w:r>
      <w:r>
        <w:rPr>
          <w:spacing w:val="-12"/>
        </w:rPr>
        <w:t>料薄膜，减少白色污染；要求各污染企业严格按照排污许可执行污染物排放，对偷排、漏排、设立暗井的行为进行从重处罚；工业污染企业必须安装在线检测仪，并定期进行第三方手动监测，及时将监测数</w:t>
      </w:r>
      <w:r>
        <w:rPr>
          <w:spacing w:val="-11"/>
        </w:rPr>
        <w:t>据联网公布，做到全民监督；特殊污染物要执行特别限值标准；对全</w:t>
      </w:r>
      <w:r>
        <w:rPr>
          <w:spacing w:val="-16"/>
        </w:rPr>
        <w:t xml:space="preserve">县年耗能量 </w:t>
      </w:r>
      <w:r>
        <w:t>1000</w:t>
      </w:r>
      <w:r>
        <w:rPr>
          <w:spacing w:val="-10"/>
        </w:rPr>
        <w:t xml:space="preserve"> 吨标煤以上的重点能耗企业能源消费情况监测分</w:t>
      </w:r>
    </w:p>
    <w:p w14:paraId="7BC9A407">
      <w:pPr>
        <w:pStyle w:val="6"/>
        <w:spacing w:line="417" w:lineRule="auto"/>
        <w:ind w:left="720" w:right="580"/>
      </w:pPr>
      <w:r>
        <w:rPr>
          <w:spacing w:val="-18"/>
        </w:rPr>
        <w:t xml:space="preserve">析，推进电力、化工、铝加工、建材等行业节能管理，明确目标任务， </w:t>
      </w:r>
      <w:r>
        <w:rPr>
          <w:spacing w:val="-12"/>
        </w:rPr>
        <w:t>加强行业指导，推动技术进步，强化对重点能耗企业的监督管理，配</w:t>
      </w:r>
      <w:r>
        <w:rPr>
          <w:spacing w:val="-13"/>
        </w:rPr>
        <w:t>合开展节能监察，督促企业能耗达标；实施重点用能单位设立能源管</w:t>
      </w:r>
      <w:r>
        <w:rPr>
          <w:spacing w:val="-12"/>
        </w:rPr>
        <w:t>理岗位及备案管理制度，落实能源利用状况报告制度，鼓励企业开展</w:t>
      </w:r>
      <w:r>
        <w:rPr>
          <w:spacing w:val="-11"/>
        </w:rPr>
        <w:t>电力需求侧平台建设，加快实施节能改造，提高能源管理水平；组织开展污染减排核查工作，加强预警督查，公开曝光违法违规事件；加</w:t>
      </w:r>
      <w:r>
        <w:rPr>
          <w:spacing w:val="-12"/>
        </w:rPr>
        <w:t>大检查、监测力度，更新处理工艺，阻止工业企业重金属排放，加强</w:t>
      </w:r>
    </w:p>
    <w:p w14:paraId="6B573C87">
      <w:pPr>
        <w:spacing w:after="0" w:line="417" w:lineRule="auto"/>
        <w:sectPr>
          <w:pgSz w:w="11910" w:h="16840"/>
          <w:pgMar w:top="1420" w:right="1080" w:bottom="1360" w:left="1080" w:header="878" w:footer="1164" w:gutter="0"/>
          <w:pgNumType w:fmt="decimal"/>
          <w:cols w:space="720" w:num="1"/>
        </w:sectPr>
      </w:pPr>
    </w:p>
    <w:p w14:paraId="52F0F375">
      <w:pPr>
        <w:pStyle w:val="6"/>
        <w:spacing w:before="143" w:line="417" w:lineRule="auto"/>
        <w:ind w:left="720" w:right="623"/>
      </w:pPr>
      <w:r>
        <w:rPr>
          <w:spacing w:val="-11"/>
        </w:rPr>
        <w:t>大气、水体、土壤中重金属的净化工作，保证在不发生重金属污染事故的前提下降低重金属的排；对新建、改建、扩建项目，要大力推行</w:t>
      </w:r>
      <w:r>
        <w:rPr>
          <w:spacing w:val="-12"/>
        </w:rPr>
        <w:t>清洁生产技术，结合濉溪县现行环境管理制度，鼓励企业开展清洁生</w:t>
      </w:r>
      <w:r>
        <w:rPr>
          <w:spacing w:val="-11"/>
        </w:rPr>
        <w:t>产，从污染物削减角度推动企业产业升级。进一步完善节能政策，严格实施节能评估审查和节能项目备案，从源头上控制能源消费不合理增长，在节能项目备案过程中严控高耗能行业新上项目，严格实施工</w:t>
      </w:r>
      <w:r>
        <w:rPr>
          <w:spacing w:val="-5"/>
        </w:rPr>
        <w:t>业固定资产投资项目节能评估和审查。备案项目节能评估审查率达100%</w:t>
      </w:r>
      <w:r>
        <w:rPr>
          <w:spacing w:val="-12"/>
        </w:rPr>
        <w:t>。加大节能减排投资，以县政府为主体，加大对节能减排资金投</w:t>
      </w:r>
      <w:r>
        <w:rPr>
          <w:spacing w:val="-13"/>
        </w:rPr>
        <w:t>入，引导社会资金投资节能减排项目，鼓励引导金融机构加大对全县节能减排、提标改造的信贷支持，采取市场机制法解决节能减排资金</w:t>
      </w:r>
      <w:r>
        <w:rPr>
          <w:spacing w:val="-12"/>
        </w:rPr>
        <w:t>问题。加强重点企业能源消费监督管理，大力推广节能技术和节能装</w:t>
      </w:r>
      <w:r>
        <w:rPr>
          <w:spacing w:val="-13"/>
        </w:rPr>
        <w:t>备。要全面实施重点污染防治工程，加大濉溪县重点领域的节能减排</w:t>
      </w:r>
      <w:r>
        <w:rPr>
          <w:spacing w:val="-3"/>
        </w:rPr>
        <w:t xml:space="preserve">工作，努力优化能源结构，大力搞好煤炭清洗等能源清洁利用工作， </w:t>
      </w:r>
      <w:r>
        <w:rPr>
          <w:spacing w:val="-10"/>
        </w:rPr>
        <w:t>积极发展清洁能源，加快开发利用水能、风能、太阳能、生物能等可</w:t>
      </w:r>
      <w:r>
        <w:rPr>
          <w:spacing w:val="-11"/>
        </w:rPr>
        <w:t>再生资源，从源头控制能源消费不合理增长，要全面实施节能减排重点工程，着重抓好节约和替代石油、燃煤锅炉改造、热电联产、电极</w:t>
      </w:r>
      <w:r>
        <w:rPr>
          <w:spacing w:val="-12"/>
        </w:rPr>
        <w:t>节能、余热利用等重点节能工程，加大对重点企业与同行业能耗先进水平对标活动，推动企业加大结构调整和技术改造力度，提高节能减</w:t>
      </w:r>
      <w:r>
        <w:rPr>
          <w:spacing w:val="-5"/>
        </w:rPr>
        <w:t>排管理水平。</w:t>
      </w:r>
    </w:p>
    <w:p w14:paraId="2411F4C4">
      <w:pPr>
        <w:spacing w:after="0" w:line="417" w:lineRule="auto"/>
        <w:sectPr>
          <w:pgSz w:w="11910" w:h="16840"/>
          <w:pgMar w:top="1420" w:right="1080" w:bottom="1360" w:left="1080" w:header="878" w:footer="1164" w:gutter="0"/>
          <w:pgNumType w:fmt="decimal"/>
          <w:cols w:space="720" w:num="1"/>
        </w:sectPr>
      </w:pPr>
    </w:p>
    <w:p w14:paraId="28E80FF0">
      <w:pPr>
        <w:pStyle w:val="4"/>
        <w:spacing w:before="131"/>
        <w:ind w:right="2"/>
        <w:jc w:val="center"/>
      </w:pPr>
      <w:r>
        <w:t xml:space="preserve">第 </w:t>
      </w:r>
      <w:r>
        <w:rPr>
          <w:rFonts w:ascii="Arial" w:eastAsia="Arial"/>
        </w:rPr>
        <w:t xml:space="preserve">8 </w:t>
      </w:r>
      <w:r>
        <w:t>节 辐射环境保护规划</w:t>
      </w:r>
    </w:p>
    <w:p w14:paraId="78D68268">
      <w:pPr>
        <w:pStyle w:val="6"/>
        <w:spacing w:before="11"/>
        <w:rPr>
          <w:b/>
          <w:sz w:val="39"/>
        </w:rPr>
      </w:pPr>
    </w:p>
    <w:p w14:paraId="564E17A0">
      <w:pPr>
        <w:pStyle w:val="5"/>
        <w:spacing w:before="1"/>
      </w:pPr>
      <w:bookmarkStart w:id="76" w:name="1、辐射环境保护目标"/>
      <w:bookmarkEnd w:id="76"/>
      <w:bookmarkStart w:id="77" w:name="_bookmark43"/>
      <w:bookmarkEnd w:id="77"/>
      <w:r>
        <w:rPr>
          <w:rFonts w:ascii="Calibri" w:eastAsia="Calibri"/>
        </w:rPr>
        <w:t>1</w:t>
      </w:r>
      <w:r>
        <w:t>、辐射环境保护目标</w:t>
      </w:r>
    </w:p>
    <w:p w14:paraId="7A8236CD">
      <w:pPr>
        <w:pStyle w:val="6"/>
        <w:spacing w:before="11"/>
        <w:rPr>
          <w:b/>
          <w:sz w:val="40"/>
        </w:rPr>
      </w:pPr>
    </w:p>
    <w:p w14:paraId="62EBB1B6">
      <w:pPr>
        <w:pStyle w:val="6"/>
        <w:spacing w:before="1" w:line="417" w:lineRule="auto"/>
        <w:ind w:left="720" w:right="719" w:firstLine="559"/>
        <w:jc w:val="both"/>
      </w:pPr>
      <w:r>
        <w:rPr>
          <w:spacing w:val="-34"/>
        </w:rPr>
        <w:t xml:space="preserve">到 </w:t>
      </w:r>
      <w:r>
        <w:t>2025</w:t>
      </w:r>
      <w:r>
        <w:rPr>
          <w:spacing w:val="-10"/>
        </w:rPr>
        <w:t xml:space="preserve"> 年环境辐射水平及各种环境介质中的放射性核素浓度水</w:t>
      </w:r>
      <w:r>
        <w:rPr>
          <w:spacing w:val="-9"/>
        </w:rPr>
        <w:t>平均保持在天然本底波动范围之内，确保十四五期间不会出现辐射污</w:t>
      </w:r>
      <w:r>
        <w:rPr>
          <w:spacing w:val="-3"/>
        </w:rPr>
        <w:t>染及危险品泄漏等安全事故发生。</w:t>
      </w:r>
    </w:p>
    <w:p w14:paraId="48DFE0EB">
      <w:pPr>
        <w:pStyle w:val="6"/>
        <w:spacing w:before="4"/>
        <w:rPr>
          <w:sz w:val="20"/>
        </w:rPr>
      </w:pPr>
    </w:p>
    <w:p w14:paraId="5F74BBBF">
      <w:pPr>
        <w:pStyle w:val="5"/>
      </w:pPr>
      <w:bookmarkStart w:id="78" w:name="3、2、辐射环境保护主要任务及措施"/>
      <w:bookmarkEnd w:id="78"/>
      <w:r>
        <w:rPr>
          <w:rFonts w:ascii="Calibri" w:eastAsia="Calibri"/>
        </w:rPr>
        <w:t>2</w:t>
      </w:r>
      <w:r>
        <w:t>、辐射环境保护主要任务及措施</w:t>
      </w:r>
    </w:p>
    <w:p w14:paraId="6E3669A6">
      <w:pPr>
        <w:pStyle w:val="6"/>
        <w:spacing w:before="12"/>
        <w:rPr>
          <w:b/>
          <w:sz w:val="40"/>
        </w:rPr>
      </w:pPr>
    </w:p>
    <w:p w14:paraId="6BE59D13">
      <w:pPr>
        <w:pStyle w:val="6"/>
        <w:spacing w:line="417" w:lineRule="auto"/>
        <w:ind w:left="720" w:right="719" w:firstLine="559"/>
      </w:pPr>
      <w:r>
        <w:rPr>
          <w:spacing w:val="-11"/>
        </w:rPr>
        <w:t>加强核安全利用安全管理，构建全县核安全利用安全动态管理体</w:t>
      </w:r>
      <w:r>
        <w:rPr>
          <w:spacing w:val="-5"/>
        </w:rPr>
        <w:t>系，防止和减少辐射事故的发生，保障公众安全和社会安定。</w:t>
      </w:r>
    </w:p>
    <w:p w14:paraId="74BF9A6F">
      <w:pPr>
        <w:pStyle w:val="4"/>
        <w:ind w:left="3434"/>
      </w:pPr>
      <w:r>
        <w:t xml:space="preserve">第 </w:t>
      </w:r>
      <w:r>
        <w:rPr>
          <w:rFonts w:ascii="Arial" w:eastAsia="Arial"/>
        </w:rPr>
        <w:t xml:space="preserve">9 </w:t>
      </w:r>
      <w:r>
        <w:t>节 城区环境建设</w:t>
      </w:r>
    </w:p>
    <w:p w14:paraId="03021383">
      <w:pPr>
        <w:pStyle w:val="6"/>
        <w:spacing w:before="1"/>
        <w:rPr>
          <w:b/>
          <w:sz w:val="40"/>
        </w:rPr>
      </w:pPr>
    </w:p>
    <w:p w14:paraId="2BE58143">
      <w:pPr>
        <w:pStyle w:val="5"/>
        <w:spacing w:before="1"/>
      </w:pPr>
      <w:bookmarkStart w:id="79" w:name="1、城区环境建设目标"/>
      <w:bookmarkEnd w:id="79"/>
      <w:bookmarkStart w:id="80" w:name="_bookmark46"/>
      <w:bookmarkEnd w:id="80"/>
      <w:r>
        <w:rPr>
          <w:rFonts w:ascii="Calibri" w:eastAsia="Calibri"/>
        </w:rPr>
        <w:t>1</w:t>
      </w:r>
      <w:r>
        <w:t>、城区环境建设目标</w:t>
      </w:r>
    </w:p>
    <w:p w14:paraId="587511CD">
      <w:pPr>
        <w:pStyle w:val="6"/>
        <w:spacing w:before="11"/>
        <w:rPr>
          <w:b/>
          <w:sz w:val="40"/>
        </w:rPr>
      </w:pPr>
    </w:p>
    <w:p w14:paraId="6EA3E412">
      <w:pPr>
        <w:pStyle w:val="6"/>
        <w:spacing w:before="1" w:line="417" w:lineRule="auto"/>
        <w:ind w:left="720" w:right="719" w:firstLine="561"/>
        <w:jc w:val="both"/>
      </w:pPr>
      <w:r>
        <w:rPr>
          <w:spacing w:val="-11"/>
        </w:rPr>
        <w:t>“十四五”期间加大县城环境保护力度，建立健全生态环境保护</w:t>
      </w:r>
      <w:r>
        <w:rPr>
          <w:spacing w:val="-13"/>
        </w:rPr>
        <w:t>监督管理机制，统筹协调环境基础设施建设，使县城环境综合整治定</w:t>
      </w:r>
      <w:r>
        <w:rPr>
          <w:spacing w:val="-12"/>
        </w:rPr>
        <w:t>量考核各项指标比“十三五”时期有所提高，县城环境质量有进一步</w:t>
      </w:r>
      <w:r>
        <w:rPr>
          <w:spacing w:val="-5"/>
        </w:rPr>
        <w:t>改善，创建省和国家环境保护模范县城。</w:t>
      </w:r>
    </w:p>
    <w:p w14:paraId="6DCF331B">
      <w:pPr>
        <w:pStyle w:val="6"/>
        <w:spacing w:before="1"/>
        <w:rPr>
          <w:sz w:val="20"/>
        </w:rPr>
      </w:pPr>
    </w:p>
    <w:p w14:paraId="32F602F7">
      <w:pPr>
        <w:pStyle w:val="5"/>
        <w:spacing w:before="1"/>
      </w:pPr>
      <w:bookmarkStart w:id="81" w:name="_bookmark47"/>
      <w:bookmarkEnd w:id="81"/>
      <w:bookmarkStart w:id="82" w:name="2、城区环境建设主要任务及措施"/>
      <w:bookmarkEnd w:id="82"/>
      <w:r>
        <w:rPr>
          <w:rFonts w:ascii="Calibri" w:eastAsia="Calibri"/>
        </w:rPr>
        <w:t>2</w:t>
      </w:r>
      <w:r>
        <w:t>、城区环境建设主要任务及措施</w:t>
      </w:r>
    </w:p>
    <w:p w14:paraId="4A7E9529">
      <w:pPr>
        <w:pStyle w:val="6"/>
        <w:spacing w:before="1"/>
        <w:rPr>
          <w:b/>
          <w:sz w:val="41"/>
        </w:rPr>
      </w:pPr>
    </w:p>
    <w:p w14:paraId="3099A8DD">
      <w:pPr>
        <w:pStyle w:val="6"/>
        <w:spacing w:line="417" w:lineRule="auto"/>
        <w:ind w:left="720" w:right="719" w:firstLine="559"/>
        <w:jc w:val="both"/>
        <w:rPr>
          <w:rFonts w:hint="eastAsia"/>
          <w:spacing w:val="-11"/>
          <w:lang w:eastAsia="zh-CN"/>
        </w:rPr>
        <w:sectPr>
          <w:pgSz w:w="11910" w:h="16840"/>
          <w:pgMar w:top="1420" w:right="1080" w:bottom="1360" w:left="1080" w:header="878" w:footer="1164" w:gutter="0"/>
          <w:pgNumType w:fmt="decimal"/>
          <w:cols w:space="720" w:num="1"/>
        </w:sectPr>
      </w:pPr>
      <w:r>
        <w:rPr>
          <w:spacing w:val="-11"/>
        </w:rPr>
        <w:t>到“十三五”末期，濉溪县县城基础设施建设、服务功能、城市品位、人居环境均得到进一步改善和提升，相继获得“安徽省园林县</w:t>
      </w:r>
      <w:r>
        <w:rPr>
          <w:spacing w:val="-13"/>
        </w:rPr>
        <w:t>城”、</w:t>
      </w:r>
      <w:r>
        <w:rPr>
          <w:spacing w:val="-11"/>
        </w:rPr>
        <w:t>“安徽省文明县城”和“国家园林县城”荣誉称号，但是仍很</w:t>
      </w:r>
    </w:p>
    <w:p w14:paraId="2D81FCC4">
      <w:pPr>
        <w:pStyle w:val="6"/>
        <w:spacing w:line="417" w:lineRule="auto"/>
        <w:ind w:left="559" w:leftChars="254" w:right="719" w:firstLine="0" w:firstLineChars="0"/>
        <w:jc w:val="both"/>
        <w:rPr>
          <w:rFonts w:hint="eastAsia"/>
          <w:spacing w:val="-11"/>
          <w:lang w:eastAsia="zh-CN"/>
        </w:rPr>
      </w:pPr>
      <w:r>
        <w:rPr>
          <w:rFonts w:hint="eastAsia"/>
          <w:spacing w:val="-11"/>
          <w:lang w:eastAsia="zh-CN"/>
        </w:rPr>
        <w:t>多</w:t>
      </w:r>
      <w:r>
        <w:rPr>
          <w:spacing w:val="-11"/>
        </w:rPr>
        <w:t>问题有待解决，基础设施建设整体推进不平衡，基础设施建设统筹协调</w:t>
      </w:r>
      <w:r>
        <w:rPr>
          <w:rFonts w:hint="eastAsia"/>
          <w:spacing w:val="-11"/>
          <w:lang w:eastAsia="zh-CN"/>
        </w:rPr>
        <w:t>不到位</w:t>
      </w:r>
    </w:p>
    <w:p w14:paraId="3E5ED83F">
      <w:pPr>
        <w:pStyle w:val="6"/>
        <w:spacing w:before="120" w:line="417" w:lineRule="auto"/>
        <w:ind w:left="720" w:right="580" w:firstLine="559"/>
      </w:pPr>
      <w:r>
        <w:rPr>
          <w:b/>
        </w:rPr>
        <w:t>加大项目建设力度。</w:t>
      </w:r>
      <w:r>
        <w:rPr>
          <w:spacing w:val="-3"/>
        </w:rPr>
        <w:t xml:space="preserve">“十四五”期间，继续按照“改造老城区， </w:t>
      </w:r>
      <w:r>
        <w:rPr>
          <w:spacing w:val="-11"/>
        </w:rPr>
        <w:t>优化提升旧城区，加快建设河西新区”的总体思路，结合目前城区基</w:t>
      </w:r>
      <w:r>
        <w:rPr>
          <w:spacing w:val="-5"/>
        </w:rPr>
        <w:t xml:space="preserve">础设施建设实际情况，因地制宜规划、建设综合管廊或管沟、管道， </w:t>
      </w:r>
      <w:r>
        <w:rPr>
          <w:spacing w:val="-12"/>
        </w:rPr>
        <w:t>合理规划新城区。“十四五”期间，规划柳孜运河遗址、淮海战役总</w:t>
      </w:r>
      <w:r>
        <w:rPr>
          <w:spacing w:val="-11"/>
        </w:rPr>
        <w:t>前委旧址红色旅游建设项目、淮海文化产业园、铁佛镇古城汉墓旅游项目、铁佛镇邹楼前年银杏园旅游项目等基础建设，提高全县文化环</w:t>
      </w:r>
      <w:r>
        <w:rPr>
          <w:spacing w:val="-12"/>
        </w:rPr>
        <w:t>境及生活环境；规范建设城市污水管网，在现有条件下，能够纳入综</w:t>
      </w:r>
      <w:r>
        <w:rPr>
          <w:spacing w:val="-13"/>
        </w:rPr>
        <w:t>合管道改造建设的，应做到应纳尽纳，应改尽改，避免各类管网重复</w:t>
      </w:r>
      <w:r>
        <w:rPr>
          <w:spacing w:val="-12"/>
        </w:rPr>
        <w:t>建设造成的浪费，真正实现县城管网标准化建设，不断增强县城的综</w:t>
      </w:r>
      <w:r>
        <w:rPr>
          <w:spacing w:val="-5"/>
        </w:rPr>
        <w:t xml:space="preserve">合承载能力；加大雨污分流覆盖面，进一步加大城区雨污分流工程， </w:t>
      </w:r>
      <w:r>
        <w:rPr>
          <w:spacing w:val="-3"/>
        </w:rPr>
        <w:t xml:space="preserve">提高污水处理效率，节约污水处理成本；建设污染物处理基础工程， </w:t>
      </w:r>
      <w:r>
        <w:rPr>
          <w:spacing w:val="-17"/>
        </w:rPr>
        <w:t xml:space="preserve">进一步加强污水处理设施建设，增设新的污水处理站，更新老旧工艺， </w:t>
      </w:r>
      <w:r>
        <w:rPr>
          <w:spacing w:val="-5"/>
        </w:rPr>
        <w:t>更换污水处理设备，确保县城废水得到有效处理和处置。</w:t>
      </w:r>
    </w:p>
    <w:p w14:paraId="53D62E11">
      <w:pPr>
        <w:pStyle w:val="6"/>
        <w:spacing w:before="117" w:line="417" w:lineRule="auto"/>
        <w:ind w:left="720" w:right="719" w:firstLine="559"/>
        <w:jc w:val="both"/>
      </w:pPr>
      <w:r>
        <w:rPr>
          <w:b/>
          <w:spacing w:val="-7"/>
        </w:rPr>
        <w:t>进一步贯彻落实《大气污染防治法》。</w:t>
      </w:r>
      <w:r>
        <w:rPr>
          <w:spacing w:val="-8"/>
        </w:rPr>
        <w:t>“十四五”期间，要求各排污企业严格执行特殊污染特别限值标准，淘汰燃煤小锅炉，提高企</w:t>
      </w:r>
      <w:r>
        <w:rPr>
          <w:spacing w:val="-11"/>
        </w:rPr>
        <w:t>业准入门槛，清理整治“散乱污”企业、柴油货车污染、城市餐饮油</w:t>
      </w:r>
      <w:r>
        <w:rPr>
          <w:spacing w:val="-12"/>
        </w:rPr>
        <w:t>烟等，加强城市建筑工地、道路扬尘管理等方面，努力提高优良天气</w:t>
      </w:r>
      <w:r>
        <w:rPr>
          <w:spacing w:val="-6"/>
        </w:rPr>
        <w:t>占比。</w:t>
      </w:r>
    </w:p>
    <w:p w14:paraId="759A2C11">
      <w:pPr>
        <w:spacing w:before="119"/>
        <w:ind w:left="578" w:right="21" w:firstLine="0"/>
        <w:jc w:val="center"/>
        <w:rPr>
          <w:sz w:val="28"/>
        </w:rPr>
      </w:pPr>
      <w:r>
        <w:rPr>
          <w:b/>
          <w:sz w:val="28"/>
        </w:rPr>
        <w:t>进一步建立健全全县生活垃圾分类、收集、储运和处理系统。</w:t>
      </w:r>
      <w:r>
        <w:rPr>
          <w:sz w:val="28"/>
        </w:rPr>
        <w:t>确</w:t>
      </w:r>
    </w:p>
    <w:p w14:paraId="7CD5B4F6">
      <w:pPr>
        <w:spacing w:after="0"/>
        <w:jc w:val="center"/>
        <w:rPr>
          <w:sz w:val="28"/>
        </w:rPr>
        <w:sectPr>
          <w:pgSz w:w="11910" w:h="16840"/>
          <w:pgMar w:top="1420" w:right="1080" w:bottom="1360" w:left="1080" w:header="878" w:footer="1164" w:gutter="0"/>
          <w:pgNumType w:fmt="decimal"/>
          <w:cols w:space="720" w:num="1"/>
        </w:sectPr>
      </w:pPr>
    </w:p>
    <w:p w14:paraId="196E5421">
      <w:pPr>
        <w:pStyle w:val="6"/>
        <w:spacing w:before="143" w:line="417" w:lineRule="auto"/>
        <w:ind w:left="720" w:right="719"/>
      </w:pPr>
      <w:r>
        <w:rPr>
          <w:spacing w:val="-9"/>
        </w:rPr>
        <w:t>保全县生活垃圾无害化处置，逐步实现垃圾分类；加强对危险废物监</w:t>
      </w:r>
      <w:r>
        <w:rPr>
          <w:spacing w:val="-3"/>
        </w:rPr>
        <w:t>督管理，最大限度的减少工业废弃物堆放带来的环境污染。</w:t>
      </w:r>
    </w:p>
    <w:p w14:paraId="477FE0C2">
      <w:pPr>
        <w:spacing w:before="120" w:line="417" w:lineRule="auto"/>
        <w:ind w:left="720" w:right="578" w:firstLine="559"/>
        <w:jc w:val="left"/>
        <w:rPr>
          <w:sz w:val="28"/>
        </w:rPr>
      </w:pPr>
      <w:r>
        <w:rPr>
          <w:b/>
          <w:sz w:val="28"/>
        </w:rPr>
        <w:t>加强全县机动车和非机动车管理。</w:t>
      </w:r>
      <w:r>
        <w:rPr>
          <w:sz w:val="28"/>
        </w:rPr>
        <w:t>加强机动车尾气检测、维修保养和淘汰更新工作，对机动车实施错峰出行，避免居民区噪声污染。</w:t>
      </w:r>
    </w:p>
    <w:p w14:paraId="3E0907E5">
      <w:pPr>
        <w:pStyle w:val="6"/>
        <w:spacing w:before="2"/>
        <w:rPr>
          <w:sz w:val="20"/>
        </w:rPr>
      </w:pPr>
    </w:p>
    <w:p w14:paraId="422EDB3A">
      <w:pPr>
        <w:pStyle w:val="5"/>
        <w:spacing w:before="1"/>
      </w:pPr>
      <w:bookmarkStart w:id="83" w:name="_bookmark48"/>
      <w:bookmarkEnd w:id="83"/>
      <w:bookmarkStart w:id="84" w:name="3、优化园区布置、优先发展绿色高质量经济"/>
      <w:bookmarkEnd w:id="84"/>
      <w:r>
        <w:rPr>
          <w:rFonts w:ascii="Calibri" w:eastAsia="Calibri"/>
        </w:rPr>
        <w:t>3</w:t>
      </w:r>
      <w:r>
        <w:t>、优化园区布置、优先发展绿色高质量经济</w:t>
      </w:r>
    </w:p>
    <w:p w14:paraId="2170ADAC">
      <w:pPr>
        <w:pStyle w:val="6"/>
        <w:spacing w:before="11"/>
        <w:rPr>
          <w:b/>
          <w:sz w:val="40"/>
        </w:rPr>
      </w:pPr>
    </w:p>
    <w:p w14:paraId="3F282B6E">
      <w:pPr>
        <w:pStyle w:val="6"/>
        <w:spacing w:line="417" w:lineRule="auto"/>
        <w:ind w:left="720" w:right="580" w:firstLine="559"/>
      </w:pPr>
      <w:r>
        <w:rPr>
          <w:spacing w:val="-3"/>
        </w:rPr>
        <w:t xml:space="preserve">工业园区是濉溪县经济建设的主战场、产业集聚发展的主要载 </w:t>
      </w:r>
      <w:r>
        <w:rPr>
          <w:spacing w:val="-19"/>
        </w:rPr>
        <w:t>体，必须在贯彻新发展理念上发挥示范作用，自觉用新发展理念规划、</w:t>
      </w:r>
      <w:r>
        <w:rPr>
          <w:spacing w:val="-11"/>
        </w:rPr>
        <w:t>引领和推动工业园区发展，坚定不移走以生态优先、绿色发展为导向</w:t>
      </w:r>
      <w:r>
        <w:rPr>
          <w:spacing w:val="-5"/>
        </w:rPr>
        <w:t>的高质量发展新路子。</w:t>
      </w:r>
    </w:p>
    <w:p w14:paraId="2A6B26E9">
      <w:pPr>
        <w:spacing w:before="120" w:line="417" w:lineRule="auto"/>
        <w:ind w:left="720" w:right="580" w:firstLine="559"/>
        <w:jc w:val="left"/>
        <w:rPr>
          <w:sz w:val="28"/>
        </w:rPr>
      </w:pPr>
      <w:r>
        <w:rPr>
          <w:b/>
          <w:spacing w:val="-8"/>
          <w:sz w:val="28"/>
        </w:rPr>
        <w:t>下大力气调整优化工业园区布局，坚决避免低水平重复建设。</w:t>
      </w:r>
      <w:r>
        <w:rPr>
          <w:sz w:val="28"/>
        </w:rPr>
        <w:t>加</w:t>
      </w:r>
      <w:r>
        <w:rPr>
          <w:spacing w:val="-18"/>
          <w:sz w:val="28"/>
        </w:rPr>
        <w:t>快形成布局合理、错位发展、功能协调的园区发展格局，要落实巩固、</w:t>
      </w:r>
      <w:r>
        <w:rPr>
          <w:spacing w:val="-12"/>
          <w:sz w:val="28"/>
        </w:rPr>
        <w:t>增强、提升、畅通方针，调整园区产业结构，让园区成为提升产业链</w:t>
      </w:r>
      <w:r>
        <w:rPr>
          <w:spacing w:val="-5"/>
          <w:sz w:val="28"/>
        </w:rPr>
        <w:t>水平、培育壮大产业集群的重要载体。</w:t>
      </w:r>
    </w:p>
    <w:p w14:paraId="5877D2DA">
      <w:pPr>
        <w:pStyle w:val="6"/>
        <w:spacing w:before="119" w:line="417" w:lineRule="auto"/>
        <w:ind w:left="720" w:right="719" w:firstLine="559"/>
        <w:jc w:val="both"/>
      </w:pPr>
      <w:r>
        <w:rPr>
          <w:b/>
          <w:spacing w:val="-4"/>
        </w:rPr>
        <w:t>加大对园区环保基础设施建设的投入。</w:t>
      </w:r>
      <w:r>
        <w:rPr>
          <w:spacing w:val="-9"/>
        </w:rPr>
        <w:t>推进绿色工厂建设，严格</w:t>
      </w:r>
      <w:r>
        <w:rPr>
          <w:spacing w:val="-10"/>
        </w:rPr>
        <w:t>执行环境影响评价制度；把创新摆在核心位置，支持工业园区建设创新平台，提升企业技术创新能力，促进科技成果转化应用，把工业园</w:t>
      </w:r>
      <w:r>
        <w:rPr>
          <w:spacing w:val="-4"/>
        </w:rPr>
        <w:t>区真正建设成为创新高地。</w:t>
      </w:r>
    </w:p>
    <w:p w14:paraId="6D0F1866">
      <w:pPr>
        <w:spacing w:before="119" w:line="417" w:lineRule="auto"/>
        <w:ind w:left="720" w:right="719" w:firstLine="559"/>
        <w:jc w:val="left"/>
        <w:rPr>
          <w:sz w:val="28"/>
        </w:rPr>
      </w:pPr>
      <w:r>
        <w:rPr>
          <w:b/>
          <w:spacing w:val="-3"/>
          <w:sz w:val="28"/>
        </w:rPr>
        <w:t>加快园区管理体制机制创新。</w:t>
      </w:r>
      <w:r>
        <w:rPr>
          <w:spacing w:val="-10"/>
          <w:sz w:val="28"/>
        </w:rPr>
        <w:t>深化“放管服”改革，建立亲清政</w:t>
      </w:r>
      <w:r>
        <w:rPr>
          <w:spacing w:val="-4"/>
          <w:sz w:val="28"/>
        </w:rPr>
        <w:t>商关系，把工业园区建成高水平营商环境的示范区。</w:t>
      </w:r>
    </w:p>
    <w:p w14:paraId="767C415C">
      <w:pPr>
        <w:spacing w:after="0" w:line="417" w:lineRule="auto"/>
        <w:jc w:val="left"/>
        <w:rPr>
          <w:sz w:val="28"/>
        </w:rPr>
        <w:sectPr>
          <w:footerReference r:id="rId11" w:type="default"/>
          <w:pgSz w:w="11910" w:h="16840"/>
          <w:pgMar w:top="1420" w:right="1080" w:bottom="1360" w:left="1080" w:header="878" w:footer="1164" w:gutter="0"/>
          <w:pgNumType w:fmt="decimal" w:start="50"/>
          <w:cols w:space="720" w:num="1"/>
        </w:sectPr>
      </w:pPr>
    </w:p>
    <w:p w14:paraId="0E6DF9BE">
      <w:pPr>
        <w:pStyle w:val="4"/>
        <w:tabs>
          <w:tab w:val="left" w:pos="1387"/>
        </w:tabs>
        <w:spacing w:before="131"/>
        <w:jc w:val="center"/>
      </w:pPr>
      <w:r>
        <w:t>第</w:t>
      </w:r>
      <w:r>
        <w:rPr>
          <w:spacing w:val="-76"/>
        </w:rPr>
        <w:t xml:space="preserve"> </w:t>
      </w:r>
      <w:r>
        <w:rPr>
          <w:rFonts w:ascii="Arial" w:eastAsia="Arial"/>
        </w:rPr>
        <w:t>10</w:t>
      </w:r>
      <w:r>
        <w:rPr>
          <w:rFonts w:ascii="Arial" w:eastAsia="Arial"/>
          <w:spacing w:val="-11"/>
        </w:rPr>
        <w:t xml:space="preserve"> </w:t>
      </w:r>
      <w:r>
        <w:t>节</w:t>
      </w:r>
      <w:r>
        <w:tab/>
      </w:r>
      <w:bookmarkStart w:id="85" w:name="第10节 加强农村环境保护与建设"/>
      <w:bookmarkEnd w:id="85"/>
      <w:bookmarkStart w:id="86" w:name="_bookmark49"/>
      <w:bookmarkEnd w:id="86"/>
      <w:r>
        <w:t>加强农村环境保护与建设</w:t>
      </w:r>
    </w:p>
    <w:p w14:paraId="32A4BFD2">
      <w:pPr>
        <w:pStyle w:val="6"/>
        <w:spacing w:before="11"/>
        <w:rPr>
          <w:b/>
          <w:sz w:val="39"/>
        </w:rPr>
      </w:pPr>
    </w:p>
    <w:p w14:paraId="399D136F">
      <w:pPr>
        <w:pStyle w:val="5"/>
        <w:spacing w:before="1"/>
      </w:pPr>
      <w:bookmarkStart w:id="87" w:name="1、加强农村饮用水源保护"/>
      <w:bookmarkEnd w:id="87"/>
      <w:bookmarkStart w:id="88" w:name="_bookmark50"/>
      <w:bookmarkEnd w:id="88"/>
      <w:r>
        <w:rPr>
          <w:rFonts w:ascii="Calibri" w:eastAsia="Calibri"/>
        </w:rPr>
        <w:t>1</w:t>
      </w:r>
      <w:r>
        <w:t>、加强农村饮用水源保护</w:t>
      </w:r>
    </w:p>
    <w:p w14:paraId="3E73B931">
      <w:pPr>
        <w:pStyle w:val="6"/>
        <w:spacing w:before="11"/>
        <w:rPr>
          <w:b/>
          <w:sz w:val="40"/>
        </w:rPr>
      </w:pPr>
    </w:p>
    <w:p w14:paraId="506DBF02">
      <w:pPr>
        <w:pStyle w:val="6"/>
        <w:spacing w:before="1" w:line="417" w:lineRule="auto"/>
        <w:ind w:left="720" w:right="623" w:firstLine="559"/>
      </w:pPr>
      <w:r>
        <w:rPr>
          <w:spacing w:val="-7"/>
        </w:rPr>
        <w:t>把保障饮用水安全作为农村环境保护工作的首要任务，依法科学</w:t>
      </w:r>
      <w:r>
        <w:rPr>
          <w:spacing w:val="-3"/>
        </w:rPr>
        <w:t>划定农村饮用水水源保护区，加强饮用水水源保护区的监测和监管， 坚决依法取缔水源保护区内的排污口,禁止有毒有害物质进入饮用水</w:t>
      </w:r>
      <w:r>
        <w:rPr>
          <w:spacing w:val="-12"/>
        </w:rPr>
        <w:t>水源保护区，严防养殖业污染水源，严禁直接或者间接向水源地排放超标的工业污水。制定饮用水水源保护区应急预案，强化水污染事故</w:t>
      </w:r>
      <w:r>
        <w:rPr>
          <w:spacing w:val="-5"/>
        </w:rPr>
        <w:t>的预防和应急处理,确保群众饮水安全。</w:t>
      </w:r>
    </w:p>
    <w:p w14:paraId="21B34370">
      <w:pPr>
        <w:pStyle w:val="6"/>
        <w:spacing w:before="3"/>
        <w:rPr>
          <w:sz w:val="20"/>
        </w:rPr>
      </w:pPr>
    </w:p>
    <w:p w14:paraId="0E728B75">
      <w:pPr>
        <w:pStyle w:val="5"/>
        <w:spacing w:before="1"/>
      </w:pPr>
      <w:bookmarkStart w:id="89" w:name="2、加大农村污水治理主要任务及措施"/>
      <w:bookmarkEnd w:id="89"/>
      <w:bookmarkStart w:id="90" w:name="_bookmark51"/>
      <w:bookmarkEnd w:id="90"/>
      <w:r>
        <w:rPr>
          <w:rFonts w:ascii="Calibri" w:eastAsia="Calibri"/>
        </w:rPr>
        <w:t>2</w:t>
      </w:r>
      <w:r>
        <w:t>、加大农村污水治理主要任务及措施</w:t>
      </w:r>
    </w:p>
    <w:p w14:paraId="34A5B823">
      <w:pPr>
        <w:pStyle w:val="6"/>
        <w:rPr>
          <w:b/>
          <w:sz w:val="30"/>
        </w:rPr>
      </w:pPr>
    </w:p>
    <w:p w14:paraId="7B33229F">
      <w:pPr>
        <w:pStyle w:val="6"/>
        <w:spacing w:before="248" w:line="400" w:lineRule="auto"/>
        <w:ind w:left="720" w:right="719" w:firstLine="559"/>
        <w:jc w:val="both"/>
      </w:pPr>
      <w:r>
        <w:rPr>
          <w:spacing w:val="-8"/>
        </w:rPr>
        <w:t>农村生活污水治理是农村人居环境整治的重要内容，是实施乡村</w:t>
      </w:r>
      <w:r>
        <w:rPr>
          <w:spacing w:val="-10"/>
        </w:rPr>
        <w:t>振兴战略的重要举措，是全面建成小康社会的内在要求。现阶段濉溪县农村污水治理仍存在一些问题，污水设施建成情况与验收标准尚有</w:t>
      </w:r>
      <w:r>
        <w:rPr>
          <w:spacing w:val="-12"/>
        </w:rPr>
        <w:t>差距，管网配套不健全、收不来水、标识标牌不规范以及档案不健全</w:t>
      </w:r>
      <w:r>
        <w:rPr>
          <w:spacing w:val="-6"/>
        </w:rPr>
        <w:t>等现象，污水处理设施的规范性建设、运行水平有待进一步提高。</w:t>
      </w:r>
    </w:p>
    <w:p w14:paraId="086D0B03">
      <w:pPr>
        <w:pStyle w:val="6"/>
        <w:spacing w:before="9"/>
        <w:rPr>
          <w:sz w:val="23"/>
        </w:rPr>
      </w:pPr>
    </w:p>
    <w:p w14:paraId="41DF44DF">
      <w:pPr>
        <w:pStyle w:val="6"/>
        <w:spacing w:line="400" w:lineRule="auto"/>
        <w:ind w:left="720" w:right="623" w:firstLine="559"/>
      </w:pPr>
      <w:r>
        <w:rPr>
          <w:spacing w:val="-8"/>
        </w:rPr>
        <w:t>为提高农村污水治理能力和治理效率，濉溪县建立长效机制，一是县住建局进一步加强各镇污水管网规划建设，加大污水收集率，对</w:t>
      </w:r>
      <w:r>
        <w:rPr>
          <w:spacing w:val="-9"/>
        </w:rPr>
        <w:t>处理能力不足的镇尽快增加污水处理设备；二是由专业人员负责镇政</w:t>
      </w:r>
      <w:r>
        <w:rPr>
          <w:spacing w:val="-3"/>
        </w:rPr>
        <w:t>府驻地污水处理厂</w:t>
      </w:r>
      <w:r>
        <w:t>（站</w:t>
      </w:r>
      <w:r>
        <w:rPr>
          <w:spacing w:val="-3"/>
        </w:rPr>
        <w:t>）运维工作，提高运行效率，确保达标排放， 改善水环境质量；三是县生态环境分局做好镇政府驻地污水处理厂</w:t>
      </w:r>
    </w:p>
    <w:p w14:paraId="16A67313">
      <w:pPr>
        <w:pStyle w:val="6"/>
        <w:spacing w:before="5"/>
        <w:ind w:left="720"/>
      </w:pPr>
      <w:r>
        <w:t>（站）的水质监测工作。</w:t>
      </w:r>
    </w:p>
    <w:p w14:paraId="73CC358B">
      <w:pPr>
        <w:spacing w:after="0"/>
        <w:sectPr>
          <w:pgSz w:w="11910" w:h="16840"/>
          <w:pgMar w:top="1420" w:right="1080" w:bottom="1360" w:left="1080" w:header="878" w:footer="1164" w:gutter="0"/>
          <w:pgNumType w:fmt="decimal"/>
          <w:cols w:space="720" w:num="1"/>
        </w:sectPr>
      </w:pPr>
    </w:p>
    <w:p w14:paraId="5B2AD4E5">
      <w:pPr>
        <w:pStyle w:val="6"/>
        <w:spacing w:before="3"/>
        <w:rPr>
          <w:sz w:val="9"/>
        </w:rPr>
      </w:pPr>
    </w:p>
    <w:p w14:paraId="63B53BA0">
      <w:pPr>
        <w:pStyle w:val="6"/>
        <w:spacing w:before="61" w:line="374" w:lineRule="auto"/>
        <w:ind w:left="720" w:right="719" w:firstLine="559"/>
        <w:jc w:val="both"/>
      </w:pPr>
      <w:r>
        <w:rPr>
          <w:spacing w:val="-9"/>
        </w:rPr>
        <w:t>下一步濉溪县将进一步加强督导，规范运营管理，科学合理选择</w:t>
      </w:r>
      <w:r>
        <w:rPr>
          <w:spacing w:val="-11"/>
        </w:rPr>
        <w:t>污水处理技术，精准指导农村生活生产污水治理，解决生活污水乱排</w:t>
      </w:r>
      <w:r>
        <w:rPr>
          <w:spacing w:val="-12"/>
        </w:rPr>
        <w:t>乱放问题；进一步强化考核，加强督查指导，按中央、省环保督察及</w:t>
      </w:r>
      <w:r>
        <w:rPr>
          <w:spacing w:val="-9"/>
        </w:rPr>
        <w:t>省政府目标管理绩效考核要求，加大督导力度，督促污水处理开工项</w:t>
      </w:r>
      <w:r>
        <w:rPr>
          <w:spacing w:val="-10"/>
        </w:rPr>
        <w:t>目加快建设进度，已竣工项目加快验收，加强调度与现场督导，确保</w:t>
      </w:r>
      <w:r>
        <w:rPr>
          <w:spacing w:val="-4"/>
        </w:rPr>
        <w:t>完成既定目标任务。</w:t>
      </w:r>
    </w:p>
    <w:p w14:paraId="0810709B">
      <w:pPr>
        <w:pStyle w:val="5"/>
        <w:spacing w:before="225"/>
      </w:pPr>
      <w:bookmarkStart w:id="91" w:name="_bookmark52"/>
      <w:bookmarkEnd w:id="91"/>
      <w:bookmarkStart w:id="92" w:name="3、加强畜禽水产养殖污染防治"/>
      <w:bookmarkEnd w:id="92"/>
      <w:r>
        <w:rPr>
          <w:rFonts w:ascii="Calibri" w:eastAsia="Calibri"/>
        </w:rPr>
        <w:t>3</w:t>
      </w:r>
      <w:r>
        <w:t>、加强畜禽水产养殖污染防治</w:t>
      </w:r>
    </w:p>
    <w:p w14:paraId="4C32FF16">
      <w:pPr>
        <w:pStyle w:val="6"/>
        <w:spacing w:before="12"/>
        <w:rPr>
          <w:b/>
          <w:sz w:val="40"/>
        </w:rPr>
      </w:pPr>
    </w:p>
    <w:p w14:paraId="596BA99E">
      <w:pPr>
        <w:pStyle w:val="6"/>
        <w:spacing w:line="417" w:lineRule="auto"/>
        <w:ind w:left="720" w:right="580" w:firstLine="559"/>
      </w:pPr>
      <w:r>
        <w:rPr>
          <w:spacing w:val="-12"/>
        </w:rPr>
        <w:t>科学划定禁养、限养区域，改变人畜混居现象，改善农民生活环</w:t>
      </w:r>
      <w:r>
        <w:rPr>
          <w:spacing w:val="-8"/>
        </w:rPr>
        <w:t>境，</w:t>
      </w:r>
      <w:r>
        <w:rPr>
          <w:spacing w:val="-3"/>
        </w:rPr>
        <w:t>2020</w:t>
      </w:r>
      <w:r>
        <w:rPr>
          <w:spacing w:val="-35"/>
        </w:rPr>
        <w:t xml:space="preserve"> 年至 </w:t>
      </w:r>
      <w:r>
        <w:t>2021</w:t>
      </w:r>
      <w:r>
        <w:rPr>
          <w:spacing w:val="-10"/>
        </w:rPr>
        <w:t xml:space="preserve"> 年，建设淮北市濉溪县和谐现代化生猪养殖，建</w:t>
      </w:r>
      <w:r>
        <w:rPr>
          <w:spacing w:val="-16"/>
        </w:rPr>
        <w:t xml:space="preserve">设各类猪舍 </w:t>
      </w:r>
      <w:r>
        <w:t>30690</w:t>
      </w:r>
      <w:r>
        <w:rPr>
          <w:spacing w:val="-19"/>
        </w:rPr>
        <w:t xml:space="preserve"> 平方米，生产配套用房 </w:t>
      </w:r>
      <w:r>
        <w:t>4680</w:t>
      </w:r>
      <w:r>
        <w:rPr>
          <w:spacing w:val="-14"/>
        </w:rPr>
        <w:t xml:space="preserve"> 平方米，建设消毒池、</w:t>
      </w:r>
      <w:r>
        <w:rPr>
          <w:spacing w:val="-12"/>
        </w:rPr>
        <w:t>氧化塘、生态塘、初沉池、调节池、集粪池、污泥地、无害化处理池</w:t>
      </w:r>
      <w:r>
        <w:rPr>
          <w:spacing w:val="-5"/>
        </w:rPr>
        <w:t>以及其他配套设施建设，</w:t>
      </w:r>
      <w:r>
        <w:t>2021</w:t>
      </w:r>
      <w:r>
        <w:rPr>
          <w:spacing w:val="-37"/>
        </w:rPr>
        <w:t xml:space="preserve"> 年至 </w:t>
      </w:r>
      <w:r>
        <w:t>2022</w:t>
      </w:r>
      <w:r>
        <w:rPr>
          <w:spacing w:val="-10"/>
        </w:rPr>
        <w:t xml:space="preserve"> 年，规划建设童亭养猪场， </w:t>
      </w:r>
      <w:r>
        <w:rPr>
          <w:spacing w:val="-14"/>
        </w:rPr>
        <w:t xml:space="preserve">预计年产生猪 </w:t>
      </w:r>
      <w:r>
        <w:t>10</w:t>
      </w:r>
      <w:r>
        <w:rPr>
          <w:spacing w:val="-10"/>
        </w:rPr>
        <w:t xml:space="preserve"> 万头；根据水质要求和水体承载能力，确定水产养</w:t>
      </w:r>
      <w:r>
        <w:rPr>
          <w:spacing w:val="-18"/>
        </w:rPr>
        <w:t>殖的种类、数量，合理控制水库、湖泊网箱养殖规模，禁止化肥养鱼， 2021</w:t>
      </w:r>
      <w:r>
        <w:rPr>
          <w:spacing w:val="-36"/>
        </w:rPr>
        <w:t xml:space="preserve"> 年至 </w:t>
      </w:r>
      <w:r>
        <w:t>2022</w:t>
      </w:r>
      <w:r>
        <w:rPr>
          <w:spacing w:val="-12"/>
        </w:rPr>
        <w:t xml:space="preserve"> 年，规划建设韩村镇千亩水产养殖项目；鼓励生态养</w:t>
      </w:r>
      <w:r>
        <w:rPr>
          <w:spacing w:val="-5"/>
        </w:rPr>
        <w:t xml:space="preserve">殖场和养殖小区建设，通过发展沼气、生产有机肥等综合利用方式， </w:t>
      </w:r>
      <w:r>
        <w:rPr>
          <w:spacing w:val="-9"/>
        </w:rPr>
        <w:t>实现养殖废弃物的减量化、资源化、无害化；依据土地消纳能力，进</w:t>
      </w:r>
      <w:r>
        <w:rPr>
          <w:spacing w:val="-12"/>
        </w:rPr>
        <w:t>行畜禽粪便还田；新建、改建、扩建规模化畜禽养殖场必须严格执行</w:t>
      </w:r>
      <w:r>
        <w:rPr>
          <w:spacing w:val="-5"/>
        </w:rPr>
        <w:t>环境影响评价和“三同时”制度，确保污染物达标排放。</w:t>
      </w:r>
    </w:p>
    <w:p w14:paraId="265C4247">
      <w:pPr>
        <w:pStyle w:val="6"/>
        <w:spacing w:before="3"/>
        <w:rPr>
          <w:sz w:val="20"/>
        </w:rPr>
      </w:pPr>
    </w:p>
    <w:p w14:paraId="2651264F">
      <w:pPr>
        <w:pStyle w:val="5"/>
      </w:pPr>
      <w:bookmarkStart w:id="93" w:name="4、控制农业面源污染"/>
      <w:bookmarkEnd w:id="93"/>
      <w:bookmarkStart w:id="94" w:name="_bookmark53"/>
      <w:bookmarkEnd w:id="94"/>
      <w:r>
        <w:rPr>
          <w:rFonts w:ascii="Calibri" w:eastAsia="Calibri"/>
        </w:rPr>
        <w:t>4</w:t>
      </w:r>
      <w:r>
        <w:t>、控制农业面源污染</w:t>
      </w:r>
    </w:p>
    <w:p w14:paraId="367662FF">
      <w:pPr>
        <w:pStyle w:val="6"/>
        <w:spacing w:before="12"/>
        <w:rPr>
          <w:b/>
          <w:sz w:val="40"/>
        </w:rPr>
      </w:pPr>
    </w:p>
    <w:p w14:paraId="0197C122">
      <w:pPr>
        <w:spacing w:before="0"/>
        <w:ind w:left="1279" w:right="0" w:firstLine="0"/>
        <w:jc w:val="left"/>
        <w:rPr>
          <w:sz w:val="28"/>
        </w:rPr>
      </w:pPr>
      <w:r>
        <w:rPr>
          <w:b/>
          <w:sz w:val="28"/>
        </w:rPr>
        <w:t>推动农村环境综合治理, 发展循环型农业。</w:t>
      </w:r>
      <w:r>
        <w:rPr>
          <w:sz w:val="28"/>
        </w:rPr>
        <w:t>以“无害化、低排放、</w:t>
      </w:r>
    </w:p>
    <w:p w14:paraId="32A596F8">
      <w:pPr>
        <w:spacing w:after="0"/>
        <w:jc w:val="left"/>
        <w:rPr>
          <w:sz w:val="28"/>
        </w:rPr>
        <w:sectPr>
          <w:pgSz w:w="11910" w:h="16840"/>
          <w:pgMar w:top="1420" w:right="1080" w:bottom="1360" w:left="1080" w:header="878" w:footer="1164" w:gutter="0"/>
          <w:pgNumType w:fmt="decimal"/>
          <w:cols w:space="720" w:num="1"/>
        </w:sectPr>
      </w:pPr>
    </w:p>
    <w:p w14:paraId="24EF3141">
      <w:pPr>
        <w:pStyle w:val="6"/>
        <w:spacing w:before="143" w:line="417" w:lineRule="auto"/>
        <w:ind w:left="720" w:right="580"/>
      </w:pPr>
      <w:r>
        <w:rPr>
          <w:spacing w:val="-6"/>
        </w:rPr>
        <w:t>零破坏、高效益、可持续”为原则指导农业生产,</w:t>
      </w:r>
      <w:r>
        <w:t>2021</w:t>
      </w:r>
      <w:r>
        <w:rPr>
          <w:spacing w:val="-35"/>
        </w:rPr>
        <w:t xml:space="preserve"> 年至 </w:t>
      </w:r>
      <w:r>
        <w:t>2023</w:t>
      </w:r>
      <w:r>
        <w:rPr>
          <w:spacing w:val="-24"/>
        </w:rPr>
        <w:t xml:space="preserve"> 年， </w:t>
      </w:r>
      <w:r>
        <w:rPr>
          <w:spacing w:val="-12"/>
        </w:rPr>
        <w:t>规划建设五铺农场农业科普示范园，发展传统农业的同时开展旅游景</w:t>
      </w:r>
      <w:r>
        <w:rPr>
          <w:spacing w:val="-11"/>
        </w:rPr>
        <w:t>点项目建设，规划建设濉溪县乡村振兴--高标准农田建设项目，拟对</w:t>
      </w:r>
      <w:r>
        <w:rPr>
          <w:spacing w:val="15"/>
        </w:rPr>
        <w:t>全县</w:t>
      </w:r>
      <w:r>
        <w:t>11</w:t>
      </w:r>
      <w:r>
        <w:rPr>
          <w:spacing w:val="-17"/>
        </w:rPr>
        <w:t xml:space="preserve"> 乡镇</w:t>
      </w:r>
      <w:r>
        <w:t>2020</w:t>
      </w:r>
      <w:r>
        <w:rPr>
          <w:spacing w:val="-32"/>
        </w:rPr>
        <w:t xml:space="preserve"> 年-</w:t>
      </w:r>
      <w:r>
        <w:t>2023</w:t>
      </w:r>
      <w:r>
        <w:rPr>
          <w:spacing w:val="-9"/>
        </w:rPr>
        <w:t xml:space="preserve"> 年计划实施的</w:t>
      </w:r>
      <w:r>
        <w:t>20000</w:t>
      </w:r>
      <w:r>
        <w:rPr>
          <w:spacing w:val="-11"/>
        </w:rPr>
        <w:t xml:space="preserve"> 亩土地进行综合整治， </w:t>
      </w:r>
      <w:r>
        <w:rPr>
          <w:spacing w:val="-12"/>
        </w:rPr>
        <w:t>项目主要分为：高标准农田及田间道路建设工程、老旧村庄搬迁、工</w:t>
      </w:r>
      <w:r>
        <w:rPr>
          <w:spacing w:val="-8"/>
        </w:rPr>
        <w:t xml:space="preserve">矿废弃地治理、农业产业示范园等项目，总投资 </w:t>
      </w:r>
      <w:r>
        <w:t>10</w:t>
      </w:r>
      <w:r>
        <w:rPr>
          <w:spacing w:val="-19"/>
        </w:rPr>
        <w:t xml:space="preserve"> 亿元。</w:t>
      </w:r>
    </w:p>
    <w:p w14:paraId="00C8F9E3">
      <w:pPr>
        <w:pStyle w:val="6"/>
        <w:spacing w:before="119" w:line="417" w:lineRule="auto"/>
        <w:ind w:left="720" w:right="623" w:firstLine="559"/>
      </w:pPr>
      <w:r>
        <w:rPr>
          <w:b/>
          <w:spacing w:val="-2"/>
        </w:rPr>
        <w:t xml:space="preserve">提高农业资源的循环利用, 减少农业废弃物排放。 </w:t>
      </w:r>
      <w:r>
        <w:rPr>
          <w:spacing w:val="-2"/>
        </w:rPr>
        <w:t>有效提高农</w:t>
      </w:r>
      <w:r>
        <w:rPr>
          <w:spacing w:val="-14"/>
        </w:rPr>
        <w:t xml:space="preserve">业资源保护, 降低对农业生态环境的破坏，提倡绿色农业、生态农业, </w:t>
      </w:r>
      <w:r>
        <w:rPr>
          <w:spacing w:val="-3"/>
        </w:rPr>
        <w:t>遏制过量使用化肥农药与机械作业，避免耕地污染、土壤肥力下降， 2021</w:t>
      </w:r>
      <w:r>
        <w:rPr>
          <w:spacing w:val="-36"/>
        </w:rPr>
        <w:t xml:space="preserve"> 年至 </w:t>
      </w:r>
      <w:r>
        <w:t>20205</w:t>
      </w:r>
      <w:r>
        <w:rPr>
          <w:spacing w:val="-10"/>
        </w:rPr>
        <w:t xml:space="preserve"> 年，规划建设濉溪县南坪镇农业产业化升级改造项</w:t>
      </w:r>
    </w:p>
    <w:p w14:paraId="1DB1AB6B">
      <w:pPr>
        <w:pStyle w:val="6"/>
        <w:spacing w:line="358" w:lineRule="exact"/>
        <w:ind w:left="720"/>
      </w:pPr>
      <w:r>
        <w:rPr>
          <w:spacing w:val="-9"/>
        </w:rPr>
        <w:t xml:space="preserve">目，扩建节能温室大棚 </w:t>
      </w:r>
      <w:r>
        <w:t>50</w:t>
      </w:r>
      <w:r>
        <w:rPr>
          <w:spacing w:val="-18"/>
        </w:rPr>
        <w:t xml:space="preserve"> 栋，黑木耳大棚 </w:t>
      </w:r>
      <w:r>
        <w:t>100</w:t>
      </w:r>
      <w:r>
        <w:rPr>
          <w:spacing w:val="-10"/>
        </w:rPr>
        <w:t xml:space="preserve"> 栋，配套采摘接待设</w:t>
      </w:r>
    </w:p>
    <w:p w14:paraId="23F0ED9C">
      <w:pPr>
        <w:pStyle w:val="6"/>
        <w:spacing w:before="9"/>
        <w:rPr>
          <w:sz w:val="20"/>
        </w:rPr>
      </w:pPr>
    </w:p>
    <w:p w14:paraId="5A286AC1">
      <w:pPr>
        <w:pStyle w:val="6"/>
        <w:ind w:left="720"/>
        <w:jc w:val="both"/>
      </w:pPr>
      <w:r>
        <w:rPr>
          <w:spacing w:val="-7"/>
        </w:rPr>
        <w:t xml:space="preserve">施、道路硬化、下水管网等，建设 </w:t>
      </w:r>
      <w:r>
        <w:t>1000</w:t>
      </w:r>
      <w:r>
        <w:rPr>
          <w:spacing w:val="-10"/>
        </w:rPr>
        <w:t xml:space="preserve"> 户沼气入户管网及灶具、脱</w:t>
      </w:r>
    </w:p>
    <w:p w14:paraId="0551C4ED">
      <w:pPr>
        <w:pStyle w:val="6"/>
        <w:spacing w:before="9"/>
        <w:rPr>
          <w:sz w:val="20"/>
        </w:rPr>
      </w:pPr>
    </w:p>
    <w:p w14:paraId="5E1A2892">
      <w:pPr>
        <w:pStyle w:val="6"/>
        <w:ind w:left="720"/>
        <w:jc w:val="both"/>
      </w:pPr>
      <w:r>
        <w:rPr>
          <w:spacing w:val="-11"/>
        </w:rPr>
        <w:t xml:space="preserve">硫设备等、辐射 </w:t>
      </w:r>
      <w:r>
        <w:t>1000</w:t>
      </w:r>
      <w:r>
        <w:rPr>
          <w:spacing w:val="-10"/>
        </w:rPr>
        <w:t xml:space="preserve"> 亩农田沼液管网及农业物联网监控系统；建设</w:t>
      </w:r>
    </w:p>
    <w:p w14:paraId="7EB5666F">
      <w:pPr>
        <w:pStyle w:val="6"/>
        <w:spacing w:before="9"/>
        <w:rPr>
          <w:sz w:val="20"/>
        </w:rPr>
      </w:pPr>
    </w:p>
    <w:p w14:paraId="528D0FE5">
      <w:pPr>
        <w:pStyle w:val="6"/>
        <w:ind w:left="720"/>
        <w:jc w:val="both"/>
      </w:pPr>
      <w:r>
        <w:t>辐射整个园区食用菌及豆制品生产加工余热供应管网，建设占地 50</w:t>
      </w:r>
    </w:p>
    <w:p w14:paraId="234851E5">
      <w:pPr>
        <w:pStyle w:val="6"/>
        <w:spacing w:before="9"/>
        <w:rPr>
          <w:sz w:val="20"/>
        </w:rPr>
      </w:pPr>
    </w:p>
    <w:p w14:paraId="53129080">
      <w:pPr>
        <w:pStyle w:val="6"/>
        <w:ind w:left="720"/>
        <w:jc w:val="both"/>
      </w:pPr>
      <w:r>
        <w:t>亩标准化仓储加工中心及冷链物流配套，建设占地 200 亩的秸秆收储</w:t>
      </w:r>
    </w:p>
    <w:p w14:paraId="5AE0D30C">
      <w:pPr>
        <w:pStyle w:val="6"/>
        <w:spacing w:before="9"/>
        <w:rPr>
          <w:sz w:val="20"/>
        </w:rPr>
      </w:pPr>
    </w:p>
    <w:p w14:paraId="655CA4FF">
      <w:pPr>
        <w:pStyle w:val="6"/>
        <w:spacing w:line="417" w:lineRule="auto"/>
        <w:ind w:left="720" w:right="719"/>
        <w:jc w:val="both"/>
      </w:pPr>
      <w:r>
        <w:rPr>
          <w:spacing w:val="-12"/>
        </w:rPr>
        <w:t xml:space="preserve">加工场及配套消防、加工设备，提升改造 </w:t>
      </w:r>
      <w:r>
        <w:t>3</w:t>
      </w:r>
      <w:r>
        <w:rPr>
          <w:spacing w:val="-21"/>
        </w:rPr>
        <w:t xml:space="preserve"> 个自然庄，打造 </w:t>
      </w:r>
      <w:r>
        <w:t>3</w:t>
      </w:r>
      <w:r>
        <w:rPr>
          <w:spacing w:val="-24"/>
        </w:rPr>
        <w:t xml:space="preserve"> 处“旅</w:t>
      </w:r>
      <w:r>
        <w:rPr>
          <w:spacing w:val="-10"/>
        </w:rPr>
        <w:t>游+文化”的文化游、“旅游+产业”的采摘游、“旅游+生态”的观</w:t>
      </w:r>
      <w:r>
        <w:rPr>
          <w:spacing w:val="-8"/>
        </w:rPr>
        <w:t xml:space="preserve">光游等乡村旅游绿色景区，建设建筑面积 </w:t>
      </w:r>
      <w:r>
        <w:t>1500</w:t>
      </w:r>
      <w:r>
        <w:rPr>
          <w:spacing w:val="-10"/>
        </w:rPr>
        <w:t xml:space="preserve"> ㎡公共服务中心；建</w:t>
      </w:r>
    </w:p>
    <w:p w14:paraId="25DE1E90">
      <w:pPr>
        <w:pStyle w:val="6"/>
        <w:spacing w:line="358" w:lineRule="exact"/>
        <w:ind w:left="720"/>
        <w:jc w:val="both"/>
      </w:pPr>
      <w:r>
        <w:t>设占地 20 亩的民俗文化广场。</w:t>
      </w:r>
    </w:p>
    <w:p w14:paraId="294CED13">
      <w:pPr>
        <w:pStyle w:val="6"/>
        <w:spacing w:before="1"/>
        <w:rPr>
          <w:sz w:val="30"/>
        </w:rPr>
      </w:pPr>
    </w:p>
    <w:p w14:paraId="745A5009">
      <w:pPr>
        <w:spacing w:before="0" w:line="417" w:lineRule="auto"/>
        <w:ind w:left="720" w:right="580" w:firstLine="559"/>
        <w:jc w:val="left"/>
        <w:rPr>
          <w:sz w:val="28"/>
        </w:rPr>
      </w:pPr>
      <w:r>
        <w:rPr>
          <w:b/>
          <w:spacing w:val="-9"/>
          <w:sz w:val="28"/>
        </w:rPr>
        <w:t>采取综合措施控制农业面源污染。</w:t>
      </w:r>
      <w:r>
        <w:rPr>
          <w:spacing w:val="-13"/>
          <w:sz w:val="28"/>
        </w:rPr>
        <w:t xml:space="preserve">指导农民科学施用化肥、农药， </w:t>
      </w:r>
      <w:r>
        <w:rPr>
          <w:spacing w:val="-10"/>
          <w:sz w:val="28"/>
        </w:rPr>
        <w:t>积极推广测土配方施肥, 推行秸秆还田，鼓励使用农家肥和新型有机</w:t>
      </w:r>
    </w:p>
    <w:p w14:paraId="1E41CBEA">
      <w:pPr>
        <w:spacing w:after="0" w:line="417" w:lineRule="auto"/>
        <w:jc w:val="left"/>
        <w:rPr>
          <w:sz w:val="28"/>
        </w:rPr>
        <w:sectPr>
          <w:pgSz w:w="11910" w:h="16840"/>
          <w:pgMar w:top="1420" w:right="1080" w:bottom="1360" w:left="1080" w:header="878" w:footer="1164" w:gutter="0"/>
          <w:pgNumType w:fmt="decimal"/>
          <w:cols w:space="720" w:num="1"/>
        </w:sectPr>
      </w:pPr>
    </w:p>
    <w:p w14:paraId="6D173DCC">
      <w:pPr>
        <w:pStyle w:val="6"/>
        <w:spacing w:before="143" w:line="417" w:lineRule="auto"/>
        <w:ind w:left="720" w:right="719"/>
        <w:jc w:val="both"/>
      </w:pPr>
      <w:r>
        <w:rPr>
          <w:spacing w:val="-11"/>
        </w:rPr>
        <w:t>肥，鼓励使用生物农药或高效、低毒、低残留农药，推广作物病虫草</w:t>
      </w:r>
      <w:r>
        <w:rPr>
          <w:spacing w:val="-10"/>
        </w:rPr>
        <w:t>害综合防治和生物防治，鼓励农膜和农药固废回收再利用，加强秸秆综合利用，发展生物质能源，推行秸秆气化工程、沼气工程等，禁止</w:t>
      </w:r>
      <w:r>
        <w:rPr>
          <w:spacing w:val="-4"/>
        </w:rPr>
        <w:t>在禁烧区内露天焚烧秸秆。</w:t>
      </w:r>
    </w:p>
    <w:p w14:paraId="0E020A7D">
      <w:pPr>
        <w:pStyle w:val="6"/>
        <w:spacing w:before="2"/>
        <w:rPr>
          <w:sz w:val="20"/>
        </w:rPr>
      </w:pPr>
    </w:p>
    <w:p w14:paraId="5782E853">
      <w:pPr>
        <w:pStyle w:val="5"/>
        <w:spacing w:before="1"/>
      </w:pPr>
      <w:bookmarkStart w:id="95" w:name="_bookmark54"/>
      <w:bookmarkEnd w:id="95"/>
      <w:bookmarkStart w:id="96" w:name="5、加强农村自然生态保护"/>
      <w:bookmarkEnd w:id="96"/>
      <w:r>
        <w:rPr>
          <w:rFonts w:ascii="Calibri" w:eastAsia="Calibri"/>
        </w:rPr>
        <w:t>5</w:t>
      </w:r>
      <w:r>
        <w:t>、加强农村自然生态保护</w:t>
      </w:r>
    </w:p>
    <w:p w14:paraId="083167C8">
      <w:pPr>
        <w:pStyle w:val="6"/>
        <w:spacing w:before="11"/>
        <w:rPr>
          <w:b/>
          <w:sz w:val="40"/>
        </w:rPr>
      </w:pPr>
    </w:p>
    <w:p w14:paraId="053C8CFA">
      <w:pPr>
        <w:pStyle w:val="6"/>
        <w:spacing w:line="417" w:lineRule="auto"/>
        <w:ind w:left="720" w:right="623" w:firstLine="559"/>
      </w:pPr>
      <w:r>
        <w:rPr>
          <w:spacing w:val="-3"/>
        </w:rPr>
        <w:t xml:space="preserve">坚持生态保护与治理并重，优先保护天然植被，坚持因地制宜， </w:t>
      </w:r>
      <w:r>
        <w:rPr>
          <w:spacing w:val="-10"/>
        </w:rPr>
        <w:t>重视自然恢复，控制不合理的资源开发活动；严格控制土地退化；保</w:t>
      </w:r>
      <w:r>
        <w:rPr>
          <w:spacing w:val="-11"/>
        </w:rPr>
        <w:t>护和整治乡村现有水体，努力恢复河沟池塘生态功能，提高水体自净</w:t>
      </w:r>
      <w:r>
        <w:rPr>
          <w:spacing w:val="-5"/>
        </w:rPr>
        <w:t xml:space="preserve">能力；加强对塌陷区生态环境的修复和保护。 </w:t>
      </w:r>
      <w:r>
        <w:t>2020</w:t>
      </w:r>
      <w:r>
        <w:rPr>
          <w:spacing w:val="-36"/>
        </w:rPr>
        <w:t xml:space="preserve"> 年至 </w:t>
      </w:r>
      <w:r>
        <w:t>2024</w:t>
      </w:r>
      <w:r>
        <w:rPr>
          <w:spacing w:val="-24"/>
        </w:rPr>
        <w:t xml:space="preserve"> 年， </w:t>
      </w:r>
      <w:r>
        <w:rPr>
          <w:spacing w:val="-11"/>
        </w:rPr>
        <w:t>开展韩村镇全镇域环境治理项目，实施淮海村、祁集村、桃园村、双</w:t>
      </w:r>
      <w:r>
        <w:rPr>
          <w:spacing w:val="-12"/>
        </w:rPr>
        <w:t>沟村、和谐村重点提升人居环境、道路硬化、污水管网建造，通过上</w:t>
      </w:r>
      <w:r>
        <w:rPr>
          <w:spacing w:val="-9"/>
        </w:rPr>
        <w:t>级资金补助与本级自筹意将淮海村打造成宜居宜游村庄、祁集村和谐</w:t>
      </w:r>
      <w:r>
        <w:rPr>
          <w:spacing w:val="-3"/>
        </w:rPr>
        <w:t>村打造为宜居宜业村庄、双沟村、桃园村打造为宜居村庄。</w:t>
      </w:r>
    </w:p>
    <w:p w14:paraId="425E62D3">
      <w:pPr>
        <w:pStyle w:val="6"/>
        <w:spacing w:before="4"/>
        <w:rPr>
          <w:sz w:val="20"/>
        </w:rPr>
      </w:pPr>
    </w:p>
    <w:p w14:paraId="7CC0D8F1">
      <w:pPr>
        <w:pStyle w:val="5"/>
      </w:pPr>
      <w:bookmarkStart w:id="97" w:name="_bookmark55"/>
      <w:bookmarkEnd w:id="97"/>
      <w:bookmarkStart w:id="98" w:name="6、加强农村环境监测和监管"/>
      <w:bookmarkEnd w:id="98"/>
      <w:r>
        <w:rPr>
          <w:rFonts w:ascii="Calibri" w:eastAsia="Calibri"/>
        </w:rPr>
        <w:t>6</w:t>
      </w:r>
      <w:r>
        <w:t>、加强农村环境监测和监管</w:t>
      </w:r>
    </w:p>
    <w:p w14:paraId="19192A86">
      <w:pPr>
        <w:pStyle w:val="6"/>
        <w:spacing w:before="12"/>
        <w:rPr>
          <w:b/>
          <w:sz w:val="40"/>
        </w:rPr>
      </w:pPr>
    </w:p>
    <w:p w14:paraId="6A8B228D">
      <w:pPr>
        <w:pStyle w:val="6"/>
        <w:spacing w:line="417" w:lineRule="auto"/>
        <w:ind w:left="720" w:right="719" w:firstLine="559"/>
        <w:jc w:val="both"/>
      </w:pPr>
      <w:r>
        <w:rPr>
          <w:spacing w:val="-9"/>
        </w:rPr>
        <w:t>建立和完善农村环境监测体系，加强农村饮用水水源保护区、自</w:t>
      </w:r>
      <w:r>
        <w:rPr>
          <w:spacing w:val="-11"/>
        </w:rPr>
        <w:t>然保护区、重要生态功能保护区、规模化畜禽养殖场和重要农产品产</w:t>
      </w:r>
      <w:r>
        <w:rPr>
          <w:spacing w:val="-12"/>
        </w:rPr>
        <w:t>地的环境监测；加大环境监督执法力度，防止产生新的环境污染和生</w:t>
      </w:r>
      <w:r>
        <w:rPr>
          <w:spacing w:val="-5"/>
        </w:rPr>
        <w:t>态破坏事件。</w:t>
      </w:r>
    </w:p>
    <w:p w14:paraId="697D0605">
      <w:pPr>
        <w:spacing w:after="0" w:line="417" w:lineRule="auto"/>
        <w:jc w:val="both"/>
        <w:sectPr>
          <w:pgSz w:w="11910" w:h="16840"/>
          <w:pgMar w:top="1420" w:right="1080" w:bottom="1360" w:left="1080" w:header="878" w:footer="1164" w:gutter="0"/>
          <w:pgNumType w:fmt="decimal"/>
          <w:cols w:space="720" w:num="1"/>
        </w:sectPr>
      </w:pPr>
    </w:p>
    <w:p w14:paraId="009B89A0">
      <w:pPr>
        <w:pStyle w:val="5"/>
        <w:spacing w:before="143"/>
      </w:pPr>
      <w:bookmarkStart w:id="99" w:name="7、加大宣传力度 鼓励公众参与"/>
      <w:bookmarkEnd w:id="99"/>
      <w:bookmarkStart w:id="100" w:name="_bookmark56"/>
      <w:bookmarkEnd w:id="100"/>
      <w:r>
        <w:rPr>
          <w:rFonts w:ascii="Calibri" w:eastAsia="Calibri"/>
        </w:rPr>
        <w:t>7</w:t>
      </w:r>
      <w:r>
        <w:t>、加大宣传力度 鼓励公众参与</w:t>
      </w:r>
    </w:p>
    <w:p w14:paraId="4382F1DF">
      <w:pPr>
        <w:pStyle w:val="6"/>
        <w:spacing w:before="12"/>
        <w:rPr>
          <w:b/>
          <w:sz w:val="40"/>
        </w:rPr>
      </w:pPr>
    </w:p>
    <w:p w14:paraId="70C3B5C6">
      <w:pPr>
        <w:pStyle w:val="6"/>
        <w:spacing w:line="417" w:lineRule="auto"/>
        <w:ind w:left="720" w:right="717" w:firstLine="559"/>
        <w:jc w:val="both"/>
      </w:pPr>
      <w:r>
        <w:rPr>
          <w:spacing w:val="3"/>
        </w:rPr>
        <w:t>农村生态环境保护的主体在农民, 只有让农民明白其科学道理</w:t>
      </w:r>
      <w:r>
        <w:rPr>
          <w:spacing w:val="2"/>
        </w:rPr>
        <w:t>和经济效益, 才可能让环保变为自觉行动, 所以农村生态环境保护</w:t>
      </w:r>
      <w:r>
        <w:rPr>
          <w:spacing w:val="3"/>
        </w:rPr>
        <w:t xml:space="preserve">的重点是提高农民的环保意识；普及资源综合利用和环境保护的科学、法律知识,增强农民合理利用资源和保护环境的意识和责任感; </w:t>
      </w:r>
      <w:r>
        <w:t>建立保护生态环境的示范点, 以点带面,通过示范点的示范作用带动其他地区农民保护生态环境的积极性,推动农村生态环境保护工作和</w:t>
      </w:r>
      <w:r>
        <w:rPr>
          <w:spacing w:val="-9"/>
        </w:rPr>
        <w:t>农业的可持续发展；充分利用广播、电视、报刊、网络等媒体，广泛宣传和普及农村环境保护知识，提高农民群众的环境意识，调动农民</w:t>
      </w:r>
      <w:r>
        <w:rPr>
          <w:spacing w:val="-10"/>
        </w:rPr>
        <w:t>群众的积极性和主动性；尊重农民群众的环境知情权、参与权和监督</w:t>
      </w:r>
      <w:r>
        <w:rPr>
          <w:spacing w:val="-11"/>
        </w:rPr>
        <w:t>权，对涉及农民群众环境权益的发展规划和建设项目，应当听取当地</w:t>
      </w:r>
      <w:r>
        <w:rPr>
          <w:spacing w:val="-5"/>
        </w:rPr>
        <w:t>农民群众的意见。</w:t>
      </w:r>
    </w:p>
    <w:p w14:paraId="01B389F6">
      <w:pPr>
        <w:pStyle w:val="6"/>
        <w:spacing w:before="118" w:line="417" w:lineRule="auto"/>
        <w:ind w:left="720" w:right="719" w:firstLine="559"/>
        <w:jc w:val="both"/>
      </w:pPr>
      <w:r>
        <w:rPr>
          <w:spacing w:val="-12"/>
        </w:rPr>
        <w:t>要把农村社会、经济和生态环境作为一个整体考虑, 同步推进生</w:t>
      </w:r>
      <w:r>
        <w:rPr>
          <w:spacing w:val="2"/>
        </w:rPr>
        <w:t>态建设和污染防治, 形成农村生态环境良性优化机制, 使农村生态</w:t>
      </w:r>
      <w:r>
        <w:rPr>
          <w:spacing w:val="-3"/>
        </w:rPr>
        <w:t>环境逐步向良性循环发展。</w:t>
      </w:r>
    </w:p>
    <w:p w14:paraId="4B189F20">
      <w:pPr>
        <w:pStyle w:val="4"/>
        <w:ind w:left="2983"/>
        <w:jc w:val="both"/>
      </w:pPr>
      <w:bookmarkStart w:id="101" w:name="第11节  环境风险防范规划"/>
      <w:bookmarkEnd w:id="101"/>
      <w:bookmarkStart w:id="102" w:name="_bookmark57"/>
      <w:bookmarkEnd w:id="102"/>
      <w:r>
        <w:t xml:space="preserve">第 </w:t>
      </w:r>
      <w:r>
        <w:rPr>
          <w:rFonts w:ascii="Arial" w:eastAsia="Arial"/>
        </w:rPr>
        <w:t xml:space="preserve">11 </w:t>
      </w:r>
      <w:r>
        <w:t>节 环境风险防范规划</w:t>
      </w:r>
    </w:p>
    <w:p w14:paraId="3D73B8C6">
      <w:pPr>
        <w:pStyle w:val="6"/>
        <w:spacing w:before="1"/>
        <w:rPr>
          <w:b/>
          <w:sz w:val="40"/>
        </w:rPr>
      </w:pPr>
    </w:p>
    <w:p w14:paraId="15252648">
      <w:pPr>
        <w:pStyle w:val="5"/>
      </w:pPr>
      <w:bookmarkStart w:id="103" w:name="_bookmark58"/>
      <w:bookmarkEnd w:id="103"/>
      <w:bookmarkStart w:id="104" w:name="1、环境风险防范目标"/>
      <w:bookmarkEnd w:id="104"/>
      <w:r>
        <w:rPr>
          <w:rFonts w:ascii="Calibri" w:eastAsia="Calibri"/>
        </w:rPr>
        <w:t>1</w:t>
      </w:r>
      <w:r>
        <w:t>、环境风险防范目标</w:t>
      </w:r>
    </w:p>
    <w:p w14:paraId="58F44460">
      <w:pPr>
        <w:pStyle w:val="6"/>
        <w:spacing w:before="12"/>
        <w:rPr>
          <w:b/>
          <w:sz w:val="40"/>
        </w:rPr>
      </w:pPr>
    </w:p>
    <w:p w14:paraId="09A675A7">
      <w:pPr>
        <w:pStyle w:val="6"/>
        <w:spacing w:line="417" w:lineRule="auto"/>
        <w:ind w:left="720" w:right="623" w:firstLine="559"/>
      </w:pPr>
      <w:r>
        <w:t>建立濉溪县突发环境事件应急预案方案，建立健全突发环境事件应急机制，提高政府应对突发环境事件的能力，加强日常环境监测， 加强对可能导致突发环境事件的风险信息收集、分析和研判能力，力</w:t>
      </w:r>
    </w:p>
    <w:p w14:paraId="0E0C7689">
      <w:pPr>
        <w:spacing w:after="0" w:line="417" w:lineRule="auto"/>
        <w:sectPr>
          <w:pgSz w:w="11910" w:h="16840"/>
          <w:pgMar w:top="1420" w:right="1080" w:bottom="1360" w:left="1080" w:header="878" w:footer="1164" w:gutter="0"/>
          <w:pgNumType w:fmt="decimal"/>
          <w:cols w:space="720" w:num="1"/>
        </w:sectPr>
      </w:pPr>
    </w:p>
    <w:p w14:paraId="7B1D8E08">
      <w:pPr>
        <w:pStyle w:val="6"/>
        <w:spacing w:before="143"/>
        <w:ind w:left="720"/>
      </w:pPr>
      <w:r>
        <w:t>争把发生环境污染事件的几率降至最低。</w:t>
      </w:r>
    </w:p>
    <w:p w14:paraId="274D2ABC">
      <w:pPr>
        <w:pStyle w:val="6"/>
        <w:spacing w:before="9"/>
        <w:rPr>
          <w:sz w:val="20"/>
        </w:rPr>
      </w:pPr>
    </w:p>
    <w:p w14:paraId="0E5D13D3">
      <w:pPr>
        <w:pStyle w:val="6"/>
        <w:spacing w:line="417" w:lineRule="auto"/>
        <w:ind w:left="720" w:right="904" w:firstLine="559"/>
      </w:pPr>
      <w:r>
        <w:t>建立健全环境责任保险制度及重大环境应急预案制度，确保在“十四五”时期不发生环境风险事故。</w:t>
      </w:r>
    </w:p>
    <w:p w14:paraId="3ACF22E7">
      <w:pPr>
        <w:pStyle w:val="6"/>
        <w:spacing w:before="3"/>
        <w:rPr>
          <w:sz w:val="20"/>
        </w:rPr>
      </w:pPr>
    </w:p>
    <w:p w14:paraId="456A2EC6">
      <w:pPr>
        <w:pStyle w:val="5"/>
      </w:pPr>
      <w:bookmarkStart w:id="105" w:name="_bookmark59"/>
      <w:bookmarkEnd w:id="105"/>
      <w:bookmarkStart w:id="106" w:name="2、严格项目环保审批"/>
      <w:bookmarkEnd w:id="106"/>
      <w:r>
        <w:rPr>
          <w:rFonts w:ascii="Calibri" w:eastAsia="Calibri"/>
        </w:rPr>
        <w:t>2</w:t>
      </w:r>
      <w:r>
        <w:t>、严格项目环保审批</w:t>
      </w:r>
    </w:p>
    <w:p w14:paraId="546E97AC">
      <w:pPr>
        <w:pStyle w:val="6"/>
        <w:spacing w:before="12"/>
        <w:rPr>
          <w:b/>
          <w:sz w:val="40"/>
        </w:rPr>
      </w:pPr>
    </w:p>
    <w:p w14:paraId="32F1A6F0">
      <w:pPr>
        <w:pStyle w:val="6"/>
        <w:spacing w:line="417" w:lineRule="auto"/>
        <w:ind w:left="720" w:right="719" w:firstLine="559"/>
        <w:jc w:val="both"/>
      </w:pPr>
      <w:r>
        <w:rPr>
          <w:b/>
          <w:spacing w:val="-7"/>
        </w:rPr>
        <w:t>加强环保准入审查、严格控制新建高耗能项目。</w:t>
      </w:r>
      <w:r>
        <w:rPr>
          <w:spacing w:val="-8"/>
        </w:rPr>
        <w:t>严把土地、信贷</w:t>
      </w:r>
      <w:r>
        <w:rPr>
          <w:spacing w:val="-10"/>
        </w:rPr>
        <w:t>两个阀门，提高节能环保市场准入门槛，对于列入国家《产业结构调</w:t>
      </w:r>
      <w:r>
        <w:rPr>
          <w:spacing w:val="-11"/>
        </w:rPr>
        <w:t>整指导目录》中限制类或淘汰类的建设项目，不符合环保审批要求的</w:t>
      </w:r>
      <w:r>
        <w:rPr>
          <w:spacing w:val="-5"/>
        </w:rPr>
        <w:t>建设项，各级环保部门不得批复其环境影响评价文件。</w:t>
      </w:r>
    </w:p>
    <w:p w14:paraId="36066807">
      <w:pPr>
        <w:pStyle w:val="6"/>
        <w:spacing w:before="119" w:line="417" w:lineRule="auto"/>
        <w:ind w:left="720" w:right="719" w:firstLine="559"/>
        <w:jc w:val="both"/>
      </w:pPr>
      <w:r>
        <w:rPr>
          <w:b/>
          <w:spacing w:val="-9"/>
          <w:w w:val="95"/>
        </w:rPr>
        <w:t>在环境影响评价审批中，将项目环境风险评价作为必要条件。</w:t>
      </w:r>
      <w:r>
        <w:rPr>
          <w:w w:val="95"/>
        </w:rPr>
        <w:t xml:space="preserve">无 </w:t>
      </w:r>
      <w:r>
        <w:rPr>
          <w:spacing w:val="-10"/>
        </w:rPr>
        <w:t>环境风险评价专章的，不予受理；整改措施不能按期完成的，暂缓审</w:t>
      </w:r>
      <w:r>
        <w:rPr>
          <w:spacing w:val="-12"/>
        </w:rPr>
        <w:t>批其新的建设项目，不批准其试生产；环境风险应急预案和事故防范</w:t>
      </w:r>
      <w:r>
        <w:rPr>
          <w:spacing w:val="-11"/>
        </w:rPr>
        <w:t>措施不落实的，不予验收；存在重大风险隐患的现有化工园区、基地</w:t>
      </w:r>
      <w:r>
        <w:rPr>
          <w:spacing w:val="-5"/>
        </w:rPr>
        <w:t>和建设项目，要求开展环境风险评价。</w:t>
      </w:r>
    </w:p>
    <w:p w14:paraId="6BD85894">
      <w:pPr>
        <w:pStyle w:val="6"/>
        <w:spacing w:before="119" w:line="417" w:lineRule="auto"/>
        <w:ind w:left="720" w:right="719" w:firstLine="559"/>
        <w:jc w:val="both"/>
      </w:pPr>
      <w:r>
        <w:rPr>
          <w:b/>
          <w:spacing w:val="-20"/>
        </w:rPr>
        <w:t>依法查处违法、违规建设项目，建立环评审批责任制度。</w:t>
      </w:r>
      <w:r>
        <w:rPr>
          <w:spacing w:val="-24"/>
        </w:rPr>
        <w:t>执行《环</w:t>
      </w:r>
      <w:r>
        <w:rPr>
          <w:spacing w:val="-9"/>
        </w:rPr>
        <w:t>境保护违法违纪行为处分暂行规定》，建立审批过错责任追究制度和审批行为评议制度，查处环评审批的不作为、乱作为、乱审乱批、越</w:t>
      </w:r>
      <w:r>
        <w:rPr>
          <w:spacing w:val="-13"/>
        </w:rPr>
        <w:t>权审批、规避法定审批权限、将单个建设项目拆分审批等执法犯法的</w:t>
      </w:r>
      <w:r>
        <w:rPr>
          <w:spacing w:val="-10"/>
        </w:rPr>
        <w:t>行为，让那些违反环评审批规定，无视国家环保法律、法规的人员受</w:t>
      </w:r>
      <w:r>
        <w:rPr>
          <w:spacing w:val="-4"/>
        </w:rPr>
        <w:t>到处分。</w:t>
      </w:r>
    </w:p>
    <w:p w14:paraId="7B16FD5F">
      <w:pPr>
        <w:spacing w:after="0" w:line="417" w:lineRule="auto"/>
        <w:jc w:val="both"/>
        <w:sectPr>
          <w:pgSz w:w="11910" w:h="16840"/>
          <w:pgMar w:top="1420" w:right="1080" w:bottom="1360" w:left="1080" w:header="878" w:footer="1164" w:gutter="0"/>
          <w:pgNumType w:fmt="decimal"/>
          <w:cols w:space="720" w:num="1"/>
        </w:sectPr>
      </w:pPr>
    </w:p>
    <w:p w14:paraId="2F2C2068">
      <w:pPr>
        <w:pStyle w:val="5"/>
        <w:spacing w:before="143"/>
      </w:pPr>
      <w:bookmarkStart w:id="107" w:name="3、健全环境治理监督体系"/>
      <w:bookmarkEnd w:id="107"/>
      <w:bookmarkStart w:id="108" w:name="_bookmark60"/>
      <w:bookmarkEnd w:id="108"/>
      <w:r>
        <w:rPr>
          <w:rFonts w:ascii="Calibri" w:eastAsia="Calibri"/>
        </w:rPr>
        <w:t>3</w:t>
      </w:r>
      <w:r>
        <w:t>、健全环境治理监督体系</w:t>
      </w:r>
    </w:p>
    <w:p w14:paraId="4992F6A1">
      <w:pPr>
        <w:pStyle w:val="6"/>
        <w:spacing w:before="12"/>
        <w:rPr>
          <w:b/>
          <w:sz w:val="40"/>
        </w:rPr>
      </w:pPr>
    </w:p>
    <w:p w14:paraId="63C932CA">
      <w:pPr>
        <w:pStyle w:val="6"/>
        <w:spacing w:line="417" w:lineRule="auto"/>
        <w:ind w:left="720" w:right="596" w:firstLine="559"/>
      </w:pPr>
      <w:r>
        <w:rPr>
          <w:b/>
          <w:spacing w:val="-1"/>
          <w:w w:val="95"/>
        </w:rPr>
        <w:t xml:space="preserve">完善落实工作机制，统筹做好监管执法、市场规范、资金安排、 </w:t>
      </w:r>
      <w:r>
        <w:rPr>
          <w:b/>
          <w:spacing w:val="-8"/>
        </w:rPr>
        <w:t>宣传教育等工作。</w:t>
      </w:r>
      <w:r>
        <w:rPr>
          <w:spacing w:val="-9"/>
        </w:rPr>
        <w:t>完善监管体制，整合相关污染防治部门和生态环境</w:t>
      </w:r>
      <w:r>
        <w:rPr>
          <w:spacing w:val="-10"/>
        </w:rPr>
        <w:t>保护执法队伍，统一生态环境保护执法行动；加强司法保障，建立生态环境保护综合行政执法机关、公安机关、检察机关、审判机关信息</w:t>
      </w:r>
      <w:r>
        <w:rPr>
          <w:spacing w:val="-13"/>
        </w:rPr>
        <w:t>共享、案情通报、案件移送等制度，强化对破坏生态环境违法犯罪行</w:t>
      </w:r>
      <w:r>
        <w:rPr>
          <w:spacing w:val="-11"/>
        </w:rPr>
        <w:t>为的查处侦办力度，加大对破坏生态环境案件起诉力度，加快信息共</w:t>
      </w:r>
      <w:r>
        <w:rPr>
          <w:spacing w:val="-13"/>
        </w:rPr>
        <w:t>享的生态环境监测网络，实现环境质量、污染源和生态状况监测全覆</w:t>
      </w:r>
      <w:r>
        <w:rPr>
          <w:spacing w:val="-12"/>
        </w:rPr>
        <w:t>盖，实行“谁考核、谁监测”，不断完善生态环境监测技术体系，全</w:t>
      </w:r>
      <w:r>
        <w:rPr>
          <w:spacing w:val="-13"/>
        </w:rPr>
        <w:t>面提高监测自动化、标准化、信息化水平，推动实现环境质量预报预</w:t>
      </w:r>
      <w:r>
        <w:rPr>
          <w:spacing w:val="-5"/>
        </w:rPr>
        <w:t>警，确保监测数据“真、准、全”。</w:t>
      </w:r>
    </w:p>
    <w:p w14:paraId="3D0C2994">
      <w:pPr>
        <w:pStyle w:val="6"/>
        <w:spacing w:before="1"/>
        <w:rPr>
          <w:sz w:val="20"/>
        </w:rPr>
      </w:pPr>
    </w:p>
    <w:p w14:paraId="1FF6893E">
      <w:pPr>
        <w:pStyle w:val="5"/>
      </w:pPr>
      <w:bookmarkStart w:id="109" w:name="_bookmark61"/>
      <w:bookmarkEnd w:id="109"/>
      <w:bookmarkStart w:id="110" w:name="4、健全环境治理市场体系"/>
      <w:bookmarkEnd w:id="110"/>
      <w:r>
        <w:rPr>
          <w:rFonts w:ascii="Calibri" w:eastAsia="Calibri"/>
        </w:rPr>
        <w:t>4</w:t>
      </w:r>
      <w:r>
        <w:t>、健全环境治理市场体系</w:t>
      </w:r>
    </w:p>
    <w:p w14:paraId="0A26E50D">
      <w:pPr>
        <w:pStyle w:val="6"/>
        <w:spacing w:before="1"/>
        <w:rPr>
          <w:b/>
          <w:sz w:val="41"/>
        </w:rPr>
      </w:pPr>
    </w:p>
    <w:p w14:paraId="68D64950">
      <w:pPr>
        <w:pStyle w:val="6"/>
        <w:spacing w:before="1" w:line="417" w:lineRule="auto"/>
        <w:ind w:left="720" w:right="623" w:firstLine="559"/>
      </w:pPr>
      <w:r>
        <w:rPr>
          <w:spacing w:val="-10"/>
        </w:rPr>
        <w:t>构建规范开放的市场，规范市场秩序，加快形成公开透明、规范</w:t>
      </w:r>
      <w:r>
        <w:rPr>
          <w:spacing w:val="-4"/>
        </w:rPr>
        <w:t>有序的市场治理环境；强化环保产业支撑,加快提高环保产业技术装</w:t>
      </w:r>
      <w:r>
        <w:rPr>
          <w:spacing w:val="-10"/>
        </w:rPr>
        <w:t>备水平,培育专业化骨干企业，扶持专特优精中小企业,鼓励企业参与</w:t>
      </w:r>
      <w:r>
        <w:rPr>
          <w:spacing w:val="-12"/>
        </w:rPr>
        <w:t>绿色“一带一路”建设;创新环境治理模式,积极推行环境污染第三方</w:t>
      </w:r>
      <w:r>
        <w:rPr>
          <w:spacing w:val="-5"/>
        </w:rPr>
        <w:t>治理，探索统一规划、统一监测、统一治理的一体化服务模式,开展</w:t>
      </w:r>
      <w:r>
        <w:rPr>
          <w:spacing w:val="-3"/>
        </w:rPr>
        <w:t>濉溪县环境综合治理托管服务试点，强化系统治理，实行按效付费。对工业污染地块，采用“环境修复+开发建设”模式；健全价格收费</w:t>
      </w:r>
      <w:r>
        <w:rPr>
          <w:spacing w:val="-11"/>
        </w:rPr>
        <w:t>机制，严格落实“谁污染、谁付费”的政策导向，建立健全“污染者</w:t>
      </w:r>
    </w:p>
    <w:p w14:paraId="38F1D49D">
      <w:pPr>
        <w:spacing w:after="0" w:line="417" w:lineRule="auto"/>
        <w:sectPr>
          <w:pgSz w:w="11910" w:h="16840"/>
          <w:pgMar w:top="1420" w:right="1080" w:bottom="1360" w:left="1080" w:header="878" w:footer="1164" w:gutter="0"/>
          <w:pgNumType w:fmt="decimal"/>
          <w:cols w:space="720" w:num="1"/>
        </w:sectPr>
      </w:pPr>
    </w:p>
    <w:p w14:paraId="7C6AF142">
      <w:pPr>
        <w:pStyle w:val="6"/>
        <w:spacing w:before="143"/>
        <w:ind w:left="720"/>
      </w:pPr>
      <w:r>
        <w:t>付费+第三方治理”等机制。</w:t>
      </w:r>
    </w:p>
    <w:p w14:paraId="7F0466DA">
      <w:pPr>
        <w:pStyle w:val="6"/>
        <w:spacing w:before="1"/>
        <w:rPr>
          <w:sz w:val="30"/>
        </w:rPr>
      </w:pPr>
    </w:p>
    <w:p w14:paraId="0942F696">
      <w:pPr>
        <w:pStyle w:val="6"/>
        <w:spacing w:line="417" w:lineRule="auto"/>
        <w:ind w:left="720" w:right="719" w:firstLine="559"/>
      </w:pPr>
      <w:r>
        <w:rPr>
          <w:spacing w:val="-8"/>
        </w:rPr>
        <w:t>加快推进濉溪县环保产业的可持续发展，应积极制定、完善相关</w:t>
      </w:r>
      <w:r>
        <w:rPr>
          <w:spacing w:val="-4"/>
        </w:rPr>
        <w:t>机制：</w:t>
      </w:r>
    </w:p>
    <w:p w14:paraId="0F3BDD22">
      <w:pPr>
        <w:pStyle w:val="6"/>
        <w:spacing w:before="120" w:line="417" w:lineRule="auto"/>
        <w:ind w:left="720" w:right="719" w:firstLine="559"/>
      </w:pPr>
      <w:r>
        <w:rPr>
          <w:spacing w:val="-8"/>
        </w:rPr>
        <w:t>一是对园区所有企业环保问题实施包保责任制，落实包保人和包</w:t>
      </w:r>
      <w:r>
        <w:rPr>
          <w:spacing w:val="-3"/>
        </w:rPr>
        <w:t>保领导。</w:t>
      </w:r>
    </w:p>
    <w:p w14:paraId="0366A47D">
      <w:pPr>
        <w:pStyle w:val="6"/>
        <w:spacing w:before="119" w:line="417" w:lineRule="auto"/>
        <w:ind w:left="720" w:right="719" w:firstLine="559"/>
      </w:pPr>
      <w:r>
        <w:rPr>
          <w:spacing w:val="-9"/>
        </w:rPr>
        <w:t>二是建立濉溪县环保网格化管理制度，明确各包保企业人和村基</w:t>
      </w:r>
      <w:r>
        <w:rPr>
          <w:spacing w:val="-3"/>
        </w:rPr>
        <w:t>层环境保护责任人及工作职责。</w:t>
      </w:r>
    </w:p>
    <w:p w14:paraId="4AB0C8CC">
      <w:pPr>
        <w:pStyle w:val="6"/>
        <w:spacing w:before="120" w:line="417" w:lineRule="auto"/>
        <w:ind w:left="720" w:right="623" w:firstLine="559"/>
      </w:pPr>
      <w:r>
        <w:rPr>
          <w:spacing w:val="-3"/>
        </w:rPr>
        <w:t xml:space="preserve">三是联合有关部门定期、不定期对园区开展环保执法专项行动, 发现环境违法行为的将依法、依规严肃查处，对于群众反馈的问题， </w:t>
      </w:r>
      <w:r>
        <w:rPr>
          <w:spacing w:val="-11"/>
        </w:rPr>
        <w:t>深入调查，并采取强效措施，进行边督边改，尤其对中央环保督察信</w:t>
      </w:r>
      <w:r>
        <w:rPr>
          <w:spacing w:val="-3"/>
        </w:rPr>
        <w:t>访案件，要多次联动环保局、第三方专业技术人员等开展突击检查、夜间巡查等工作，督促企业落实整改措施，有效减少投诉事件。</w:t>
      </w:r>
    </w:p>
    <w:p w14:paraId="651061F0">
      <w:pPr>
        <w:pStyle w:val="6"/>
        <w:spacing w:before="119" w:line="417" w:lineRule="auto"/>
        <w:ind w:left="720" w:right="719" w:firstLine="559"/>
        <w:jc w:val="both"/>
      </w:pPr>
      <w:r>
        <w:rPr>
          <w:spacing w:val="-10"/>
        </w:rPr>
        <w:t>四是针对重污染天气发布的预警，开发区认真落实企业限停产措</w:t>
      </w:r>
      <w:r>
        <w:rPr>
          <w:spacing w:val="-11"/>
        </w:rPr>
        <w:t>施，开发区多次联合环保局对企业进行定时巡查、突击检查，对于发</w:t>
      </w:r>
      <w:r>
        <w:rPr>
          <w:spacing w:val="-5"/>
        </w:rPr>
        <w:t>现的非法行为进行严厉惩治。</w:t>
      </w:r>
    </w:p>
    <w:p w14:paraId="03636C0D">
      <w:pPr>
        <w:pStyle w:val="6"/>
        <w:spacing w:before="2"/>
        <w:rPr>
          <w:sz w:val="20"/>
        </w:rPr>
      </w:pPr>
    </w:p>
    <w:p w14:paraId="7B635BC3">
      <w:pPr>
        <w:pStyle w:val="5"/>
      </w:pPr>
      <w:bookmarkStart w:id="111" w:name="_bookmark62"/>
      <w:bookmarkEnd w:id="111"/>
      <w:bookmarkStart w:id="112" w:name="5、健全环境治理信用体系"/>
      <w:bookmarkEnd w:id="112"/>
      <w:r>
        <w:rPr>
          <w:rFonts w:ascii="Calibri" w:eastAsia="Calibri"/>
        </w:rPr>
        <w:t>5</w:t>
      </w:r>
      <w:r>
        <w:t>、健全环境治理信用体系</w:t>
      </w:r>
    </w:p>
    <w:p w14:paraId="34D4B973">
      <w:pPr>
        <w:pStyle w:val="6"/>
        <w:spacing w:before="12"/>
        <w:rPr>
          <w:b/>
          <w:sz w:val="40"/>
        </w:rPr>
      </w:pPr>
    </w:p>
    <w:p w14:paraId="67EC52CB">
      <w:pPr>
        <w:pStyle w:val="6"/>
        <w:spacing w:line="417" w:lineRule="auto"/>
        <w:ind w:left="720" w:right="580" w:firstLine="559"/>
      </w:pPr>
      <w:r>
        <w:rPr>
          <w:spacing w:val="-11"/>
        </w:rPr>
        <w:t>加强政务诚信建设，建立健全环境治理政务失信记录，将各级政</w:t>
      </w:r>
      <w:r>
        <w:rPr>
          <w:spacing w:val="-5"/>
        </w:rPr>
        <w:t>府和公职人员在环境保护工作中因违法违规、失信违约被司法判决、</w:t>
      </w:r>
      <w:r>
        <w:rPr>
          <w:spacing w:val="-11"/>
        </w:rPr>
        <w:t>行政处罚、纪律处分、问责处理等信息纳入政务失信记录，并归集至</w:t>
      </w:r>
      <w:r>
        <w:rPr>
          <w:spacing w:val="-19"/>
        </w:rPr>
        <w:t>相关信用信息共享平台，依托“信用中国”等网站依法依规逐步公开；</w:t>
      </w:r>
    </w:p>
    <w:p w14:paraId="630AE86A">
      <w:pPr>
        <w:spacing w:after="0" w:line="417" w:lineRule="auto"/>
        <w:sectPr>
          <w:pgSz w:w="11910" w:h="16840"/>
          <w:pgMar w:top="1420" w:right="1080" w:bottom="1360" w:left="1080" w:header="878" w:footer="1164" w:gutter="0"/>
          <w:pgNumType w:fmt="decimal"/>
          <w:cols w:space="720" w:num="1"/>
        </w:sectPr>
      </w:pPr>
    </w:p>
    <w:p w14:paraId="3C615FD1">
      <w:pPr>
        <w:pStyle w:val="6"/>
        <w:spacing w:before="143" w:line="417" w:lineRule="auto"/>
        <w:ind w:left="720" w:right="719"/>
        <w:jc w:val="both"/>
      </w:pPr>
      <w:r>
        <w:rPr>
          <w:spacing w:val="-11"/>
        </w:rPr>
        <w:t>健全企业信用建设，完善企业环保信用评价制度，依据评价结果实施</w:t>
      </w:r>
      <w:r>
        <w:rPr>
          <w:spacing w:val="-12"/>
        </w:rPr>
        <w:t>分级分类监管，建立排污企业黑名单制度，将环境违法企业依法依规</w:t>
      </w:r>
      <w:r>
        <w:rPr>
          <w:spacing w:val="-9"/>
        </w:rPr>
        <w:t>纳入失信联合惩戒对象名单，将其违法信息记入信用记录，并按照国</w:t>
      </w:r>
      <w:r>
        <w:rPr>
          <w:spacing w:val="-3"/>
        </w:rPr>
        <w:t>家有关规定纳入全国信用信息共享平台，依法向社会公开。</w:t>
      </w:r>
    </w:p>
    <w:p w14:paraId="4BFEC086">
      <w:pPr>
        <w:pStyle w:val="6"/>
        <w:spacing w:before="2"/>
        <w:rPr>
          <w:sz w:val="20"/>
        </w:rPr>
      </w:pPr>
    </w:p>
    <w:p w14:paraId="2A69D5D4">
      <w:pPr>
        <w:pStyle w:val="5"/>
        <w:spacing w:before="1"/>
      </w:pPr>
      <w:bookmarkStart w:id="113" w:name="6、健全环境治理法律法规政策体系"/>
      <w:bookmarkEnd w:id="113"/>
      <w:bookmarkStart w:id="114" w:name="_bookmark63"/>
      <w:bookmarkEnd w:id="114"/>
      <w:r>
        <w:rPr>
          <w:rFonts w:ascii="Calibri" w:eastAsia="Calibri"/>
        </w:rPr>
        <w:t>6</w:t>
      </w:r>
      <w:r>
        <w:t>、健全环境治理法律法规政策体系</w:t>
      </w:r>
    </w:p>
    <w:p w14:paraId="49C5A8CB">
      <w:pPr>
        <w:pStyle w:val="6"/>
        <w:spacing w:before="11"/>
        <w:rPr>
          <w:b/>
          <w:sz w:val="40"/>
        </w:rPr>
      </w:pPr>
    </w:p>
    <w:p w14:paraId="5202BCAA">
      <w:pPr>
        <w:pStyle w:val="6"/>
        <w:spacing w:line="417" w:lineRule="auto"/>
        <w:ind w:left="720" w:right="623" w:firstLine="559"/>
      </w:pPr>
      <w:r>
        <w:rPr>
          <w:spacing w:val="-3"/>
        </w:rPr>
        <w:t>依据中央和省市制定修订的固体废物污染防治、生态环境监测、</w:t>
      </w:r>
      <w:r>
        <w:rPr>
          <w:spacing w:val="-11"/>
        </w:rPr>
        <w:t>环境影响评价、清洁生产、循环经济等方面的法律法规，对造成生态环境损害的企业个人，依法依规追究赔偿责任，对构成犯罪的，依法</w:t>
      </w:r>
      <w:r>
        <w:rPr>
          <w:spacing w:val="-12"/>
        </w:rPr>
        <w:t>追究刑事责任；立足国情实际和生态环境状况，制定修订环境质量标准、污染物排放</w:t>
      </w:r>
      <w:r>
        <w:t>（</w:t>
      </w:r>
      <w:r>
        <w:rPr>
          <w:spacing w:val="-2"/>
        </w:rPr>
        <w:t>控制</w:t>
      </w:r>
      <w:r>
        <w:rPr>
          <w:spacing w:val="-25"/>
        </w:rPr>
        <w:t>）</w:t>
      </w:r>
      <w:r>
        <w:rPr>
          <w:spacing w:val="-5"/>
        </w:rPr>
        <w:t>标准以及环境监测标准等，做好生态环境保</w:t>
      </w:r>
      <w:r>
        <w:rPr>
          <w:spacing w:val="-11"/>
        </w:rPr>
        <w:t>护规划、环境保护标准与产业政策的衔接配套，健全标准实施信息反</w:t>
      </w:r>
      <w:r>
        <w:rPr>
          <w:spacing w:val="-5"/>
        </w:rPr>
        <w:t>馈和评估机制，鼓励建立各类涉及环境治理的绿色认证制度。</w:t>
      </w:r>
    </w:p>
    <w:p w14:paraId="5ED94943">
      <w:pPr>
        <w:pStyle w:val="6"/>
        <w:spacing w:before="4"/>
        <w:rPr>
          <w:sz w:val="20"/>
        </w:rPr>
      </w:pPr>
    </w:p>
    <w:p w14:paraId="6FED0D38">
      <w:pPr>
        <w:pStyle w:val="5"/>
      </w:pPr>
      <w:bookmarkStart w:id="115" w:name="_bookmark64"/>
      <w:bookmarkEnd w:id="115"/>
      <w:bookmarkStart w:id="116" w:name="7、健全环境污染防治财政支出责任制度"/>
      <w:bookmarkEnd w:id="116"/>
      <w:r>
        <w:rPr>
          <w:rFonts w:ascii="Calibri" w:eastAsia="Calibri"/>
        </w:rPr>
        <w:t>7</w:t>
      </w:r>
      <w:r>
        <w:t>、健全环境污染防治财政支出责任制度</w:t>
      </w:r>
    </w:p>
    <w:p w14:paraId="37FF56F1">
      <w:pPr>
        <w:pStyle w:val="6"/>
        <w:spacing w:before="12"/>
        <w:rPr>
          <w:b/>
          <w:sz w:val="40"/>
        </w:rPr>
      </w:pPr>
    </w:p>
    <w:p w14:paraId="10D76353">
      <w:pPr>
        <w:pStyle w:val="6"/>
        <w:spacing w:line="417" w:lineRule="auto"/>
        <w:ind w:left="720" w:right="719" w:firstLine="559"/>
      </w:pPr>
      <w:r>
        <w:rPr>
          <w:spacing w:val="-10"/>
        </w:rPr>
        <w:t>按照财力与事权相匹配的原则，进一步理顺中央与地方收入划分</w:t>
      </w:r>
      <w:r>
        <w:rPr>
          <w:spacing w:val="-7"/>
        </w:rPr>
        <w:t>和完善转移支付制度改革中统筹考虑地方环境治理的财政需求，健全</w:t>
      </w:r>
      <w:r>
        <w:rPr>
          <w:spacing w:val="-10"/>
        </w:rPr>
        <w:t>生态保护补偿机制，制定出台有利于推进产业结构、能源结构、运输</w:t>
      </w:r>
      <w:r>
        <w:rPr>
          <w:spacing w:val="-8"/>
        </w:rPr>
        <w:t>结构和用地结构调整优化的相关政策，严格执行环境保护税法，促进</w:t>
      </w:r>
      <w:r>
        <w:rPr>
          <w:spacing w:val="-10"/>
        </w:rPr>
        <w:t>企业降低大气污染物、水污染物排放浓度和排放量，提高固体废物综</w:t>
      </w:r>
      <w:r>
        <w:rPr>
          <w:spacing w:val="-4"/>
        </w:rPr>
        <w:t>合利用率，贯彻落实好现行促进环境保护和污染防治的税收优惠政</w:t>
      </w:r>
      <w:r>
        <w:rPr>
          <w:spacing w:val="-11"/>
        </w:rPr>
        <w:t>策；推动环境污染责任保险发展，在环境高风险领域研究建立环境污</w:t>
      </w:r>
    </w:p>
    <w:p w14:paraId="45D64FD1">
      <w:pPr>
        <w:spacing w:after="0" w:line="417" w:lineRule="auto"/>
        <w:sectPr>
          <w:pgSz w:w="11910" w:h="16840"/>
          <w:pgMar w:top="1420" w:right="1080" w:bottom="1360" w:left="1080" w:header="878" w:footer="1164" w:gutter="0"/>
          <w:pgNumType w:fmt="decimal"/>
          <w:cols w:space="720" w:num="1"/>
        </w:sectPr>
      </w:pPr>
    </w:p>
    <w:p w14:paraId="77777EF5">
      <w:pPr>
        <w:pStyle w:val="6"/>
        <w:spacing w:before="143"/>
        <w:ind w:left="720"/>
      </w:pPr>
      <w:r>
        <w:t>染强制责任保险制度。</w:t>
      </w:r>
    </w:p>
    <w:p w14:paraId="3C8F932F">
      <w:pPr>
        <w:pStyle w:val="6"/>
        <w:spacing w:before="12"/>
        <w:rPr>
          <w:sz w:val="40"/>
        </w:rPr>
      </w:pPr>
    </w:p>
    <w:p w14:paraId="72D5ABE7">
      <w:pPr>
        <w:spacing w:before="0"/>
        <w:ind w:left="720" w:right="0" w:firstLine="0"/>
        <w:jc w:val="left"/>
        <w:rPr>
          <w:b/>
          <w:sz w:val="28"/>
        </w:rPr>
      </w:pPr>
      <w:bookmarkStart w:id="117" w:name="_bookmark65"/>
      <w:bookmarkEnd w:id="117"/>
      <w:bookmarkStart w:id="118" w:name="8、健全目标评价考核机制"/>
      <w:bookmarkEnd w:id="118"/>
      <w:r>
        <w:rPr>
          <w:rFonts w:ascii="Calibri" w:eastAsia="Calibri"/>
          <w:b/>
          <w:sz w:val="28"/>
        </w:rPr>
        <w:t>8</w:t>
      </w:r>
      <w:r>
        <w:rPr>
          <w:b/>
          <w:sz w:val="28"/>
        </w:rPr>
        <w:t>、健全目标评价考核机制</w:t>
      </w:r>
    </w:p>
    <w:p w14:paraId="28B2A8D3">
      <w:pPr>
        <w:pStyle w:val="6"/>
        <w:spacing w:before="12"/>
        <w:rPr>
          <w:b/>
          <w:sz w:val="40"/>
        </w:rPr>
      </w:pPr>
    </w:p>
    <w:p w14:paraId="27A53673">
      <w:pPr>
        <w:pStyle w:val="6"/>
        <w:spacing w:line="417" w:lineRule="auto"/>
        <w:ind w:left="720" w:right="623" w:firstLine="559"/>
      </w:pPr>
      <w:r>
        <w:rPr>
          <w:spacing w:val="-11"/>
        </w:rPr>
        <w:t>着眼环境质量改善，合理设定约束性和预期性目标，制定符合濉</w:t>
      </w:r>
      <w:r>
        <w:rPr>
          <w:spacing w:val="-3"/>
        </w:rPr>
        <w:t>溪县实际、体现特色的目标，完善生态文明建设目标评价考核体系， 对相关专项考核进行精简整合，促进环境治理。</w:t>
      </w:r>
    </w:p>
    <w:p w14:paraId="1F0F9277">
      <w:pPr>
        <w:pStyle w:val="6"/>
        <w:spacing w:before="5"/>
        <w:rPr>
          <w:sz w:val="20"/>
        </w:rPr>
      </w:pPr>
    </w:p>
    <w:p w14:paraId="712A511A">
      <w:pPr>
        <w:spacing w:before="0"/>
        <w:ind w:left="720" w:right="0" w:firstLine="0"/>
        <w:jc w:val="left"/>
        <w:rPr>
          <w:b/>
          <w:sz w:val="28"/>
        </w:rPr>
      </w:pPr>
      <w:bookmarkStart w:id="119" w:name="_bookmark66"/>
      <w:bookmarkEnd w:id="119"/>
      <w:bookmarkStart w:id="120" w:name="9、健全生态环境保护督查制度"/>
      <w:bookmarkEnd w:id="120"/>
      <w:r>
        <w:rPr>
          <w:rFonts w:ascii="Calibri" w:eastAsia="Calibri"/>
          <w:b/>
          <w:sz w:val="28"/>
        </w:rPr>
        <w:t>9</w:t>
      </w:r>
      <w:r>
        <w:rPr>
          <w:b/>
          <w:sz w:val="28"/>
        </w:rPr>
        <w:t>、健全生态环境保护督查制度</w:t>
      </w:r>
    </w:p>
    <w:p w14:paraId="28DD733C">
      <w:pPr>
        <w:pStyle w:val="6"/>
        <w:spacing w:before="12"/>
        <w:rPr>
          <w:b/>
          <w:sz w:val="40"/>
        </w:rPr>
      </w:pPr>
    </w:p>
    <w:p w14:paraId="16FB21AE">
      <w:pPr>
        <w:pStyle w:val="6"/>
        <w:spacing w:line="417" w:lineRule="auto"/>
        <w:ind w:left="720" w:right="580" w:firstLine="559"/>
        <w:sectPr>
          <w:footerReference r:id="rId12" w:type="default"/>
          <w:pgSz w:w="11910" w:h="16840"/>
          <w:pgMar w:top="1420" w:right="1080" w:bottom="1360" w:left="1080" w:header="878" w:footer="1164" w:gutter="0"/>
          <w:pgNumType w:fmt="decimal" w:start="60"/>
          <w:cols w:space="720" w:num="1"/>
        </w:sectPr>
      </w:pPr>
      <w:r>
        <w:rPr>
          <w:spacing w:val="-12"/>
        </w:rPr>
        <w:t>结合濉溪县发展实际，进一步细化落实构建现代环境治理体系的</w:t>
      </w:r>
      <w:r>
        <w:rPr>
          <w:spacing w:val="-18"/>
        </w:rPr>
        <w:t>目标任务和政策措施，以解决突出生态环境问题、改善生态环境质量、</w:t>
      </w:r>
      <w:r>
        <w:rPr>
          <w:spacing w:val="-5"/>
        </w:rPr>
        <w:t>推动经济高质量发展为重点，进一步完善排查、交办、核查、约谈、</w:t>
      </w:r>
      <w:r>
        <w:rPr>
          <w:spacing w:val="-12"/>
        </w:rPr>
        <w:t>专项督察“五步法”工作模式，强化监督帮扶，压实生态环境保护责任。</w:t>
      </w:r>
    </w:p>
    <w:p w14:paraId="244375E8">
      <w:pPr>
        <w:pStyle w:val="6"/>
        <w:rPr>
          <w:sz w:val="20"/>
        </w:rPr>
      </w:pPr>
    </w:p>
    <w:p w14:paraId="515CB9ED">
      <w:pPr>
        <w:pStyle w:val="6"/>
        <w:rPr>
          <w:sz w:val="23"/>
        </w:rPr>
      </w:pPr>
    </w:p>
    <w:p w14:paraId="53DF36E6">
      <w:pPr>
        <w:pStyle w:val="3"/>
        <w:tabs>
          <w:tab w:val="left" w:pos="1406"/>
        </w:tabs>
        <w:spacing w:before="55"/>
      </w:pPr>
      <w:bookmarkStart w:id="121" w:name="_bookmark67"/>
      <w:bookmarkEnd w:id="121"/>
      <w:bookmarkStart w:id="122" w:name="第四章  重点工程及项目"/>
      <w:bookmarkEnd w:id="122"/>
      <w:r>
        <w:rPr>
          <w:spacing w:val="26"/>
        </w:rPr>
        <w:t>第四</w:t>
      </w:r>
      <w:r>
        <w:t>章</w:t>
      </w:r>
      <w:r>
        <w:tab/>
      </w:r>
      <w:r>
        <w:rPr>
          <w:spacing w:val="26"/>
        </w:rPr>
        <w:t>重点工</w:t>
      </w:r>
      <w:r>
        <w:rPr>
          <w:spacing w:val="24"/>
        </w:rPr>
        <w:t>程</w:t>
      </w:r>
      <w:r>
        <w:rPr>
          <w:spacing w:val="26"/>
        </w:rPr>
        <w:t>及项</w:t>
      </w:r>
      <w:r>
        <w:t>目</w:t>
      </w:r>
    </w:p>
    <w:p w14:paraId="352F2467">
      <w:pPr>
        <w:pStyle w:val="6"/>
        <w:spacing w:before="11"/>
        <w:rPr>
          <w:b/>
          <w:sz w:val="37"/>
        </w:rPr>
      </w:pPr>
    </w:p>
    <w:p w14:paraId="415CEEC7">
      <w:pPr>
        <w:pStyle w:val="4"/>
        <w:tabs>
          <w:tab w:val="left" w:pos="1204"/>
        </w:tabs>
        <w:spacing w:before="1"/>
        <w:ind w:right="2"/>
        <w:jc w:val="center"/>
      </w:pPr>
      <w:bookmarkStart w:id="123" w:name="_bookmark68"/>
      <w:bookmarkEnd w:id="123"/>
      <w:bookmarkStart w:id="124" w:name="第一节  重点工程"/>
      <w:bookmarkEnd w:id="124"/>
      <w:r>
        <w:t>第一节</w:t>
      </w:r>
      <w:r>
        <w:tab/>
      </w:r>
      <w:r>
        <w:t>重点工程</w:t>
      </w:r>
    </w:p>
    <w:p w14:paraId="612BDC96">
      <w:pPr>
        <w:pStyle w:val="6"/>
        <w:spacing w:before="11"/>
        <w:rPr>
          <w:b/>
          <w:sz w:val="39"/>
        </w:rPr>
      </w:pPr>
    </w:p>
    <w:p w14:paraId="0EC8EDF8">
      <w:pPr>
        <w:spacing w:before="1"/>
        <w:ind w:left="720" w:right="0" w:firstLine="0"/>
        <w:jc w:val="left"/>
        <w:rPr>
          <w:b/>
          <w:sz w:val="28"/>
        </w:rPr>
      </w:pPr>
      <w:bookmarkStart w:id="125" w:name="_bookmark69"/>
      <w:bookmarkEnd w:id="125"/>
      <w:bookmarkStart w:id="126" w:name="1、大气污染治理工程"/>
      <w:bookmarkEnd w:id="126"/>
      <w:r>
        <w:rPr>
          <w:rFonts w:ascii="Calibri" w:eastAsia="Calibri"/>
          <w:b/>
          <w:sz w:val="28"/>
        </w:rPr>
        <w:t>1</w:t>
      </w:r>
      <w:r>
        <w:rPr>
          <w:b/>
          <w:sz w:val="28"/>
        </w:rPr>
        <w:t>、大气污染治理工程</w:t>
      </w:r>
    </w:p>
    <w:p w14:paraId="6AF1F26E">
      <w:pPr>
        <w:pStyle w:val="6"/>
        <w:spacing w:before="1"/>
        <w:rPr>
          <w:b/>
          <w:sz w:val="41"/>
        </w:rPr>
      </w:pPr>
    </w:p>
    <w:p w14:paraId="3B70846B">
      <w:pPr>
        <w:pStyle w:val="6"/>
        <w:spacing w:line="417" w:lineRule="auto"/>
        <w:ind w:left="720" w:right="719" w:firstLine="559"/>
        <w:jc w:val="both"/>
      </w:pPr>
      <w:r>
        <w:rPr>
          <w:spacing w:val="-8"/>
        </w:rPr>
        <w:t>濉溪县的大气污染治理主要来源于工业废气排放、锅炉燃烧、挥</w:t>
      </w:r>
      <w:r>
        <w:rPr>
          <w:spacing w:val="-11"/>
        </w:rPr>
        <w:t>发性有机物治理、生态秸秆燃烧、扬尘等。大气污染治理主要是建立</w:t>
      </w:r>
      <w:r>
        <w:rPr>
          <w:spacing w:val="-12"/>
        </w:rPr>
        <w:t>城市绿色交通、开发绿色能源、治理大气中挥发性有机物及颗粒物等</w:t>
      </w:r>
      <w:r>
        <w:rPr>
          <w:spacing w:val="-4"/>
        </w:rPr>
        <w:t>污染物质。</w:t>
      </w:r>
    </w:p>
    <w:p w14:paraId="204F0D00">
      <w:pPr>
        <w:pStyle w:val="6"/>
        <w:spacing w:before="2"/>
        <w:rPr>
          <w:sz w:val="20"/>
        </w:rPr>
      </w:pPr>
    </w:p>
    <w:p w14:paraId="54D680DC">
      <w:pPr>
        <w:spacing w:before="0"/>
        <w:ind w:left="720" w:right="0" w:firstLine="0"/>
        <w:jc w:val="left"/>
        <w:rPr>
          <w:b/>
          <w:sz w:val="28"/>
        </w:rPr>
      </w:pPr>
      <w:bookmarkStart w:id="127" w:name="_bookmark70"/>
      <w:bookmarkEnd w:id="127"/>
      <w:bookmarkStart w:id="128" w:name="2、水污染治理工程"/>
      <w:bookmarkEnd w:id="128"/>
      <w:r>
        <w:rPr>
          <w:rFonts w:ascii="Calibri" w:eastAsia="Calibri"/>
          <w:b/>
          <w:sz w:val="28"/>
        </w:rPr>
        <w:t>2</w:t>
      </w:r>
      <w:r>
        <w:rPr>
          <w:b/>
          <w:sz w:val="28"/>
        </w:rPr>
        <w:t>、水污染治理工程</w:t>
      </w:r>
    </w:p>
    <w:p w14:paraId="6151C185">
      <w:pPr>
        <w:pStyle w:val="6"/>
        <w:spacing w:before="12"/>
        <w:rPr>
          <w:b/>
          <w:sz w:val="40"/>
        </w:rPr>
      </w:pPr>
    </w:p>
    <w:p w14:paraId="395B7B74">
      <w:pPr>
        <w:pStyle w:val="6"/>
        <w:spacing w:line="417" w:lineRule="auto"/>
        <w:ind w:left="720" w:right="623" w:firstLine="559"/>
      </w:pPr>
      <w:r>
        <w:rPr>
          <w:spacing w:val="-3"/>
        </w:rPr>
        <w:t>濉溪县水污染治理主要包括工业废水、生活污水、地表水治理。</w:t>
      </w:r>
      <w:r>
        <w:rPr>
          <w:spacing w:val="-11"/>
        </w:rPr>
        <w:t>“十四五”期间的重点放在河道清污，对濉溪县域范围内的河道进行清污疏通，增加废水处理基础设施，继续实施开展雨污分流工程，提</w:t>
      </w:r>
      <w:r>
        <w:rPr>
          <w:spacing w:val="-12"/>
        </w:rPr>
        <w:t>高污水收集率和处理率，整治全县范围内的黑臭水体，开展中水回用</w:t>
      </w:r>
      <w:r>
        <w:rPr>
          <w:spacing w:val="-5"/>
        </w:rPr>
        <w:t>工程，提高水资源利用率。</w:t>
      </w:r>
    </w:p>
    <w:p w14:paraId="4735FB20">
      <w:pPr>
        <w:pStyle w:val="6"/>
        <w:spacing w:before="4"/>
        <w:rPr>
          <w:sz w:val="20"/>
        </w:rPr>
      </w:pPr>
    </w:p>
    <w:p w14:paraId="6F8057D4">
      <w:pPr>
        <w:spacing w:before="0"/>
        <w:ind w:left="720" w:right="0" w:firstLine="0"/>
        <w:jc w:val="left"/>
        <w:rPr>
          <w:b/>
          <w:sz w:val="28"/>
        </w:rPr>
      </w:pPr>
      <w:bookmarkStart w:id="129" w:name="3、地下饮用水保护工程"/>
      <w:bookmarkEnd w:id="129"/>
      <w:bookmarkStart w:id="130" w:name="_bookmark71"/>
      <w:bookmarkEnd w:id="130"/>
      <w:r>
        <w:rPr>
          <w:rFonts w:ascii="Calibri" w:eastAsia="Calibri"/>
          <w:b/>
          <w:sz w:val="28"/>
        </w:rPr>
        <w:t>3</w:t>
      </w:r>
      <w:r>
        <w:rPr>
          <w:b/>
          <w:sz w:val="28"/>
        </w:rPr>
        <w:t>、地下饮用水保护工程</w:t>
      </w:r>
    </w:p>
    <w:p w14:paraId="34EFB479">
      <w:pPr>
        <w:pStyle w:val="6"/>
        <w:spacing w:before="12"/>
        <w:rPr>
          <w:b/>
          <w:sz w:val="40"/>
        </w:rPr>
      </w:pPr>
    </w:p>
    <w:p w14:paraId="7D81DF48">
      <w:pPr>
        <w:pStyle w:val="6"/>
        <w:spacing w:line="417" w:lineRule="auto"/>
        <w:ind w:left="720" w:right="719" w:firstLine="559"/>
      </w:pPr>
      <w:r>
        <w:rPr>
          <w:spacing w:val="-8"/>
        </w:rPr>
        <w:t>实施畜禽粪污资源化利用整县推进项目，保障地下水安全，开展</w:t>
      </w:r>
      <w:r>
        <w:rPr>
          <w:spacing w:val="-3"/>
        </w:rPr>
        <w:t>村饮水安全巩固提升工程建设，保障农村引用水安全。</w:t>
      </w:r>
    </w:p>
    <w:p w14:paraId="6D2203AF">
      <w:pPr>
        <w:spacing w:after="0" w:line="417" w:lineRule="auto"/>
        <w:sectPr>
          <w:pgSz w:w="11910" w:h="16840"/>
          <w:pgMar w:top="1420" w:right="1080" w:bottom="1360" w:left="1080" w:header="878" w:footer="1164" w:gutter="0"/>
          <w:pgNumType w:fmt="decimal"/>
          <w:cols w:space="720" w:num="1"/>
        </w:sectPr>
      </w:pPr>
    </w:p>
    <w:p w14:paraId="72970570">
      <w:pPr>
        <w:spacing w:before="143"/>
        <w:ind w:left="720" w:right="0" w:firstLine="0"/>
        <w:jc w:val="left"/>
        <w:rPr>
          <w:b/>
          <w:sz w:val="28"/>
        </w:rPr>
      </w:pPr>
      <w:bookmarkStart w:id="131" w:name="4、自然生态保护工程及生态文化建设"/>
      <w:bookmarkEnd w:id="131"/>
      <w:bookmarkStart w:id="132" w:name="_bookmark72"/>
      <w:bookmarkEnd w:id="132"/>
      <w:r>
        <w:rPr>
          <w:rFonts w:ascii="Calibri" w:eastAsia="Calibri"/>
          <w:b/>
          <w:sz w:val="28"/>
        </w:rPr>
        <w:t>4</w:t>
      </w:r>
      <w:r>
        <w:rPr>
          <w:b/>
          <w:sz w:val="28"/>
        </w:rPr>
        <w:t>、自然生态保护工程及生态文化建设</w:t>
      </w:r>
    </w:p>
    <w:p w14:paraId="4B3A910E">
      <w:pPr>
        <w:pStyle w:val="6"/>
        <w:spacing w:before="12"/>
        <w:rPr>
          <w:b/>
          <w:sz w:val="40"/>
        </w:rPr>
      </w:pPr>
    </w:p>
    <w:p w14:paraId="0AA59E20">
      <w:pPr>
        <w:pStyle w:val="6"/>
        <w:spacing w:line="417" w:lineRule="auto"/>
        <w:ind w:left="720" w:right="719" w:firstLine="559"/>
        <w:jc w:val="both"/>
      </w:pPr>
      <w:r>
        <w:rPr>
          <w:spacing w:val="-11"/>
        </w:rPr>
        <w:t>开展全县范围内的生态修复，对重点领域内的水生态系统进行修复；提升城区绿化，建立生态文化带，发展旅游项目；对采煤沉陷区</w:t>
      </w:r>
      <w:r>
        <w:rPr>
          <w:spacing w:val="-10"/>
        </w:rPr>
        <w:t>进行生态修复和治理；建设生态村生态镇，进行土地复垦，发展水上</w:t>
      </w:r>
      <w:r>
        <w:rPr>
          <w:spacing w:val="-4"/>
        </w:rPr>
        <w:t>游乐项目和观光场所。</w:t>
      </w:r>
    </w:p>
    <w:p w14:paraId="201B2E5F">
      <w:pPr>
        <w:pStyle w:val="6"/>
        <w:spacing w:before="2"/>
        <w:rPr>
          <w:sz w:val="20"/>
        </w:rPr>
      </w:pPr>
    </w:p>
    <w:p w14:paraId="2BED6B2A">
      <w:pPr>
        <w:spacing w:before="0"/>
        <w:ind w:left="720" w:right="0" w:firstLine="0"/>
        <w:jc w:val="left"/>
        <w:rPr>
          <w:b/>
          <w:sz w:val="28"/>
        </w:rPr>
      </w:pPr>
      <w:bookmarkStart w:id="133" w:name="5、增加城镇基础设施建设"/>
      <w:bookmarkEnd w:id="133"/>
      <w:bookmarkStart w:id="134" w:name="_bookmark73"/>
      <w:bookmarkEnd w:id="134"/>
      <w:r>
        <w:rPr>
          <w:rFonts w:ascii="Calibri" w:eastAsia="Calibri"/>
          <w:b/>
          <w:sz w:val="28"/>
        </w:rPr>
        <w:t>5</w:t>
      </w:r>
      <w:r>
        <w:rPr>
          <w:b/>
          <w:sz w:val="28"/>
        </w:rPr>
        <w:t>、增加城镇基础设施建设</w:t>
      </w:r>
    </w:p>
    <w:p w14:paraId="303B74CF">
      <w:pPr>
        <w:pStyle w:val="6"/>
        <w:spacing w:before="2"/>
        <w:rPr>
          <w:b/>
          <w:sz w:val="41"/>
        </w:rPr>
      </w:pPr>
    </w:p>
    <w:p w14:paraId="21FC494C">
      <w:pPr>
        <w:pStyle w:val="6"/>
        <w:spacing w:line="417" w:lineRule="auto"/>
        <w:ind w:left="720" w:right="623" w:firstLine="559"/>
      </w:pPr>
      <w:r>
        <w:rPr>
          <w:spacing w:val="-3"/>
        </w:rPr>
        <w:t xml:space="preserve">新建污水处理厂，增加污水处理设备，提升城镇污水处理能力； </w:t>
      </w:r>
      <w:r>
        <w:rPr>
          <w:spacing w:val="-10"/>
        </w:rPr>
        <w:t>增加在线监测系统，提升监测能力；增加垃圾处理装置，提高垃圾处</w:t>
      </w:r>
      <w:r>
        <w:rPr>
          <w:spacing w:val="-4"/>
        </w:rPr>
        <w:t>理效率和收集能力。</w:t>
      </w:r>
    </w:p>
    <w:p w14:paraId="29221EA2">
      <w:pPr>
        <w:pStyle w:val="6"/>
        <w:spacing w:before="2"/>
        <w:rPr>
          <w:sz w:val="20"/>
        </w:rPr>
      </w:pPr>
    </w:p>
    <w:p w14:paraId="6FA07E0B">
      <w:pPr>
        <w:spacing w:before="0"/>
        <w:ind w:left="720" w:right="0" w:firstLine="0"/>
        <w:jc w:val="left"/>
        <w:rPr>
          <w:b/>
          <w:sz w:val="28"/>
        </w:rPr>
      </w:pPr>
      <w:bookmarkStart w:id="135" w:name="6、资源循环利用建设"/>
      <w:bookmarkEnd w:id="135"/>
      <w:bookmarkStart w:id="136" w:name="_bookmark74"/>
      <w:bookmarkEnd w:id="136"/>
      <w:r>
        <w:rPr>
          <w:rFonts w:ascii="Calibri" w:eastAsia="Calibri"/>
          <w:b/>
          <w:sz w:val="28"/>
        </w:rPr>
        <w:t>6</w:t>
      </w:r>
      <w:r>
        <w:rPr>
          <w:b/>
          <w:sz w:val="28"/>
        </w:rPr>
        <w:t>、资源循环利用建设</w:t>
      </w:r>
    </w:p>
    <w:p w14:paraId="3353E851">
      <w:pPr>
        <w:pStyle w:val="6"/>
        <w:spacing w:before="12"/>
        <w:rPr>
          <w:b/>
          <w:sz w:val="40"/>
        </w:rPr>
      </w:pPr>
    </w:p>
    <w:p w14:paraId="1CA67F45">
      <w:pPr>
        <w:pStyle w:val="6"/>
        <w:spacing w:line="417" w:lineRule="auto"/>
        <w:ind w:left="720" w:right="623" w:firstLine="559"/>
      </w:pPr>
      <w:r>
        <w:t>建立循环经济产业园，开展再生资源回收利用和新型建材项目， 对废旧资源进行回收循环利用。</w:t>
      </w:r>
    </w:p>
    <w:p w14:paraId="2269F120">
      <w:pPr>
        <w:pStyle w:val="4"/>
        <w:tabs>
          <w:tab w:val="left" w:pos="4871"/>
        </w:tabs>
        <w:spacing w:before="249"/>
        <w:ind w:left="3667"/>
      </w:pPr>
      <w:bookmarkStart w:id="137" w:name="第二节  投资来源"/>
      <w:bookmarkEnd w:id="137"/>
      <w:bookmarkStart w:id="138" w:name="_bookmark75"/>
      <w:bookmarkEnd w:id="138"/>
      <w:r>
        <w:t>第二节</w:t>
      </w:r>
      <w:r>
        <w:tab/>
      </w:r>
      <w:r>
        <w:t>投资来源</w:t>
      </w:r>
    </w:p>
    <w:p w14:paraId="55B54268">
      <w:pPr>
        <w:pStyle w:val="6"/>
        <w:spacing w:before="11"/>
        <w:rPr>
          <w:b/>
          <w:sz w:val="39"/>
        </w:rPr>
      </w:pPr>
    </w:p>
    <w:p w14:paraId="001D7947">
      <w:pPr>
        <w:pStyle w:val="6"/>
        <w:spacing w:before="1" w:line="417" w:lineRule="auto"/>
        <w:ind w:left="720" w:right="580" w:firstLine="559"/>
      </w:pPr>
      <w:r>
        <w:rPr>
          <w:spacing w:val="-8"/>
        </w:rPr>
        <w:t>发挥政府环境保护投资的核心作用，按照市场经济规律，建立多</w:t>
      </w:r>
      <w:r>
        <w:rPr>
          <w:spacing w:val="-12"/>
        </w:rPr>
        <w:t>元化的投融资机制，积极引进外资，积极引导和鼓励社会资金投入环</w:t>
      </w:r>
      <w:r>
        <w:rPr>
          <w:spacing w:val="-18"/>
        </w:rPr>
        <w:t xml:space="preserve">境保护基础设施建设和运营，实行国家、地方、集体、个人共同出资， </w:t>
      </w:r>
      <w:r>
        <w:rPr>
          <w:spacing w:val="-12"/>
        </w:rPr>
        <w:t>多渠道、多层次、多方位筹集环境保护基础设施建设和运营资金。建立实行“谁污染、谁付费、谁治理、谁收费”的排污收费制度，并严</w:t>
      </w:r>
      <w:r>
        <w:rPr>
          <w:spacing w:val="-5"/>
        </w:rPr>
        <w:t>格按照该制度执行。</w:t>
      </w:r>
    </w:p>
    <w:p w14:paraId="072CB2F9">
      <w:pPr>
        <w:spacing w:after="0" w:line="417" w:lineRule="auto"/>
        <w:sectPr>
          <w:pgSz w:w="11910" w:h="16840"/>
          <w:pgMar w:top="1420" w:right="1080" w:bottom="1360" w:left="1080" w:header="878" w:footer="1164" w:gutter="0"/>
          <w:pgNumType w:fmt="decimal"/>
          <w:cols w:space="720" w:num="1"/>
        </w:sectPr>
      </w:pPr>
    </w:p>
    <w:p w14:paraId="2E4514D8">
      <w:pPr>
        <w:pStyle w:val="4"/>
        <w:tabs>
          <w:tab w:val="left" w:pos="3364"/>
        </w:tabs>
        <w:spacing w:before="131"/>
        <w:ind w:left="2162"/>
      </w:pPr>
      <w:bookmarkStart w:id="139" w:name="_bookmark76"/>
      <w:bookmarkEnd w:id="139"/>
      <w:r>
        <w:t>第三节</w:t>
      </w:r>
      <w:r>
        <w:tab/>
      </w:r>
      <w:r>
        <w:t>环境效益和规划目标可达性分析</w:t>
      </w:r>
    </w:p>
    <w:p w14:paraId="153B62F4">
      <w:pPr>
        <w:pStyle w:val="6"/>
        <w:spacing w:before="252" w:line="417" w:lineRule="auto"/>
        <w:ind w:left="720" w:right="580" w:firstLine="559"/>
      </w:pPr>
      <w:r>
        <w:rPr>
          <w:spacing w:val="-3"/>
        </w:rPr>
        <w:t xml:space="preserve">环境保护重点工程实施后，可以有效地控制主要污染物排放总 </w:t>
      </w:r>
      <w:r>
        <w:rPr>
          <w:spacing w:val="-18"/>
        </w:rPr>
        <w:t xml:space="preserve">量，辐射得到有效控制，危险废物得到安全处置；农村环境逐步改善， </w:t>
      </w:r>
      <w:r>
        <w:rPr>
          <w:spacing w:val="-10"/>
        </w:rPr>
        <w:t>生态功能区的生态功能得到逐渐恢复；环境监察能力、宣教力度、信</w:t>
      </w:r>
      <w:r>
        <w:rPr>
          <w:spacing w:val="-11"/>
        </w:rPr>
        <w:t>息公开度、科研水平、应急等环境监管能力将得到大幅提升，为保证</w:t>
      </w:r>
      <w:r>
        <w:rPr>
          <w:spacing w:val="-5"/>
        </w:rPr>
        <w:t>全县社会经济长期平稳较快发展提供了发展空间。</w:t>
      </w:r>
    </w:p>
    <w:p w14:paraId="1F949362">
      <w:pPr>
        <w:spacing w:after="0" w:line="417" w:lineRule="auto"/>
        <w:sectPr>
          <w:pgSz w:w="11910" w:h="16840"/>
          <w:pgMar w:top="1420" w:right="1080" w:bottom="1360" w:left="1080" w:header="878" w:footer="1164" w:gutter="0"/>
          <w:pgNumType w:fmt="decimal"/>
          <w:cols w:space="720" w:num="1"/>
        </w:sectPr>
      </w:pPr>
    </w:p>
    <w:p w14:paraId="078142B1">
      <w:pPr>
        <w:pStyle w:val="3"/>
        <w:tabs>
          <w:tab w:val="left" w:pos="1406"/>
        </w:tabs>
      </w:pPr>
      <w:bookmarkStart w:id="140" w:name="第五章  规划实施的保障措施"/>
      <w:bookmarkEnd w:id="140"/>
      <w:bookmarkStart w:id="141" w:name="_bookmark77"/>
      <w:bookmarkEnd w:id="141"/>
      <w:r>
        <w:rPr>
          <w:spacing w:val="26"/>
        </w:rPr>
        <w:t>第五</w:t>
      </w:r>
      <w:r>
        <w:t>章</w:t>
      </w:r>
      <w:r>
        <w:tab/>
      </w:r>
      <w:r>
        <w:rPr>
          <w:spacing w:val="26"/>
        </w:rPr>
        <w:t>规划实</w:t>
      </w:r>
      <w:r>
        <w:rPr>
          <w:spacing w:val="24"/>
        </w:rPr>
        <w:t>施</w:t>
      </w:r>
      <w:r>
        <w:rPr>
          <w:spacing w:val="26"/>
        </w:rPr>
        <w:t>的保障措</w:t>
      </w:r>
      <w:r>
        <w:t>施</w:t>
      </w:r>
    </w:p>
    <w:p w14:paraId="43E3F291">
      <w:pPr>
        <w:pStyle w:val="6"/>
        <w:spacing w:before="12"/>
        <w:rPr>
          <w:b/>
          <w:sz w:val="37"/>
        </w:rPr>
      </w:pPr>
    </w:p>
    <w:p w14:paraId="270CDAF9">
      <w:pPr>
        <w:pStyle w:val="4"/>
        <w:tabs>
          <w:tab w:val="left" w:pos="1204"/>
        </w:tabs>
        <w:spacing w:before="0"/>
        <w:ind w:right="2"/>
        <w:jc w:val="center"/>
      </w:pPr>
      <w:bookmarkStart w:id="142" w:name="_bookmark78"/>
      <w:bookmarkEnd w:id="142"/>
      <w:bookmarkStart w:id="143" w:name="第一节  强化法制监督 切实履行职责"/>
      <w:bookmarkEnd w:id="143"/>
      <w:r>
        <w:t>第一节</w:t>
      </w:r>
      <w:r>
        <w:tab/>
      </w:r>
      <w:r>
        <w:t>强化法制监督</w:t>
      </w:r>
      <w:r>
        <w:rPr>
          <w:spacing w:val="-1"/>
        </w:rPr>
        <w:t xml:space="preserve"> </w:t>
      </w:r>
      <w:r>
        <w:t>切实履行职责</w:t>
      </w:r>
    </w:p>
    <w:p w14:paraId="26E05654">
      <w:pPr>
        <w:pStyle w:val="6"/>
        <w:spacing w:before="12"/>
        <w:rPr>
          <w:b/>
          <w:sz w:val="39"/>
        </w:rPr>
      </w:pPr>
    </w:p>
    <w:p w14:paraId="2227811C">
      <w:pPr>
        <w:pStyle w:val="6"/>
        <w:spacing w:line="417" w:lineRule="auto"/>
        <w:ind w:left="720" w:right="623" w:firstLine="559"/>
        <w:jc w:val="both"/>
      </w:pPr>
      <w:r>
        <w:rPr>
          <w:spacing w:val="-11"/>
        </w:rPr>
        <w:t>强化环境监管，严格执行省、市环境保护法律法规。完善公众监督和举报反馈机制，充分调动公众的积极性，发挥“12369”环保举报热线作用，保障环保监督渠道畅通。加强舆论监督，鼓励新闻媒体</w:t>
      </w:r>
      <w:r>
        <w:rPr>
          <w:spacing w:val="-3"/>
        </w:rPr>
        <w:t>对各类破坏生态环境问题、突发环境事件、环境违法行为进行曝光。</w:t>
      </w:r>
    </w:p>
    <w:p w14:paraId="737CE35B">
      <w:pPr>
        <w:pStyle w:val="6"/>
        <w:spacing w:line="417" w:lineRule="auto"/>
        <w:ind w:left="720" w:right="719" w:firstLine="559"/>
      </w:pPr>
      <w:r>
        <w:rPr>
          <w:spacing w:val="-11"/>
        </w:rPr>
        <w:t>严格执行“双罚制”，持续开展建设项目类环境执法检查，针对</w:t>
      </w:r>
      <w:r>
        <w:rPr>
          <w:spacing w:val="-5"/>
        </w:rPr>
        <w:t>违法排污造成水或大气等污染事故的企业，除对企业实施行政处罚</w:t>
      </w:r>
      <w:r>
        <w:rPr>
          <w:spacing w:val="-3"/>
        </w:rPr>
        <w:t>外，对直接负责的主管人员和其他直接责任人员也要给出相应的处罚。</w:t>
      </w:r>
    </w:p>
    <w:p w14:paraId="739DDD50">
      <w:pPr>
        <w:pStyle w:val="6"/>
        <w:spacing w:before="118" w:line="417" w:lineRule="auto"/>
        <w:ind w:left="720" w:right="580" w:firstLine="559"/>
      </w:pPr>
      <w:r>
        <w:rPr>
          <w:spacing w:val="-11"/>
        </w:rPr>
        <w:t>全面推进“双随机、一公开”，根据法律法规规章的规定，明确</w:t>
      </w:r>
      <w:r>
        <w:rPr>
          <w:spacing w:val="-5"/>
        </w:rPr>
        <w:t xml:space="preserve">随机抽查事项、抽查依据和抽查内容，向社会公布；规范检查计划， </w:t>
      </w:r>
      <w:r>
        <w:rPr>
          <w:spacing w:val="-16"/>
        </w:rPr>
        <w:t>同一监管对象有多项检查事项的，应当进行整合，原则上“一次检查、</w:t>
      </w:r>
      <w:r>
        <w:rPr>
          <w:spacing w:val="-12"/>
        </w:rPr>
        <w:t>全面体检”，探索建立政府部门间“随机联查”制度，由同级政府法</w:t>
      </w:r>
      <w:r>
        <w:rPr>
          <w:spacing w:val="-11"/>
        </w:rPr>
        <w:t>制机构通过系统，随机集中抽取检查对象和人员，开展联合检查，提</w:t>
      </w:r>
      <w:r>
        <w:rPr>
          <w:spacing w:val="-5"/>
        </w:rPr>
        <w:t>高执法效能，降低企业负担。</w:t>
      </w:r>
    </w:p>
    <w:p w14:paraId="7D73F86E">
      <w:pPr>
        <w:pStyle w:val="6"/>
        <w:spacing w:before="119" w:line="417" w:lineRule="auto"/>
        <w:ind w:left="720" w:right="623" w:firstLine="559"/>
      </w:pPr>
      <w:r>
        <w:rPr>
          <w:spacing w:val="-3"/>
        </w:rPr>
        <w:t xml:space="preserve">突出检查重点，合理确定检查比例和频次，充分发挥“双随机” </w:t>
      </w:r>
      <w:r>
        <w:rPr>
          <w:spacing w:val="-23"/>
        </w:rPr>
        <w:t>抽查，制定并公布重点排污单位名单，分时段和适当频次对其进行“全</w:t>
      </w:r>
      <w:r>
        <w:rPr>
          <w:spacing w:val="-6"/>
        </w:rPr>
        <w:t>覆盖”检查。</w:t>
      </w:r>
    </w:p>
    <w:p w14:paraId="5C4F0B39">
      <w:pPr>
        <w:pStyle w:val="6"/>
        <w:spacing w:before="119"/>
        <w:ind w:left="1279"/>
      </w:pPr>
      <w:r>
        <w:t>所有检查信息应在规定时间内进行填报，依托现有政务网络资源</w:t>
      </w:r>
    </w:p>
    <w:p w14:paraId="2FEDB92E">
      <w:pPr>
        <w:spacing w:after="0"/>
        <w:sectPr>
          <w:pgSz w:w="11910" w:h="16840"/>
          <w:pgMar w:top="1420" w:right="1080" w:bottom="1360" w:left="1080" w:header="878" w:footer="1164" w:gutter="0"/>
          <w:pgNumType w:fmt="decimal"/>
          <w:cols w:space="720" w:num="1"/>
        </w:sectPr>
      </w:pPr>
    </w:p>
    <w:p w14:paraId="365D7DD4">
      <w:pPr>
        <w:pStyle w:val="6"/>
        <w:spacing w:before="143" w:line="417" w:lineRule="auto"/>
        <w:ind w:left="720" w:right="761"/>
      </w:pPr>
      <w:r>
        <w:t>及时向社会公开，信息公开率应达到 100%，提高履职透明度，接受社会监督。</w:t>
      </w:r>
    </w:p>
    <w:p w14:paraId="3AC10977">
      <w:pPr>
        <w:pStyle w:val="4"/>
        <w:tabs>
          <w:tab w:val="left" w:pos="3592"/>
        </w:tabs>
        <w:ind w:left="2388"/>
      </w:pPr>
      <w:bookmarkStart w:id="144" w:name="_bookmark79"/>
      <w:bookmarkEnd w:id="144"/>
      <w:bookmarkStart w:id="145" w:name="第二节  严格考核评估 落实环保责任"/>
      <w:bookmarkEnd w:id="145"/>
      <w:r>
        <w:t>第二节</w:t>
      </w:r>
      <w:r>
        <w:tab/>
      </w:r>
      <w:r>
        <w:t>严格考核评估</w:t>
      </w:r>
      <w:r>
        <w:rPr>
          <w:spacing w:val="-1"/>
        </w:rPr>
        <w:t xml:space="preserve"> </w:t>
      </w:r>
      <w:r>
        <w:t>落实环保责任</w:t>
      </w:r>
    </w:p>
    <w:p w14:paraId="2E373FC0">
      <w:pPr>
        <w:pStyle w:val="6"/>
        <w:spacing w:before="12"/>
        <w:rPr>
          <w:b/>
          <w:sz w:val="39"/>
        </w:rPr>
      </w:pPr>
    </w:p>
    <w:p w14:paraId="5F2EC014">
      <w:pPr>
        <w:pStyle w:val="6"/>
        <w:spacing w:line="417" w:lineRule="auto"/>
        <w:ind w:left="720" w:right="623" w:firstLine="559"/>
      </w:pPr>
      <w:r>
        <w:rPr>
          <w:spacing w:val="-9"/>
        </w:rPr>
        <w:t>完善环境保护工作责任制度、考核奖惩制度、检查监督制度，建</w:t>
      </w:r>
      <w:r>
        <w:rPr>
          <w:spacing w:val="-3"/>
        </w:rPr>
        <w:t>立生态环境保护责任制，落实“</w:t>
      </w:r>
      <w:r>
        <w:rPr>
          <w:rFonts w:hint="eastAsia"/>
          <w:spacing w:val="-3"/>
          <w:lang w:eastAsia="zh-CN"/>
        </w:rPr>
        <w:t>党政同责</w:t>
      </w:r>
      <w:r>
        <w:rPr>
          <w:spacing w:val="-3"/>
        </w:rPr>
        <w:t xml:space="preserve">，一岗双责”及“网格化” </w:t>
      </w:r>
      <w:r>
        <w:rPr>
          <w:spacing w:val="-11"/>
        </w:rPr>
        <w:t>环境监管任务，健全环保组织机构，做到分管领导，有专、兼职工作人员，积极配合环保部门开展环境保护重点工作；要求各辖区环境保</w:t>
      </w:r>
      <w:r>
        <w:rPr>
          <w:spacing w:val="-10"/>
        </w:rPr>
        <w:t>护部门认真落实县级环保部门要求，认真及时研究、协调解决环境保</w:t>
      </w:r>
      <w:r>
        <w:rPr>
          <w:spacing w:val="-11"/>
        </w:rPr>
        <w:t>护突出问题，认真执行整治目标责任制，根据实际情况，按照目标责</w:t>
      </w:r>
      <w:r>
        <w:rPr>
          <w:spacing w:val="-5"/>
        </w:rPr>
        <w:t>任要求，逐一落实目标任务。</w:t>
      </w:r>
    </w:p>
    <w:p w14:paraId="6DA995BC">
      <w:pPr>
        <w:pStyle w:val="6"/>
        <w:spacing w:before="119" w:line="417" w:lineRule="auto"/>
        <w:ind w:left="720" w:right="580" w:firstLine="559"/>
      </w:pPr>
      <w:r>
        <w:rPr>
          <w:spacing w:val="-11"/>
        </w:rPr>
        <w:t>提高定性评估技术水平：制定考核范围，包含污染物总量减排目</w:t>
      </w:r>
      <w:r>
        <w:rPr>
          <w:spacing w:val="-12"/>
        </w:rPr>
        <w:t>标、环境质量保护目标、重点流域水污染防治、集中式饮用水源地保</w:t>
      </w:r>
      <w:r>
        <w:rPr>
          <w:spacing w:val="-18"/>
        </w:rPr>
        <w:t>护、重金属等环境污染事件防范、城乡环境建设、大气环境环境质量、</w:t>
      </w:r>
      <w:r>
        <w:rPr>
          <w:spacing w:val="-13"/>
        </w:rPr>
        <w:t>土壤污染防治情况等，实行定期检查通报；对发生重大环境事件和污</w:t>
      </w:r>
      <w:r>
        <w:rPr>
          <w:spacing w:val="-11"/>
        </w:rPr>
        <w:t>染事故的，要依法追究当地政府和主管单位、部门的责任，由于故意</w:t>
      </w:r>
      <w:r>
        <w:rPr>
          <w:spacing w:val="-12"/>
        </w:rPr>
        <w:t>或者过失，不履行或者不正确履行环保法定职责，以致造成不良影响</w:t>
      </w:r>
      <w:r>
        <w:rPr>
          <w:spacing w:val="-19"/>
        </w:rPr>
        <w:t xml:space="preserve">和严重后果的，按有关规定追究责任，对工作突出有重大环保贡献的， </w:t>
      </w:r>
      <w:r>
        <w:rPr>
          <w:spacing w:val="-5"/>
        </w:rPr>
        <w:t>给予相应奖励。</w:t>
      </w:r>
    </w:p>
    <w:p w14:paraId="2F97D89B">
      <w:pPr>
        <w:pStyle w:val="6"/>
        <w:spacing w:before="118" w:line="417" w:lineRule="auto"/>
        <w:ind w:left="720" w:right="904" w:firstLine="559"/>
      </w:pPr>
      <w:r>
        <w:t>将考核结果作为各级领导班子和领导干部奖惩和提拔使用的重要依据，切实担负起生态文明建设的政治责任。</w:t>
      </w:r>
    </w:p>
    <w:p w14:paraId="60139ED9">
      <w:pPr>
        <w:spacing w:after="0" w:line="417" w:lineRule="auto"/>
        <w:sectPr>
          <w:pgSz w:w="11910" w:h="16840"/>
          <w:pgMar w:top="1420" w:right="1080" w:bottom="1360" w:left="1080" w:header="878" w:footer="1164" w:gutter="0"/>
          <w:pgNumType w:fmt="decimal"/>
          <w:cols w:space="720" w:num="1"/>
        </w:sectPr>
      </w:pPr>
    </w:p>
    <w:p w14:paraId="416D389A">
      <w:pPr>
        <w:pStyle w:val="4"/>
        <w:tabs>
          <w:tab w:val="left" w:pos="1202"/>
        </w:tabs>
        <w:spacing w:before="131"/>
        <w:jc w:val="center"/>
      </w:pPr>
      <w:bookmarkStart w:id="146" w:name="第三节  强化环境监督管理和能力建设"/>
      <w:bookmarkEnd w:id="146"/>
      <w:bookmarkStart w:id="147" w:name="_bookmark80"/>
      <w:bookmarkEnd w:id="147"/>
      <w:r>
        <w:t>第三节</w:t>
      </w:r>
      <w:r>
        <w:tab/>
      </w:r>
      <w:r>
        <w:t>强化环境监督管理和能力建设</w:t>
      </w:r>
    </w:p>
    <w:p w14:paraId="4EA279A0">
      <w:pPr>
        <w:pStyle w:val="6"/>
        <w:spacing w:before="11"/>
        <w:rPr>
          <w:b/>
          <w:sz w:val="39"/>
        </w:rPr>
      </w:pPr>
    </w:p>
    <w:p w14:paraId="63C72AC0">
      <w:pPr>
        <w:pStyle w:val="6"/>
        <w:spacing w:before="1" w:line="417" w:lineRule="auto"/>
        <w:ind w:left="720" w:right="719" w:firstLine="559"/>
        <w:jc w:val="both"/>
      </w:pPr>
      <w:r>
        <w:rPr>
          <w:spacing w:val="-11"/>
        </w:rPr>
        <w:t>“十四五”期间，濉溪县将继续响应市政府关于积极推进环境影响评估工作的号召，进一步提高建设项目环境影响评价审批效率，简</w:t>
      </w:r>
      <w:r>
        <w:rPr>
          <w:spacing w:val="-12"/>
        </w:rPr>
        <w:t>化项目环评内容，着力推进“放管服”改革，助力优化营商环境，更</w:t>
      </w:r>
      <w:r>
        <w:rPr>
          <w:spacing w:val="-5"/>
        </w:rPr>
        <w:t>好的服务“六稳”、“六保”工作，助力经济高质量绿色发展。</w:t>
      </w:r>
    </w:p>
    <w:p w14:paraId="5FB4A7DD">
      <w:pPr>
        <w:pStyle w:val="6"/>
        <w:spacing w:before="119" w:line="417" w:lineRule="auto"/>
        <w:ind w:left="720" w:right="623" w:firstLine="559"/>
      </w:pPr>
      <w:r>
        <w:rPr>
          <w:spacing w:val="-10"/>
        </w:rPr>
        <w:t>长效监管，按月调度，加强详细调查、风险评估、风险管控、治理修复等环节的过程监管，防止污染扩散和二次污染。对辖区内疑似</w:t>
      </w:r>
      <w:r>
        <w:rPr>
          <w:spacing w:val="-11"/>
        </w:rPr>
        <w:t>污染物和污染地进行跟踪管理，及时根据环境管理阶段和环境管理要</w:t>
      </w:r>
      <w:r>
        <w:rPr>
          <w:spacing w:val="-12"/>
        </w:rPr>
        <w:t>求，采取有针对性的风险防范措施。加强与经济和信息化、国土、规</w:t>
      </w:r>
      <w:r>
        <w:rPr>
          <w:spacing w:val="-3"/>
        </w:rPr>
        <w:t>划等部门沟通、协调，充分利用环境管理信息系统，实行信息共享， 加强对各类污染物监管，切实保障全县环境安全。</w:t>
      </w:r>
    </w:p>
    <w:p w14:paraId="20D90B15">
      <w:pPr>
        <w:pStyle w:val="6"/>
        <w:spacing w:before="118" w:line="417" w:lineRule="auto"/>
        <w:ind w:left="720" w:right="719" w:firstLine="559"/>
        <w:jc w:val="both"/>
      </w:pPr>
      <w:r>
        <w:rPr>
          <w:spacing w:val="-9"/>
        </w:rPr>
        <w:t>推进落实环保在线检测设备安装工作，建设管理平台对重污染企</w:t>
      </w:r>
      <w:r>
        <w:rPr>
          <w:spacing w:val="-11"/>
        </w:rPr>
        <w:t>业实时监督，加快公共服务平台建设。依托现有企业技术中心、工程技术研究中心、重点实验室、检测认证机构等资源，推进建设节能环</w:t>
      </w:r>
      <w:r>
        <w:rPr>
          <w:spacing w:val="-5"/>
        </w:rPr>
        <w:t>保产业技术共享、检测认证、成果展示等公共服务平台。</w:t>
      </w:r>
    </w:p>
    <w:p w14:paraId="57CDB3C4">
      <w:pPr>
        <w:pStyle w:val="4"/>
        <w:ind w:left="2764"/>
        <w:jc w:val="both"/>
      </w:pPr>
      <w:bookmarkStart w:id="148" w:name="第四节  加大环境保护融资力度"/>
      <w:bookmarkEnd w:id="148"/>
      <w:bookmarkStart w:id="149" w:name="_bookmark81"/>
      <w:bookmarkEnd w:id="149"/>
      <w:r>
        <w:t>第四节 加大环境保护融资力度</w:t>
      </w:r>
    </w:p>
    <w:p w14:paraId="1E1C6500">
      <w:pPr>
        <w:pStyle w:val="6"/>
        <w:spacing w:before="1"/>
        <w:rPr>
          <w:b/>
          <w:sz w:val="40"/>
        </w:rPr>
      </w:pPr>
    </w:p>
    <w:p w14:paraId="378B1E75">
      <w:pPr>
        <w:pStyle w:val="6"/>
        <w:spacing w:line="417" w:lineRule="auto"/>
        <w:ind w:left="720" w:right="719" w:firstLine="559"/>
        <w:jc w:val="both"/>
      </w:pPr>
      <w:r>
        <w:rPr>
          <w:spacing w:val="-9"/>
        </w:rPr>
        <w:t>政府统筹安排环境污染防治资金，合理安排，用于环境调查、监</w:t>
      </w:r>
      <w:r>
        <w:rPr>
          <w:spacing w:val="-12"/>
        </w:rPr>
        <w:t>测评估、监督管理、治理与修复、污染物综合防治等；各地统筹相关</w:t>
      </w:r>
      <w:r>
        <w:rPr>
          <w:spacing w:val="-10"/>
        </w:rPr>
        <w:t>财政资金，通过现有政策和资金渠道加大财政支持，统筹安排专项建</w:t>
      </w:r>
      <w:r>
        <w:rPr>
          <w:spacing w:val="-4"/>
        </w:rPr>
        <w:t>设基金，支持企业对涉重金属落后生产工艺和设备进行技术改造。</w:t>
      </w:r>
    </w:p>
    <w:p w14:paraId="7EFF8563">
      <w:pPr>
        <w:spacing w:after="0" w:line="417" w:lineRule="auto"/>
        <w:jc w:val="both"/>
        <w:sectPr>
          <w:pgSz w:w="11910" w:h="16840"/>
          <w:pgMar w:top="1420" w:right="1080" w:bottom="1360" w:left="1080" w:header="878" w:footer="1164" w:gutter="0"/>
          <w:pgNumType w:fmt="decimal"/>
          <w:cols w:space="720" w:num="1"/>
        </w:sectPr>
      </w:pPr>
    </w:p>
    <w:p w14:paraId="43C7B091">
      <w:pPr>
        <w:pStyle w:val="6"/>
        <w:spacing w:before="143" w:line="417" w:lineRule="auto"/>
        <w:ind w:left="720" w:right="719" w:firstLine="559"/>
        <w:jc w:val="both"/>
      </w:pPr>
      <w:r>
        <w:rPr>
          <w:spacing w:val="-10"/>
        </w:rPr>
        <w:t>建立健全常态化、稳定环境治理财政资金投入机制，健全生态保</w:t>
      </w:r>
      <w:r>
        <w:rPr>
          <w:spacing w:val="-11"/>
        </w:rPr>
        <w:t>护补偿机制，制定出台有利于推进产业结构、能源结构、运输结构和</w:t>
      </w:r>
      <w:r>
        <w:rPr>
          <w:spacing w:val="-9"/>
        </w:rPr>
        <w:t>用地结构调整优化的相关政策，严格执行环境保护税法，促进企业降</w:t>
      </w:r>
      <w:r>
        <w:rPr>
          <w:spacing w:val="-10"/>
        </w:rPr>
        <w:t>低大气污染物、水污染物排放浓度，提高固体废物综合利用率，贯彻</w:t>
      </w:r>
      <w:r>
        <w:rPr>
          <w:spacing w:val="-4"/>
        </w:rPr>
        <w:t>落实好现行促进环境保护和污染防治的税收优惠政策。</w:t>
      </w:r>
    </w:p>
    <w:p w14:paraId="62675EC8">
      <w:pPr>
        <w:pStyle w:val="6"/>
        <w:spacing w:before="119" w:line="417" w:lineRule="auto"/>
        <w:ind w:left="720" w:right="719" w:firstLine="559"/>
      </w:pPr>
      <w:r>
        <w:rPr>
          <w:spacing w:val="-10"/>
        </w:rPr>
        <w:t>通过政府和社会资本合作等模式，带动更多社会资本参与环境污</w:t>
      </w:r>
      <w:r>
        <w:rPr>
          <w:spacing w:val="-4"/>
        </w:rPr>
        <w:t>染防治。</w:t>
      </w:r>
    </w:p>
    <w:p w14:paraId="09571F35">
      <w:pPr>
        <w:pStyle w:val="4"/>
        <w:tabs>
          <w:tab w:val="left" w:pos="2687"/>
        </w:tabs>
        <w:ind w:left="1485"/>
      </w:pPr>
      <w:bookmarkStart w:id="150" w:name="_bookmark82"/>
      <w:bookmarkEnd w:id="150"/>
      <w:bookmarkStart w:id="151" w:name="第五节  鼓励环境科技创新 强化环境科技支撑作用"/>
      <w:bookmarkEnd w:id="151"/>
      <w:r>
        <w:t>第五节</w:t>
      </w:r>
      <w:r>
        <w:tab/>
      </w:r>
      <w:r>
        <w:t>鼓励环境科技创新</w:t>
      </w:r>
      <w:r>
        <w:rPr>
          <w:spacing w:val="1"/>
        </w:rPr>
        <w:t xml:space="preserve"> </w:t>
      </w:r>
      <w:r>
        <w:t>强化环境科技支撑作用</w:t>
      </w:r>
    </w:p>
    <w:p w14:paraId="5BB338EA">
      <w:pPr>
        <w:pStyle w:val="6"/>
        <w:spacing w:before="12"/>
        <w:rPr>
          <w:b/>
          <w:sz w:val="39"/>
        </w:rPr>
      </w:pPr>
    </w:p>
    <w:p w14:paraId="24FD417F">
      <w:pPr>
        <w:pStyle w:val="6"/>
        <w:spacing w:line="417" w:lineRule="auto"/>
        <w:ind w:left="720" w:right="580" w:firstLine="559"/>
      </w:pPr>
      <w:r>
        <w:rPr>
          <w:spacing w:val="-3"/>
        </w:rPr>
        <w:t xml:space="preserve">以科技创新带动环保发展，坚持创新驱动，依托科技资源优势， </w:t>
      </w:r>
      <w:r>
        <w:rPr>
          <w:spacing w:val="-18"/>
        </w:rPr>
        <w:t xml:space="preserve">坚持高端发展，强化产学研用结合，着力突破一批环保领域关键技术， </w:t>
      </w:r>
      <w:r>
        <w:rPr>
          <w:spacing w:val="-12"/>
        </w:rPr>
        <w:t>加快发展环保产业新模式、新业态，不断提高环保产品质量和服务技</w:t>
      </w:r>
      <w:r>
        <w:rPr>
          <w:spacing w:val="-11"/>
        </w:rPr>
        <w:t>术水平；提升企业技术创新能力，鼓励企业加大研发投入力度，建设</w:t>
      </w:r>
      <w:r>
        <w:rPr>
          <w:spacing w:val="-5"/>
        </w:rPr>
        <w:t>企业技术中心、重点实验室等创新机构，加强环保企业与高等学校、</w:t>
      </w:r>
      <w:r>
        <w:rPr>
          <w:spacing w:val="-3"/>
        </w:rPr>
        <w:t>科研院所合作共建产业共性技术研发机构；推动环保产业与物联网、</w:t>
      </w:r>
      <w:r>
        <w:rPr>
          <w:spacing w:val="-11"/>
        </w:rPr>
        <w:t>云计算、大数据、人工智能等新一代信息技术深度融合，带动相关技</w:t>
      </w:r>
      <w:r>
        <w:rPr>
          <w:spacing w:val="-5"/>
        </w:rPr>
        <w:t>术和产品应用，鼓励企业开展智慧能源管理、智慧环境监测和治理。</w:t>
      </w:r>
    </w:p>
    <w:p w14:paraId="1BC8BCAE">
      <w:pPr>
        <w:pStyle w:val="6"/>
        <w:spacing w:before="118" w:line="417" w:lineRule="auto"/>
        <w:ind w:left="720" w:right="719" w:firstLine="559"/>
        <w:jc w:val="both"/>
      </w:pPr>
      <w:r>
        <w:rPr>
          <w:spacing w:val="-11"/>
        </w:rPr>
        <w:t>强化财政和价格政策支持。采取多种形式加大对环保领域科技创</w:t>
      </w:r>
      <w:r>
        <w:rPr>
          <w:spacing w:val="-12"/>
        </w:rPr>
        <w:t>新及产业化、公共服务平台建设、企业绿色化技术改造等方面的财政</w:t>
      </w:r>
      <w:r>
        <w:rPr>
          <w:spacing w:val="-5"/>
        </w:rPr>
        <w:t>资金支持力度。</w:t>
      </w:r>
    </w:p>
    <w:p w14:paraId="550A47F8">
      <w:pPr>
        <w:spacing w:after="0" w:line="417" w:lineRule="auto"/>
        <w:jc w:val="both"/>
        <w:sectPr>
          <w:pgSz w:w="11910" w:h="16840"/>
          <w:pgMar w:top="1420" w:right="1080" w:bottom="1360" w:left="1080" w:header="878" w:footer="1164" w:gutter="0"/>
          <w:pgNumType w:fmt="decimal"/>
          <w:cols w:space="720" w:num="1"/>
        </w:sectPr>
      </w:pPr>
    </w:p>
    <w:p w14:paraId="41C94A03">
      <w:pPr>
        <w:pStyle w:val="4"/>
        <w:tabs>
          <w:tab w:val="left" w:pos="1202"/>
        </w:tabs>
        <w:spacing w:before="131"/>
        <w:jc w:val="center"/>
      </w:pPr>
      <w:bookmarkStart w:id="152" w:name="第六节  重视环保宣传教育 提高公众环保素质"/>
      <w:bookmarkEnd w:id="152"/>
      <w:bookmarkStart w:id="153" w:name="_bookmark83"/>
      <w:bookmarkEnd w:id="153"/>
      <w:r>
        <w:t>第六节</w:t>
      </w:r>
      <w:r>
        <w:tab/>
      </w:r>
      <w:r>
        <w:t>重视环保宣传教育</w:t>
      </w:r>
      <w:r>
        <w:rPr>
          <w:spacing w:val="-1"/>
        </w:rPr>
        <w:t xml:space="preserve"> </w:t>
      </w:r>
      <w:r>
        <w:t>提高公众环保素质</w:t>
      </w:r>
    </w:p>
    <w:p w14:paraId="688BAEA4">
      <w:pPr>
        <w:pStyle w:val="6"/>
        <w:spacing w:before="11"/>
        <w:rPr>
          <w:b/>
          <w:sz w:val="39"/>
        </w:rPr>
      </w:pPr>
    </w:p>
    <w:p w14:paraId="30EF6FD4">
      <w:pPr>
        <w:pStyle w:val="6"/>
        <w:spacing w:before="1" w:line="417" w:lineRule="auto"/>
        <w:ind w:left="720" w:right="719" w:firstLine="559"/>
        <w:jc w:val="both"/>
      </w:pPr>
      <w:r>
        <w:rPr>
          <w:spacing w:val="3"/>
        </w:rPr>
        <w:t>引导公民自觉履行环境保护责任，逐步转变落后的生活风俗习</w:t>
      </w:r>
      <w:r>
        <w:rPr>
          <w:spacing w:val="-10"/>
        </w:rPr>
        <w:t>惯，积极开展垃圾分类，践行绿色生活方式，倡导绿色出行、绿色消</w:t>
      </w:r>
      <w:r>
        <w:rPr>
          <w:spacing w:val="-11"/>
        </w:rPr>
        <w:t>费，组织重点耗能企业参加全市工业绿色制造培训班以及全省工业锅</w:t>
      </w:r>
      <w:r>
        <w:rPr>
          <w:spacing w:val="-8"/>
        </w:rPr>
        <w:t>炉清洁能源替代技术装备专项推介会，使企业进一步了解国家、省关</w:t>
      </w:r>
      <w:r>
        <w:rPr>
          <w:spacing w:val="-7"/>
        </w:rPr>
        <w:t>于绿色制造的最新扶持政策以及先进节能技术发展情况，为企业实施</w:t>
      </w:r>
      <w:r>
        <w:rPr>
          <w:spacing w:val="-3"/>
        </w:rPr>
        <w:t>节能减排改造打下基础，重视并加强中小学环境教育课程建设。</w:t>
      </w:r>
    </w:p>
    <w:p w14:paraId="48D7B077">
      <w:pPr>
        <w:pStyle w:val="6"/>
        <w:spacing w:line="417" w:lineRule="auto"/>
        <w:ind w:left="720" w:right="580" w:firstLine="559"/>
      </w:pPr>
      <w:r>
        <w:rPr>
          <w:spacing w:val="-10"/>
        </w:rPr>
        <w:t>结合世界环境日、世界土壤日等主题宣传活动，在人群密集地点</w:t>
      </w:r>
      <w:r>
        <w:rPr>
          <w:spacing w:val="-19"/>
        </w:rPr>
        <w:t>设立防治宣传咨询点，悬挂宣传横幅，向行人发放污染防治行动计划、</w:t>
      </w:r>
      <w:r>
        <w:rPr>
          <w:spacing w:val="-11"/>
        </w:rPr>
        <w:t>污染与食品安全等相关宣传资料，围绕“环境保护”这一主题，呼吁</w:t>
      </w:r>
      <w:r>
        <w:rPr>
          <w:spacing w:val="-18"/>
        </w:rPr>
        <w:t>全社会珍爱环境，抵制污染，自觉践行低碳生活，树立文明绿色风尚。</w:t>
      </w:r>
    </w:p>
    <w:p w14:paraId="4AC90A71">
      <w:pPr>
        <w:pStyle w:val="6"/>
        <w:spacing w:before="117" w:line="417" w:lineRule="auto"/>
        <w:ind w:left="720" w:right="580" w:firstLine="559"/>
      </w:pPr>
      <w:r>
        <w:rPr>
          <w:spacing w:val="-18"/>
        </w:rPr>
        <w:t>发挥工会、共青团、妇联等群团组织要积极动员广大职工、青年、</w:t>
      </w:r>
      <w:r>
        <w:rPr>
          <w:spacing w:val="-11"/>
        </w:rPr>
        <w:t>妇女参与环境治理。利用县生态环境局官方网站、微信公众号等新媒体开展公众参与活动和科普宣传活动，定期更新县生态环境局网站信息，及时发布濉溪县环境污染防治工作新政策、新举措、新要求，解</w:t>
      </w:r>
      <w:r>
        <w:rPr>
          <w:spacing w:val="-10"/>
        </w:rPr>
        <w:t>读环境污染防治方面的法律法规政策，普及环境保护知识，向社会公</w:t>
      </w:r>
      <w:r>
        <w:rPr>
          <w:spacing w:val="-11"/>
        </w:rPr>
        <w:t>布环境重点监管企业名单，并实行动态更新，定期介绍环境保护知识</w:t>
      </w:r>
      <w:r>
        <w:rPr>
          <w:spacing w:val="-5"/>
        </w:rPr>
        <w:t>和政策法规，发布有关环境污染防治的重要新闻。</w:t>
      </w:r>
    </w:p>
    <w:p w14:paraId="55E5DD10">
      <w:pPr>
        <w:pStyle w:val="4"/>
        <w:tabs>
          <w:tab w:val="left" w:pos="3592"/>
        </w:tabs>
        <w:spacing w:before="245"/>
        <w:ind w:left="2388"/>
      </w:pPr>
      <w:bookmarkStart w:id="154" w:name="_bookmark84"/>
      <w:bookmarkEnd w:id="154"/>
      <w:bookmarkStart w:id="155" w:name="第七节  加强机构设置 强化能力建设"/>
      <w:bookmarkEnd w:id="155"/>
      <w:r>
        <w:t>第七节</w:t>
      </w:r>
      <w:r>
        <w:tab/>
      </w:r>
      <w:r>
        <w:t>加强机构设置</w:t>
      </w:r>
      <w:r>
        <w:rPr>
          <w:spacing w:val="-1"/>
        </w:rPr>
        <w:t xml:space="preserve"> </w:t>
      </w:r>
      <w:r>
        <w:t>强化能力建设</w:t>
      </w:r>
    </w:p>
    <w:p w14:paraId="1DADA92F">
      <w:pPr>
        <w:pStyle w:val="6"/>
        <w:spacing w:before="2"/>
        <w:rPr>
          <w:b/>
          <w:sz w:val="40"/>
        </w:rPr>
      </w:pPr>
    </w:p>
    <w:p w14:paraId="3CAD021E">
      <w:pPr>
        <w:pStyle w:val="6"/>
        <w:ind w:left="578" w:right="21"/>
        <w:jc w:val="center"/>
      </w:pPr>
      <w:r>
        <w:t>强化环保部门能力建设，加强环境保护工作人员对环保法律法规</w:t>
      </w:r>
    </w:p>
    <w:p w14:paraId="52F2972C">
      <w:pPr>
        <w:spacing w:after="0"/>
        <w:jc w:val="center"/>
        <w:sectPr>
          <w:pgSz w:w="11910" w:h="16840"/>
          <w:pgMar w:top="1420" w:right="1080" w:bottom="1360" w:left="1080" w:header="878" w:footer="1164" w:gutter="0"/>
          <w:pgNumType w:fmt="decimal"/>
          <w:cols w:space="720" w:num="1"/>
        </w:sectPr>
      </w:pPr>
    </w:p>
    <w:p w14:paraId="0B5D8D7E">
      <w:pPr>
        <w:pStyle w:val="6"/>
        <w:spacing w:before="143" w:line="417" w:lineRule="auto"/>
        <w:ind w:left="720" w:right="719"/>
        <w:jc w:val="both"/>
      </w:pPr>
      <w:r>
        <w:rPr>
          <w:spacing w:val="-11"/>
        </w:rPr>
        <w:t>和业务技能的培训与学习，不断提高环境执法人员综合素质和执法水平，切实担负起生态文明建设的政治责任；各级党委和政府主要领导干部起带头作用，当好第一责任人，对本行政区域的生态环境质量负</w:t>
      </w:r>
      <w:r>
        <w:rPr>
          <w:spacing w:val="-10"/>
        </w:rPr>
        <w:t>总责，为生态文明建设提供坚强政治领导、有力组织保障；建立科学</w:t>
      </w:r>
      <w:r>
        <w:rPr>
          <w:spacing w:val="-12"/>
        </w:rPr>
        <w:t>合理的考核评价体系，将考核结果作为各级领导班子和领导干部奖惩</w:t>
      </w:r>
      <w:r>
        <w:rPr>
          <w:spacing w:val="-5"/>
        </w:rPr>
        <w:t>和提拔使用的重要依据，切实担负起生态文明建设的政治责任。</w:t>
      </w:r>
    </w:p>
    <w:p w14:paraId="7B859F8C">
      <w:pPr>
        <w:pStyle w:val="6"/>
        <w:spacing w:before="119" w:line="417" w:lineRule="auto"/>
        <w:ind w:left="720" w:right="719" w:firstLine="559"/>
        <w:jc w:val="both"/>
      </w:pPr>
      <w:r>
        <w:rPr>
          <w:spacing w:val="-9"/>
        </w:rPr>
        <w:t>加强企业的环境保护工作，设置专门的环境管理和监测机构，建</w:t>
      </w:r>
      <w:r>
        <w:rPr>
          <w:spacing w:val="-10"/>
        </w:rPr>
        <w:t>立和完善企业内部环境管理制度，指导有关企业建立企业环境管理责任体系，指导有关企业结合实际，建立健全企业污染减排计划、环境应急管理制度、环境治理设施、设备运行管理等制度，重点工业企业</w:t>
      </w:r>
      <w:r>
        <w:rPr>
          <w:spacing w:val="-4"/>
        </w:rPr>
        <w:t>要建立完善环境应急事故和应急事故处理设施。</w:t>
      </w:r>
    </w:p>
    <w:p w14:paraId="29E77AEB">
      <w:pPr>
        <w:pStyle w:val="6"/>
        <w:spacing w:before="119" w:line="417" w:lineRule="auto"/>
        <w:ind w:left="720" w:right="580" w:firstLine="559"/>
      </w:pPr>
      <w:r>
        <w:rPr>
          <w:spacing w:val="-8"/>
        </w:rPr>
        <w:t>完善濉溪县各个监测站器材人才配置，加强监测能力，定期或不</w:t>
      </w:r>
      <w:r>
        <w:rPr>
          <w:spacing w:val="-9"/>
        </w:rPr>
        <w:t>定期对县内污染源进行监测，为环境管理和执法提供数据支持。增加</w:t>
      </w:r>
      <w:r>
        <w:rPr>
          <w:spacing w:val="-18"/>
        </w:rPr>
        <w:t xml:space="preserve">环保预算，将行政、监督执法、监测、信息等环保机构纳入财政预算， </w:t>
      </w:r>
      <w:r>
        <w:rPr>
          <w:spacing w:val="-11"/>
        </w:rPr>
        <w:t>建立健全环境保护应急体系，加快应急能力建设，建立环境事故应急</w:t>
      </w:r>
      <w:r>
        <w:rPr>
          <w:spacing w:val="-5"/>
        </w:rPr>
        <w:t>监控和重大环境突发事件预警体系。</w:t>
      </w:r>
    </w:p>
    <w:p w14:paraId="5C5C4C71">
      <w:pPr>
        <w:spacing w:after="0" w:line="417" w:lineRule="auto"/>
        <w:sectPr>
          <w:pgSz w:w="11910" w:h="16840"/>
          <w:pgMar w:top="1420" w:right="1080" w:bottom="1360" w:left="1080" w:header="878" w:footer="1164" w:gutter="0"/>
          <w:pgNumType w:fmt="decimal"/>
          <w:cols w:space="720" w:num="1"/>
        </w:sectPr>
      </w:pPr>
    </w:p>
    <w:p w14:paraId="2EB017A2">
      <w:pPr>
        <w:pStyle w:val="6"/>
        <w:rPr>
          <w:sz w:val="20"/>
        </w:rPr>
      </w:pPr>
    </w:p>
    <w:p w14:paraId="566FAA46">
      <w:pPr>
        <w:pStyle w:val="6"/>
        <w:spacing w:before="7"/>
        <w:rPr>
          <w:sz w:val="23"/>
        </w:rPr>
      </w:pPr>
    </w:p>
    <w:p w14:paraId="70959569">
      <w:pPr>
        <w:pStyle w:val="6"/>
        <w:tabs>
          <w:tab w:val="left" w:pos="770"/>
        </w:tabs>
        <w:spacing w:before="62"/>
        <w:jc w:val="center"/>
      </w:pPr>
      <w:r>
        <w:t>表</w:t>
      </w:r>
      <w:r>
        <w:rPr>
          <w:spacing w:val="-71"/>
        </w:rPr>
        <w:t xml:space="preserve"> </w:t>
      </w:r>
      <w:r>
        <w:t>3</w:t>
      </w:r>
      <w:r>
        <w:tab/>
      </w:r>
      <w:r>
        <w:t>濉</w:t>
      </w:r>
      <w:r>
        <w:rPr>
          <w:spacing w:val="-3"/>
        </w:rPr>
        <w:t>溪</w:t>
      </w:r>
      <w:r>
        <w:t>县“十</w:t>
      </w:r>
      <w:r>
        <w:rPr>
          <w:spacing w:val="-3"/>
        </w:rPr>
        <w:t>四</w:t>
      </w:r>
      <w:r>
        <w:t>五”生</w:t>
      </w:r>
      <w:r>
        <w:rPr>
          <w:spacing w:val="-3"/>
        </w:rPr>
        <w:t>态</w:t>
      </w:r>
      <w:r>
        <w:t>环境</w:t>
      </w:r>
      <w:r>
        <w:rPr>
          <w:spacing w:val="-3"/>
        </w:rPr>
        <w:t>保</w:t>
      </w:r>
      <w:r>
        <w:t>护谋</w:t>
      </w:r>
      <w:r>
        <w:rPr>
          <w:spacing w:val="-3"/>
        </w:rPr>
        <w:t>划</w:t>
      </w:r>
      <w:r>
        <w:t>重大</w:t>
      </w:r>
      <w:r>
        <w:rPr>
          <w:spacing w:val="-3"/>
        </w:rPr>
        <w:t>项</w:t>
      </w:r>
      <w:r>
        <w:t>目表</w:t>
      </w:r>
    </w:p>
    <w:tbl>
      <w:tblPr>
        <w:tblStyle w:val="12"/>
        <w:tblW w:w="0" w:type="auto"/>
        <w:tblInd w:w="14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05"/>
        <w:gridCol w:w="3641"/>
        <w:gridCol w:w="8934"/>
      </w:tblGrid>
      <w:tr w14:paraId="27324B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trPr>
        <w:tc>
          <w:tcPr>
            <w:tcW w:w="805" w:type="dxa"/>
            <w:tcBorders>
              <w:bottom w:val="single" w:color="000000" w:sz="6" w:space="0"/>
              <w:right w:val="double" w:color="000000" w:sz="0" w:space="0"/>
            </w:tcBorders>
          </w:tcPr>
          <w:p w14:paraId="7B6DDEA6">
            <w:pPr>
              <w:pStyle w:val="16"/>
              <w:spacing w:line="307" w:lineRule="exact"/>
              <w:ind w:left="140" w:right="112"/>
              <w:jc w:val="center"/>
              <w:rPr>
                <w:b/>
                <w:sz w:val="24"/>
              </w:rPr>
            </w:pPr>
            <w:r>
              <w:rPr>
                <w:b/>
                <w:sz w:val="24"/>
              </w:rPr>
              <w:t>序号</w:t>
            </w:r>
          </w:p>
        </w:tc>
        <w:tc>
          <w:tcPr>
            <w:tcW w:w="3641" w:type="dxa"/>
            <w:tcBorders>
              <w:left w:val="double" w:color="000000" w:sz="0" w:space="0"/>
              <w:bottom w:val="single" w:color="000000" w:sz="6" w:space="0"/>
              <w:right w:val="single" w:color="000000" w:sz="6" w:space="0"/>
            </w:tcBorders>
          </w:tcPr>
          <w:p w14:paraId="2BBADA68">
            <w:pPr>
              <w:pStyle w:val="16"/>
              <w:spacing w:line="307" w:lineRule="exact"/>
              <w:ind w:left="107"/>
              <w:rPr>
                <w:b/>
                <w:sz w:val="24"/>
              </w:rPr>
            </w:pPr>
            <w:r>
              <w:rPr>
                <w:b/>
                <w:sz w:val="24"/>
              </w:rPr>
              <w:t>项目名称</w:t>
            </w:r>
          </w:p>
        </w:tc>
        <w:tc>
          <w:tcPr>
            <w:tcW w:w="8934" w:type="dxa"/>
            <w:tcBorders>
              <w:left w:val="single" w:color="000000" w:sz="6" w:space="0"/>
              <w:bottom w:val="single" w:color="000000" w:sz="6" w:space="0"/>
              <w:right w:val="single" w:color="000000" w:sz="6" w:space="0"/>
            </w:tcBorders>
          </w:tcPr>
          <w:p w14:paraId="1C100FA9">
            <w:pPr>
              <w:pStyle w:val="16"/>
              <w:spacing w:line="307" w:lineRule="exact"/>
              <w:ind w:left="3372" w:right="3337"/>
              <w:jc w:val="center"/>
              <w:rPr>
                <w:b/>
                <w:sz w:val="24"/>
              </w:rPr>
            </w:pPr>
            <w:r>
              <w:rPr>
                <w:b/>
                <w:sz w:val="24"/>
              </w:rPr>
              <w:t>建设内容及建设目的</w:t>
            </w:r>
          </w:p>
        </w:tc>
      </w:tr>
      <w:tr w14:paraId="1CA5F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05" w:type="dxa"/>
            <w:tcBorders>
              <w:top w:val="single" w:color="000000" w:sz="6" w:space="0"/>
              <w:bottom w:val="single" w:color="000000" w:sz="6" w:space="0"/>
              <w:right w:val="double" w:color="000000" w:sz="0" w:space="0"/>
            </w:tcBorders>
          </w:tcPr>
          <w:p w14:paraId="1CACEC90">
            <w:pPr>
              <w:pStyle w:val="16"/>
              <w:spacing w:before="13" w:line="279" w:lineRule="exact"/>
              <w:ind w:left="28"/>
              <w:jc w:val="center"/>
              <w:rPr>
                <w:b/>
                <w:sz w:val="24"/>
              </w:rPr>
            </w:pPr>
            <w:r>
              <w:rPr>
                <w:b/>
                <w:w w:val="99"/>
                <w:sz w:val="24"/>
              </w:rPr>
              <w:t>一</w:t>
            </w:r>
          </w:p>
        </w:tc>
        <w:tc>
          <w:tcPr>
            <w:tcW w:w="3641" w:type="dxa"/>
            <w:tcBorders>
              <w:top w:val="single" w:color="000000" w:sz="6" w:space="0"/>
              <w:left w:val="double" w:color="000000" w:sz="0" w:space="0"/>
              <w:bottom w:val="single" w:color="000000" w:sz="6" w:space="0"/>
              <w:right w:val="single" w:color="000000" w:sz="6" w:space="0"/>
            </w:tcBorders>
          </w:tcPr>
          <w:p w14:paraId="02DA527E">
            <w:pPr>
              <w:pStyle w:val="16"/>
              <w:spacing w:before="13" w:line="279" w:lineRule="exact"/>
              <w:ind w:left="107"/>
              <w:rPr>
                <w:b/>
                <w:sz w:val="24"/>
              </w:rPr>
            </w:pPr>
            <w:r>
              <w:rPr>
                <w:b/>
                <w:sz w:val="24"/>
              </w:rPr>
              <w:t>大气污染治理项目</w:t>
            </w:r>
          </w:p>
        </w:tc>
        <w:tc>
          <w:tcPr>
            <w:tcW w:w="8934" w:type="dxa"/>
            <w:tcBorders>
              <w:top w:val="single" w:color="000000" w:sz="6" w:space="0"/>
              <w:left w:val="single" w:color="000000" w:sz="6" w:space="0"/>
              <w:bottom w:val="single" w:color="000000" w:sz="6" w:space="0"/>
              <w:right w:val="single" w:color="000000" w:sz="6" w:space="0"/>
            </w:tcBorders>
          </w:tcPr>
          <w:p w14:paraId="6BBD04B6">
            <w:pPr>
              <w:pStyle w:val="16"/>
              <w:rPr>
                <w:rFonts w:ascii="Times New Roman"/>
                <w:sz w:val="22"/>
              </w:rPr>
            </w:pPr>
          </w:p>
        </w:tc>
      </w:tr>
      <w:tr w14:paraId="639BC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 w:hRule="atLeast"/>
        </w:trPr>
        <w:tc>
          <w:tcPr>
            <w:tcW w:w="805" w:type="dxa"/>
            <w:tcBorders>
              <w:top w:val="single" w:color="000000" w:sz="6" w:space="0"/>
              <w:bottom w:val="single" w:color="000000" w:sz="6" w:space="0"/>
              <w:right w:val="double" w:color="000000" w:sz="0" w:space="0"/>
            </w:tcBorders>
          </w:tcPr>
          <w:p w14:paraId="25D58CBF">
            <w:pPr>
              <w:pStyle w:val="16"/>
              <w:spacing w:before="113"/>
              <w:ind w:left="28"/>
              <w:jc w:val="center"/>
              <w:rPr>
                <w:sz w:val="24"/>
              </w:rPr>
            </w:pPr>
            <w:r>
              <w:rPr>
                <w:sz w:val="24"/>
              </w:rPr>
              <w:t>1</w:t>
            </w:r>
          </w:p>
        </w:tc>
        <w:tc>
          <w:tcPr>
            <w:tcW w:w="3641" w:type="dxa"/>
            <w:tcBorders>
              <w:top w:val="single" w:color="000000" w:sz="6" w:space="0"/>
              <w:left w:val="double" w:color="000000" w:sz="0" w:space="0"/>
              <w:bottom w:val="single" w:color="000000" w:sz="6" w:space="0"/>
              <w:right w:val="single" w:color="000000" w:sz="6" w:space="0"/>
            </w:tcBorders>
          </w:tcPr>
          <w:p w14:paraId="0405BA8C">
            <w:pPr>
              <w:pStyle w:val="16"/>
              <w:spacing w:line="242" w:lineRule="auto"/>
              <w:ind w:left="107" w:right="148"/>
              <w:rPr>
                <w:sz w:val="24"/>
              </w:rPr>
            </w:pPr>
            <w:r>
              <w:rPr>
                <w:sz w:val="24"/>
              </w:rPr>
              <w:t>焦炉煤气深度脱氨项目新增硫铵工程</w:t>
            </w:r>
          </w:p>
        </w:tc>
        <w:tc>
          <w:tcPr>
            <w:tcW w:w="8934" w:type="dxa"/>
            <w:tcBorders>
              <w:top w:val="single" w:color="000000" w:sz="6" w:space="0"/>
              <w:left w:val="single" w:color="000000" w:sz="6" w:space="0"/>
              <w:bottom w:val="single" w:color="000000" w:sz="6" w:space="0"/>
              <w:right w:val="single" w:color="000000" w:sz="6" w:space="0"/>
            </w:tcBorders>
          </w:tcPr>
          <w:p w14:paraId="0157002F">
            <w:pPr>
              <w:pStyle w:val="16"/>
              <w:spacing w:line="242" w:lineRule="auto"/>
              <w:ind w:left="115" w:right="161"/>
              <w:rPr>
                <w:sz w:val="24"/>
              </w:rPr>
            </w:pPr>
            <w:r>
              <w:rPr>
                <w:sz w:val="24"/>
              </w:rPr>
              <w:t>建设焦炉煤气深度脱氨项目新增硫铵工程，在原有脱硫工段后增加硫铵装置，利用煤气中的氨生产硫酸铵产品</w:t>
            </w:r>
          </w:p>
        </w:tc>
      </w:tr>
      <w:tr w14:paraId="072847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5" w:hRule="atLeast"/>
        </w:trPr>
        <w:tc>
          <w:tcPr>
            <w:tcW w:w="805" w:type="dxa"/>
            <w:tcBorders>
              <w:top w:val="single" w:color="000000" w:sz="6" w:space="0"/>
              <w:bottom w:val="single" w:color="000000" w:sz="6" w:space="0"/>
              <w:right w:val="double" w:color="000000" w:sz="0" w:space="0"/>
            </w:tcBorders>
          </w:tcPr>
          <w:p w14:paraId="2A2093CB">
            <w:pPr>
              <w:pStyle w:val="16"/>
              <w:spacing w:line="305" w:lineRule="exact"/>
              <w:ind w:left="28"/>
              <w:jc w:val="center"/>
              <w:rPr>
                <w:sz w:val="24"/>
              </w:rPr>
            </w:pPr>
            <w:r>
              <w:rPr>
                <w:sz w:val="24"/>
              </w:rPr>
              <w:t>2</w:t>
            </w:r>
          </w:p>
        </w:tc>
        <w:tc>
          <w:tcPr>
            <w:tcW w:w="3641" w:type="dxa"/>
            <w:tcBorders>
              <w:top w:val="single" w:color="000000" w:sz="6" w:space="0"/>
              <w:left w:val="double" w:color="000000" w:sz="0" w:space="0"/>
              <w:bottom w:val="single" w:color="000000" w:sz="6" w:space="0"/>
              <w:right w:val="single" w:color="000000" w:sz="6" w:space="0"/>
            </w:tcBorders>
          </w:tcPr>
          <w:p w14:paraId="37F00D29">
            <w:pPr>
              <w:pStyle w:val="16"/>
              <w:spacing w:line="305" w:lineRule="exact"/>
              <w:ind w:left="107"/>
              <w:rPr>
                <w:sz w:val="24"/>
              </w:rPr>
            </w:pPr>
            <w:r>
              <w:rPr>
                <w:sz w:val="24"/>
              </w:rPr>
              <w:t>新增大气污染在线监测装置</w:t>
            </w:r>
          </w:p>
        </w:tc>
        <w:tc>
          <w:tcPr>
            <w:tcW w:w="8934" w:type="dxa"/>
            <w:tcBorders>
              <w:top w:val="single" w:color="000000" w:sz="6" w:space="0"/>
              <w:left w:val="single" w:color="000000" w:sz="6" w:space="0"/>
              <w:bottom w:val="single" w:color="000000" w:sz="6" w:space="0"/>
              <w:right w:val="single" w:color="000000" w:sz="6" w:space="0"/>
            </w:tcBorders>
          </w:tcPr>
          <w:p w14:paraId="5071527F">
            <w:pPr>
              <w:pStyle w:val="16"/>
              <w:spacing w:line="305" w:lineRule="exact"/>
              <w:ind w:left="115"/>
              <w:rPr>
                <w:sz w:val="24"/>
              </w:rPr>
            </w:pPr>
            <w:r>
              <w:rPr>
                <w:sz w:val="24"/>
              </w:rPr>
              <w:t>在各区域要点添加大气污染物在线监测装置，增加大气污染物监测覆盖面</w:t>
            </w:r>
          </w:p>
        </w:tc>
      </w:tr>
      <w:tr w14:paraId="3191B9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trPr>
        <w:tc>
          <w:tcPr>
            <w:tcW w:w="805" w:type="dxa"/>
            <w:tcBorders>
              <w:top w:val="single" w:color="000000" w:sz="6" w:space="0"/>
              <w:bottom w:val="single" w:color="000000" w:sz="6" w:space="0"/>
              <w:right w:val="double" w:color="000000" w:sz="0" w:space="0"/>
            </w:tcBorders>
          </w:tcPr>
          <w:p w14:paraId="15FE2DAB">
            <w:pPr>
              <w:pStyle w:val="16"/>
              <w:spacing w:line="306" w:lineRule="exact"/>
              <w:ind w:left="28"/>
              <w:jc w:val="center"/>
              <w:rPr>
                <w:sz w:val="24"/>
              </w:rPr>
            </w:pPr>
            <w:r>
              <w:rPr>
                <w:sz w:val="24"/>
              </w:rPr>
              <w:t>3</w:t>
            </w:r>
          </w:p>
        </w:tc>
        <w:tc>
          <w:tcPr>
            <w:tcW w:w="3641" w:type="dxa"/>
            <w:tcBorders>
              <w:top w:val="single" w:color="000000" w:sz="6" w:space="0"/>
              <w:left w:val="double" w:color="000000" w:sz="0" w:space="0"/>
              <w:bottom w:val="single" w:color="000000" w:sz="6" w:space="0"/>
              <w:right w:val="single" w:color="000000" w:sz="6" w:space="0"/>
            </w:tcBorders>
          </w:tcPr>
          <w:p w14:paraId="15515EAA">
            <w:pPr>
              <w:pStyle w:val="16"/>
              <w:spacing w:line="306" w:lineRule="exact"/>
              <w:ind w:left="107"/>
              <w:rPr>
                <w:sz w:val="24"/>
              </w:rPr>
            </w:pPr>
            <w:r>
              <w:rPr>
                <w:sz w:val="24"/>
              </w:rPr>
              <w:t>新增大气除尘洒水车</w:t>
            </w:r>
          </w:p>
        </w:tc>
        <w:tc>
          <w:tcPr>
            <w:tcW w:w="8934" w:type="dxa"/>
            <w:tcBorders>
              <w:top w:val="single" w:color="000000" w:sz="6" w:space="0"/>
              <w:left w:val="single" w:color="000000" w:sz="6" w:space="0"/>
              <w:bottom w:val="single" w:color="000000" w:sz="6" w:space="0"/>
              <w:right w:val="single" w:color="000000" w:sz="6" w:space="0"/>
            </w:tcBorders>
          </w:tcPr>
          <w:p w14:paraId="0BFEDF92">
            <w:pPr>
              <w:pStyle w:val="16"/>
              <w:spacing w:line="306" w:lineRule="exact"/>
              <w:ind w:left="115"/>
              <w:rPr>
                <w:sz w:val="24"/>
              </w:rPr>
            </w:pPr>
            <w:r>
              <w:rPr>
                <w:sz w:val="24"/>
              </w:rPr>
              <w:t>新增大气除尘洒水车及配套设备</w:t>
            </w:r>
          </w:p>
        </w:tc>
      </w:tr>
      <w:tr w14:paraId="609857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trPr>
        <w:tc>
          <w:tcPr>
            <w:tcW w:w="805" w:type="dxa"/>
            <w:tcBorders>
              <w:top w:val="single" w:color="000000" w:sz="6" w:space="0"/>
              <w:bottom w:val="single" w:color="000000" w:sz="6" w:space="0"/>
              <w:right w:val="double" w:color="000000" w:sz="0" w:space="0"/>
            </w:tcBorders>
          </w:tcPr>
          <w:p w14:paraId="39E58F3D">
            <w:pPr>
              <w:pStyle w:val="16"/>
              <w:spacing w:line="306" w:lineRule="exact"/>
              <w:ind w:left="28"/>
              <w:jc w:val="center"/>
              <w:rPr>
                <w:b/>
                <w:sz w:val="24"/>
              </w:rPr>
            </w:pPr>
            <w:r>
              <w:rPr>
                <w:b/>
                <w:w w:val="99"/>
                <w:sz w:val="24"/>
              </w:rPr>
              <w:t>二</w:t>
            </w:r>
          </w:p>
        </w:tc>
        <w:tc>
          <w:tcPr>
            <w:tcW w:w="3641" w:type="dxa"/>
            <w:tcBorders>
              <w:top w:val="single" w:color="000000" w:sz="6" w:space="0"/>
              <w:left w:val="double" w:color="000000" w:sz="0" w:space="0"/>
              <w:bottom w:val="single" w:color="000000" w:sz="6" w:space="0"/>
              <w:right w:val="single" w:color="000000" w:sz="6" w:space="0"/>
            </w:tcBorders>
          </w:tcPr>
          <w:p w14:paraId="644762FA">
            <w:pPr>
              <w:pStyle w:val="16"/>
              <w:spacing w:line="306" w:lineRule="exact"/>
              <w:ind w:left="107"/>
              <w:rPr>
                <w:b/>
                <w:sz w:val="24"/>
              </w:rPr>
            </w:pPr>
            <w:r>
              <w:rPr>
                <w:b/>
                <w:sz w:val="24"/>
              </w:rPr>
              <w:t>水污染治理项目</w:t>
            </w:r>
          </w:p>
        </w:tc>
        <w:tc>
          <w:tcPr>
            <w:tcW w:w="8934" w:type="dxa"/>
            <w:tcBorders>
              <w:top w:val="single" w:color="000000" w:sz="6" w:space="0"/>
              <w:left w:val="single" w:color="000000" w:sz="6" w:space="0"/>
              <w:bottom w:val="single" w:color="000000" w:sz="6" w:space="0"/>
              <w:right w:val="single" w:color="000000" w:sz="6" w:space="0"/>
            </w:tcBorders>
          </w:tcPr>
          <w:p w14:paraId="59D624BC">
            <w:pPr>
              <w:pStyle w:val="16"/>
              <w:rPr>
                <w:rFonts w:ascii="Times New Roman"/>
                <w:sz w:val="22"/>
              </w:rPr>
            </w:pPr>
          </w:p>
        </w:tc>
      </w:tr>
      <w:tr w14:paraId="6B238C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1" w:hRule="atLeast"/>
        </w:trPr>
        <w:tc>
          <w:tcPr>
            <w:tcW w:w="805" w:type="dxa"/>
            <w:tcBorders>
              <w:top w:val="single" w:color="000000" w:sz="6" w:space="0"/>
              <w:bottom w:val="single" w:color="000000" w:sz="6" w:space="0"/>
              <w:right w:val="double" w:color="000000" w:sz="0" w:space="0"/>
            </w:tcBorders>
          </w:tcPr>
          <w:p w14:paraId="04AB68CF">
            <w:pPr>
              <w:pStyle w:val="16"/>
              <w:spacing w:line="306" w:lineRule="exact"/>
              <w:ind w:left="28"/>
              <w:jc w:val="center"/>
              <w:rPr>
                <w:sz w:val="24"/>
              </w:rPr>
            </w:pPr>
            <w:r>
              <w:rPr>
                <w:sz w:val="24"/>
              </w:rPr>
              <w:t>4</w:t>
            </w:r>
          </w:p>
        </w:tc>
        <w:tc>
          <w:tcPr>
            <w:tcW w:w="3641" w:type="dxa"/>
            <w:tcBorders>
              <w:top w:val="single" w:color="000000" w:sz="6" w:space="0"/>
              <w:left w:val="double" w:color="000000" w:sz="0" w:space="0"/>
              <w:bottom w:val="single" w:color="000000" w:sz="6" w:space="0"/>
              <w:right w:val="single" w:color="000000" w:sz="6" w:space="0"/>
            </w:tcBorders>
          </w:tcPr>
          <w:p w14:paraId="7AFF6BF9">
            <w:pPr>
              <w:pStyle w:val="16"/>
              <w:spacing w:before="43"/>
              <w:ind w:left="107"/>
              <w:rPr>
                <w:sz w:val="24"/>
              </w:rPr>
            </w:pPr>
            <w:r>
              <w:rPr>
                <w:sz w:val="24"/>
              </w:rPr>
              <w:t>凤栖湖水系生态治理</w:t>
            </w:r>
          </w:p>
        </w:tc>
        <w:tc>
          <w:tcPr>
            <w:tcW w:w="8934" w:type="dxa"/>
            <w:tcBorders>
              <w:top w:val="single" w:color="000000" w:sz="6" w:space="0"/>
              <w:left w:val="single" w:color="000000" w:sz="6" w:space="0"/>
              <w:bottom w:val="single" w:color="000000" w:sz="6" w:space="0"/>
              <w:right w:val="single" w:color="000000" w:sz="6" w:space="0"/>
            </w:tcBorders>
          </w:tcPr>
          <w:p w14:paraId="1661AF0A">
            <w:pPr>
              <w:pStyle w:val="16"/>
              <w:spacing w:before="43"/>
              <w:ind w:left="115"/>
              <w:rPr>
                <w:sz w:val="24"/>
              </w:rPr>
            </w:pPr>
            <w:r>
              <w:rPr>
                <w:sz w:val="24"/>
              </w:rPr>
              <w:t>5 条大沟清淤（丁合沟、任李沟、直河、小漕沟、王郢沟）</w:t>
            </w:r>
          </w:p>
        </w:tc>
      </w:tr>
      <w:tr w14:paraId="167429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2" w:hRule="atLeast"/>
        </w:trPr>
        <w:tc>
          <w:tcPr>
            <w:tcW w:w="805" w:type="dxa"/>
            <w:tcBorders>
              <w:top w:val="single" w:color="000000" w:sz="6" w:space="0"/>
              <w:bottom w:val="single" w:color="000000" w:sz="6" w:space="0"/>
              <w:right w:val="double" w:color="000000" w:sz="0" w:space="0"/>
            </w:tcBorders>
          </w:tcPr>
          <w:p w14:paraId="7A421150">
            <w:pPr>
              <w:pStyle w:val="16"/>
              <w:spacing w:before="118"/>
              <w:ind w:left="28"/>
              <w:jc w:val="center"/>
              <w:rPr>
                <w:sz w:val="24"/>
              </w:rPr>
            </w:pPr>
            <w:r>
              <w:rPr>
                <w:sz w:val="24"/>
              </w:rPr>
              <w:t>5</w:t>
            </w:r>
          </w:p>
        </w:tc>
        <w:tc>
          <w:tcPr>
            <w:tcW w:w="3641" w:type="dxa"/>
            <w:tcBorders>
              <w:top w:val="single" w:color="000000" w:sz="6" w:space="0"/>
              <w:left w:val="double" w:color="000000" w:sz="0" w:space="0"/>
              <w:bottom w:val="single" w:color="000000" w:sz="6" w:space="0"/>
              <w:right w:val="single" w:color="000000" w:sz="6" w:space="0"/>
            </w:tcBorders>
          </w:tcPr>
          <w:p w14:paraId="01C10103">
            <w:pPr>
              <w:pStyle w:val="16"/>
              <w:spacing w:before="178"/>
              <w:ind w:left="107"/>
              <w:rPr>
                <w:sz w:val="24"/>
              </w:rPr>
            </w:pPr>
            <w:r>
              <w:rPr>
                <w:sz w:val="24"/>
              </w:rPr>
              <w:t>乡镇污水处理及管网建设项目</w:t>
            </w:r>
          </w:p>
        </w:tc>
        <w:tc>
          <w:tcPr>
            <w:tcW w:w="8934" w:type="dxa"/>
            <w:tcBorders>
              <w:top w:val="single" w:color="000000" w:sz="6" w:space="0"/>
              <w:left w:val="single" w:color="000000" w:sz="6" w:space="0"/>
              <w:bottom w:val="single" w:color="000000" w:sz="6" w:space="0"/>
              <w:right w:val="single" w:color="000000" w:sz="6" w:space="0"/>
            </w:tcBorders>
          </w:tcPr>
          <w:p w14:paraId="1791DF1F">
            <w:pPr>
              <w:pStyle w:val="16"/>
              <w:spacing w:before="22" w:line="242" w:lineRule="auto"/>
              <w:ind w:left="115" w:right="161"/>
              <w:rPr>
                <w:sz w:val="24"/>
              </w:rPr>
            </w:pPr>
            <w:r>
              <w:rPr>
                <w:sz w:val="24"/>
              </w:rPr>
              <w:t>新建刘桥、四铺、韩村、铁佛、南坪、孙疃、五沟、临涣等乡镇污水处理及管网建设项目</w:t>
            </w:r>
          </w:p>
        </w:tc>
      </w:tr>
      <w:tr w14:paraId="46B9E5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8" w:hRule="atLeast"/>
        </w:trPr>
        <w:tc>
          <w:tcPr>
            <w:tcW w:w="805" w:type="dxa"/>
            <w:tcBorders>
              <w:top w:val="single" w:color="000000" w:sz="6" w:space="0"/>
              <w:bottom w:val="single" w:color="000000" w:sz="6" w:space="0"/>
              <w:right w:val="double" w:color="000000" w:sz="0" w:space="0"/>
            </w:tcBorders>
          </w:tcPr>
          <w:p w14:paraId="1DC29C6B">
            <w:pPr>
              <w:pStyle w:val="16"/>
              <w:spacing w:before="9"/>
              <w:rPr>
                <w:sz w:val="24"/>
              </w:rPr>
            </w:pPr>
          </w:p>
          <w:p w14:paraId="38DA39D0">
            <w:pPr>
              <w:pStyle w:val="16"/>
              <w:spacing w:before="1"/>
              <w:ind w:left="28"/>
              <w:jc w:val="center"/>
              <w:rPr>
                <w:sz w:val="24"/>
              </w:rPr>
            </w:pPr>
            <w:r>
              <w:rPr>
                <w:sz w:val="24"/>
              </w:rPr>
              <w:t>6</w:t>
            </w:r>
          </w:p>
        </w:tc>
        <w:tc>
          <w:tcPr>
            <w:tcW w:w="3641" w:type="dxa"/>
            <w:tcBorders>
              <w:top w:val="single" w:color="000000" w:sz="6" w:space="0"/>
              <w:left w:val="double" w:color="000000" w:sz="0" w:space="0"/>
              <w:bottom w:val="single" w:color="000000" w:sz="6" w:space="0"/>
              <w:right w:val="single" w:color="000000" w:sz="6" w:space="0"/>
            </w:tcBorders>
          </w:tcPr>
          <w:p w14:paraId="7E110B13">
            <w:pPr>
              <w:pStyle w:val="16"/>
              <w:spacing w:before="5"/>
              <w:rPr>
                <w:sz w:val="29"/>
              </w:rPr>
            </w:pPr>
          </w:p>
          <w:p w14:paraId="237112A4">
            <w:pPr>
              <w:pStyle w:val="16"/>
              <w:spacing w:before="1"/>
              <w:ind w:left="107"/>
              <w:rPr>
                <w:sz w:val="24"/>
              </w:rPr>
            </w:pPr>
            <w:r>
              <w:rPr>
                <w:sz w:val="24"/>
              </w:rPr>
              <w:t>王引河水环境综合治理项目</w:t>
            </w:r>
          </w:p>
        </w:tc>
        <w:tc>
          <w:tcPr>
            <w:tcW w:w="8934" w:type="dxa"/>
            <w:tcBorders>
              <w:top w:val="single" w:color="000000" w:sz="6" w:space="0"/>
              <w:left w:val="single" w:color="000000" w:sz="6" w:space="0"/>
              <w:bottom w:val="single" w:color="000000" w:sz="6" w:space="0"/>
              <w:right w:val="single" w:color="000000" w:sz="6" w:space="0"/>
            </w:tcBorders>
          </w:tcPr>
          <w:p w14:paraId="29B8421E">
            <w:pPr>
              <w:pStyle w:val="16"/>
              <w:spacing w:before="65"/>
              <w:ind w:left="115"/>
              <w:rPr>
                <w:sz w:val="24"/>
              </w:rPr>
            </w:pPr>
            <w:r>
              <w:rPr>
                <w:spacing w:val="-6"/>
                <w:sz w:val="24"/>
              </w:rPr>
              <w:t xml:space="preserve">新建顶管施工污水管网 </w:t>
            </w:r>
            <w:r>
              <w:rPr>
                <w:sz w:val="24"/>
              </w:rPr>
              <w:t>14</w:t>
            </w:r>
            <w:r>
              <w:rPr>
                <w:spacing w:val="-17"/>
                <w:sz w:val="24"/>
              </w:rPr>
              <w:t xml:space="preserve"> 公里，提升泵站 </w:t>
            </w:r>
            <w:r>
              <w:rPr>
                <w:sz w:val="24"/>
              </w:rPr>
              <w:t>4</w:t>
            </w:r>
            <w:r>
              <w:rPr>
                <w:spacing w:val="-13"/>
                <w:sz w:val="24"/>
              </w:rPr>
              <w:t xml:space="preserve"> 座，引王引河水进中心沟 </w:t>
            </w:r>
            <w:r>
              <w:rPr>
                <w:sz w:val="24"/>
              </w:rPr>
              <w:t>1.4</w:t>
            </w:r>
            <w:r>
              <w:rPr>
                <w:spacing w:val="-16"/>
                <w:sz w:val="24"/>
              </w:rPr>
              <w:t xml:space="preserve"> 公里；王</w:t>
            </w:r>
          </w:p>
          <w:p w14:paraId="33FDD685">
            <w:pPr>
              <w:pStyle w:val="16"/>
              <w:spacing w:before="5" w:line="242" w:lineRule="auto"/>
              <w:ind w:left="115" w:right="-29"/>
              <w:rPr>
                <w:sz w:val="24"/>
              </w:rPr>
            </w:pPr>
            <w:r>
              <w:rPr>
                <w:spacing w:val="-9"/>
                <w:sz w:val="24"/>
              </w:rPr>
              <w:t xml:space="preserve">引河生态长廊 </w:t>
            </w:r>
            <w:r>
              <w:rPr>
                <w:sz w:val="24"/>
              </w:rPr>
              <w:t>4</w:t>
            </w:r>
            <w:r>
              <w:rPr>
                <w:spacing w:val="-14"/>
                <w:sz w:val="24"/>
              </w:rPr>
              <w:t xml:space="preserve"> 公里；生态护坡 </w:t>
            </w:r>
            <w:r>
              <w:rPr>
                <w:sz w:val="24"/>
              </w:rPr>
              <w:t>6.5</w:t>
            </w:r>
            <w:r>
              <w:rPr>
                <w:spacing w:val="-8"/>
                <w:sz w:val="24"/>
              </w:rPr>
              <w:t xml:space="preserve"> 平方米，濉临沟两岸治理</w:t>
            </w:r>
            <w:r>
              <w:rPr>
                <w:sz w:val="24"/>
              </w:rPr>
              <w:t>（生态长廊）2</w:t>
            </w:r>
            <w:r>
              <w:rPr>
                <w:spacing w:val="-15"/>
                <w:sz w:val="24"/>
              </w:rPr>
              <w:t xml:space="preserve"> 公里， 巴河北岸治理（生态长廊）2</w:t>
            </w:r>
            <w:r>
              <w:rPr>
                <w:spacing w:val="-13"/>
                <w:sz w:val="24"/>
              </w:rPr>
              <w:t xml:space="preserve"> 公里，中水回用管网 </w:t>
            </w:r>
            <w:r>
              <w:rPr>
                <w:sz w:val="24"/>
              </w:rPr>
              <w:t>10</w:t>
            </w:r>
            <w:r>
              <w:rPr>
                <w:spacing w:val="-20"/>
                <w:sz w:val="24"/>
              </w:rPr>
              <w:t xml:space="preserve"> 公里</w:t>
            </w:r>
          </w:p>
        </w:tc>
      </w:tr>
      <w:tr w14:paraId="0A773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805" w:type="dxa"/>
            <w:tcBorders>
              <w:top w:val="single" w:color="000000" w:sz="6" w:space="0"/>
              <w:bottom w:val="single" w:color="000000" w:sz="6" w:space="0"/>
              <w:right w:val="double" w:color="000000" w:sz="0" w:space="0"/>
            </w:tcBorders>
          </w:tcPr>
          <w:p w14:paraId="193707C9">
            <w:pPr>
              <w:pStyle w:val="16"/>
              <w:spacing w:before="32"/>
              <w:ind w:left="28"/>
              <w:jc w:val="center"/>
              <w:rPr>
                <w:sz w:val="24"/>
              </w:rPr>
            </w:pPr>
            <w:r>
              <w:rPr>
                <w:sz w:val="24"/>
              </w:rPr>
              <w:t>7</w:t>
            </w:r>
          </w:p>
        </w:tc>
        <w:tc>
          <w:tcPr>
            <w:tcW w:w="3641" w:type="dxa"/>
            <w:tcBorders>
              <w:top w:val="single" w:color="000000" w:sz="6" w:space="0"/>
              <w:left w:val="double" w:color="000000" w:sz="0" w:space="0"/>
              <w:bottom w:val="single" w:color="000000" w:sz="6" w:space="0"/>
              <w:right w:val="single" w:color="000000" w:sz="6" w:space="0"/>
            </w:tcBorders>
          </w:tcPr>
          <w:p w14:paraId="0FF02756">
            <w:pPr>
              <w:pStyle w:val="16"/>
              <w:spacing w:before="92"/>
              <w:ind w:left="107"/>
              <w:rPr>
                <w:sz w:val="24"/>
              </w:rPr>
            </w:pPr>
            <w:r>
              <w:rPr>
                <w:sz w:val="24"/>
              </w:rPr>
              <w:t>韩村镇祁集街区雨污分流工程</w:t>
            </w:r>
          </w:p>
        </w:tc>
        <w:tc>
          <w:tcPr>
            <w:tcW w:w="8934" w:type="dxa"/>
            <w:tcBorders>
              <w:top w:val="single" w:color="000000" w:sz="6" w:space="0"/>
              <w:left w:val="single" w:color="000000" w:sz="6" w:space="0"/>
              <w:bottom w:val="single" w:color="000000" w:sz="6" w:space="0"/>
              <w:right w:val="single" w:color="000000" w:sz="6" w:space="0"/>
            </w:tcBorders>
          </w:tcPr>
          <w:p w14:paraId="5F156C41">
            <w:pPr>
              <w:pStyle w:val="16"/>
              <w:spacing w:before="92"/>
              <w:ind w:left="115"/>
              <w:rPr>
                <w:sz w:val="24"/>
              </w:rPr>
            </w:pPr>
            <w:r>
              <w:rPr>
                <w:sz w:val="24"/>
              </w:rPr>
              <w:t>日处理污水 400 立方米铺设雨水管网 6 千米，污水管网 6 千米</w:t>
            </w:r>
          </w:p>
        </w:tc>
      </w:tr>
      <w:tr w14:paraId="616C38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tcPr>
          <w:p w14:paraId="4D8ACDA6">
            <w:pPr>
              <w:pStyle w:val="16"/>
              <w:spacing w:line="305" w:lineRule="exact"/>
              <w:ind w:left="28"/>
              <w:jc w:val="center"/>
              <w:rPr>
                <w:sz w:val="24"/>
              </w:rPr>
            </w:pPr>
            <w:r>
              <w:rPr>
                <w:sz w:val="24"/>
              </w:rPr>
              <w:t>8</w:t>
            </w:r>
          </w:p>
        </w:tc>
        <w:tc>
          <w:tcPr>
            <w:tcW w:w="3641" w:type="dxa"/>
            <w:tcBorders>
              <w:top w:val="single" w:color="000000" w:sz="6" w:space="0"/>
              <w:left w:val="double" w:color="000000" w:sz="0" w:space="0"/>
              <w:bottom w:val="single" w:color="000000" w:sz="6" w:space="0"/>
              <w:right w:val="single" w:color="000000" w:sz="6" w:space="0"/>
            </w:tcBorders>
          </w:tcPr>
          <w:p w14:paraId="478F7D7D">
            <w:pPr>
              <w:pStyle w:val="16"/>
              <w:spacing w:before="43"/>
              <w:ind w:left="107"/>
              <w:rPr>
                <w:sz w:val="24"/>
              </w:rPr>
            </w:pPr>
            <w:r>
              <w:rPr>
                <w:sz w:val="24"/>
              </w:rPr>
              <w:t>生态河沟治理</w:t>
            </w:r>
          </w:p>
        </w:tc>
        <w:tc>
          <w:tcPr>
            <w:tcW w:w="8934" w:type="dxa"/>
            <w:tcBorders>
              <w:top w:val="single" w:color="000000" w:sz="6" w:space="0"/>
              <w:left w:val="single" w:color="000000" w:sz="6" w:space="0"/>
              <w:bottom w:val="single" w:color="000000" w:sz="6" w:space="0"/>
              <w:right w:val="single" w:color="000000" w:sz="6" w:space="0"/>
            </w:tcBorders>
          </w:tcPr>
          <w:p w14:paraId="3D53899F">
            <w:pPr>
              <w:pStyle w:val="16"/>
              <w:spacing w:before="43"/>
              <w:ind w:left="115"/>
              <w:rPr>
                <w:sz w:val="24"/>
              </w:rPr>
            </w:pPr>
            <w:r>
              <w:rPr>
                <w:sz w:val="24"/>
              </w:rPr>
              <w:t>浍河 12km、大沟 73km 生态治理</w:t>
            </w:r>
          </w:p>
        </w:tc>
      </w:tr>
      <w:tr w14:paraId="15A15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1ADC14FB">
            <w:pPr>
              <w:pStyle w:val="16"/>
              <w:rPr>
                <w:rFonts w:ascii="Times New Roman"/>
                <w:sz w:val="24"/>
              </w:rPr>
            </w:pPr>
          </w:p>
          <w:p w14:paraId="4E103FE4">
            <w:pPr>
              <w:pStyle w:val="16"/>
              <w:rPr>
                <w:rFonts w:ascii="Times New Roman"/>
                <w:sz w:val="24"/>
              </w:rPr>
            </w:pPr>
          </w:p>
          <w:p w14:paraId="2F02CD40">
            <w:pPr>
              <w:pStyle w:val="16"/>
              <w:rPr>
                <w:rFonts w:ascii="Times New Roman"/>
                <w:sz w:val="24"/>
              </w:rPr>
            </w:pPr>
          </w:p>
          <w:p w14:paraId="445467FC">
            <w:pPr>
              <w:pStyle w:val="16"/>
              <w:rPr>
                <w:rFonts w:ascii="Times New Roman"/>
                <w:sz w:val="24"/>
              </w:rPr>
            </w:pPr>
          </w:p>
          <w:p w14:paraId="595DB32A">
            <w:pPr>
              <w:pStyle w:val="16"/>
              <w:rPr>
                <w:rFonts w:ascii="Times New Roman"/>
                <w:sz w:val="19"/>
              </w:rPr>
            </w:pPr>
          </w:p>
          <w:p w14:paraId="71E5F7AC">
            <w:pPr>
              <w:pStyle w:val="16"/>
              <w:ind w:left="341" w:leftChars="0" w:right="0" w:rightChars="0"/>
              <w:rPr>
                <w:sz w:val="24"/>
              </w:rPr>
            </w:pPr>
            <w:r>
              <w:rPr>
                <w:sz w:val="24"/>
              </w:rPr>
              <w:t>9</w:t>
            </w:r>
          </w:p>
        </w:tc>
        <w:tc>
          <w:tcPr>
            <w:tcW w:w="3641" w:type="dxa"/>
            <w:tcBorders>
              <w:top w:val="single" w:color="000000" w:sz="6" w:space="0"/>
              <w:left w:val="double" w:color="000000" w:sz="0" w:space="0"/>
              <w:bottom w:val="single" w:color="000000" w:sz="6" w:space="0"/>
              <w:right w:val="single" w:color="000000" w:sz="6" w:space="0"/>
            </w:tcBorders>
            <w:vAlign w:val="top"/>
          </w:tcPr>
          <w:p w14:paraId="4C549FCF">
            <w:pPr>
              <w:pStyle w:val="16"/>
              <w:rPr>
                <w:rFonts w:ascii="Times New Roman"/>
                <w:sz w:val="24"/>
              </w:rPr>
            </w:pPr>
          </w:p>
          <w:p w14:paraId="0FAF79E0">
            <w:pPr>
              <w:pStyle w:val="16"/>
              <w:rPr>
                <w:rFonts w:ascii="Times New Roman"/>
                <w:sz w:val="24"/>
              </w:rPr>
            </w:pPr>
          </w:p>
          <w:p w14:paraId="75A25A14">
            <w:pPr>
              <w:pStyle w:val="16"/>
              <w:rPr>
                <w:rFonts w:ascii="Times New Roman"/>
                <w:sz w:val="24"/>
              </w:rPr>
            </w:pPr>
          </w:p>
          <w:p w14:paraId="60D3E69C">
            <w:pPr>
              <w:pStyle w:val="16"/>
              <w:rPr>
                <w:rFonts w:ascii="Times New Roman"/>
                <w:sz w:val="24"/>
              </w:rPr>
            </w:pPr>
          </w:p>
          <w:p w14:paraId="104FDA77">
            <w:pPr>
              <w:pStyle w:val="16"/>
              <w:spacing w:before="3"/>
              <w:rPr>
                <w:rFonts w:ascii="Times New Roman"/>
                <w:sz w:val="24"/>
              </w:rPr>
            </w:pPr>
          </w:p>
          <w:p w14:paraId="1E2B0C52">
            <w:pPr>
              <w:pStyle w:val="16"/>
              <w:ind w:left="107" w:leftChars="0" w:right="0" w:rightChars="0"/>
              <w:rPr>
                <w:sz w:val="24"/>
              </w:rPr>
            </w:pPr>
            <w:r>
              <w:rPr>
                <w:sz w:val="24"/>
              </w:rPr>
              <w:t>浍河蓝带的治理修复</w:t>
            </w:r>
          </w:p>
        </w:tc>
        <w:tc>
          <w:tcPr>
            <w:tcW w:w="8934" w:type="dxa"/>
            <w:tcBorders>
              <w:top w:val="single" w:color="000000" w:sz="6" w:space="0"/>
              <w:left w:val="single" w:color="000000" w:sz="6" w:space="0"/>
              <w:bottom w:val="single" w:color="000000" w:sz="6" w:space="0"/>
              <w:right w:val="single" w:color="000000" w:sz="6" w:space="0"/>
            </w:tcBorders>
            <w:vAlign w:val="top"/>
          </w:tcPr>
          <w:p w14:paraId="1C5BBBC9">
            <w:pPr>
              <w:pStyle w:val="16"/>
              <w:spacing w:before="135"/>
              <w:ind w:left="115"/>
              <w:rPr>
                <w:sz w:val="24"/>
              </w:rPr>
            </w:pPr>
            <w:r>
              <w:rPr>
                <w:sz w:val="24"/>
              </w:rPr>
              <w:t>河道疏浚——对积於不畅的河段进行清淤疏浚，使水系流畅；</w:t>
            </w:r>
          </w:p>
          <w:p w14:paraId="1AE0509F">
            <w:pPr>
              <w:pStyle w:val="16"/>
              <w:spacing w:before="4"/>
              <w:ind w:left="115"/>
              <w:rPr>
                <w:sz w:val="24"/>
              </w:rPr>
            </w:pPr>
            <w:r>
              <w:rPr>
                <w:sz w:val="24"/>
              </w:rPr>
              <w:t>护坡修筑——对浍河河道进行护坡检修，保障浍河面面宽度及安全；</w:t>
            </w:r>
          </w:p>
          <w:p w14:paraId="1A26A985">
            <w:pPr>
              <w:pStyle w:val="16"/>
              <w:spacing w:before="5" w:line="242" w:lineRule="auto"/>
              <w:ind w:left="115" w:right="161"/>
              <w:rPr>
                <w:sz w:val="24"/>
              </w:rPr>
            </w:pPr>
            <w:r>
              <w:rPr>
                <w:sz w:val="24"/>
              </w:rPr>
              <w:t>植被覆盖——根据淮北地区的气候特点，合理的选择绿化植物对护坡及河岸进行覆盖，减少水土流失，同时美化环境。净化水域；</w:t>
            </w:r>
          </w:p>
          <w:p w14:paraId="7B019830">
            <w:pPr>
              <w:pStyle w:val="16"/>
              <w:spacing w:before="3" w:line="242" w:lineRule="auto"/>
              <w:ind w:left="115" w:right="161"/>
              <w:rPr>
                <w:sz w:val="24"/>
              </w:rPr>
            </w:pPr>
            <w:r>
              <w:rPr>
                <w:sz w:val="24"/>
              </w:rPr>
              <w:t>景观设计——在浍河沿岸节选适宜地点进行景观小品搭建，包括凉亭、木栈桥等； 慢行绿道——沿浍河景观观赏区修建慢行绿道，方便游客游览及健身。</w:t>
            </w:r>
          </w:p>
          <w:p w14:paraId="05755F05">
            <w:pPr>
              <w:pStyle w:val="16"/>
              <w:spacing w:before="3" w:line="242" w:lineRule="auto"/>
              <w:ind w:left="115" w:right="161"/>
              <w:rPr>
                <w:sz w:val="24"/>
              </w:rPr>
            </w:pPr>
            <w:r>
              <w:rPr>
                <w:sz w:val="24"/>
              </w:rPr>
              <w:t>公服设施建造——完善浍河沿岸公共服务设施的配套，包括环卫设施及健身设施， 保障游客日常使用。</w:t>
            </w:r>
          </w:p>
          <w:p w14:paraId="688A60AF">
            <w:pPr>
              <w:pStyle w:val="16"/>
              <w:spacing w:before="2"/>
              <w:ind w:left="115" w:leftChars="0" w:right="0" w:rightChars="0"/>
              <w:rPr>
                <w:sz w:val="24"/>
              </w:rPr>
            </w:pPr>
            <w:r>
              <w:rPr>
                <w:sz w:val="24"/>
              </w:rPr>
              <w:t>浍河生态恢复，公园建设、千亩桃园打造、景观风貌的提升等</w:t>
            </w:r>
          </w:p>
        </w:tc>
      </w:tr>
      <w:tr w14:paraId="2A397E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51939DA6">
            <w:pPr>
              <w:pStyle w:val="16"/>
              <w:spacing w:before="2"/>
              <w:ind w:left="281" w:leftChars="0" w:right="0" w:rightChars="0"/>
              <w:rPr>
                <w:sz w:val="24"/>
              </w:rPr>
            </w:pPr>
            <w:r>
              <w:rPr>
                <w:sz w:val="24"/>
              </w:rPr>
              <w:t>10</w:t>
            </w:r>
          </w:p>
        </w:tc>
        <w:tc>
          <w:tcPr>
            <w:tcW w:w="3641" w:type="dxa"/>
            <w:tcBorders>
              <w:top w:val="single" w:color="000000" w:sz="6" w:space="0"/>
              <w:left w:val="double" w:color="000000" w:sz="0" w:space="0"/>
              <w:bottom w:val="single" w:color="000000" w:sz="6" w:space="0"/>
              <w:right w:val="single" w:color="000000" w:sz="6" w:space="0"/>
            </w:tcBorders>
            <w:vAlign w:val="top"/>
          </w:tcPr>
          <w:p w14:paraId="697060E2">
            <w:pPr>
              <w:pStyle w:val="16"/>
              <w:spacing w:before="47"/>
              <w:ind w:left="107" w:leftChars="0" w:right="0" w:rightChars="0"/>
              <w:rPr>
                <w:sz w:val="24"/>
              </w:rPr>
            </w:pPr>
            <w:r>
              <w:rPr>
                <w:sz w:val="24"/>
              </w:rPr>
              <w:t>濉溪县水体生态治理项目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D990BA0">
            <w:pPr>
              <w:pStyle w:val="16"/>
              <w:spacing w:before="47"/>
              <w:ind w:left="115" w:leftChars="0" w:right="0" w:rightChars="0"/>
              <w:rPr>
                <w:sz w:val="24"/>
              </w:rPr>
            </w:pPr>
            <w:r>
              <w:rPr>
                <w:sz w:val="24"/>
              </w:rPr>
              <w:t>污水处理设施建设及配套管网工程</w:t>
            </w:r>
          </w:p>
        </w:tc>
      </w:tr>
      <w:tr w14:paraId="35E3B3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01212CB9">
            <w:pPr>
              <w:pStyle w:val="16"/>
              <w:rPr>
                <w:rFonts w:ascii="Times New Roman"/>
                <w:sz w:val="24"/>
              </w:rPr>
            </w:pPr>
          </w:p>
          <w:p w14:paraId="48202406">
            <w:pPr>
              <w:pStyle w:val="16"/>
              <w:spacing w:before="163"/>
              <w:ind w:left="281" w:leftChars="0" w:right="0" w:rightChars="0"/>
              <w:rPr>
                <w:sz w:val="24"/>
              </w:rPr>
            </w:pPr>
            <w:r>
              <w:rPr>
                <w:sz w:val="24"/>
              </w:rPr>
              <w:t>11</w:t>
            </w:r>
          </w:p>
        </w:tc>
        <w:tc>
          <w:tcPr>
            <w:tcW w:w="3641" w:type="dxa"/>
            <w:tcBorders>
              <w:top w:val="single" w:color="000000" w:sz="6" w:space="0"/>
              <w:left w:val="double" w:color="000000" w:sz="0" w:space="0"/>
              <w:bottom w:val="single" w:color="000000" w:sz="6" w:space="0"/>
              <w:right w:val="single" w:color="000000" w:sz="6" w:space="0"/>
            </w:tcBorders>
            <w:vAlign w:val="top"/>
          </w:tcPr>
          <w:p w14:paraId="22184076">
            <w:pPr>
              <w:pStyle w:val="16"/>
              <w:spacing w:before="10"/>
              <w:rPr>
                <w:rFonts w:ascii="Times New Roman"/>
                <w:sz w:val="29"/>
              </w:rPr>
            </w:pPr>
          </w:p>
          <w:p w14:paraId="2C93038A">
            <w:pPr>
              <w:pStyle w:val="16"/>
              <w:spacing w:line="242" w:lineRule="auto"/>
              <w:ind w:left="107" w:leftChars="0" w:right="148" w:rightChars="0"/>
              <w:rPr>
                <w:sz w:val="24"/>
              </w:rPr>
            </w:pPr>
            <w:r>
              <w:rPr>
                <w:sz w:val="24"/>
              </w:rPr>
              <w:t>安徽省淮北市濉溪县韩村镇浍河生态综合治理项目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EBDDFFB">
            <w:pPr>
              <w:pStyle w:val="16"/>
              <w:spacing w:before="31" w:line="242" w:lineRule="auto"/>
              <w:ind w:left="115" w:leftChars="0" w:right="-44" w:rightChars="0"/>
              <w:rPr>
                <w:sz w:val="24"/>
              </w:rPr>
            </w:pPr>
            <w:r>
              <w:rPr>
                <w:spacing w:val="-3"/>
                <w:sz w:val="24"/>
              </w:rPr>
              <w:t xml:space="preserve">主要包括滩涂地治理和河堤公园建设。滩涂地治理有 </w:t>
            </w:r>
            <w:r>
              <w:rPr>
                <w:sz w:val="24"/>
              </w:rPr>
              <w:t>6</w:t>
            </w:r>
            <w:r>
              <w:rPr>
                <w:spacing w:val="-24"/>
                <w:sz w:val="24"/>
              </w:rPr>
              <w:t xml:space="preserve"> 处，约 </w:t>
            </w:r>
            <w:r>
              <w:rPr>
                <w:sz w:val="24"/>
              </w:rPr>
              <w:t>960</w:t>
            </w:r>
            <w:r>
              <w:rPr>
                <w:spacing w:val="-8"/>
                <w:sz w:val="24"/>
              </w:rPr>
              <w:t xml:space="preserve"> 亩，各滩涂地建设固岸林、防浪林、果林、绿化、河堤堤线、灌溉渠系、田间道路、管理用房等， </w:t>
            </w:r>
            <w:r>
              <w:rPr>
                <w:spacing w:val="-14"/>
                <w:sz w:val="24"/>
              </w:rPr>
              <w:t xml:space="preserve">采取农林、水利措施，治理滩涂地。其中滩涂 </w:t>
            </w:r>
            <w:r>
              <w:rPr>
                <w:spacing w:val="-7"/>
                <w:sz w:val="24"/>
              </w:rPr>
              <w:t>5#</w:t>
            </w:r>
            <w:r>
              <w:rPr>
                <w:spacing w:val="-6"/>
                <w:sz w:val="24"/>
              </w:rPr>
              <w:t xml:space="preserve">，由于窑厂的开挖，造成河堤塌陷， </w:t>
            </w:r>
            <w:r>
              <w:rPr>
                <w:spacing w:val="-10"/>
                <w:sz w:val="24"/>
              </w:rPr>
              <w:t xml:space="preserve">需修复河堤。浍河河堤公园约 </w:t>
            </w:r>
            <w:r>
              <w:rPr>
                <w:sz w:val="24"/>
              </w:rPr>
              <w:t>180</w:t>
            </w:r>
            <w:r>
              <w:rPr>
                <w:spacing w:val="-8"/>
                <w:sz w:val="24"/>
              </w:rPr>
              <w:t xml:space="preserve"> 亩，建设配套设施</w:t>
            </w:r>
          </w:p>
        </w:tc>
      </w:tr>
      <w:tr w14:paraId="5ED7A9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0F6AFFE9">
            <w:pPr>
              <w:pStyle w:val="16"/>
              <w:spacing w:before="4"/>
              <w:ind w:left="281" w:leftChars="0" w:right="0" w:rightChars="0"/>
              <w:rPr>
                <w:sz w:val="24"/>
              </w:rPr>
            </w:pPr>
            <w:r>
              <w:rPr>
                <w:sz w:val="24"/>
              </w:rPr>
              <w:t>12</w:t>
            </w:r>
          </w:p>
        </w:tc>
        <w:tc>
          <w:tcPr>
            <w:tcW w:w="3641" w:type="dxa"/>
            <w:tcBorders>
              <w:top w:val="single" w:color="000000" w:sz="6" w:space="0"/>
              <w:left w:val="double" w:color="000000" w:sz="0" w:space="0"/>
              <w:bottom w:val="single" w:color="000000" w:sz="6" w:space="0"/>
              <w:right w:val="single" w:color="000000" w:sz="6" w:space="0"/>
            </w:tcBorders>
            <w:vAlign w:val="top"/>
          </w:tcPr>
          <w:p w14:paraId="18FE27AD">
            <w:pPr>
              <w:pStyle w:val="16"/>
              <w:spacing w:before="47"/>
              <w:ind w:left="107" w:leftChars="0" w:right="0" w:rightChars="0"/>
              <w:rPr>
                <w:sz w:val="24"/>
              </w:rPr>
            </w:pPr>
            <w:r>
              <w:rPr>
                <w:sz w:val="24"/>
              </w:rPr>
              <w:t>韩村镇区环境综合治理项目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48FC742">
            <w:pPr>
              <w:pStyle w:val="16"/>
              <w:spacing w:before="47"/>
              <w:ind w:left="115" w:leftChars="0" w:right="0" w:rightChars="0"/>
              <w:rPr>
                <w:sz w:val="24"/>
              </w:rPr>
            </w:pPr>
            <w:r>
              <w:rPr>
                <w:sz w:val="24"/>
              </w:rPr>
              <w:t>新建污水处理厂、镇区雨污分流、公园，绿化及周边生态农业、环境治理等</w:t>
            </w:r>
          </w:p>
        </w:tc>
      </w:tr>
      <w:tr w14:paraId="7129AF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67EB4A4F">
            <w:pPr>
              <w:pStyle w:val="16"/>
              <w:spacing w:before="139"/>
              <w:ind w:left="281" w:leftChars="0" w:right="0" w:rightChars="0"/>
              <w:rPr>
                <w:sz w:val="24"/>
              </w:rPr>
            </w:pPr>
            <w:r>
              <w:rPr>
                <w:sz w:val="24"/>
              </w:rPr>
              <w:t>13</w:t>
            </w:r>
          </w:p>
        </w:tc>
        <w:tc>
          <w:tcPr>
            <w:tcW w:w="3641" w:type="dxa"/>
            <w:tcBorders>
              <w:top w:val="single" w:color="000000" w:sz="6" w:space="0"/>
              <w:left w:val="double" w:color="000000" w:sz="0" w:space="0"/>
              <w:bottom w:val="single" w:color="000000" w:sz="6" w:space="0"/>
              <w:right w:val="single" w:color="000000" w:sz="6" w:space="0"/>
            </w:tcBorders>
            <w:vAlign w:val="top"/>
          </w:tcPr>
          <w:p w14:paraId="58CC4E5D">
            <w:pPr>
              <w:pStyle w:val="16"/>
              <w:spacing w:before="199"/>
              <w:ind w:left="107" w:leftChars="0" w:right="0" w:rightChars="0"/>
              <w:rPr>
                <w:sz w:val="24"/>
              </w:rPr>
            </w:pPr>
            <w:r>
              <w:rPr>
                <w:sz w:val="24"/>
              </w:rPr>
              <w:t>濉溪经开区水生态环境提升</w:t>
            </w:r>
          </w:p>
        </w:tc>
        <w:tc>
          <w:tcPr>
            <w:tcW w:w="8934" w:type="dxa"/>
            <w:tcBorders>
              <w:top w:val="single" w:color="000000" w:sz="6" w:space="0"/>
              <w:left w:val="single" w:color="000000" w:sz="6" w:space="0"/>
              <w:bottom w:val="single" w:color="000000" w:sz="6" w:space="0"/>
              <w:right w:val="single" w:color="000000" w:sz="6" w:space="0"/>
            </w:tcBorders>
            <w:vAlign w:val="top"/>
          </w:tcPr>
          <w:p w14:paraId="145B96D0">
            <w:pPr>
              <w:pStyle w:val="16"/>
              <w:spacing w:before="43" w:line="242" w:lineRule="auto"/>
              <w:ind w:left="115" w:leftChars="0" w:right="-44" w:rightChars="0"/>
              <w:rPr>
                <w:sz w:val="24"/>
              </w:rPr>
            </w:pPr>
            <w:r>
              <w:rPr>
                <w:spacing w:val="-8"/>
                <w:sz w:val="24"/>
              </w:rPr>
              <w:t>巴河、杨楼沟、利民沟、濉临沟、幸福沟、老溪河、小溪沟等水生态环境修复提升、给排水管网新建提升等</w:t>
            </w:r>
          </w:p>
        </w:tc>
      </w:tr>
      <w:tr w14:paraId="20803A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0150147A">
            <w:pPr>
              <w:pStyle w:val="16"/>
              <w:rPr>
                <w:rFonts w:ascii="Times New Roman"/>
                <w:sz w:val="24"/>
              </w:rPr>
            </w:pPr>
          </w:p>
          <w:p w14:paraId="497D76FE">
            <w:pPr>
              <w:pStyle w:val="16"/>
              <w:spacing w:before="200"/>
              <w:ind w:left="281" w:leftChars="0" w:right="0" w:rightChars="0"/>
              <w:rPr>
                <w:sz w:val="24"/>
              </w:rPr>
            </w:pPr>
            <w:r>
              <w:rPr>
                <w:sz w:val="24"/>
              </w:rPr>
              <w:t>14</w:t>
            </w:r>
          </w:p>
        </w:tc>
        <w:tc>
          <w:tcPr>
            <w:tcW w:w="3641" w:type="dxa"/>
            <w:tcBorders>
              <w:top w:val="single" w:color="000000" w:sz="6" w:space="0"/>
              <w:left w:val="double" w:color="000000" w:sz="0" w:space="0"/>
              <w:bottom w:val="single" w:color="000000" w:sz="6" w:space="0"/>
              <w:right w:val="single" w:color="000000" w:sz="6" w:space="0"/>
            </w:tcBorders>
            <w:vAlign w:val="top"/>
          </w:tcPr>
          <w:p w14:paraId="6E4B95A8">
            <w:pPr>
              <w:pStyle w:val="16"/>
              <w:spacing w:before="1"/>
              <w:rPr>
                <w:rFonts w:ascii="Times New Roman"/>
                <w:sz w:val="33"/>
              </w:rPr>
            </w:pPr>
          </w:p>
          <w:p w14:paraId="02417CAC">
            <w:pPr>
              <w:pStyle w:val="16"/>
              <w:spacing w:line="242" w:lineRule="auto"/>
              <w:ind w:left="107" w:leftChars="0" w:right="148" w:rightChars="0"/>
              <w:rPr>
                <w:sz w:val="24"/>
              </w:rPr>
            </w:pPr>
            <w:r>
              <w:rPr>
                <w:sz w:val="24"/>
              </w:rPr>
              <w:t>濉溪县第二污水处理</w:t>
            </w:r>
            <w:r>
              <w:rPr>
                <w:rFonts w:hint="eastAsia"/>
                <w:sz w:val="24"/>
                <w:lang w:eastAsia="zh-CN"/>
              </w:rPr>
              <w:t>厂扩建及提标改造项目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4777008">
            <w:pPr>
              <w:keepNext w:val="0"/>
              <w:keepLines w:val="0"/>
              <w:pageBreakBefore w:val="0"/>
              <w:widowControl w:val="0"/>
              <w:numPr>
                <w:ilvl w:val="0"/>
                <w:numId w:val="0"/>
              </w:numPr>
              <w:kinsoku/>
              <w:wordWrap/>
              <w:overflowPunct/>
              <w:topLinePunct w:val="0"/>
              <w:autoSpaceDE/>
              <w:autoSpaceDN/>
              <w:bidi w:val="0"/>
              <w:adjustRightInd/>
              <w:snapToGrid/>
              <w:ind w:right="0" w:rightChars="0"/>
              <w:textAlignment w:val="auto"/>
              <w:rPr>
                <w:rFonts w:hint="eastAsia" w:ascii="仿宋" w:hAnsi="仿宋" w:eastAsia="仿宋" w:cs="仿宋"/>
                <w:spacing w:val="-3"/>
                <w:sz w:val="24"/>
                <w:szCs w:val="22"/>
                <w:lang w:val="en-US" w:eastAsia="zh-CN" w:bidi="zh-CN"/>
              </w:rPr>
            </w:pPr>
            <w:r>
              <w:rPr>
                <w:rFonts w:hint="eastAsia" w:cs="仿宋"/>
                <w:spacing w:val="-3"/>
                <w:sz w:val="24"/>
                <w:szCs w:val="22"/>
                <w:lang w:val="en-US" w:eastAsia="zh-CN" w:bidi="zh-CN"/>
              </w:rPr>
              <w:t>（1）</w:t>
            </w:r>
            <w:r>
              <w:rPr>
                <w:rFonts w:hint="eastAsia" w:ascii="仿宋" w:hAnsi="仿宋" w:eastAsia="仿宋" w:cs="仿宋"/>
                <w:spacing w:val="-3"/>
                <w:sz w:val="24"/>
                <w:szCs w:val="22"/>
                <w:lang w:val="en-US" w:eastAsia="zh-CN" w:bidi="zh-CN"/>
              </w:rPr>
              <w:t>现状6万m³/d系统提标改造：新建 8.5万m³/d粗格栅及提升泵房一座、6万m³/d细格栅及曝气沉砂池一座、6万m³/d中间提升泵房一座、6万m³/d高效沉淀池一座、6万m³/d反硝化滤池一座、6万m³/d臭氧氧化池（及其配套液氧站、臭氧发生间等设施）一座、变配电间及加药装置一座、6万m³/h风量的除臭系统一套、应急池一座、污泥脱水系统（按照10万m³/d系统配套）一套、机修间一座；拆除原一期、二期粗格栅及提升泵房、细格栅及曝气沉砂池、过滤消毒池、脱水机房、配电间及加药装置等；现有管理用房改造。</w:t>
            </w:r>
          </w:p>
          <w:p w14:paraId="7C9907E5">
            <w:pPr>
              <w:keepNext w:val="0"/>
              <w:keepLines w:val="0"/>
              <w:pageBreakBefore w:val="0"/>
              <w:widowControl w:val="0"/>
              <w:numPr>
                <w:ilvl w:val="0"/>
                <w:numId w:val="0"/>
              </w:numPr>
              <w:kinsoku/>
              <w:wordWrap/>
              <w:overflowPunct/>
              <w:topLinePunct w:val="0"/>
              <w:autoSpaceDE/>
              <w:autoSpaceDN/>
              <w:bidi w:val="0"/>
              <w:adjustRightInd/>
              <w:snapToGrid/>
              <w:ind w:right="0" w:rightChars="0"/>
              <w:textAlignment w:val="auto"/>
              <w:rPr>
                <w:rFonts w:hint="eastAsia" w:ascii="仿宋" w:hAnsi="仿宋" w:eastAsia="仿宋" w:cs="仿宋"/>
                <w:spacing w:val="-3"/>
                <w:sz w:val="24"/>
                <w:szCs w:val="22"/>
                <w:lang w:val="en-US" w:eastAsia="zh-CN" w:bidi="zh-CN"/>
              </w:rPr>
            </w:pPr>
            <w:r>
              <w:rPr>
                <w:rFonts w:hint="eastAsia" w:cs="仿宋"/>
                <w:spacing w:val="-3"/>
                <w:sz w:val="24"/>
                <w:szCs w:val="22"/>
                <w:lang w:val="en-US" w:eastAsia="zh-CN" w:bidi="zh-CN"/>
              </w:rPr>
              <w:t>（2）</w:t>
            </w:r>
            <w:r>
              <w:rPr>
                <w:rFonts w:hint="eastAsia" w:ascii="仿宋" w:hAnsi="仿宋" w:eastAsia="仿宋" w:cs="仿宋"/>
                <w:spacing w:val="-3"/>
                <w:sz w:val="24"/>
                <w:szCs w:val="22"/>
                <w:lang w:val="en-US" w:eastAsia="zh-CN" w:bidi="zh-CN"/>
              </w:rPr>
              <w:t>4万m³/d 扩建污水处理系统：新建 2.5万m³/d 细格栅及曝气沉砂池一 座、4万m³/d水解酸化池一座、4万m³/d组合生化池一座、4万m³/d高效沉淀 池一座、4万m³/d反硝化滤池一座、4万m³/d臭氧氧化池（及其配套液氧站、 臭氧发生间等设施）一座、加药装置一座、7万m³/d回用水池及泵房一座。</w:t>
            </w:r>
          </w:p>
          <w:p w14:paraId="4B250420">
            <w:pPr>
              <w:keepNext w:val="0"/>
              <w:keepLines w:val="0"/>
              <w:pageBreakBefore w:val="0"/>
              <w:widowControl w:val="0"/>
              <w:numPr>
                <w:ilvl w:val="0"/>
                <w:numId w:val="0"/>
              </w:numPr>
              <w:kinsoku/>
              <w:wordWrap/>
              <w:overflowPunct/>
              <w:topLinePunct w:val="0"/>
              <w:autoSpaceDE/>
              <w:autoSpaceDN/>
              <w:bidi w:val="0"/>
              <w:adjustRightInd/>
              <w:snapToGrid/>
              <w:ind w:right="0" w:rightChars="0"/>
              <w:textAlignment w:val="auto"/>
              <w:rPr>
                <w:sz w:val="24"/>
              </w:rPr>
            </w:pPr>
            <w:r>
              <w:rPr>
                <w:rFonts w:hint="eastAsia" w:cs="仿宋"/>
                <w:spacing w:val="-3"/>
                <w:sz w:val="24"/>
                <w:szCs w:val="22"/>
                <w:lang w:val="en-US" w:eastAsia="zh-CN" w:bidi="zh-CN"/>
              </w:rPr>
              <w:t>（3）</w:t>
            </w:r>
            <w:r>
              <w:rPr>
                <w:rFonts w:hint="eastAsia" w:ascii="仿宋" w:hAnsi="仿宋" w:eastAsia="仿宋" w:cs="仿宋"/>
                <w:spacing w:val="-3"/>
                <w:sz w:val="24"/>
                <w:szCs w:val="22"/>
                <w:lang w:val="en-US" w:eastAsia="zh-CN" w:bidi="zh-CN"/>
              </w:rPr>
              <w:t>1.5万m³/d化工废水预处理系统，主要建设包括：事故池及调节池一座、芬顿流系统一套、水解酸化池一座、加药间及污泥脱水间一套、污泥池一座</w:t>
            </w:r>
            <w:r>
              <w:rPr>
                <w:rFonts w:hint="eastAsia" w:ascii="方正公文仿宋" w:hAnsi="方正公文仿宋" w:eastAsia="方正公文仿宋" w:cs="方正公文仿宋"/>
                <w:lang w:val="en-US" w:eastAsia="zh-CN"/>
              </w:rPr>
              <w:t>。</w:t>
            </w:r>
          </w:p>
        </w:tc>
      </w:tr>
      <w:tr w14:paraId="159CEB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67622AF1">
            <w:pPr>
              <w:pStyle w:val="16"/>
              <w:spacing w:before="39"/>
              <w:ind w:left="281" w:leftChars="0" w:right="0" w:rightChars="0"/>
              <w:rPr>
                <w:sz w:val="24"/>
              </w:rPr>
            </w:pPr>
            <w:r>
              <w:rPr>
                <w:b/>
                <w:w w:val="99"/>
                <w:sz w:val="24"/>
              </w:rPr>
              <w:t>三</w:t>
            </w:r>
          </w:p>
        </w:tc>
        <w:tc>
          <w:tcPr>
            <w:tcW w:w="3641" w:type="dxa"/>
            <w:tcBorders>
              <w:top w:val="single" w:color="000000" w:sz="6" w:space="0"/>
              <w:left w:val="double" w:color="000000" w:sz="0" w:space="0"/>
              <w:bottom w:val="single" w:color="000000" w:sz="6" w:space="0"/>
              <w:right w:val="single" w:color="000000" w:sz="6" w:space="0"/>
            </w:tcBorders>
            <w:vAlign w:val="top"/>
          </w:tcPr>
          <w:p w14:paraId="07B7FC5E">
            <w:pPr>
              <w:pStyle w:val="16"/>
              <w:spacing w:before="99"/>
              <w:ind w:left="107" w:leftChars="0" w:right="0" w:rightChars="0"/>
              <w:rPr>
                <w:sz w:val="24"/>
              </w:rPr>
            </w:pPr>
            <w:r>
              <w:rPr>
                <w:b/>
                <w:sz w:val="24"/>
              </w:rPr>
              <w:t>重点水域治理工程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704A2954">
            <w:pPr>
              <w:pStyle w:val="16"/>
              <w:ind w:left="0" w:leftChars="0" w:right="0" w:rightChars="0"/>
              <w:rPr>
                <w:sz w:val="24"/>
              </w:rPr>
            </w:pPr>
          </w:p>
        </w:tc>
      </w:tr>
      <w:tr w14:paraId="3FFF41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4F61F5E0">
            <w:pPr>
              <w:pStyle w:val="16"/>
              <w:spacing w:before="2"/>
              <w:rPr>
                <w:rFonts w:ascii="Times New Roman"/>
                <w:sz w:val="30"/>
              </w:rPr>
            </w:pPr>
          </w:p>
          <w:p w14:paraId="41AD3D53">
            <w:pPr>
              <w:pStyle w:val="16"/>
              <w:ind w:left="281" w:leftChars="0" w:right="0" w:rightChars="0"/>
              <w:rPr>
                <w:sz w:val="24"/>
              </w:rPr>
            </w:pPr>
            <w:r>
              <w:rPr>
                <w:sz w:val="24"/>
              </w:rPr>
              <w:t>1</w:t>
            </w:r>
            <w:r>
              <w:rPr>
                <w:rFonts w:hint="eastAsia"/>
                <w:sz w:val="24"/>
                <w:lang w:val="en-US" w:eastAsia="zh-CN"/>
              </w:rPr>
              <w:t>5</w:t>
            </w:r>
          </w:p>
        </w:tc>
        <w:tc>
          <w:tcPr>
            <w:tcW w:w="3641" w:type="dxa"/>
            <w:tcBorders>
              <w:top w:val="single" w:color="000000" w:sz="6" w:space="0"/>
              <w:left w:val="double" w:color="000000" w:sz="0" w:space="0"/>
              <w:bottom w:val="single" w:color="000000" w:sz="6" w:space="0"/>
              <w:right w:val="single" w:color="000000" w:sz="6" w:space="0"/>
            </w:tcBorders>
            <w:vAlign w:val="top"/>
          </w:tcPr>
          <w:p w14:paraId="07F9A055">
            <w:pPr>
              <w:pStyle w:val="16"/>
              <w:spacing w:before="4"/>
              <w:rPr>
                <w:rFonts w:ascii="Times New Roman"/>
                <w:sz w:val="35"/>
              </w:rPr>
            </w:pPr>
          </w:p>
          <w:p w14:paraId="7A17472E">
            <w:pPr>
              <w:pStyle w:val="16"/>
              <w:ind w:left="107" w:leftChars="0" w:right="0" w:rightChars="0"/>
              <w:rPr>
                <w:sz w:val="24"/>
              </w:rPr>
            </w:pPr>
            <w:r>
              <w:rPr>
                <w:sz w:val="24"/>
              </w:rPr>
              <w:t>城西沟生态治理工程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569F5734">
            <w:pPr>
              <w:pStyle w:val="16"/>
              <w:spacing w:before="95" w:line="242" w:lineRule="auto"/>
              <w:ind w:left="115" w:leftChars="0" w:right="161" w:rightChars="0"/>
              <w:jc w:val="both"/>
              <w:rPr>
                <w:sz w:val="24"/>
              </w:rPr>
            </w:pPr>
            <w:r>
              <w:rPr>
                <w:sz w:val="24"/>
              </w:rPr>
              <w:t>截污控源，治理城西沟黑臭水体水系。针对流入城西沟合流管道进行全面截污，在老管道城西沟入口处截污，同时清淤，修复，利用为污水收集管网，沿城西沟两边健全污水收集管道，连接浍河路污水主通道，实现无污水排入城西沟。</w:t>
            </w:r>
          </w:p>
        </w:tc>
      </w:tr>
      <w:tr w14:paraId="51E2A6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05" w:type="dxa"/>
            <w:tcBorders>
              <w:top w:val="single" w:color="000000" w:sz="6" w:space="0"/>
              <w:bottom w:val="single" w:color="000000" w:sz="6" w:space="0"/>
              <w:right w:val="double" w:color="000000" w:sz="0" w:space="0"/>
            </w:tcBorders>
            <w:vAlign w:val="top"/>
          </w:tcPr>
          <w:p w14:paraId="77E6A307">
            <w:pPr>
              <w:pStyle w:val="16"/>
              <w:spacing w:before="25"/>
              <w:ind w:left="281" w:leftChars="0" w:right="0" w:rightChars="0"/>
              <w:rPr>
                <w:sz w:val="24"/>
              </w:rPr>
            </w:pPr>
            <w:r>
              <w:rPr>
                <w:sz w:val="24"/>
              </w:rPr>
              <w:t>1</w:t>
            </w:r>
            <w:r>
              <w:rPr>
                <w:rFonts w:hint="eastAsia"/>
                <w:sz w:val="24"/>
                <w:lang w:val="en-US" w:eastAsia="zh-CN"/>
              </w:rPr>
              <w:t>6</w:t>
            </w:r>
          </w:p>
        </w:tc>
        <w:tc>
          <w:tcPr>
            <w:tcW w:w="3641" w:type="dxa"/>
            <w:tcBorders>
              <w:top w:val="single" w:color="000000" w:sz="6" w:space="0"/>
              <w:left w:val="double" w:color="000000" w:sz="0" w:space="0"/>
              <w:bottom w:val="single" w:color="000000" w:sz="6" w:space="0"/>
              <w:right w:val="single" w:color="000000" w:sz="6" w:space="0"/>
            </w:tcBorders>
            <w:vAlign w:val="top"/>
          </w:tcPr>
          <w:p w14:paraId="4DE13672">
            <w:pPr>
              <w:pStyle w:val="16"/>
              <w:spacing w:before="85"/>
              <w:ind w:left="107" w:leftChars="0" w:right="0" w:rightChars="0"/>
              <w:rPr>
                <w:sz w:val="24"/>
              </w:rPr>
            </w:pPr>
            <w:r>
              <w:rPr>
                <w:sz w:val="24"/>
              </w:rPr>
              <w:t>濉溪县包浍河治理工程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01402552">
            <w:pPr>
              <w:pStyle w:val="16"/>
              <w:spacing w:before="85"/>
              <w:ind w:left="115" w:leftChars="0" w:right="0" w:rightChars="0"/>
              <w:rPr>
                <w:sz w:val="24"/>
              </w:rPr>
            </w:pPr>
            <w:r>
              <w:rPr>
                <w:sz w:val="24"/>
              </w:rPr>
              <w:t>河道疏浚、堤防加固、配套建筑物等</w:t>
            </w:r>
          </w:p>
        </w:tc>
      </w:tr>
      <w:tr w14:paraId="714DAB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0B3A92C">
            <w:pPr>
              <w:pStyle w:val="16"/>
              <w:spacing w:before="92"/>
              <w:ind w:left="281" w:leftChars="0" w:right="0" w:rightChars="0"/>
              <w:rPr>
                <w:sz w:val="24"/>
              </w:rPr>
            </w:pPr>
            <w:r>
              <w:rPr>
                <w:sz w:val="24"/>
              </w:rPr>
              <w:t>1</w:t>
            </w:r>
            <w:r>
              <w:rPr>
                <w:rFonts w:hint="eastAsia"/>
                <w:sz w:val="24"/>
                <w:lang w:val="en-US" w:eastAsia="zh-CN"/>
              </w:rPr>
              <w:t>7</w:t>
            </w:r>
          </w:p>
        </w:tc>
        <w:tc>
          <w:tcPr>
            <w:tcW w:w="3641" w:type="dxa"/>
            <w:tcBorders>
              <w:top w:val="single" w:color="000000" w:sz="6" w:space="0"/>
              <w:left w:val="double" w:color="000000" w:sz="0" w:space="0"/>
              <w:bottom w:val="single" w:color="000000" w:sz="6" w:space="0"/>
              <w:right w:val="single" w:color="000000" w:sz="6" w:space="0"/>
            </w:tcBorders>
            <w:vAlign w:val="top"/>
          </w:tcPr>
          <w:p w14:paraId="56F3079E">
            <w:pPr>
              <w:pStyle w:val="16"/>
              <w:spacing w:before="152"/>
              <w:ind w:left="107" w:leftChars="0" w:right="0" w:rightChars="0"/>
              <w:rPr>
                <w:sz w:val="24"/>
              </w:rPr>
            </w:pPr>
            <w:r>
              <w:rPr>
                <w:sz w:val="24"/>
              </w:rPr>
              <w:t>濉溪县巴河治理工程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0E35B46F">
            <w:pPr>
              <w:pStyle w:val="16"/>
              <w:spacing w:before="3"/>
              <w:ind w:left="115"/>
              <w:rPr>
                <w:sz w:val="24"/>
              </w:rPr>
            </w:pPr>
            <w:r>
              <w:rPr>
                <w:spacing w:val="-12"/>
                <w:sz w:val="24"/>
              </w:rPr>
              <w:t xml:space="preserve">河道疏浚 </w:t>
            </w:r>
            <w:r>
              <w:rPr>
                <w:sz w:val="24"/>
              </w:rPr>
              <w:t>5.8</w:t>
            </w:r>
            <w:r>
              <w:rPr>
                <w:spacing w:val="-17"/>
                <w:sz w:val="24"/>
              </w:rPr>
              <w:t xml:space="preserve"> 公里，堤防加固 </w:t>
            </w:r>
            <w:r>
              <w:rPr>
                <w:sz w:val="24"/>
              </w:rPr>
              <w:t>11.6</w:t>
            </w:r>
            <w:r>
              <w:rPr>
                <w:spacing w:val="-12"/>
                <w:sz w:val="24"/>
              </w:rPr>
              <w:t xml:space="preserve"> 公里，生态治理，控制闸一座，涵闸 </w:t>
            </w:r>
            <w:r>
              <w:rPr>
                <w:sz w:val="24"/>
              </w:rPr>
              <w:t>5</w:t>
            </w:r>
            <w:r>
              <w:rPr>
                <w:spacing w:val="-15"/>
                <w:sz w:val="24"/>
              </w:rPr>
              <w:t xml:space="preserve"> 座，桥梁</w:t>
            </w:r>
          </w:p>
          <w:p w14:paraId="0440B99D">
            <w:pPr>
              <w:pStyle w:val="16"/>
              <w:spacing w:before="5" w:line="276" w:lineRule="exact"/>
              <w:ind w:left="115" w:leftChars="0" w:right="0" w:rightChars="0"/>
              <w:rPr>
                <w:sz w:val="24"/>
              </w:rPr>
            </w:pPr>
            <w:r>
              <w:rPr>
                <w:sz w:val="24"/>
              </w:rPr>
              <w:t>2 座，土方 58.00 万立方</w:t>
            </w:r>
          </w:p>
        </w:tc>
      </w:tr>
      <w:tr w14:paraId="1DD91D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18F3679">
            <w:pPr>
              <w:pStyle w:val="16"/>
              <w:spacing w:before="92"/>
              <w:ind w:left="281" w:leftChars="0" w:right="0" w:rightChars="0"/>
              <w:rPr>
                <w:sz w:val="24"/>
              </w:rPr>
            </w:pPr>
            <w:r>
              <w:rPr>
                <w:sz w:val="24"/>
              </w:rPr>
              <w:t>1</w:t>
            </w:r>
            <w:r>
              <w:rPr>
                <w:rFonts w:hint="eastAsia"/>
                <w:sz w:val="24"/>
                <w:lang w:val="en-US" w:eastAsia="zh-CN"/>
              </w:rPr>
              <w:t>8</w:t>
            </w:r>
          </w:p>
        </w:tc>
        <w:tc>
          <w:tcPr>
            <w:tcW w:w="3641" w:type="dxa"/>
            <w:tcBorders>
              <w:top w:val="single" w:color="000000" w:sz="6" w:space="0"/>
              <w:left w:val="double" w:color="000000" w:sz="0" w:space="0"/>
              <w:bottom w:val="single" w:color="000000" w:sz="6" w:space="0"/>
              <w:right w:val="single" w:color="000000" w:sz="6" w:space="0"/>
            </w:tcBorders>
            <w:vAlign w:val="top"/>
          </w:tcPr>
          <w:p w14:paraId="722DCFA7">
            <w:pPr>
              <w:pStyle w:val="16"/>
              <w:spacing w:before="152"/>
              <w:ind w:left="107" w:leftChars="0" w:right="0" w:rightChars="0"/>
              <w:rPr>
                <w:sz w:val="24"/>
              </w:rPr>
            </w:pPr>
            <w:r>
              <w:rPr>
                <w:sz w:val="24"/>
              </w:rPr>
              <w:t>濉溪县澥河治理工程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52C97EA7">
            <w:pPr>
              <w:pStyle w:val="16"/>
              <w:spacing w:before="3"/>
              <w:ind w:left="115"/>
              <w:rPr>
                <w:sz w:val="24"/>
              </w:rPr>
            </w:pPr>
            <w:r>
              <w:rPr>
                <w:spacing w:val="-12"/>
                <w:sz w:val="24"/>
              </w:rPr>
              <w:t xml:space="preserve">河道疏浚 </w:t>
            </w:r>
            <w:r>
              <w:rPr>
                <w:sz w:val="24"/>
              </w:rPr>
              <w:t>28.8</w:t>
            </w:r>
            <w:r>
              <w:rPr>
                <w:spacing w:val="-26"/>
                <w:sz w:val="24"/>
              </w:rPr>
              <w:t xml:space="preserve"> 公里，堤防加固 </w:t>
            </w:r>
            <w:r>
              <w:rPr>
                <w:sz w:val="24"/>
              </w:rPr>
              <w:t>51</w:t>
            </w:r>
            <w:r>
              <w:rPr>
                <w:spacing w:val="-28"/>
                <w:sz w:val="24"/>
              </w:rPr>
              <w:t xml:space="preserve"> 公里，生态治理，涵闸 </w:t>
            </w:r>
            <w:r>
              <w:rPr>
                <w:sz w:val="24"/>
              </w:rPr>
              <w:t>4</w:t>
            </w:r>
            <w:r>
              <w:rPr>
                <w:spacing w:val="-37"/>
                <w:sz w:val="24"/>
              </w:rPr>
              <w:t xml:space="preserve"> 座，桥梁 </w:t>
            </w:r>
            <w:r>
              <w:rPr>
                <w:sz w:val="24"/>
              </w:rPr>
              <w:t>9</w:t>
            </w:r>
            <w:r>
              <w:rPr>
                <w:spacing w:val="-37"/>
                <w:sz w:val="24"/>
              </w:rPr>
              <w:t xml:space="preserve"> 座，土方 </w:t>
            </w:r>
            <w:r>
              <w:rPr>
                <w:sz w:val="24"/>
              </w:rPr>
              <w:t>242..4</w:t>
            </w:r>
          </w:p>
          <w:p w14:paraId="6DA1C68F">
            <w:pPr>
              <w:pStyle w:val="16"/>
              <w:spacing w:before="5" w:line="275" w:lineRule="exact"/>
              <w:ind w:left="115" w:leftChars="0" w:right="0" w:rightChars="0"/>
              <w:rPr>
                <w:sz w:val="24"/>
              </w:rPr>
            </w:pPr>
            <w:r>
              <w:rPr>
                <w:sz w:val="24"/>
              </w:rPr>
              <w:t>万立方配套</w:t>
            </w:r>
          </w:p>
        </w:tc>
      </w:tr>
      <w:tr w14:paraId="5554FD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5F9A154">
            <w:pPr>
              <w:pStyle w:val="16"/>
              <w:spacing w:before="23"/>
              <w:ind w:left="281" w:leftChars="0" w:right="0" w:rightChars="0"/>
              <w:rPr>
                <w:sz w:val="24"/>
              </w:rPr>
            </w:pPr>
            <w:r>
              <w:rPr>
                <w:rFonts w:hint="eastAsia"/>
                <w:sz w:val="24"/>
                <w:lang w:val="en-US" w:eastAsia="zh-CN"/>
              </w:rPr>
              <w:t>19</w:t>
            </w:r>
          </w:p>
        </w:tc>
        <w:tc>
          <w:tcPr>
            <w:tcW w:w="3641" w:type="dxa"/>
            <w:tcBorders>
              <w:top w:val="single" w:color="000000" w:sz="6" w:space="0"/>
              <w:left w:val="double" w:color="000000" w:sz="0" w:space="0"/>
              <w:bottom w:val="single" w:color="000000" w:sz="6" w:space="0"/>
              <w:right w:val="single" w:color="000000" w:sz="6" w:space="0"/>
            </w:tcBorders>
            <w:vAlign w:val="top"/>
          </w:tcPr>
          <w:p w14:paraId="05E0C895">
            <w:pPr>
              <w:pStyle w:val="16"/>
              <w:spacing w:before="83"/>
              <w:ind w:left="107" w:leftChars="0" w:right="0" w:rightChars="0"/>
              <w:rPr>
                <w:sz w:val="24"/>
              </w:rPr>
            </w:pPr>
            <w:r>
              <w:rPr>
                <w:sz w:val="24"/>
              </w:rPr>
              <w:t>引江济淮二期工程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77F11622">
            <w:pPr>
              <w:pStyle w:val="16"/>
              <w:spacing w:before="83"/>
              <w:ind w:left="115" w:leftChars="0" w:right="0" w:rightChars="0"/>
              <w:rPr>
                <w:sz w:val="24"/>
              </w:rPr>
            </w:pPr>
            <w:r>
              <w:rPr>
                <w:sz w:val="24"/>
              </w:rPr>
              <w:t>河道疏浚、堤防加固、配套建筑物等</w:t>
            </w:r>
          </w:p>
        </w:tc>
      </w:tr>
      <w:tr w14:paraId="04D24C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2169AEDB">
            <w:pPr>
              <w:pStyle w:val="16"/>
              <w:spacing w:before="25"/>
              <w:ind w:left="281" w:leftChars="0" w:right="0" w:rightChars="0"/>
              <w:rPr>
                <w:sz w:val="24"/>
              </w:rPr>
            </w:pPr>
            <w:r>
              <w:rPr>
                <w:sz w:val="24"/>
              </w:rPr>
              <w:t>2</w:t>
            </w:r>
            <w:r>
              <w:rPr>
                <w:rFonts w:hint="eastAsia"/>
                <w:sz w:val="24"/>
                <w:lang w:val="en-US" w:eastAsia="zh-CN"/>
              </w:rPr>
              <w:t>0</w:t>
            </w:r>
          </w:p>
        </w:tc>
        <w:tc>
          <w:tcPr>
            <w:tcW w:w="3641" w:type="dxa"/>
            <w:tcBorders>
              <w:top w:val="single" w:color="000000" w:sz="6" w:space="0"/>
              <w:left w:val="double" w:color="000000" w:sz="0" w:space="0"/>
              <w:bottom w:val="single" w:color="000000" w:sz="6" w:space="0"/>
              <w:right w:val="single" w:color="000000" w:sz="6" w:space="0"/>
            </w:tcBorders>
            <w:vAlign w:val="top"/>
          </w:tcPr>
          <w:p w14:paraId="127531B9">
            <w:pPr>
              <w:pStyle w:val="16"/>
              <w:spacing w:before="85"/>
              <w:ind w:left="107" w:leftChars="0" w:right="0" w:rightChars="0"/>
              <w:rPr>
                <w:sz w:val="24"/>
              </w:rPr>
            </w:pPr>
            <w:r>
              <w:rPr>
                <w:sz w:val="24"/>
              </w:rPr>
              <w:t>百善镇大中沟治理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65E792BB">
            <w:pPr>
              <w:pStyle w:val="16"/>
              <w:spacing w:before="85"/>
              <w:ind w:left="115" w:leftChars="0" w:right="0" w:rightChars="0"/>
              <w:rPr>
                <w:sz w:val="24"/>
              </w:rPr>
            </w:pPr>
            <w:r>
              <w:rPr>
                <w:sz w:val="24"/>
              </w:rPr>
              <w:t>戚家沟、濉临沟、龙湖沟、杨林沟、隋堤沟、柳东沟·</w:t>
            </w:r>
          </w:p>
        </w:tc>
      </w:tr>
      <w:tr w14:paraId="6BEBDC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BEE75E7">
            <w:pPr>
              <w:pStyle w:val="16"/>
              <w:spacing w:before="25"/>
              <w:ind w:left="281" w:leftChars="0" w:right="0" w:rightChars="0"/>
              <w:rPr>
                <w:sz w:val="24"/>
              </w:rPr>
            </w:pPr>
            <w:r>
              <w:rPr>
                <w:sz w:val="24"/>
              </w:rPr>
              <w:t>2</w:t>
            </w:r>
            <w:r>
              <w:rPr>
                <w:rFonts w:hint="eastAsia"/>
                <w:sz w:val="24"/>
                <w:lang w:val="en-US" w:eastAsia="zh-CN"/>
              </w:rPr>
              <w:t>1</w:t>
            </w:r>
          </w:p>
        </w:tc>
        <w:tc>
          <w:tcPr>
            <w:tcW w:w="3641" w:type="dxa"/>
            <w:tcBorders>
              <w:top w:val="single" w:color="000000" w:sz="6" w:space="0"/>
              <w:left w:val="double" w:color="000000" w:sz="0" w:space="0"/>
              <w:bottom w:val="single" w:color="000000" w:sz="6" w:space="0"/>
              <w:right w:val="single" w:color="000000" w:sz="6" w:space="0"/>
            </w:tcBorders>
            <w:vAlign w:val="top"/>
          </w:tcPr>
          <w:p w14:paraId="219C1EBD">
            <w:pPr>
              <w:pStyle w:val="16"/>
              <w:spacing w:before="85"/>
              <w:ind w:left="107" w:leftChars="0" w:right="0" w:rightChars="0"/>
              <w:rPr>
                <w:sz w:val="24"/>
              </w:rPr>
            </w:pPr>
            <w:r>
              <w:rPr>
                <w:sz w:val="24"/>
              </w:rPr>
              <w:t>五沟镇大中沟治理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68F2165E">
            <w:pPr>
              <w:pStyle w:val="16"/>
              <w:spacing w:before="85"/>
              <w:ind w:left="115" w:leftChars="0" w:right="0" w:rightChars="0"/>
              <w:rPr>
                <w:sz w:val="24"/>
              </w:rPr>
            </w:pPr>
            <w:r>
              <w:rPr>
                <w:sz w:val="24"/>
              </w:rPr>
              <w:t>澥河、凤凰沟、白尤沟、团结沟、湖沟、莲花沟、清淤、桥涵、绿化</w:t>
            </w:r>
          </w:p>
        </w:tc>
      </w:tr>
      <w:tr w14:paraId="3C923C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7B89687">
            <w:pPr>
              <w:pStyle w:val="16"/>
              <w:spacing w:before="118"/>
              <w:ind w:left="281" w:leftChars="0" w:right="0" w:rightChars="0"/>
              <w:rPr>
                <w:sz w:val="24"/>
              </w:rPr>
            </w:pPr>
            <w:r>
              <w:rPr>
                <w:sz w:val="24"/>
              </w:rPr>
              <w:t>2</w:t>
            </w:r>
            <w:r>
              <w:rPr>
                <w:rFonts w:hint="eastAsia"/>
                <w:sz w:val="24"/>
                <w:lang w:val="en-US" w:eastAsia="zh-CN"/>
              </w:rPr>
              <w:t>2</w:t>
            </w:r>
          </w:p>
        </w:tc>
        <w:tc>
          <w:tcPr>
            <w:tcW w:w="3641" w:type="dxa"/>
            <w:tcBorders>
              <w:top w:val="single" w:color="000000" w:sz="6" w:space="0"/>
              <w:left w:val="double" w:color="000000" w:sz="0" w:space="0"/>
              <w:bottom w:val="single" w:color="000000" w:sz="6" w:space="0"/>
              <w:right w:val="single" w:color="000000" w:sz="6" w:space="0"/>
            </w:tcBorders>
            <w:vAlign w:val="top"/>
          </w:tcPr>
          <w:p w14:paraId="7D50AE9B">
            <w:pPr>
              <w:pStyle w:val="16"/>
              <w:spacing w:before="178"/>
              <w:ind w:left="107" w:leftChars="0" w:right="0" w:rightChars="0"/>
              <w:rPr>
                <w:sz w:val="24"/>
              </w:rPr>
            </w:pPr>
            <w:r>
              <w:rPr>
                <w:sz w:val="24"/>
              </w:rPr>
              <w:t>杨柳沟综合治理项目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558F51E8">
            <w:pPr>
              <w:pStyle w:val="16"/>
              <w:spacing w:before="22"/>
              <w:ind w:left="115"/>
              <w:rPr>
                <w:sz w:val="24"/>
              </w:rPr>
            </w:pPr>
            <w:r>
              <w:rPr>
                <w:spacing w:val="-20"/>
                <w:sz w:val="24"/>
              </w:rPr>
              <w:t xml:space="preserve">总长 </w:t>
            </w:r>
            <w:r>
              <w:rPr>
                <w:sz w:val="24"/>
              </w:rPr>
              <w:t>5.5</w:t>
            </w:r>
            <w:r>
              <w:rPr>
                <w:spacing w:val="-12"/>
                <w:sz w:val="24"/>
              </w:rPr>
              <w:t xml:space="preserve"> 公里，打造公园式综合整治，清淤 </w:t>
            </w:r>
            <w:r>
              <w:rPr>
                <w:sz w:val="24"/>
              </w:rPr>
              <w:t>5.5</w:t>
            </w:r>
            <w:r>
              <w:rPr>
                <w:spacing w:val="-17"/>
                <w:sz w:val="24"/>
              </w:rPr>
              <w:t xml:space="preserve"> 公里，新建护坡 </w:t>
            </w:r>
            <w:r>
              <w:rPr>
                <w:sz w:val="24"/>
              </w:rPr>
              <w:t>11</w:t>
            </w:r>
            <w:r>
              <w:rPr>
                <w:spacing w:val="-11"/>
                <w:sz w:val="24"/>
              </w:rPr>
              <w:t xml:space="preserve"> 公里，绿化、亮</w:t>
            </w:r>
          </w:p>
          <w:p w14:paraId="7BA4CCAC">
            <w:pPr>
              <w:pStyle w:val="16"/>
              <w:spacing w:before="4" w:line="307" w:lineRule="exact"/>
              <w:ind w:left="115" w:leftChars="0" w:right="0" w:rightChars="0"/>
              <w:rPr>
                <w:sz w:val="24"/>
              </w:rPr>
            </w:pPr>
            <w:r>
              <w:rPr>
                <w:sz w:val="24"/>
              </w:rPr>
              <w:t>化、建设步道 5.5 公里，建设公厕一座</w:t>
            </w:r>
          </w:p>
        </w:tc>
      </w:tr>
      <w:tr w14:paraId="265905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56BAA89">
            <w:pPr>
              <w:pStyle w:val="16"/>
              <w:spacing w:before="3"/>
              <w:ind w:left="281" w:leftChars="0" w:right="0" w:rightChars="0"/>
              <w:rPr>
                <w:sz w:val="24"/>
              </w:rPr>
            </w:pPr>
            <w:r>
              <w:rPr>
                <w:sz w:val="24"/>
              </w:rPr>
              <w:t>2</w:t>
            </w:r>
            <w:r>
              <w:rPr>
                <w:rFonts w:hint="eastAsia"/>
                <w:sz w:val="24"/>
                <w:lang w:val="en-US" w:eastAsia="zh-CN"/>
              </w:rPr>
              <w:t>3</w:t>
            </w:r>
          </w:p>
        </w:tc>
        <w:tc>
          <w:tcPr>
            <w:tcW w:w="3641" w:type="dxa"/>
            <w:tcBorders>
              <w:top w:val="single" w:color="000000" w:sz="6" w:space="0"/>
              <w:left w:val="double" w:color="000000" w:sz="0" w:space="0"/>
              <w:bottom w:val="single" w:color="000000" w:sz="6" w:space="0"/>
              <w:right w:val="single" w:color="000000" w:sz="6" w:space="0"/>
            </w:tcBorders>
            <w:vAlign w:val="top"/>
          </w:tcPr>
          <w:p w14:paraId="0E4FD39B">
            <w:pPr>
              <w:pStyle w:val="16"/>
              <w:spacing w:before="37"/>
              <w:ind w:left="107" w:leftChars="0" w:right="0" w:rightChars="0"/>
              <w:rPr>
                <w:sz w:val="24"/>
              </w:rPr>
            </w:pPr>
            <w:r>
              <w:rPr>
                <w:sz w:val="24"/>
              </w:rPr>
              <w:t>隋堤沟治理项目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6B49A398">
            <w:pPr>
              <w:pStyle w:val="16"/>
              <w:spacing w:before="37"/>
              <w:ind w:left="115" w:leftChars="0" w:right="0" w:rightChars="0"/>
              <w:rPr>
                <w:sz w:val="24"/>
              </w:rPr>
            </w:pPr>
            <w:r>
              <w:rPr>
                <w:sz w:val="24"/>
              </w:rPr>
              <w:t>建设大沟桥 15 座，隋堤沟疏浚，两岸绿化、步道及亮化工程</w:t>
            </w:r>
          </w:p>
        </w:tc>
      </w:tr>
      <w:tr w14:paraId="527C26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CC23EBA">
            <w:pPr>
              <w:pStyle w:val="16"/>
              <w:spacing w:before="47"/>
              <w:ind w:left="281" w:leftChars="0" w:right="0" w:rightChars="0"/>
              <w:rPr>
                <w:sz w:val="24"/>
              </w:rPr>
            </w:pPr>
            <w:r>
              <w:rPr>
                <w:b/>
                <w:w w:val="99"/>
                <w:sz w:val="24"/>
              </w:rPr>
              <w:t>四</w:t>
            </w:r>
          </w:p>
        </w:tc>
        <w:tc>
          <w:tcPr>
            <w:tcW w:w="3641" w:type="dxa"/>
            <w:tcBorders>
              <w:top w:val="single" w:color="000000" w:sz="6" w:space="0"/>
              <w:left w:val="double" w:color="000000" w:sz="0" w:space="0"/>
              <w:bottom w:val="single" w:color="000000" w:sz="6" w:space="0"/>
              <w:right w:val="single" w:color="000000" w:sz="6" w:space="0"/>
            </w:tcBorders>
            <w:vAlign w:val="top"/>
          </w:tcPr>
          <w:p w14:paraId="58ED161F">
            <w:pPr>
              <w:pStyle w:val="16"/>
              <w:spacing w:before="107"/>
              <w:ind w:left="107" w:leftChars="0" w:right="0" w:rightChars="0"/>
              <w:rPr>
                <w:sz w:val="24"/>
              </w:rPr>
            </w:pPr>
            <w:r>
              <w:rPr>
                <w:b/>
                <w:sz w:val="24"/>
              </w:rPr>
              <w:t>农林水利基础设施建设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4757E66E">
            <w:pPr>
              <w:pStyle w:val="16"/>
              <w:ind w:left="0" w:leftChars="0" w:right="0" w:rightChars="0"/>
              <w:rPr>
                <w:sz w:val="24"/>
              </w:rPr>
            </w:pPr>
          </w:p>
        </w:tc>
      </w:tr>
      <w:tr w14:paraId="2BA6CE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C98C487">
            <w:pPr>
              <w:pStyle w:val="16"/>
              <w:spacing w:before="45"/>
              <w:ind w:left="281" w:leftChars="0" w:right="0" w:rightChars="0"/>
              <w:rPr>
                <w:sz w:val="24"/>
              </w:rPr>
            </w:pPr>
            <w:r>
              <w:rPr>
                <w:sz w:val="24"/>
              </w:rPr>
              <w:t>2</w:t>
            </w:r>
            <w:r>
              <w:rPr>
                <w:rFonts w:hint="eastAsia"/>
                <w:sz w:val="24"/>
                <w:lang w:val="en-US" w:eastAsia="zh-CN"/>
              </w:rPr>
              <w:t>4</w:t>
            </w:r>
          </w:p>
        </w:tc>
        <w:tc>
          <w:tcPr>
            <w:tcW w:w="3641" w:type="dxa"/>
            <w:tcBorders>
              <w:top w:val="single" w:color="000000" w:sz="6" w:space="0"/>
              <w:left w:val="double" w:color="000000" w:sz="0" w:space="0"/>
              <w:bottom w:val="single" w:color="000000" w:sz="6" w:space="0"/>
              <w:right w:val="single" w:color="000000" w:sz="6" w:space="0"/>
            </w:tcBorders>
            <w:vAlign w:val="top"/>
          </w:tcPr>
          <w:p w14:paraId="102839C0">
            <w:pPr>
              <w:pStyle w:val="16"/>
              <w:spacing w:before="105"/>
              <w:ind w:left="107" w:leftChars="0" w:right="0" w:rightChars="0"/>
              <w:rPr>
                <w:sz w:val="24"/>
              </w:rPr>
            </w:pPr>
            <w:r>
              <w:rPr>
                <w:sz w:val="24"/>
              </w:rPr>
              <w:t>濉溪县农村饮用水安全</w:t>
            </w:r>
          </w:p>
        </w:tc>
        <w:tc>
          <w:tcPr>
            <w:tcW w:w="8934" w:type="dxa"/>
            <w:tcBorders>
              <w:top w:val="single" w:color="000000" w:sz="6" w:space="0"/>
              <w:left w:val="single" w:color="000000" w:sz="6" w:space="0"/>
              <w:bottom w:val="single" w:color="000000" w:sz="6" w:space="0"/>
              <w:right w:val="single" w:color="000000" w:sz="6" w:space="0"/>
            </w:tcBorders>
            <w:vAlign w:val="top"/>
          </w:tcPr>
          <w:p w14:paraId="384E5462">
            <w:pPr>
              <w:pStyle w:val="16"/>
              <w:spacing w:before="105"/>
              <w:ind w:left="115" w:leftChars="0" w:right="0" w:rightChars="0"/>
              <w:rPr>
                <w:sz w:val="24"/>
              </w:rPr>
            </w:pPr>
            <w:r>
              <w:rPr>
                <w:sz w:val="24"/>
              </w:rPr>
              <w:t>农村饮水安全巩固提升工程建设</w:t>
            </w:r>
          </w:p>
        </w:tc>
      </w:tr>
      <w:tr w14:paraId="24E1BD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1690D7E">
            <w:pPr>
              <w:pStyle w:val="16"/>
              <w:spacing w:before="99"/>
              <w:ind w:left="281" w:leftChars="0" w:right="0" w:rightChars="0"/>
              <w:rPr>
                <w:sz w:val="24"/>
              </w:rPr>
            </w:pPr>
            <w:r>
              <w:rPr>
                <w:sz w:val="24"/>
              </w:rPr>
              <w:t>2</w:t>
            </w:r>
            <w:r>
              <w:rPr>
                <w:rFonts w:hint="eastAsia"/>
                <w:sz w:val="24"/>
                <w:lang w:val="en-US" w:eastAsia="zh-CN"/>
              </w:rPr>
              <w:t>5</w:t>
            </w:r>
          </w:p>
        </w:tc>
        <w:tc>
          <w:tcPr>
            <w:tcW w:w="3641" w:type="dxa"/>
            <w:tcBorders>
              <w:top w:val="single" w:color="000000" w:sz="6" w:space="0"/>
              <w:left w:val="double" w:color="000000" w:sz="0" w:space="0"/>
              <w:bottom w:val="single" w:color="000000" w:sz="6" w:space="0"/>
              <w:right w:val="single" w:color="000000" w:sz="6" w:space="0"/>
            </w:tcBorders>
            <w:vAlign w:val="top"/>
          </w:tcPr>
          <w:p w14:paraId="19F0BFD2">
            <w:pPr>
              <w:pStyle w:val="16"/>
              <w:spacing w:before="3"/>
              <w:ind w:left="107"/>
              <w:rPr>
                <w:sz w:val="24"/>
              </w:rPr>
            </w:pPr>
            <w:r>
              <w:rPr>
                <w:sz w:val="24"/>
              </w:rPr>
              <w:t>畜禽粪污资源化利用整县推进项</w:t>
            </w:r>
          </w:p>
          <w:p w14:paraId="7091C668">
            <w:pPr>
              <w:pStyle w:val="16"/>
              <w:spacing w:before="5" w:line="288" w:lineRule="exact"/>
              <w:ind w:left="107" w:leftChars="0" w:right="0" w:rightChars="0"/>
              <w:rPr>
                <w:sz w:val="24"/>
              </w:rPr>
            </w:pPr>
            <w:r>
              <w:rPr>
                <w:sz w:val="24"/>
              </w:rPr>
              <w:t>目</w:t>
            </w:r>
          </w:p>
        </w:tc>
        <w:tc>
          <w:tcPr>
            <w:tcW w:w="8934" w:type="dxa"/>
            <w:tcBorders>
              <w:top w:val="single" w:color="000000" w:sz="6" w:space="0"/>
              <w:left w:val="single" w:color="000000" w:sz="6" w:space="0"/>
              <w:bottom w:val="single" w:color="000000" w:sz="6" w:space="0"/>
              <w:right w:val="single" w:color="000000" w:sz="6" w:space="0"/>
            </w:tcBorders>
            <w:vAlign w:val="top"/>
          </w:tcPr>
          <w:p w14:paraId="2D228F5C">
            <w:pPr>
              <w:pStyle w:val="16"/>
              <w:spacing w:before="159"/>
              <w:ind w:left="115" w:leftChars="0" w:right="0" w:rightChars="0"/>
              <w:rPr>
                <w:sz w:val="24"/>
              </w:rPr>
            </w:pPr>
            <w:r>
              <w:rPr>
                <w:sz w:val="24"/>
              </w:rPr>
              <w:t>镇域内 120 家中小型养殖场粪污处理设施建设</w:t>
            </w:r>
          </w:p>
        </w:tc>
      </w:tr>
      <w:tr w14:paraId="23627A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D4AF4F6">
            <w:pPr>
              <w:pStyle w:val="16"/>
              <w:spacing w:before="24"/>
              <w:ind w:left="281" w:leftChars="0" w:right="0" w:rightChars="0"/>
              <w:rPr>
                <w:sz w:val="24"/>
              </w:rPr>
            </w:pPr>
            <w:r>
              <w:rPr>
                <w:b/>
                <w:w w:val="99"/>
                <w:sz w:val="24"/>
              </w:rPr>
              <w:t>五</w:t>
            </w:r>
          </w:p>
        </w:tc>
        <w:tc>
          <w:tcPr>
            <w:tcW w:w="3641" w:type="dxa"/>
            <w:tcBorders>
              <w:top w:val="single" w:color="000000" w:sz="6" w:space="0"/>
              <w:left w:val="double" w:color="000000" w:sz="0" w:space="0"/>
              <w:bottom w:val="single" w:color="000000" w:sz="6" w:space="0"/>
              <w:right w:val="single" w:color="000000" w:sz="6" w:space="0"/>
            </w:tcBorders>
            <w:vAlign w:val="top"/>
          </w:tcPr>
          <w:p w14:paraId="31A82441">
            <w:pPr>
              <w:pStyle w:val="16"/>
              <w:spacing w:before="24"/>
              <w:ind w:left="107" w:leftChars="0" w:right="0" w:rightChars="0"/>
              <w:rPr>
                <w:sz w:val="24"/>
              </w:rPr>
            </w:pPr>
            <w:r>
              <w:rPr>
                <w:b/>
                <w:sz w:val="24"/>
              </w:rPr>
              <w:t>自然生态保护</w:t>
            </w:r>
          </w:p>
        </w:tc>
        <w:tc>
          <w:tcPr>
            <w:tcW w:w="8934" w:type="dxa"/>
            <w:tcBorders>
              <w:top w:val="single" w:color="000000" w:sz="6" w:space="0"/>
              <w:left w:val="single" w:color="000000" w:sz="6" w:space="0"/>
              <w:bottom w:val="single" w:color="000000" w:sz="6" w:space="0"/>
              <w:right w:val="single" w:color="000000" w:sz="6" w:space="0"/>
            </w:tcBorders>
            <w:vAlign w:val="top"/>
          </w:tcPr>
          <w:p w14:paraId="1974243B">
            <w:pPr>
              <w:pStyle w:val="16"/>
              <w:ind w:left="0" w:leftChars="0" w:right="0" w:rightChars="0"/>
              <w:rPr>
                <w:sz w:val="24"/>
              </w:rPr>
            </w:pPr>
          </w:p>
        </w:tc>
      </w:tr>
      <w:tr w14:paraId="3ED820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26659787">
            <w:pPr>
              <w:pStyle w:val="16"/>
              <w:spacing w:before="8"/>
              <w:rPr>
                <w:rFonts w:ascii="Times New Roman"/>
                <w:sz w:val="25"/>
              </w:rPr>
            </w:pPr>
          </w:p>
          <w:p w14:paraId="0CDA1128">
            <w:pPr>
              <w:pStyle w:val="16"/>
              <w:ind w:left="281" w:leftChars="0" w:right="0" w:rightChars="0"/>
              <w:rPr>
                <w:sz w:val="24"/>
              </w:rPr>
            </w:pPr>
            <w:r>
              <w:rPr>
                <w:sz w:val="24"/>
              </w:rPr>
              <w:t>2</w:t>
            </w:r>
            <w:r>
              <w:rPr>
                <w:rFonts w:hint="eastAsia"/>
                <w:sz w:val="24"/>
                <w:lang w:val="en-US" w:eastAsia="zh-CN"/>
              </w:rPr>
              <w:t>6</w:t>
            </w:r>
          </w:p>
        </w:tc>
        <w:tc>
          <w:tcPr>
            <w:tcW w:w="3641" w:type="dxa"/>
            <w:tcBorders>
              <w:top w:val="single" w:color="000000" w:sz="6" w:space="0"/>
              <w:left w:val="double" w:color="000000" w:sz="0" w:space="0"/>
              <w:bottom w:val="single" w:color="000000" w:sz="6" w:space="0"/>
              <w:right w:val="single" w:color="000000" w:sz="6" w:space="0"/>
            </w:tcBorders>
            <w:vAlign w:val="top"/>
          </w:tcPr>
          <w:p w14:paraId="34F84C11">
            <w:pPr>
              <w:pStyle w:val="16"/>
              <w:spacing w:before="10"/>
              <w:rPr>
                <w:rFonts w:ascii="Times New Roman"/>
                <w:sz w:val="30"/>
              </w:rPr>
            </w:pPr>
          </w:p>
          <w:p w14:paraId="1DA5A507">
            <w:pPr>
              <w:pStyle w:val="16"/>
              <w:ind w:left="107" w:leftChars="0" w:right="0" w:rightChars="0"/>
              <w:rPr>
                <w:sz w:val="24"/>
              </w:rPr>
            </w:pPr>
            <w:r>
              <w:rPr>
                <w:sz w:val="24"/>
              </w:rPr>
              <w:t>县城区生态修复工程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72B9C345">
            <w:pPr>
              <w:pStyle w:val="16"/>
              <w:spacing w:before="43" w:line="242" w:lineRule="auto"/>
              <w:ind w:left="117" w:leftChars="0" w:right="34" w:rightChars="0"/>
              <w:rPr>
                <w:sz w:val="24"/>
              </w:rPr>
            </w:pPr>
            <w:r>
              <w:rPr>
                <w:sz w:val="24"/>
              </w:rPr>
              <w:t>对县城区绿化进行全面提升，推行现有绿地下凹式改建。 “扩地增绿、见缝插绿、拆违建绿”，推进溪河、王引河、刘河沟滨水绿地建设。积极结合道路绿化，实施亮化美化。推进海绵城市建设，逐步完善雨水收集体系。</w:t>
            </w:r>
          </w:p>
        </w:tc>
      </w:tr>
      <w:tr w14:paraId="6B36FD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2CFC0C9">
            <w:pPr>
              <w:pStyle w:val="16"/>
              <w:rPr>
                <w:rFonts w:ascii="Times New Roman"/>
                <w:sz w:val="24"/>
              </w:rPr>
            </w:pPr>
          </w:p>
          <w:p w14:paraId="6C0A69B7">
            <w:pPr>
              <w:pStyle w:val="16"/>
              <w:spacing w:before="2"/>
              <w:rPr>
                <w:rFonts w:ascii="Times New Roman"/>
                <w:sz w:val="31"/>
              </w:rPr>
            </w:pPr>
          </w:p>
          <w:p w14:paraId="3496AFDF">
            <w:pPr>
              <w:pStyle w:val="16"/>
              <w:ind w:left="281" w:leftChars="0" w:right="0" w:rightChars="0"/>
              <w:rPr>
                <w:sz w:val="24"/>
              </w:rPr>
            </w:pPr>
            <w:r>
              <w:rPr>
                <w:sz w:val="24"/>
              </w:rPr>
              <w:t>2</w:t>
            </w:r>
            <w:r>
              <w:rPr>
                <w:rFonts w:hint="eastAsia"/>
                <w:sz w:val="24"/>
                <w:lang w:val="en-US" w:eastAsia="zh-CN"/>
              </w:rPr>
              <w:t>7</w:t>
            </w:r>
          </w:p>
        </w:tc>
        <w:tc>
          <w:tcPr>
            <w:tcW w:w="3641" w:type="dxa"/>
            <w:tcBorders>
              <w:top w:val="single" w:color="000000" w:sz="6" w:space="0"/>
              <w:left w:val="double" w:color="000000" w:sz="0" w:space="0"/>
              <w:bottom w:val="single" w:color="000000" w:sz="6" w:space="0"/>
              <w:right w:val="single" w:color="000000" w:sz="6" w:space="0"/>
            </w:tcBorders>
            <w:vAlign w:val="top"/>
          </w:tcPr>
          <w:p w14:paraId="2AB7E8DC">
            <w:pPr>
              <w:pStyle w:val="16"/>
              <w:rPr>
                <w:rFonts w:ascii="Times New Roman"/>
                <w:sz w:val="24"/>
              </w:rPr>
            </w:pPr>
          </w:p>
          <w:p w14:paraId="6C8D85EE">
            <w:pPr>
              <w:pStyle w:val="16"/>
              <w:rPr>
                <w:rFonts w:ascii="Times New Roman"/>
                <w:sz w:val="24"/>
              </w:rPr>
            </w:pPr>
          </w:p>
          <w:p w14:paraId="2CF8B2D5">
            <w:pPr>
              <w:pStyle w:val="16"/>
              <w:spacing w:before="143"/>
              <w:ind w:left="107" w:leftChars="0" w:right="0" w:rightChars="0"/>
              <w:rPr>
                <w:sz w:val="24"/>
              </w:rPr>
            </w:pPr>
            <w:r>
              <w:rPr>
                <w:sz w:val="24"/>
              </w:rPr>
              <w:t>孙疃镇水生态修复与治理工程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7E6DDF76">
            <w:pPr>
              <w:pStyle w:val="16"/>
              <w:spacing w:before="70" w:line="242" w:lineRule="auto"/>
              <w:ind w:left="117" w:leftChars="0" w:right="94" w:rightChars="0"/>
              <w:jc w:val="both"/>
              <w:rPr>
                <w:sz w:val="24"/>
              </w:rPr>
            </w:pPr>
            <w:r>
              <w:rPr>
                <w:sz w:val="24"/>
              </w:rPr>
              <w:t>实施水道治理项目，包括实施幸福沟水道治理工程、幸福沟水道治理工程、尹沟水道治理工程、尤沟水道治理工程、燕头沟水道治理工程、杨柳沟水道治理工程、大兴沟水道治理工程、牛鼻子沟水道治理工程、河堤公园改建工程，共修复改建护岸5000</w:t>
            </w:r>
            <w:r>
              <w:rPr>
                <w:spacing w:val="-18"/>
                <w:sz w:val="24"/>
              </w:rPr>
              <w:t xml:space="preserve"> 米、宣传牌 </w:t>
            </w:r>
            <w:r>
              <w:rPr>
                <w:sz w:val="24"/>
              </w:rPr>
              <w:t>200</w:t>
            </w:r>
            <w:r>
              <w:rPr>
                <w:spacing w:val="-9"/>
                <w:sz w:val="24"/>
              </w:rPr>
              <w:t xml:space="preserve"> 块，构建生态围堰，修复改善沿河生态环境，减少河岸水土流</w:t>
            </w:r>
            <w:r>
              <w:rPr>
                <w:sz w:val="24"/>
              </w:rPr>
              <w:t>失。孙疃镇楼坊村、郭集村最后一公里项目，提高农田标准。</w:t>
            </w:r>
          </w:p>
        </w:tc>
      </w:tr>
      <w:tr w14:paraId="4690FD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1C0E21C">
            <w:pPr>
              <w:pStyle w:val="16"/>
              <w:spacing w:before="118"/>
              <w:ind w:left="281" w:leftChars="0" w:right="0" w:rightChars="0"/>
              <w:rPr>
                <w:sz w:val="24"/>
              </w:rPr>
            </w:pPr>
            <w:r>
              <w:rPr>
                <w:sz w:val="24"/>
              </w:rPr>
              <w:t>2</w:t>
            </w:r>
            <w:r>
              <w:rPr>
                <w:rFonts w:hint="eastAsia"/>
                <w:sz w:val="24"/>
                <w:lang w:val="en-US" w:eastAsia="zh-CN"/>
              </w:rPr>
              <w:t>8</w:t>
            </w:r>
          </w:p>
        </w:tc>
        <w:tc>
          <w:tcPr>
            <w:tcW w:w="3641" w:type="dxa"/>
            <w:tcBorders>
              <w:top w:val="single" w:color="000000" w:sz="6" w:space="0"/>
              <w:left w:val="double" w:color="000000" w:sz="0" w:space="0"/>
              <w:bottom w:val="single" w:color="000000" w:sz="6" w:space="0"/>
              <w:right w:val="single" w:color="000000" w:sz="6" w:space="0"/>
            </w:tcBorders>
            <w:vAlign w:val="top"/>
          </w:tcPr>
          <w:p w14:paraId="141C5E96">
            <w:pPr>
              <w:pStyle w:val="16"/>
              <w:spacing w:before="19" w:line="310" w:lineRule="atLeast"/>
              <w:ind w:left="107" w:leftChars="0" w:right="151" w:rightChars="0"/>
              <w:rPr>
                <w:sz w:val="24"/>
              </w:rPr>
            </w:pPr>
            <w:r>
              <w:rPr>
                <w:sz w:val="24"/>
              </w:rPr>
              <w:t>铁佛镇沟渠水生态修复与治理项目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4F2A32A2">
            <w:pPr>
              <w:pStyle w:val="16"/>
              <w:spacing w:before="178"/>
              <w:ind w:left="117" w:leftChars="0" w:right="0" w:rightChars="0"/>
              <w:rPr>
                <w:sz w:val="24"/>
              </w:rPr>
            </w:pPr>
            <w:r>
              <w:rPr>
                <w:sz w:val="24"/>
              </w:rPr>
              <w:t>隋堤沟、新建沟、和平沟、清沟、风沟、姬沟、莲花沟等水生态修复与治理工程</w:t>
            </w:r>
          </w:p>
        </w:tc>
      </w:tr>
      <w:tr w14:paraId="0DFB3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684AEE3">
            <w:pPr>
              <w:pStyle w:val="16"/>
              <w:spacing w:before="41"/>
              <w:ind w:left="281" w:leftChars="0" w:right="0" w:rightChars="0"/>
              <w:rPr>
                <w:sz w:val="24"/>
              </w:rPr>
            </w:pPr>
            <w:r>
              <w:rPr>
                <w:b/>
                <w:w w:val="99"/>
                <w:sz w:val="24"/>
              </w:rPr>
              <w:t>六</w:t>
            </w:r>
          </w:p>
        </w:tc>
        <w:tc>
          <w:tcPr>
            <w:tcW w:w="3641" w:type="dxa"/>
            <w:tcBorders>
              <w:top w:val="single" w:color="000000" w:sz="6" w:space="0"/>
              <w:left w:val="double" w:color="000000" w:sz="0" w:space="0"/>
              <w:bottom w:val="single" w:color="000000" w:sz="6" w:space="0"/>
              <w:right w:val="single" w:color="000000" w:sz="6" w:space="0"/>
            </w:tcBorders>
            <w:vAlign w:val="top"/>
          </w:tcPr>
          <w:p w14:paraId="7F41FA3C">
            <w:pPr>
              <w:pStyle w:val="16"/>
              <w:spacing w:before="81"/>
              <w:ind w:left="107" w:leftChars="0" w:right="0" w:rightChars="0"/>
              <w:rPr>
                <w:sz w:val="24"/>
              </w:rPr>
            </w:pPr>
            <w:r>
              <w:rPr>
                <w:b/>
                <w:sz w:val="24"/>
              </w:rPr>
              <w:t>城市基础设施建设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7C31959D">
            <w:pPr>
              <w:pStyle w:val="16"/>
              <w:ind w:left="0" w:leftChars="0" w:right="0" w:rightChars="0"/>
              <w:rPr>
                <w:sz w:val="24"/>
              </w:rPr>
            </w:pPr>
          </w:p>
        </w:tc>
      </w:tr>
      <w:tr w14:paraId="5362B6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00731DB">
            <w:pPr>
              <w:pStyle w:val="16"/>
              <w:spacing w:before="20"/>
              <w:ind w:left="281" w:leftChars="0" w:right="0" w:rightChars="0"/>
              <w:rPr>
                <w:sz w:val="24"/>
              </w:rPr>
            </w:pPr>
            <w:r>
              <w:rPr>
                <w:rFonts w:hint="eastAsia"/>
                <w:sz w:val="24"/>
                <w:lang w:val="en-US" w:eastAsia="zh-CN"/>
              </w:rPr>
              <w:t>29</w:t>
            </w:r>
          </w:p>
        </w:tc>
        <w:tc>
          <w:tcPr>
            <w:tcW w:w="3641" w:type="dxa"/>
            <w:tcBorders>
              <w:top w:val="single" w:color="000000" w:sz="6" w:space="0"/>
              <w:left w:val="double" w:color="000000" w:sz="0" w:space="0"/>
              <w:bottom w:val="single" w:color="000000" w:sz="6" w:space="0"/>
              <w:right w:val="single" w:color="000000" w:sz="6" w:space="0"/>
            </w:tcBorders>
            <w:vAlign w:val="top"/>
          </w:tcPr>
          <w:p w14:paraId="4CC9C042">
            <w:pPr>
              <w:pStyle w:val="16"/>
              <w:spacing w:before="80"/>
              <w:ind w:left="107" w:leftChars="0" w:right="0" w:rightChars="0"/>
              <w:rPr>
                <w:sz w:val="24"/>
              </w:rPr>
            </w:pPr>
            <w:r>
              <w:rPr>
                <w:sz w:val="24"/>
              </w:rPr>
              <w:t>南部次中心污水处理厂</w:t>
            </w:r>
          </w:p>
        </w:tc>
        <w:tc>
          <w:tcPr>
            <w:tcW w:w="8934" w:type="dxa"/>
            <w:tcBorders>
              <w:top w:val="single" w:color="000000" w:sz="6" w:space="0"/>
              <w:left w:val="single" w:color="000000" w:sz="6" w:space="0"/>
              <w:bottom w:val="single" w:color="000000" w:sz="6" w:space="0"/>
              <w:right w:val="single" w:color="000000" w:sz="6" w:space="0"/>
            </w:tcBorders>
            <w:vAlign w:val="top"/>
          </w:tcPr>
          <w:p w14:paraId="626B09FB">
            <w:pPr>
              <w:pStyle w:val="16"/>
              <w:spacing w:before="20"/>
              <w:ind w:right="0" w:rightChars="0"/>
              <w:rPr>
                <w:sz w:val="24"/>
              </w:rPr>
            </w:pPr>
            <w:r>
              <w:rPr>
                <w:sz w:val="24"/>
              </w:rPr>
              <w:t>新建南部次中心污水处理厂及配套管网设施</w:t>
            </w:r>
          </w:p>
        </w:tc>
      </w:tr>
      <w:tr w14:paraId="661ADB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BA468DA">
            <w:pPr>
              <w:pStyle w:val="16"/>
              <w:spacing w:before="139"/>
              <w:ind w:left="281" w:leftChars="0" w:right="0" w:rightChars="0"/>
              <w:rPr>
                <w:sz w:val="24"/>
              </w:rPr>
            </w:pPr>
            <w:r>
              <w:rPr>
                <w:sz w:val="24"/>
              </w:rPr>
              <w:t>3</w:t>
            </w:r>
            <w:r>
              <w:rPr>
                <w:rFonts w:hint="eastAsia"/>
                <w:sz w:val="24"/>
                <w:lang w:val="en-US" w:eastAsia="zh-CN"/>
              </w:rPr>
              <w:t>0</w:t>
            </w:r>
          </w:p>
        </w:tc>
        <w:tc>
          <w:tcPr>
            <w:tcW w:w="3641" w:type="dxa"/>
            <w:tcBorders>
              <w:top w:val="single" w:color="000000" w:sz="6" w:space="0"/>
              <w:left w:val="double" w:color="000000" w:sz="0" w:space="0"/>
              <w:bottom w:val="single" w:color="000000" w:sz="6" w:space="0"/>
              <w:right w:val="single" w:color="000000" w:sz="6" w:space="0"/>
            </w:tcBorders>
            <w:vAlign w:val="top"/>
          </w:tcPr>
          <w:p w14:paraId="188BAD6A">
            <w:pPr>
              <w:pStyle w:val="16"/>
              <w:spacing w:before="139"/>
              <w:ind w:left="107" w:leftChars="0" w:right="0" w:rightChars="0"/>
              <w:rPr>
                <w:sz w:val="24"/>
              </w:rPr>
            </w:pPr>
            <w:r>
              <w:rPr>
                <w:sz w:val="24"/>
              </w:rPr>
              <w:t>孙疃镇建成区街区提升改造工程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1D9BD162">
            <w:pPr>
              <w:pStyle w:val="16"/>
              <w:spacing w:before="2" w:line="242" w:lineRule="auto"/>
              <w:ind w:left="117" w:leftChars="0" w:right="154" w:rightChars="0"/>
              <w:rPr>
                <w:sz w:val="24"/>
              </w:rPr>
            </w:pPr>
            <w:r>
              <w:rPr>
                <w:sz w:val="24"/>
              </w:rPr>
              <w:t>孙疃街道路硬化、沿街绿化、下水道雨污分流器、商铺门头统一制作、污水处理厂建设等</w:t>
            </w:r>
          </w:p>
        </w:tc>
      </w:tr>
      <w:tr w14:paraId="12CD7C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07E1A8A">
            <w:pPr>
              <w:pStyle w:val="16"/>
              <w:spacing w:before="31"/>
              <w:ind w:left="281" w:leftChars="0" w:right="0" w:rightChars="0"/>
              <w:rPr>
                <w:sz w:val="24"/>
              </w:rPr>
            </w:pPr>
            <w:r>
              <w:rPr>
                <w:sz w:val="24"/>
              </w:rPr>
              <w:t>3</w:t>
            </w:r>
            <w:r>
              <w:rPr>
                <w:rFonts w:hint="eastAsia"/>
                <w:sz w:val="24"/>
                <w:lang w:val="en-US" w:eastAsia="zh-CN"/>
              </w:rPr>
              <w:t>1</w:t>
            </w:r>
          </w:p>
        </w:tc>
        <w:tc>
          <w:tcPr>
            <w:tcW w:w="3641" w:type="dxa"/>
            <w:tcBorders>
              <w:top w:val="single" w:color="000000" w:sz="6" w:space="0"/>
              <w:left w:val="double" w:color="000000" w:sz="0" w:space="0"/>
              <w:bottom w:val="single" w:color="000000" w:sz="6" w:space="0"/>
              <w:right w:val="single" w:color="000000" w:sz="6" w:space="0"/>
            </w:tcBorders>
            <w:vAlign w:val="top"/>
          </w:tcPr>
          <w:p w14:paraId="2BD0F1AE">
            <w:pPr>
              <w:pStyle w:val="16"/>
              <w:spacing w:before="91"/>
              <w:ind w:left="107" w:leftChars="0" w:right="0" w:rightChars="0"/>
              <w:rPr>
                <w:sz w:val="24"/>
              </w:rPr>
            </w:pPr>
            <w:r>
              <w:rPr>
                <w:sz w:val="24"/>
              </w:rPr>
              <w:t>管网铺设及入户安装工程项目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B87E158">
            <w:pPr>
              <w:pStyle w:val="16"/>
              <w:spacing w:before="91"/>
              <w:ind w:left="117" w:leftChars="0" w:right="0" w:rightChars="0"/>
              <w:rPr>
                <w:sz w:val="24"/>
              </w:rPr>
            </w:pPr>
            <w:r>
              <w:rPr>
                <w:sz w:val="24"/>
              </w:rPr>
              <w:t>管网铺设及入户安装工程</w:t>
            </w:r>
          </w:p>
        </w:tc>
      </w:tr>
      <w:tr w14:paraId="3E9A4F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E7D4F79">
            <w:pPr>
              <w:pStyle w:val="16"/>
              <w:rPr>
                <w:rFonts w:ascii="Times New Roman"/>
                <w:sz w:val="24"/>
              </w:rPr>
            </w:pPr>
          </w:p>
          <w:p w14:paraId="3EBE6484">
            <w:pPr>
              <w:pStyle w:val="16"/>
              <w:spacing w:before="183"/>
              <w:ind w:left="281" w:leftChars="0" w:right="0" w:rightChars="0"/>
              <w:rPr>
                <w:sz w:val="24"/>
              </w:rPr>
            </w:pPr>
            <w:r>
              <w:rPr>
                <w:sz w:val="24"/>
              </w:rPr>
              <w:t>3</w:t>
            </w:r>
            <w:r>
              <w:rPr>
                <w:rFonts w:hint="eastAsia"/>
                <w:sz w:val="24"/>
                <w:lang w:val="en-US" w:eastAsia="zh-CN"/>
              </w:rPr>
              <w:t>2</w:t>
            </w:r>
          </w:p>
        </w:tc>
        <w:tc>
          <w:tcPr>
            <w:tcW w:w="3641" w:type="dxa"/>
            <w:tcBorders>
              <w:top w:val="single" w:color="000000" w:sz="6" w:space="0"/>
              <w:left w:val="double" w:color="000000" w:sz="0" w:space="0"/>
              <w:bottom w:val="single" w:color="000000" w:sz="6" w:space="0"/>
              <w:right w:val="single" w:color="000000" w:sz="6" w:space="0"/>
            </w:tcBorders>
            <w:vAlign w:val="top"/>
          </w:tcPr>
          <w:p w14:paraId="1835177A">
            <w:pPr>
              <w:pStyle w:val="16"/>
              <w:rPr>
                <w:rFonts w:ascii="Times New Roman"/>
                <w:sz w:val="24"/>
              </w:rPr>
            </w:pPr>
          </w:p>
          <w:p w14:paraId="14947A23">
            <w:pPr>
              <w:pStyle w:val="16"/>
              <w:spacing w:before="1"/>
              <w:rPr>
                <w:rFonts w:ascii="Times New Roman"/>
                <w:sz w:val="21"/>
              </w:rPr>
            </w:pPr>
          </w:p>
          <w:p w14:paraId="33647C2B">
            <w:pPr>
              <w:pStyle w:val="16"/>
              <w:ind w:left="107" w:leftChars="0" w:right="0" w:rightChars="0"/>
              <w:rPr>
                <w:sz w:val="24"/>
              </w:rPr>
            </w:pPr>
            <w:r>
              <w:rPr>
                <w:sz w:val="24"/>
              </w:rPr>
              <w:t>濉溪县生活垃圾综合治理项目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50B26A01">
            <w:pPr>
              <w:pStyle w:val="16"/>
              <w:spacing w:before="51"/>
              <w:ind w:left="117"/>
              <w:rPr>
                <w:sz w:val="24"/>
              </w:rPr>
            </w:pPr>
            <w:r>
              <w:rPr>
                <w:sz w:val="24"/>
              </w:rPr>
              <w:t>在城区规划建设（改建）</w:t>
            </w:r>
            <w:r>
              <w:rPr>
                <w:spacing w:val="-8"/>
                <w:sz w:val="24"/>
              </w:rPr>
              <w:t xml:space="preserve">生活垃圾分类站 </w:t>
            </w:r>
            <w:r>
              <w:rPr>
                <w:sz w:val="24"/>
              </w:rPr>
              <w:t>8</w:t>
            </w:r>
            <w:r>
              <w:rPr>
                <w:spacing w:val="-12"/>
                <w:sz w:val="24"/>
              </w:rPr>
              <w:t xml:space="preserve"> 座，新增生活垃圾运输专业车辆 </w:t>
            </w:r>
            <w:r>
              <w:rPr>
                <w:sz w:val="24"/>
              </w:rPr>
              <w:t>40</w:t>
            </w:r>
            <w:r>
              <w:rPr>
                <w:spacing w:val="-20"/>
                <w:sz w:val="24"/>
              </w:rPr>
              <w:t xml:space="preserve"> 辆，</w:t>
            </w:r>
          </w:p>
          <w:p w14:paraId="3320281E">
            <w:pPr>
              <w:pStyle w:val="16"/>
              <w:spacing w:before="4" w:line="242" w:lineRule="auto"/>
              <w:ind w:left="117" w:leftChars="0" w:right="-44" w:rightChars="0"/>
              <w:rPr>
                <w:sz w:val="24"/>
              </w:rPr>
            </w:pPr>
            <w:r>
              <w:rPr>
                <w:spacing w:val="-6"/>
                <w:sz w:val="24"/>
              </w:rPr>
              <w:t xml:space="preserve">建设大件垃圾分拣中心 </w:t>
            </w:r>
            <w:r>
              <w:rPr>
                <w:sz w:val="24"/>
              </w:rPr>
              <w:t>1</w:t>
            </w:r>
            <w:r>
              <w:rPr>
                <w:spacing w:val="-14"/>
                <w:sz w:val="24"/>
              </w:rPr>
              <w:t xml:space="preserve"> 座。投入各类生活垃圾分类桶 </w:t>
            </w:r>
            <w:r>
              <w:rPr>
                <w:sz w:val="24"/>
              </w:rPr>
              <w:t>2</w:t>
            </w:r>
            <w:r>
              <w:rPr>
                <w:spacing w:val="-11"/>
                <w:sz w:val="24"/>
              </w:rPr>
              <w:t xml:space="preserve"> 万个。建设环卫综合基地， </w:t>
            </w:r>
            <w:r>
              <w:rPr>
                <w:sz w:val="24"/>
              </w:rPr>
              <w:t>包括环卫停车场、停车库、维修车间、车辆清洗站、垃圾渗滤液处理车间及管理用</w:t>
            </w:r>
            <w:r>
              <w:rPr>
                <w:spacing w:val="-2"/>
                <w:sz w:val="24"/>
              </w:rPr>
              <w:t xml:space="preserve">房等主体设施，以及配电房、环卫物资仓库、值班室等附属设施，占地约 </w:t>
            </w:r>
            <w:r>
              <w:rPr>
                <w:sz w:val="24"/>
              </w:rPr>
              <w:t>20</w:t>
            </w:r>
            <w:r>
              <w:rPr>
                <w:spacing w:val="-30"/>
                <w:sz w:val="24"/>
              </w:rPr>
              <w:t xml:space="preserve"> 亩</w:t>
            </w:r>
          </w:p>
        </w:tc>
      </w:tr>
      <w:tr w14:paraId="03C8FF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6E3F41A">
            <w:pPr>
              <w:pStyle w:val="16"/>
              <w:spacing w:before="3"/>
              <w:ind w:left="281" w:leftChars="0" w:right="0" w:rightChars="0"/>
              <w:rPr>
                <w:sz w:val="24"/>
              </w:rPr>
            </w:pPr>
            <w:r>
              <w:rPr>
                <w:sz w:val="24"/>
              </w:rPr>
              <w:t>3</w:t>
            </w:r>
            <w:r>
              <w:rPr>
                <w:rFonts w:hint="eastAsia"/>
                <w:sz w:val="24"/>
                <w:lang w:val="en-US" w:eastAsia="zh-CN"/>
              </w:rPr>
              <w:t>3</w:t>
            </w:r>
          </w:p>
        </w:tc>
        <w:tc>
          <w:tcPr>
            <w:tcW w:w="3641" w:type="dxa"/>
            <w:tcBorders>
              <w:top w:val="single" w:color="000000" w:sz="6" w:space="0"/>
              <w:left w:val="double" w:color="000000" w:sz="0" w:space="0"/>
              <w:bottom w:val="single" w:color="000000" w:sz="6" w:space="0"/>
              <w:right w:val="single" w:color="000000" w:sz="6" w:space="0"/>
            </w:tcBorders>
            <w:vAlign w:val="top"/>
          </w:tcPr>
          <w:p w14:paraId="63BF8C4F">
            <w:pPr>
              <w:pStyle w:val="16"/>
              <w:spacing w:before="63"/>
              <w:ind w:left="107" w:leftChars="0" w:right="0" w:rightChars="0"/>
              <w:rPr>
                <w:sz w:val="24"/>
              </w:rPr>
            </w:pPr>
            <w:r>
              <w:rPr>
                <w:sz w:val="24"/>
              </w:rPr>
              <w:t>濉溪县城区管网建设项目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C60F129">
            <w:pPr>
              <w:pStyle w:val="16"/>
              <w:spacing w:before="63"/>
              <w:ind w:left="117" w:leftChars="0" w:right="0" w:rightChars="0"/>
              <w:rPr>
                <w:sz w:val="24"/>
              </w:rPr>
            </w:pPr>
            <w:r>
              <w:rPr>
                <w:sz w:val="24"/>
              </w:rPr>
              <w:t>包含老城区、东一地块等雨污水管网的清於、修复及新建，城西沟河道治理等工程</w:t>
            </w:r>
          </w:p>
        </w:tc>
      </w:tr>
      <w:tr w14:paraId="3AE7A5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E9A0A99">
            <w:pPr>
              <w:pStyle w:val="16"/>
              <w:spacing w:before="99"/>
              <w:ind w:left="281" w:leftChars="0" w:right="0" w:rightChars="0"/>
              <w:rPr>
                <w:sz w:val="24"/>
              </w:rPr>
            </w:pPr>
          </w:p>
          <w:p w14:paraId="22709EEA">
            <w:pPr>
              <w:pStyle w:val="16"/>
              <w:spacing w:before="99"/>
              <w:ind w:left="281" w:leftChars="0" w:right="0" w:rightChars="0"/>
              <w:rPr>
                <w:sz w:val="24"/>
              </w:rPr>
            </w:pPr>
            <w:r>
              <w:rPr>
                <w:sz w:val="24"/>
              </w:rPr>
              <w:t>3</w:t>
            </w:r>
            <w:r>
              <w:rPr>
                <w:rFonts w:hint="eastAsia"/>
                <w:sz w:val="24"/>
                <w:lang w:val="en-US" w:eastAsia="zh-CN"/>
              </w:rPr>
              <w:t>4</w:t>
            </w:r>
          </w:p>
        </w:tc>
        <w:tc>
          <w:tcPr>
            <w:tcW w:w="3641" w:type="dxa"/>
            <w:tcBorders>
              <w:top w:val="single" w:color="000000" w:sz="6" w:space="0"/>
              <w:left w:val="double" w:color="000000" w:sz="0" w:space="0"/>
              <w:bottom w:val="single" w:color="000000" w:sz="6" w:space="0"/>
              <w:right w:val="single" w:color="000000" w:sz="6" w:space="0"/>
            </w:tcBorders>
            <w:vAlign w:val="top"/>
          </w:tcPr>
          <w:p w14:paraId="74CDEA6F">
            <w:pPr>
              <w:pStyle w:val="16"/>
              <w:spacing w:before="3"/>
              <w:ind w:left="107"/>
              <w:rPr>
                <w:sz w:val="24"/>
              </w:rPr>
            </w:pPr>
          </w:p>
          <w:p w14:paraId="008EEFFA">
            <w:pPr>
              <w:pStyle w:val="16"/>
              <w:spacing w:before="3"/>
              <w:ind w:left="107"/>
              <w:rPr>
                <w:sz w:val="24"/>
              </w:rPr>
            </w:pPr>
            <w:r>
              <w:rPr>
                <w:sz w:val="24"/>
              </w:rPr>
              <w:t>濉溪县河西新区防洪排涝工程建</w:t>
            </w:r>
          </w:p>
          <w:p w14:paraId="7E4CC17B">
            <w:pPr>
              <w:pStyle w:val="16"/>
              <w:spacing w:before="4" w:line="286" w:lineRule="exact"/>
              <w:ind w:left="107" w:leftChars="0" w:right="0" w:rightChars="0"/>
              <w:rPr>
                <w:sz w:val="24"/>
              </w:rPr>
            </w:pPr>
            <w:r>
              <w:rPr>
                <w:sz w:val="24"/>
              </w:rPr>
              <w:t>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EB7607D">
            <w:pPr>
              <w:pStyle w:val="16"/>
              <w:spacing w:before="3"/>
              <w:ind w:left="117"/>
              <w:rPr>
                <w:sz w:val="24"/>
              </w:rPr>
            </w:pPr>
            <w:r>
              <w:rPr>
                <w:spacing w:val="-7"/>
                <w:sz w:val="24"/>
              </w:rPr>
              <w:t xml:space="preserve">河西新区新建排涝站 </w:t>
            </w:r>
            <w:r>
              <w:rPr>
                <w:sz w:val="24"/>
              </w:rPr>
              <w:t>4</w:t>
            </w:r>
            <w:r>
              <w:rPr>
                <w:spacing w:val="-30"/>
                <w:sz w:val="24"/>
              </w:rPr>
              <w:t xml:space="preserve"> 处、闸 </w:t>
            </w:r>
            <w:r>
              <w:rPr>
                <w:sz w:val="24"/>
              </w:rPr>
              <w:t>2</w:t>
            </w:r>
            <w:r>
              <w:rPr>
                <w:spacing w:val="-14"/>
                <w:sz w:val="24"/>
              </w:rPr>
              <w:t xml:space="preserve"> 处；园区管网清淤检测长度 </w:t>
            </w:r>
            <w:r>
              <w:rPr>
                <w:sz w:val="24"/>
              </w:rPr>
              <w:t>80km</w:t>
            </w:r>
            <w:r>
              <w:rPr>
                <w:spacing w:val="-23"/>
                <w:sz w:val="24"/>
              </w:rPr>
              <w:t xml:space="preserve">、支管 </w:t>
            </w:r>
            <w:r>
              <w:rPr>
                <w:sz w:val="24"/>
              </w:rPr>
              <w:t>60</w:t>
            </w:r>
            <w:r>
              <w:rPr>
                <w:spacing w:val="-18"/>
                <w:sz w:val="24"/>
              </w:rPr>
              <w:t xml:space="preserve"> 千米，主</w:t>
            </w:r>
          </w:p>
          <w:p w14:paraId="6C241353">
            <w:pPr>
              <w:pStyle w:val="16"/>
              <w:spacing w:line="291" w:lineRule="exact"/>
              <w:ind w:left="117"/>
              <w:rPr>
                <w:sz w:val="24"/>
              </w:rPr>
            </w:pPr>
            <w:r>
              <w:rPr>
                <w:spacing w:val="-8"/>
                <w:sz w:val="24"/>
              </w:rPr>
              <w:t xml:space="preserve">管网修复长度约 </w:t>
            </w:r>
            <w:r>
              <w:rPr>
                <w:sz w:val="24"/>
              </w:rPr>
              <w:t>3</w:t>
            </w:r>
            <w:r>
              <w:rPr>
                <w:spacing w:val="-18"/>
                <w:sz w:val="24"/>
              </w:rPr>
              <w:t xml:space="preserve"> 千米，支管 </w:t>
            </w:r>
            <w:r>
              <w:rPr>
                <w:sz w:val="24"/>
              </w:rPr>
              <w:t>2</w:t>
            </w:r>
            <w:r>
              <w:rPr>
                <w:spacing w:val="-12"/>
                <w:sz w:val="24"/>
              </w:rPr>
              <w:t xml:space="preserve"> 千米，新建雨水管网长度主管约 </w:t>
            </w:r>
            <w:r>
              <w:rPr>
                <w:sz w:val="24"/>
              </w:rPr>
              <w:t>15</w:t>
            </w:r>
            <w:r>
              <w:rPr>
                <w:spacing w:val="-16"/>
                <w:sz w:val="24"/>
              </w:rPr>
              <w:t xml:space="preserve"> 公里，支管约 </w:t>
            </w:r>
            <w:r>
              <w:rPr>
                <w:sz w:val="24"/>
              </w:rPr>
              <w:t>8公里，管网最后绘制成电子影像图；城市排涝设施以及相关应急备用物资，易涝点</w:t>
            </w:r>
          </w:p>
          <w:p w14:paraId="235D0E37">
            <w:pPr>
              <w:pStyle w:val="16"/>
              <w:spacing w:before="4" w:line="286" w:lineRule="exact"/>
              <w:ind w:left="117" w:leftChars="0" w:right="0" w:rightChars="0"/>
              <w:rPr>
                <w:sz w:val="24"/>
              </w:rPr>
            </w:pPr>
            <w:r>
              <w:rPr>
                <w:sz w:val="24"/>
              </w:rPr>
              <w:t>在线监控及信息管理平台建设</w:t>
            </w:r>
          </w:p>
        </w:tc>
      </w:tr>
      <w:tr w14:paraId="26EAD4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A697806">
            <w:pPr>
              <w:pStyle w:val="16"/>
              <w:spacing w:before="1"/>
              <w:rPr>
                <w:rFonts w:ascii="Times New Roman"/>
                <w:sz w:val="22"/>
              </w:rPr>
            </w:pPr>
          </w:p>
          <w:p w14:paraId="106788CB">
            <w:pPr>
              <w:pStyle w:val="16"/>
              <w:spacing w:before="1"/>
              <w:ind w:left="281" w:leftChars="0" w:right="0" w:rightChars="0"/>
              <w:rPr>
                <w:sz w:val="24"/>
              </w:rPr>
            </w:pPr>
            <w:r>
              <w:rPr>
                <w:sz w:val="24"/>
              </w:rPr>
              <w:t>3</w:t>
            </w:r>
            <w:r>
              <w:rPr>
                <w:rFonts w:hint="eastAsia"/>
                <w:sz w:val="24"/>
                <w:lang w:val="en-US" w:eastAsia="zh-CN"/>
              </w:rPr>
              <w:t>5</w:t>
            </w:r>
          </w:p>
        </w:tc>
        <w:tc>
          <w:tcPr>
            <w:tcW w:w="3641" w:type="dxa"/>
            <w:tcBorders>
              <w:top w:val="single" w:color="000000" w:sz="6" w:space="0"/>
              <w:left w:val="double" w:color="000000" w:sz="0" w:space="0"/>
              <w:bottom w:val="single" w:color="000000" w:sz="6" w:space="0"/>
              <w:right w:val="single" w:color="000000" w:sz="6" w:space="0"/>
            </w:tcBorders>
            <w:vAlign w:val="top"/>
          </w:tcPr>
          <w:p w14:paraId="37DF51BF">
            <w:pPr>
              <w:pStyle w:val="16"/>
              <w:spacing w:before="4"/>
              <w:rPr>
                <w:rFonts w:ascii="Times New Roman"/>
                <w:sz w:val="27"/>
              </w:rPr>
            </w:pPr>
          </w:p>
          <w:p w14:paraId="1EBB5D9F">
            <w:pPr>
              <w:pStyle w:val="16"/>
              <w:ind w:left="107" w:leftChars="0" w:right="0" w:rightChars="0"/>
              <w:rPr>
                <w:sz w:val="24"/>
              </w:rPr>
            </w:pPr>
            <w:r>
              <w:rPr>
                <w:sz w:val="24"/>
              </w:rPr>
              <w:t>濉溪县排水泵站改造工程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5B8CEBCB">
            <w:pPr>
              <w:pStyle w:val="16"/>
              <w:spacing w:before="2" w:line="242" w:lineRule="auto"/>
              <w:ind w:left="117" w:right="77"/>
              <w:rPr>
                <w:sz w:val="24"/>
              </w:rPr>
            </w:pPr>
            <w:r>
              <w:rPr>
                <w:sz w:val="24"/>
              </w:rPr>
              <w:t>濉溪县城四处立交桥排水泵站改造（二堤口铁路立交桥、六小铁路立交桥、闸河路</w:t>
            </w:r>
            <w:r>
              <w:rPr>
                <w:spacing w:val="-4"/>
                <w:sz w:val="24"/>
              </w:rPr>
              <w:t>铁路立交桥、碱河路铁路立交桥</w:t>
            </w:r>
            <w:r>
              <w:rPr>
                <w:spacing w:val="-20"/>
                <w:sz w:val="24"/>
              </w:rPr>
              <w:t>）</w:t>
            </w:r>
            <w:r>
              <w:rPr>
                <w:spacing w:val="-11"/>
                <w:sz w:val="24"/>
              </w:rPr>
              <w:t xml:space="preserve">。包含排水泵站管理房、泵房的建设，配套 </w:t>
            </w:r>
            <w:r>
              <w:rPr>
                <w:spacing w:val="-3"/>
                <w:sz w:val="24"/>
              </w:rPr>
              <w:t>DN800</w:t>
            </w:r>
          </w:p>
          <w:p w14:paraId="091FF6F9">
            <w:pPr>
              <w:pStyle w:val="16"/>
              <w:spacing w:before="3" w:line="289" w:lineRule="exact"/>
              <w:ind w:left="117" w:leftChars="0" w:right="0" w:rightChars="0"/>
              <w:rPr>
                <w:sz w:val="24"/>
              </w:rPr>
            </w:pPr>
            <w:r>
              <w:rPr>
                <w:sz w:val="24"/>
              </w:rPr>
              <w:t>管网约 2KM、排污式潜水泵、变压器、配电柜等设备安装。</w:t>
            </w:r>
          </w:p>
        </w:tc>
      </w:tr>
      <w:tr w14:paraId="1C6FC6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2CBA7129">
            <w:pPr>
              <w:pStyle w:val="16"/>
              <w:spacing w:before="98"/>
              <w:ind w:left="281" w:leftChars="0" w:right="0" w:rightChars="0"/>
              <w:rPr>
                <w:sz w:val="24"/>
              </w:rPr>
            </w:pPr>
            <w:r>
              <w:rPr>
                <w:sz w:val="24"/>
              </w:rPr>
              <w:t>3</w:t>
            </w:r>
            <w:r>
              <w:rPr>
                <w:rFonts w:hint="eastAsia"/>
                <w:sz w:val="24"/>
                <w:lang w:val="en-US" w:eastAsia="zh-CN"/>
              </w:rPr>
              <w:t>6</w:t>
            </w:r>
          </w:p>
        </w:tc>
        <w:tc>
          <w:tcPr>
            <w:tcW w:w="3641" w:type="dxa"/>
            <w:tcBorders>
              <w:top w:val="single" w:color="000000" w:sz="6" w:space="0"/>
              <w:left w:val="double" w:color="000000" w:sz="0" w:space="0"/>
              <w:bottom w:val="single" w:color="000000" w:sz="6" w:space="0"/>
              <w:right w:val="single" w:color="000000" w:sz="6" w:space="0"/>
            </w:tcBorders>
            <w:vAlign w:val="top"/>
          </w:tcPr>
          <w:p w14:paraId="474C1EBB">
            <w:pPr>
              <w:pStyle w:val="16"/>
              <w:spacing w:before="158"/>
              <w:ind w:left="107" w:leftChars="0" w:right="0" w:rightChars="0"/>
              <w:rPr>
                <w:sz w:val="24"/>
              </w:rPr>
            </w:pPr>
            <w:r>
              <w:rPr>
                <w:sz w:val="24"/>
              </w:rPr>
              <w:t>县城区排涝工程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1502045A">
            <w:pPr>
              <w:pStyle w:val="16"/>
              <w:spacing w:before="2"/>
              <w:ind w:left="117" w:right="-44"/>
              <w:rPr>
                <w:sz w:val="24"/>
              </w:rPr>
            </w:pPr>
            <w:r>
              <w:rPr>
                <w:spacing w:val="-6"/>
                <w:sz w:val="24"/>
              </w:rPr>
              <w:t>对老旧管网进行全面检测、清淤、修复、连接，并逐步改造、封闭为污水收集管道。</w:t>
            </w:r>
          </w:p>
          <w:p w14:paraId="0D8099F1">
            <w:pPr>
              <w:pStyle w:val="16"/>
              <w:spacing w:before="5" w:line="290" w:lineRule="exact"/>
              <w:ind w:left="117" w:leftChars="0" w:right="0" w:rightChars="0"/>
              <w:rPr>
                <w:sz w:val="24"/>
              </w:rPr>
            </w:pPr>
            <w:r>
              <w:rPr>
                <w:sz w:val="24"/>
              </w:rPr>
              <w:t>在县城区建设三纵三横雨水主通道。</w:t>
            </w:r>
          </w:p>
        </w:tc>
      </w:tr>
      <w:tr w14:paraId="57C4BA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5FAC435">
            <w:pPr>
              <w:pStyle w:val="16"/>
              <w:spacing w:before="21"/>
              <w:ind w:left="281" w:leftChars="0" w:right="0" w:rightChars="0"/>
              <w:rPr>
                <w:sz w:val="24"/>
              </w:rPr>
            </w:pPr>
            <w:r>
              <w:rPr>
                <w:sz w:val="24"/>
              </w:rPr>
              <w:t>3</w:t>
            </w:r>
            <w:r>
              <w:rPr>
                <w:rFonts w:hint="eastAsia"/>
                <w:sz w:val="24"/>
                <w:lang w:val="en-US" w:eastAsia="zh-CN"/>
              </w:rPr>
              <w:t>7</w:t>
            </w:r>
          </w:p>
        </w:tc>
        <w:tc>
          <w:tcPr>
            <w:tcW w:w="3641" w:type="dxa"/>
            <w:tcBorders>
              <w:top w:val="single" w:color="000000" w:sz="6" w:space="0"/>
              <w:left w:val="double" w:color="000000" w:sz="0" w:space="0"/>
              <w:bottom w:val="single" w:color="000000" w:sz="6" w:space="0"/>
              <w:right w:val="single" w:color="000000" w:sz="6" w:space="0"/>
            </w:tcBorders>
            <w:vAlign w:val="top"/>
          </w:tcPr>
          <w:p w14:paraId="05834A92">
            <w:pPr>
              <w:pStyle w:val="16"/>
              <w:spacing w:before="81"/>
              <w:ind w:left="107" w:leftChars="0" w:right="0" w:rightChars="0"/>
              <w:rPr>
                <w:sz w:val="24"/>
              </w:rPr>
            </w:pPr>
            <w:r>
              <w:rPr>
                <w:sz w:val="24"/>
              </w:rPr>
              <w:t>铁佛街排水防涝设施建设项目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A31816F">
            <w:pPr>
              <w:pStyle w:val="16"/>
              <w:spacing w:before="81"/>
              <w:ind w:left="117" w:leftChars="0" w:right="0" w:rightChars="0"/>
              <w:rPr>
                <w:sz w:val="24"/>
              </w:rPr>
            </w:pPr>
            <w:r>
              <w:rPr>
                <w:sz w:val="24"/>
              </w:rPr>
              <w:t>铺设管道 5 千米</w:t>
            </w:r>
          </w:p>
        </w:tc>
      </w:tr>
      <w:tr w14:paraId="1D829E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5AAC0C1">
            <w:pPr>
              <w:pStyle w:val="16"/>
              <w:spacing w:before="159"/>
              <w:ind w:left="281" w:leftChars="0" w:right="0" w:rightChars="0"/>
              <w:rPr>
                <w:sz w:val="24"/>
              </w:rPr>
            </w:pPr>
            <w:r>
              <w:rPr>
                <w:rFonts w:hint="eastAsia"/>
                <w:sz w:val="24"/>
                <w:lang w:val="en-US" w:eastAsia="zh-CN"/>
              </w:rPr>
              <w:t>38</w:t>
            </w:r>
          </w:p>
        </w:tc>
        <w:tc>
          <w:tcPr>
            <w:tcW w:w="3641" w:type="dxa"/>
            <w:tcBorders>
              <w:top w:val="single" w:color="000000" w:sz="6" w:space="0"/>
              <w:left w:val="double" w:color="000000" w:sz="0" w:space="0"/>
              <w:bottom w:val="single" w:color="000000" w:sz="6" w:space="0"/>
              <w:right w:val="single" w:color="000000" w:sz="6" w:space="0"/>
            </w:tcBorders>
            <w:vAlign w:val="top"/>
          </w:tcPr>
          <w:p w14:paraId="16359CE8">
            <w:pPr>
              <w:pStyle w:val="16"/>
              <w:spacing w:before="3" w:line="242" w:lineRule="auto"/>
              <w:ind w:left="107" w:leftChars="0" w:right="151" w:rightChars="0"/>
              <w:rPr>
                <w:sz w:val="24"/>
              </w:rPr>
            </w:pPr>
            <w:r>
              <w:rPr>
                <w:sz w:val="24"/>
              </w:rPr>
              <w:t>县城内两座坑槽式垃圾中转站改造</w:t>
            </w:r>
          </w:p>
        </w:tc>
        <w:tc>
          <w:tcPr>
            <w:tcW w:w="8934" w:type="dxa"/>
            <w:tcBorders>
              <w:top w:val="single" w:color="000000" w:sz="6" w:space="0"/>
              <w:left w:val="single" w:color="000000" w:sz="6" w:space="0"/>
              <w:bottom w:val="single" w:color="000000" w:sz="6" w:space="0"/>
              <w:right w:val="single" w:color="000000" w:sz="6" w:space="0"/>
            </w:tcBorders>
            <w:vAlign w:val="top"/>
          </w:tcPr>
          <w:p w14:paraId="6D4F8D17">
            <w:pPr>
              <w:pStyle w:val="16"/>
              <w:spacing w:before="159"/>
              <w:ind w:left="117" w:leftChars="0" w:right="0" w:rightChars="0"/>
              <w:rPr>
                <w:sz w:val="24"/>
              </w:rPr>
            </w:pPr>
            <w:r>
              <w:rPr>
                <w:sz w:val="24"/>
              </w:rPr>
              <w:t>县城内两座坑槽式垃圾中转站改建成压缩式中转站</w:t>
            </w:r>
          </w:p>
        </w:tc>
      </w:tr>
      <w:tr w14:paraId="73C173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3DE8B05">
            <w:pPr>
              <w:pStyle w:val="16"/>
              <w:spacing w:before="159"/>
              <w:ind w:left="281" w:leftChars="0" w:right="0" w:rightChars="0"/>
              <w:rPr>
                <w:sz w:val="24"/>
              </w:rPr>
            </w:pPr>
            <w:r>
              <w:rPr>
                <w:rFonts w:hint="eastAsia"/>
                <w:sz w:val="24"/>
                <w:lang w:val="en-US" w:eastAsia="zh-CN"/>
              </w:rPr>
              <w:t>39</w:t>
            </w:r>
          </w:p>
        </w:tc>
        <w:tc>
          <w:tcPr>
            <w:tcW w:w="3641" w:type="dxa"/>
            <w:tcBorders>
              <w:top w:val="single" w:color="000000" w:sz="6" w:space="0"/>
              <w:left w:val="double" w:color="000000" w:sz="0" w:space="0"/>
              <w:bottom w:val="single" w:color="000000" w:sz="6" w:space="0"/>
              <w:right w:val="single" w:color="000000" w:sz="6" w:space="0"/>
            </w:tcBorders>
            <w:vAlign w:val="top"/>
          </w:tcPr>
          <w:p w14:paraId="48616F95">
            <w:pPr>
              <w:pStyle w:val="16"/>
              <w:spacing w:before="3" w:line="242" w:lineRule="auto"/>
              <w:ind w:left="107" w:leftChars="0" w:right="151" w:rightChars="0"/>
              <w:rPr>
                <w:sz w:val="24"/>
              </w:rPr>
            </w:pPr>
            <w:r>
              <w:rPr>
                <w:sz w:val="24"/>
              </w:rPr>
              <w:t>河西政务新区新增垃圾中转站一座</w:t>
            </w:r>
          </w:p>
        </w:tc>
        <w:tc>
          <w:tcPr>
            <w:tcW w:w="8934" w:type="dxa"/>
            <w:tcBorders>
              <w:top w:val="single" w:color="000000" w:sz="6" w:space="0"/>
              <w:left w:val="single" w:color="000000" w:sz="6" w:space="0"/>
              <w:bottom w:val="single" w:color="000000" w:sz="6" w:space="0"/>
              <w:right w:val="single" w:color="000000" w:sz="6" w:space="0"/>
            </w:tcBorders>
            <w:vAlign w:val="top"/>
          </w:tcPr>
          <w:p w14:paraId="465B8DFD">
            <w:pPr>
              <w:pStyle w:val="16"/>
              <w:spacing w:before="159"/>
              <w:ind w:left="117" w:leftChars="0" w:right="0" w:rightChars="0"/>
              <w:rPr>
                <w:sz w:val="24"/>
              </w:rPr>
            </w:pPr>
            <w:r>
              <w:rPr>
                <w:sz w:val="24"/>
              </w:rPr>
              <w:t>新增垃圾中转站一座</w:t>
            </w:r>
          </w:p>
        </w:tc>
      </w:tr>
      <w:tr w14:paraId="22A885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87E3EC7">
            <w:pPr>
              <w:pStyle w:val="16"/>
              <w:spacing w:before="3"/>
              <w:ind w:left="281" w:leftChars="0" w:right="0" w:rightChars="0"/>
              <w:rPr>
                <w:sz w:val="24"/>
              </w:rPr>
            </w:pPr>
            <w:r>
              <w:rPr>
                <w:b/>
                <w:w w:val="99"/>
                <w:sz w:val="24"/>
              </w:rPr>
              <w:t>七</w:t>
            </w:r>
          </w:p>
        </w:tc>
        <w:tc>
          <w:tcPr>
            <w:tcW w:w="3641" w:type="dxa"/>
            <w:tcBorders>
              <w:top w:val="single" w:color="000000" w:sz="6" w:space="0"/>
              <w:left w:val="double" w:color="000000" w:sz="0" w:space="0"/>
              <w:bottom w:val="single" w:color="000000" w:sz="6" w:space="0"/>
              <w:right w:val="single" w:color="000000" w:sz="6" w:space="0"/>
            </w:tcBorders>
            <w:vAlign w:val="top"/>
          </w:tcPr>
          <w:p w14:paraId="1C6D02F6">
            <w:pPr>
              <w:pStyle w:val="16"/>
              <w:spacing w:before="3"/>
              <w:ind w:left="107" w:leftChars="0" w:right="0" w:rightChars="0"/>
              <w:rPr>
                <w:sz w:val="24"/>
              </w:rPr>
            </w:pPr>
            <w:r>
              <w:rPr>
                <w:b/>
                <w:sz w:val="24"/>
              </w:rPr>
              <w:t>采煤沉陷区治理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0576B173">
            <w:pPr>
              <w:pStyle w:val="16"/>
              <w:ind w:left="0" w:leftChars="0" w:right="0" w:rightChars="0"/>
              <w:rPr>
                <w:sz w:val="24"/>
              </w:rPr>
            </w:pPr>
          </w:p>
        </w:tc>
      </w:tr>
      <w:tr w14:paraId="2F020C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224A6EB">
            <w:pPr>
              <w:pStyle w:val="16"/>
              <w:spacing w:before="10"/>
              <w:rPr>
                <w:rFonts w:ascii="Times New Roman"/>
                <w:sz w:val="22"/>
              </w:rPr>
            </w:pPr>
          </w:p>
          <w:p w14:paraId="7E42C7D2">
            <w:pPr>
              <w:pStyle w:val="16"/>
              <w:ind w:left="281" w:leftChars="0" w:right="0" w:rightChars="0"/>
              <w:rPr>
                <w:sz w:val="24"/>
              </w:rPr>
            </w:pPr>
            <w:r>
              <w:rPr>
                <w:sz w:val="24"/>
              </w:rPr>
              <w:t>4</w:t>
            </w:r>
            <w:r>
              <w:rPr>
                <w:rFonts w:hint="eastAsia"/>
                <w:sz w:val="24"/>
                <w:lang w:val="en-US" w:eastAsia="zh-CN"/>
              </w:rPr>
              <w:t>0</w:t>
            </w:r>
          </w:p>
        </w:tc>
        <w:tc>
          <w:tcPr>
            <w:tcW w:w="3641" w:type="dxa"/>
            <w:tcBorders>
              <w:top w:val="single" w:color="000000" w:sz="6" w:space="0"/>
              <w:left w:val="double" w:color="000000" w:sz="0" w:space="0"/>
              <w:bottom w:val="single" w:color="000000" w:sz="6" w:space="0"/>
              <w:right w:val="single" w:color="000000" w:sz="6" w:space="0"/>
            </w:tcBorders>
            <w:vAlign w:val="top"/>
          </w:tcPr>
          <w:p w14:paraId="667EEC4D">
            <w:pPr>
              <w:pStyle w:val="16"/>
              <w:spacing w:before="167" w:line="242" w:lineRule="auto"/>
              <w:ind w:left="107" w:leftChars="0" w:right="151" w:rightChars="0"/>
              <w:rPr>
                <w:sz w:val="24"/>
              </w:rPr>
            </w:pPr>
            <w:r>
              <w:rPr>
                <w:sz w:val="24"/>
              </w:rPr>
              <w:t>濉溪县采煤沉陷区四铺镇张圩村搬迁基础设施建设项目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78B2D81">
            <w:pPr>
              <w:pStyle w:val="16"/>
              <w:spacing w:before="11"/>
              <w:ind w:left="117" w:right="-44"/>
              <w:rPr>
                <w:sz w:val="24"/>
              </w:rPr>
            </w:pPr>
            <w:r>
              <w:rPr>
                <w:spacing w:val="-9"/>
                <w:sz w:val="24"/>
              </w:rPr>
              <w:t xml:space="preserve">拟建设总面积 </w:t>
            </w:r>
            <w:r>
              <w:rPr>
                <w:sz w:val="24"/>
              </w:rPr>
              <w:t>630</w:t>
            </w:r>
            <w:r>
              <w:rPr>
                <w:spacing w:val="-16"/>
                <w:sz w:val="24"/>
              </w:rPr>
              <w:t xml:space="preserve"> 亩，涉及搬迁人数 </w:t>
            </w:r>
            <w:r>
              <w:rPr>
                <w:sz w:val="24"/>
              </w:rPr>
              <w:t>3376</w:t>
            </w:r>
            <w:r>
              <w:rPr>
                <w:spacing w:val="-14"/>
                <w:sz w:val="24"/>
              </w:rPr>
              <w:t xml:space="preserve"> 人，计划修建道路及污水管网 </w:t>
            </w:r>
            <w:r>
              <w:rPr>
                <w:sz w:val="24"/>
              </w:rPr>
              <w:t>13.5</w:t>
            </w:r>
            <w:r>
              <w:rPr>
                <w:spacing w:val="-19"/>
                <w:sz w:val="24"/>
              </w:rPr>
              <w:t xml:space="preserve"> 公里，</w:t>
            </w:r>
          </w:p>
          <w:p w14:paraId="475D5E3F">
            <w:pPr>
              <w:pStyle w:val="16"/>
              <w:spacing w:before="4"/>
              <w:ind w:left="117"/>
              <w:rPr>
                <w:sz w:val="24"/>
              </w:rPr>
            </w:pPr>
            <w:r>
              <w:rPr>
                <w:spacing w:val="-5"/>
                <w:sz w:val="24"/>
              </w:rPr>
              <w:t xml:space="preserve">建设张圩村幼儿园占地约 </w:t>
            </w:r>
            <w:r>
              <w:rPr>
                <w:sz w:val="24"/>
              </w:rPr>
              <w:t>4.5</w:t>
            </w:r>
            <w:r>
              <w:rPr>
                <w:spacing w:val="-13"/>
                <w:sz w:val="24"/>
              </w:rPr>
              <w:t xml:space="preserve"> 亩，新村农民大舞台约 </w:t>
            </w:r>
            <w:r>
              <w:rPr>
                <w:sz w:val="24"/>
              </w:rPr>
              <w:t>3</w:t>
            </w:r>
            <w:r>
              <w:rPr>
                <w:spacing w:val="-13"/>
                <w:sz w:val="24"/>
              </w:rPr>
              <w:t xml:space="preserve"> 亩，新村服务中心约 </w:t>
            </w:r>
            <w:r>
              <w:rPr>
                <w:sz w:val="24"/>
              </w:rPr>
              <w:t>2</w:t>
            </w:r>
            <w:r>
              <w:rPr>
                <w:spacing w:val="-20"/>
                <w:sz w:val="24"/>
              </w:rPr>
              <w:t xml:space="preserve"> 亩，</w:t>
            </w:r>
          </w:p>
          <w:p w14:paraId="0B66A2B3">
            <w:pPr>
              <w:pStyle w:val="16"/>
              <w:spacing w:before="5" w:line="298" w:lineRule="exact"/>
              <w:ind w:left="117" w:leftChars="0" w:right="0" w:rightChars="0"/>
              <w:rPr>
                <w:sz w:val="24"/>
              </w:rPr>
            </w:pPr>
            <w:r>
              <w:rPr>
                <w:sz w:val="24"/>
              </w:rPr>
              <w:t>新村公园约 18 亩，新村大超市约 4 亩</w:t>
            </w:r>
          </w:p>
        </w:tc>
      </w:tr>
      <w:tr w14:paraId="21A7B1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1A87505">
            <w:pPr>
              <w:pStyle w:val="16"/>
              <w:spacing w:before="3"/>
              <w:ind w:left="281" w:leftChars="0" w:right="0" w:rightChars="0"/>
              <w:rPr>
                <w:sz w:val="24"/>
              </w:rPr>
            </w:pPr>
            <w:r>
              <w:rPr>
                <w:sz w:val="24"/>
              </w:rPr>
              <w:t>4</w:t>
            </w:r>
            <w:r>
              <w:rPr>
                <w:rFonts w:hint="eastAsia"/>
                <w:sz w:val="24"/>
                <w:lang w:val="en-US" w:eastAsia="zh-CN"/>
              </w:rPr>
              <w:t>1</w:t>
            </w:r>
          </w:p>
        </w:tc>
        <w:tc>
          <w:tcPr>
            <w:tcW w:w="3641" w:type="dxa"/>
            <w:tcBorders>
              <w:top w:val="single" w:color="000000" w:sz="6" w:space="0"/>
              <w:left w:val="double" w:color="000000" w:sz="0" w:space="0"/>
              <w:bottom w:val="single" w:color="000000" w:sz="6" w:space="0"/>
              <w:right w:val="single" w:color="000000" w:sz="6" w:space="0"/>
            </w:tcBorders>
            <w:vAlign w:val="top"/>
          </w:tcPr>
          <w:p w14:paraId="3C018CC8">
            <w:pPr>
              <w:pStyle w:val="16"/>
              <w:spacing w:before="29"/>
              <w:ind w:left="107" w:leftChars="0" w:right="0" w:rightChars="0"/>
              <w:rPr>
                <w:sz w:val="24"/>
              </w:rPr>
            </w:pPr>
            <w:r>
              <w:rPr>
                <w:sz w:val="24"/>
              </w:rPr>
              <w:t>采煤坍陷坑综合治理水产养殖</w:t>
            </w:r>
          </w:p>
        </w:tc>
        <w:tc>
          <w:tcPr>
            <w:tcW w:w="8934" w:type="dxa"/>
            <w:tcBorders>
              <w:top w:val="single" w:color="000000" w:sz="6" w:space="0"/>
              <w:left w:val="single" w:color="000000" w:sz="6" w:space="0"/>
              <w:bottom w:val="single" w:color="000000" w:sz="6" w:space="0"/>
              <w:right w:val="single" w:color="000000" w:sz="6" w:space="0"/>
            </w:tcBorders>
            <w:vAlign w:val="top"/>
          </w:tcPr>
          <w:p w14:paraId="36AD3C23">
            <w:pPr>
              <w:pStyle w:val="16"/>
              <w:spacing w:before="29"/>
              <w:ind w:left="117" w:leftChars="0" w:right="0" w:rightChars="0"/>
              <w:rPr>
                <w:sz w:val="24"/>
              </w:rPr>
            </w:pPr>
            <w:r>
              <w:rPr>
                <w:sz w:val="24"/>
              </w:rPr>
              <w:t>1.2 万亩建标准化精养鱼塘</w:t>
            </w:r>
          </w:p>
        </w:tc>
      </w:tr>
      <w:tr w14:paraId="5F5081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44B27FA">
            <w:pPr>
              <w:pStyle w:val="16"/>
              <w:spacing w:before="3"/>
              <w:ind w:left="281" w:leftChars="0" w:right="0" w:rightChars="0"/>
              <w:rPr>
                <w:sz w:val="24"/>
              </w:rPr>
            </w:pPr>
            <w:r>
              <w:rPr>
                <w:sz w:val="24"/>
              </w:rPr>
              <w:t>4</w:t>
            </w:r>
            <w:r>
              <w:rPr>
                <w:rFonts w:hint="eastAsia"/>
                <w:sz w:val="24"/>
                <w:lang w:val="en-US" w:eastAsia="zh-CN"/>
              </w:rPr>
              <w:t>2</w:t>
            </w:r>
          </w:p>
        </w:tc>
        <w:tc>
          <w:tcPr>
            <w:tcW w:w="3641" w:type="dxa"/>
            <w:tcBorders>
              <w:top w:val="single" w:color="000000" w:sz="6" w:space="0"/>
              <w:left w:val="double" w:color="000000" w:sz="0" w:space="0"/>
              <w:bottom w:val="single" w:color="000000" w:sz="6" w:space="0"/>
              <w:right w:val="single" w:color="000000" w:sz="6" w:space="0"/>
            </w:tcBorders>
            <w:vAlign w:val="top"/>
          </w:tcPr>
          <w:p w14:paraId="08B6FD04">
            <w:pPr>
              <w:pStyle w:val="16"/>
              <w:spacing w:before="36"/>
              <w:ind w:left="107" w:leftChars="0" w:right="0" w:rightChars="0"/>
              <w:rPr>
                <w:sz w:val="24"/>
              </w:rPr>
            </w:pPr>
            <w:r>
              <w:rPr>
                <w:sz w:val="24"/>
              </w:rPr>
              <w:t>采煤沉陷区水域治理项目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A8686FF">
            <w:pPr>
              <w:pStyle w:val="16"/>
              <w:spacing w:before="36"/>
              <w:ind w:left="117" w:leftChars="0" w:right="0" w:rightChars="0"/>
              <w:rPr>
                <w:sz w:val="24"/>
              </w:rPr>
            </w:pPr>
            <w:r>
              <w:rPr>
                <w:sz w:val="24"/>
              </w:rPr>
              <w:t>治理水面 504 亩</w:t>
            </w:r>
          </w:p>
        </w:tc>
      </w:tr>
      <w:tr w14:paraId="167D9E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A34BBAC">
            <w:pPr>
              <w:pStyle w:val="16"/>
              <w:spacing w:before="125"/>
              <w:ind w:left="281" w:leftChars="0" w:right="0" w:rightChars="0"/>
              <w:rPr>
                <w:sz w:val="24"/>
              </w:rPr>
            </w:pPr>
            <w:r>
              <w:rPr>
                <w:rFonts w:hint="eastAsia"/>
                <w:sz w:val="24"/>
                <w:lang w:val="en-US" w:eastAsia="zh-CN"/>
              </w:rPr>
              <w:t>43</w:t>
            </w:r>
          </w:p>
        </w:tc>
        <w:tc>
          <w:tcPr>
            <w:tcW w:w="3641" w:type="dxa"/>
            <w:tcBorders>
              <w:top w:val="single" w:color="000000" w:sz="6" w:space="0"/>
              <w:left w:val="double" w:color="000000" w:sz="0" w:space="0"/>
              <w:bottom w:val="single" w:color="000000" w:sz="6" w:space="0"/>
              <w:right w:val="single" w:color="000000" w:sz="6" w:space="0"/>
            </w:tcBorders>
            <w:vAlign w:val="top"/>
          </w:tcPr>
          <w:p w14:paraId="3F23C673">
            <w:pPr>
              <w:pStyle w:val="16"/>
              <w:spacing w:before="29" w:line="242" w:lineRule="auto"/>
              <w:ind w:left="107" w:leftChars="0" w:right="151" w:rightChars="0"/>
              <w:rPr>
                <w:sz w:val="24"/>
              </w:rPr>
            </w:pPr>
            <w:r>
              <w:rPr>
                <w:sz w:val="24"/>
              </w:rPr>
              <w:t>韩村镇采煤沉陷区祁集村、胜利村生态修复及环境治理综合项目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00412D1">
            <w:pPr>
              <w:pStyle w:val="16"/>
              <w:spacing w:before="29" w:line="242" w:lineRule="auto"/>
              <w:ind w:left="117" w:leftChars="0" w:right="-44" w:rightChars="0"/>
              <w:rPr>
                <w:sz w:val="24"/>
              </w:rPr>
            </w:pPr>
            <w:r>
              <w:rPr>
                <w:spacing w:val="-30"/>
                <w:sz w:val="24"/>
              </w:rPr>
              <w:t xml:space="preserve">约 </w:t>
            </w:r>
            <w:r>
              <w:rPr>
                <w:sz w:val="24"/>
              </w:rPr>
              <w:t>1000</w:t>
            </w:r>
            <w:r>
              <w:rPr>
                <w:spacing w:val="-16"/>
                <w:sz w:val="24"/>
              </w:rPr>
              <w:t xml:space="preserve"> 亩，土地复垦、环境治理、水产养殖及周边生态农业、梳理水系、景观节点、</w:t>
            </w:r>
            <w:r>
              <w:rPr>
                <w:sz w:val="24"/>
              </w:rPr>
              <w:t>休闲服务及游憩设施、搬迁新村的道路排水及绿化亮化</w:t>
            </w:r>
          </w:p>
        </w:tc>
      </w:tr>
      <w:tr w14:paraId="389E86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38C5A29">
            <w:pPr>
              <w:pStyle w:val="16"/>
              <w:spacing w:before="101"/>
              <w:ind w:left="281" w:leftChars="0" w:right="0" w:rightChars="0"/>
              <w:rPr>
                <w:sz w:val="24"/>
              </w:rPr>
            </w:pPr>
            <w:r>
              <w:rPr>
                <w:sz w:val="24"/>
              </w:rPr>
              <w:t>4</w:t>
            </w:r>
            <w:r>
              <w:rPr>
                <w:rFonts w:hint="eastAsia"/>
                <w:sz w:val="24"/>
                <w:lang w:val="en-US" w:eastAsia="zh-CN"/>
              </w:rPr>
              <w:t>4</w:t>
            </w:r>
          </w:p>
        </w:tc>
        <w:tc>
          <w:tcPr>
            <w:tcW w:w="3641" w:type="dxa"/>
            <w:tcBorders>
              <w:top w:val="single" w:color="000000" w:sz="6" w:space="0"/>
              <w:left w:val="double" w:color="000000" w:sz="0" w:space="0"/>
              <w:bottom w:val="single" w:color="000000" w:sz="6" w:space="0"/>
              <w:right w:val="single" w:color="000000" w:sz="6" w:space="0"/>
            </w:tcBorders>
            <w:vAlign w:val="top"/>
          </w:tcPr>
          <w:p w14:paraId="6FAEDE4B">
            <w:pPr>
              <w:pStyle w:val="16"/>
              <w:spacing w:before="2"/>
              <w:ind w:left="107"/>
              <w:rPr>
                <w:sz w:val="24"/>
              </w:rPr>
            </w:pPr>
            <w:r>
              <w:rPr>
                <w:sz w:val="24"/>
              </w:rPr>
              <w:t>韩村镇采煤沉陷区和谐村、光明</w:t>
            </w:r>
          </w:p>
          <w:p w14:paraId="047BBC30">
            <w:pPr>
              <w:pStyle w:val="16"/>
              <w:spacing w:before="5" w:line="293" w:lineRule="exact"/>
              <w:ind w:left="107" w:leftChars="0" w:right="0" w:rightChars="0"/>
              <w:rPr>
                <w:sz w:val="24"/>
              </w:rPr>
            </w:pPr>
            <w:r>
              <w:rPr>
                <w:sz w:val="24"/>
              </w:rPr>
              <w:t>村、小湖村生态修复及环境治理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45882C49">
            <w:pPr>
              <w:pStyle w:val="16"/>
              <w:spacing w:before="2" w:line="310" w:lineRule="atLeast"/>
              <w:ind w:left="117" w:leftChars="0" w:right="-44" w:rightChars="0"/>
              <w:rPr>
                <w:sz w:val="24"/>
              </w:rPr>
            </w:pPr>
            <w:r>
              <w:rPr>
                <w:spacing w:val="-30"/>
                <w:sz w:val="24"/>
              </w:rPr>
              <w:t xml:space="preserve">约 </w:t>
            </w:r>
            <w:r>
              <w:rPr>
                <w:sz w:val="24"/>
              </w:rPr>
              <w:t>2000</w:t>
            </w:r>
            <w:r>
              <w:rPr>
                <w:spacing w:val="-16"/>
                <w:sz w:val="24"/>
              </w:rPr>
              <w:t xml:space="preserve"> 亩，土地复垦、环境治理、水产养殖及周边生态农业、梳理水系、景观节点、</w:t>
            </w:r>
            <w:r>
              <w:rPr>
                <w:sz w:val="24"/>
              </w:rPr>
              <w:t>休闲服务及游憩设施、搬迁新村的道路排水及绿化亮</w:t>
            </w:r>
          </w:p>
        </w:tc>
      </w:tr>
      <w:tr w14:paraId="1EBEE6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722C9C7">
            <w:pPr>
              <w:pStyle w:val="16"/>
              <w:spacing w:before="10"/>
              <w:rPr>
                <w:rFonts w:ascii="Times New Roman"/>
                <w:sz w:val="23"/>
              </w:rPr>
            </w:pPr>
          </w:p>
          <w:p w14:paraId="48D44507">
            <w:pPr>
              <w:pStyle w:val="16"/>
              <w:ind w:left="281" w:leftChars="0" w:right="0" w:rightChars="0"/>
              <w:rPr>
                <w:sz w:val="24"/>
              </w:rPr>
            </w:pPr>
            <w:r>
              <w:rPr>
                <w:rFonts w:hint="eastAsia"/>
                <w:sz w:val="24"/>
                <w:lang w:val="en-US" w:eastAsia="zh-CN"/>
              </w:rPr>
              <w:t>45</w:t>
            </w:r>
          </w:p>
        </w:tc>
        <w:tc>
          <w:tcPr>
            <w:tcW w:w="3641" w:type="dxa"/>
            <w:tcBorders>
              <w:top w:val="single" w:color="000000" w:sz="6" w:space="0"/>
              <w:left w:val="double" w:color="000000" w:sz="0" w:space="0"/>
              <w:bottom w:val="single" w:color="000000" w:sz="6" w:space="0"/>
              <w:right w:val="single" w:color="000000" w:sz="6" w:space="0"/>
            </w:tcBorders>
            <w:vAlign w:val="top"/>
          </w:tcPr>
          <w:p w14:paraId="2CCCF1E6">
            <w:pPr>
              <w:pStyle w:val="16"/>
              <w:spacing w:before="179" w:line="242" w:lineRule="auto"/>
              <w:ind w:left="107" w:leftChars="0" w:right="151" w:rightChars="0"/>
              <w:rPr>
                <w:sz w:val="24"/>
              </w:rPr>
            </w:pPr>
            <w:r>
              <w:rPr>
                <w:sz w:val="24"/>
              </w:rPr>
              <w:t>濉溪县采煤沉陷区（海孜矿）生态修复及环境整治工程建设项目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96541F2">
            <w:pPr>
              <w:pStyle w:val="16"/>
              <w:spacing w:before="23" w:line="242" w:lineRule="auto"/>
              <w:ind w:left="117" w:leftChars="0" w:right="-44" w:rightChars="0"/>
              <w:jc w:val="both"/>
              <w:rPr>
                <w:sz w:val="24"/>
              </w:rPr>
            </w:pPr>
            <w:r>
              <w:rPr>
                <w:spacing w:val="-6"/>
                <w:sz w:val="24"/>
              </w:rPr>
              <w:t>拆除采煤沉陷区危房，梳理水系，修整驳岸，建设采煤沉陷区人工绿地、休闲广场、</w:t>
            </w:r>
            <w:r>
              <w:rPr>
                <w:spacing w:val="-5"/>
                <w:sz w:val="24"/>
              </w:rPr>
              <w:t>采煤沉陷区绿道和景观节点、布置休闲服务及游憩设施、着力打造成集休闲、健身、</w:t>
            </w:r>
            <w:r>
              <w:rPr>
                <w:sz w:val="24"/>
              </w:rPr>
              <w:t>旅游为一体的生态绿心</w:t>
            </w:r>
          </w:p>
        </w:tc>
      </w:tr>
      <w:tr w14:paraId="3F83A5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52CB122">
            <w:pPr>
              <w:pStyle w:val="16"/>
              <w:spacing w:before="137"/>
              <w:ind w:left="281" w:leftChars="0" w:right="0" w:rightChars="0"/>
              <w:rPr>
                <w:sz w:val="24"/>
              </w:rPr>
            </w:pPr>
            <w:r>
              <w:rPr>
                <w:rFonts w:hint="eastAsia"/>
                <w:sz w:val="24"/>
                <w:lang w:val="en-US" w:eastAsia="zh-CN"/>
              </w:rPr>
              <w:t>46</w:t>
            </w:r>
          </w:p>
        </w:tc>
        <w:tc>
          <w:tcPr>
            <w:tcW w:w="3641" w:type="dxa"/>
            <w:tcBorders>
              <w:top w:val="single" w:color="000000" w:sz="6" w:space="0"/>
              <w:left w:val="double" w:color="000000" w:sz="0" w:space="0"/>
              <w:bottom w:val="single" w:color="000000" w:sz="6" w:space="0"/>
              <w:right w:val="single" w:color="000000" w:sz="6" w:space="0"/>
            </w:tcBorders>
            <w:vAlign w:val="top"/>
          </w:tcPr>
          <w:p w14:paraId="082D085B">
            <w:pPr>
              <w:pStyle w:val="16"/>
              <w:spacing w:before="41" w:line="242" w:lineRule="auto"/>
              <w:ind w:left="107" w:leftChars="0" w:right="151" w:rightChars="0"/>
              <w:rPr>
                <w:sz w:val="24"/>
              </w:rPr>
            </w:pPr>
            <w:r>
              <w:rPr>
                <w:sz w:val="24"/>
              </w:rPr>
              <w:t>濉溪县采煤沉陷区韩村镇小胡、祁集、陈圩塌陷坑综合治理项目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669430B">
            <w:pPr>
              <w:pStyle w:val="16"/>
              <w:spacing w:before="197"/>
              <w:ind w:left="117" w:leftChars="0" w:right="0" w:rightChars="0"/>
              <w:rPr>
                <w:sz w:val="24"/>
              </w:rPr>
            </w:pPr>
            <w:r>
              <w:rPr>
                <w:sz w:val="24"/>
              </w:rPr>
              <w:t>建设水上公园、千亩水产养殖及周边生态农业、环境治理、土地复垦等</w:t>
            </w:r>
          </w:p>
        </w:tc>
      </w:tr>
      <w:tr w14:paraId="325D3E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4BECF54">
            <w:pPr>
              <w:pStyle w:val="16"/>
              <w:spacing w:before="120"/>
              <w:ind w:left="281" w:leftChars="0" w:right="0" w:rightChars="0"/>
              <w:rPr>
                <w:sz w:val="24"/>
              </w:rPr>
            </w:pPr>
            <w:r>
              <w:rPr>
                <w:rFonts w:hint="eastAsia"/>
                <w:sz w:val="24"/>
                <w:lang w:val="en-US" w:eastAsia="zh-CN"/>
              </w:rPr>
              <w:t>47</w:t>
            </w:r>
          </w:p>
        </w:tc>
        <w:tc>
          <w:tcPr>
            <w:tcW w:w="3641" w:type="dxa"/>
            <w:tcBorders>
              <w:top w:val="single" w:color="000000" w:sz="6" w:space="0"/>
              <w:left w:val="double" w:color="000000" w:sz="0" w:space="0"/>
              <w:bottom w:val="single" w:color="000000" w:sz="6" w:space="0"/>
              <w:right w:val="single" w:color="000000" w:sz="6" w:space="0"/>
            </w:tcBorders>
            <w:vAlign w:val="top"/>
          </w:tcPr>
          <w:p w14:paraId="770A9367">
            <w:pPr>
              <w:pStyle w:val="16"/>
              <w:spacing w:before="24" w:line="242" w:lineRule="auto"/>
              <w:ind w:left="107" w:leftChars="0" w:right="151" w:rightChars="0"/>
              <w:rPr>
                <w:sz w:val="24"/>
              </w:rPr>
            </w:pPr>
            <w:r>
              <w:rPr>
                <w:sz w:val="24"/>
              </w:rPr>
              <w:t>安徽省濉溪县重点采煤沉陷区胜利村道路工程建设项目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5394A4A4">
            <w:pPr>
              <w:pStyle w:val="16"/>
              <w:spacing w:before="24" w:line="242" w:lineRule="auto"/>
              <w:ind w:left="117" w:leftChars="0" w:right="154" w:rightChars="0"/>
              <w:rPr>
                <w:sz w:val="24"/>
              </w:rPr>
            </w:pPr>
            <w:r>
              <w:rPr>
                <w:sz w:val="24"/>
              </w:rPr>
              <w:t>本项目主要对海孜矿采煤沉陷区损毁的道路等基础设施拆除重要。主要内容包括乡村道路 11 公里，桥涵 5 座，排水工程 9 公里，绿化亮化工程等</w:t>
            </w:r>
          </w:p>
        </w:tc>
      </w:tr>
      <w:tr w14:paraId="4DCEEE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D53FB5B">
            <w:pPr>
              <w:pStyle w:val="16"/>
              <w:spacing w:before="3"/>
              <w:ind w:left="281" w:leftChars="0" w:right="0" w:rightChars="0"/>
              <w:rPr>
                <w:sz w:val="24"/>
              </w:rPr>
            </w:pPr>
            <w:r>
              <w:rPr>
                <w:rFonts w:hint="eastAsia"/>
                <w:sz w:val="24"/>
                <w:lang w:val="en-US" w:eastAsia="zh-CN"/>
              </w:rPr>
              <w:t>48</w:t>
            </w:r>
          </w:p>
        </w:tc>
        <w:tc>
          <w:tcPr>
            <w:tcW w:w="3641" w:type="dxa"/>
            <w:tcBorders>
              <w:top w:val="single" w:color="000000" w:sz="6" w:space="0"/>
              <w:left w:val="double" w:color="000000" w:sz="0" w:space="0"/>
              <w:bottom w:val="single" w:color="000000" w:sz="6" w:space="0"/>
              <w:right w:val="single" w:color="000000" w:sz="6" w:space="0"/>
            </w:tcBorders>
            <w:vAlign w:val="top"/>
          </w:tcPr>
          <w:p w14:paraId="6732169E">
            <w:pPr>
              <w:pStyle w:val="16"/>
              <w:spacing w:before="58"/>
              <w:ind w:left="107" w:leftChars="0" w:right="0" w:rightChars="0"/>
              <w:rPr>
                <w:sz w:val="24"/>
              </w:rPr>
            </w:pPr>
            <w:r>
              <w:rPr>
                <w:sz w:val="24"/>
              </w:rPr>
              <w:t>采煤沉陷区改造提升工程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69E3441A">
            <w:pPr>
              <w:pStyle w:val="16"/>
              <w:spacing w:before="58"/>
              <w:ind w:left="117" w:leftChars="0" w:right="0" w:rightChars="0"/>
              <w:rPr>
                <w:sz w:val="24"/>
              </w:rPr>
            </w:pPr>
            <w:r>
              <w:rPr>
                <w:sz w:val="24"/>
              </w:rPr>
              <w:t>道路建设 12000 米，下水道建设 13000 米，路灯及绿化、塌陷区治理、生态修复</w:t>
            </w:r>
          </w:p>
        </w:tc>
      </w:tr>
      <w:tr w14:paraId="60D1D8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56F1FAB">
            <w:pPr>
              <w:pStyle w:val="16"/>
              <w:rPr>
                <w:rFonts w:ascii="Times New Roman"/>
                <w:sz w:val="24"/>
              </w:rPr>
            </w:pPr>
          </w:p>
          <w:p w14:paraId="66D102AE">
            <w:pPr>
              <w:pStyle w:val="16"/>
              <w:spacing w:before="7"/>
              <w:rPr>
                <w:rFonts w:ascii="Times New Roman"/>
                <w:sz w:val="25"/>
              </w:rPr>
            </w:pPr>
          </w:p>
          <w:p w14:paraId="426E11F4">
            <w:pPr>
              <w:pStyle w:val="16"/>
              <w:spacing w:before="1"/>
              <w:ind w:left="281" w:leftChars="0" w:right="0" w:rightChars="0"/>
              <w:rPr>
                <w:sz w:val="24"/>
              </w:rPr>
            </w:pPr>
            <w:r>
              <w:rPr>
                <w:rFonts w:hint="eastAsia"/>
                <w:sz w:val="24"/>
                <w:lang w:val="en-US" w:eastAsia="zh-CN"/>
              </w:rPr>
              <w:t>49</w:t>
            </w:r>
          </w:p>
        </w:tc>
        <w:tc>
          <w:tcPr>
            <w:tcW w:w="3641" w:type="dxa"/>
            <w:tcBorders>
              <w:top w:val="single" w:color="000000" w:sz="6" w:space="0"/>
              <w:left w:val="double" w:color="000000" w:sz="0" w:space="0"/>
              <w:bottom w:val="single" w:color="000000" w:sz="6" w:space="0"/>
              <w:right w:val="single" w:color="000000" w:sz="6" w:space="0"/>
            </w:tcBorders>
            <w:vAlign w:val="top"/>
          </w:tcPr>
          <w:p w14:paraId="5C275014">
            <w:pPr>
              <w:pStyle w:val="16"/>
              <w:rPr>
                <w:rFonts w:ascii="Times New Roman"/>
                <w:sz w:val="24"/>
              </w:rPr>
            </w:pPr>
          </w:p>
          <w:p w14:paraId="57A22E09">
            <w:pPr>
              <w:pStyle w:val="16"/>
              <w:spacing w:before="199" w:line="242" w:lineRule="auto"/>
              <w:ind w:left="107" w:leftChars="0" w:right="151" w:rightChars="0"/>
              <w:rPr>
                <w:sz w:val="24"/>
              </w:rPr>
            </w:pPr>
            <w:r>
              <w:rPr>
                <w:sz w:val="24"/>
              </w:rPr>
              <w:t>孙疃镇陈楼村、代庙村采煤塌陷区生态环境治理项目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928CD1D">
            <w:pPr>
              <w:pStyle w:val="16"/>
              <w:spacing w:before="5" w:line="310" w:lineRule="atLeast"/>
              <w:ind w:left="117" w:leftChars="0" w:right="77" w:rightChars="0"/>
              <w:jc w:val="both"/>
              <w:rPr>
                <w:sz w:val="24"/>
              </w:rPr>
            </w:pPr>
            <w:r>
              <w:rPr>
                <w:spacing w:val="-5"/>
                <w:sz w:val="24"/>
              </w:rPr>
              <w:t xml:space="preserve">项目位于孙疃镇陈楼村压煤村庄塌陷区，占地面积 </w:t>
            </w:r>
            <w:r>
              <w:rPr>
                <w:sz w:val="24"/>
              </w:rPr>
              <w:t>4000</w:t>
            </w:r>
            <w:r>
              <w:rPr>
                <w:spacing w:val="-11"/>
                <w:sz w:val="24"/>
              </w:rPr>
              <w:t xml:space="preserve"> 亩，初期以承包鱼塘农家乐</w:t>
            </w:r>
            <w:r>
              <w:rPr>
                <w:sz w:val="24"/>
              </w:rPr>
              <w:t>为主，远期打造整体水面景观。初期建设内容包括建设综合管理中心一个、地质博</w:t>
            </w:r>
            <w:r>
              <w:rPr>
                <w:spacing w:val="-23"/>
                <w:sz w:val="24"/>
              </w:rPr>
              <w:t xml:space="preserve">物馆一个、农家民宿、特色种植养殖及儿童游乐设施、垂钓中心建设，计划投资 </w:t>
            </w:r>
            <w:r>
              <w:rPr>
                <w:spacing w:val="-3"/>
                <w:sz w:val="24"/>
              </w:rPr>
              <w:t xml:space="preserve">19300 </w:t>
            </w:r>
            <w:r>
              <w:rPr>
                <w:sz w:val="24"/>
              </w:rPr>
              <w:t>万元。远期建设内容包括花卉种植、生态果园及生态农庄、鱼塘观景台建设等，计</w:t>
            </w:r>
            <w:r>
              <w:rPr>
                <w:spacing w:val="-15"/>
                <w:sz w:val="24"/>
              </w:rPr>
              <w:t xml:space="preserve">划投资 </w:t>
            </w:r>
            <w:r>
              <w:rPr>
                <w:sz w:val="24"/>
              </w:rPr>
              <w:t>10000</w:t>
            </w:r>
            <w:r>
              <w:rPr>
                <w:spacing w:val="-20"/>
                <w:sz w:val="24"/>
              </w:rPr>
              <w:t xml:space="preserve"> 万元</w:t>
            </w:r>
          </w:p>
        </w:tc>
      </w:tr>
      <w:tr w14:paraId="330295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9108113">
            <w:pPr>
              <w:pStyle w:val="16"/>
              <w:rPr>
                <w:rFonts w:ascii="Times New Roman"/>
                <w:sz w:val="21"/>
              </w:rPr>
            </w:pPr>
          </w:p>
          <w:p w14:paraId="50C2C903">
            <w:pPr>
              <w:pStyle w:val="16"/>
              <w:ind w:left="281" w:leftChars="0" w:right="0" w:rightChars="0"/>
              <w:rPr>
                <w:sz w:val="24"/>
              </w:rPr>
            </w:pPr>
            <w:r>
              <w:rPr>
                <w:rFonts w:hint="eastAsia"/>
                <w:sz w:val="24"/>
                <w:lang w:val="en-US" w:eastAsia="zh-CN"/>
              </w:rPr>
              <w:t>50</w:t>
            </w:r>
          </w:p>
        </w:tc>
        <w:tc>
          <w:tcPr>
            <w:tcW w:w="3641" w:type="dxa"/>
            <w:tcBorders>
              <w:top w:val="single" w:color="000000" w:sz="6" w:space="0"/>
              <w:left w:val="double" w:color="000000" w:sz="0" w:space="0"/>
              <w:bottom w:val="single" w:color="000000" w:sz="6" w:space="0"/>
              <w:right w:val="single" w:color="000000" w:sz="6" w:space="0"/>
            </w:tcBorders>
            <w:vAlign w:val="top"/>
          </w:tcPr>
          <w:p w14:paraId="09E3E834">
            <w:pPr>
              <w:pStyle w:val="16"/>
              <w:spacing w:before="2"/>
              <w:rPr>
                <w:rFonts w:ascii="Times New Roman"/>
                <w:sz w:val="26"/>
              </w:rPr>
            </w:pPr>
          </w:p>
          <w:p w14:paraId="79B3BE44">
            <w:pPr>
              <w:pStyle w:val="16"/>
              <w:spacing w:before="1"/>
              <w:ind w:left="107" w:leftChars="0" w:right="0" w:rightChars="0"/>
              <w:rPr>
                <w:sz w:val="24"/>
              </w:rPr>
            </w:pPr>
            <w:r>
              <w:rPr>
                <w:sz w:val="24"/>
              </w:rPr>
              <w:t>凤栖湖采煤深陷区综合治理项目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D5069B4">
            <w:pPr>
              <w:pStyle w:val="16"/>
              <w:spacing w:before="4" w:line="242" w:lineRule="auto"/>
              <w:ind w:left="117" w:right="77"/>
              <w:rPr>
                <w:sz w:val="24"/>
              </w:rPr>
            </w:pPr>
            <w:r>
              <w:rPr>
                <w:sz w:val="24"/>
              </w:rPr>
              <w:t>1</w:t>
            </w:r>
            <w:r>
              <w:rPr>
                <w:spacing w:val="-7"/>
                <w:sz w:val="24"/>
              </w:rPr>
              <w:t xml:space="preserve">、湿地恢复与保护工程总规划用地约 </w:t>
            </w:r>
            <w:r>
              <w:rPr>
                <w:sz w:val="24"/>
              </w:rPr>
              <w:t>12100</w:t>
            </w:r>
            <w:r>
              <w:rPr>
                <w:spacing w:val="-34"/>
                <w:sz w:val="24"/>
              </w:rPr>
              <w:t xml:space="preserve"> 亩</w:t>
            </w:r>
            <w:r>
              <w:rPr>
                <w:sz w:val="24"/>
              </w:rPr>
              <w:t>（含水体） 2</w:t>
            </w:r>
            <w:r>
              <w:rPr>
                <w:spacing w:val="-5"/>
                <w:sz w:val="24"/>
              </w:rPr>
              <w:t>、交通工程</w:t>
            </w:r>
            <w:r>
              <w:rPr>
                <w:sz w:val="24"/>
              </w:rPr>
              <w:t>（</w:t>
            </w:r>
            <w:r>
              <w:rPr>
                <w:spacing w:val="-4"/>
                <w:sz w:val="24"/>
              </w:rPr>
              <w:t>总规划用</w:t>
            </w:r>
            <w:r>
              <w:rPr>
                <w:spacing w:val="-20"/>
                <w:sz w:val="24"/>
              </w:rPr>
              <w:t xml:space="preserve">地约 </w:t>
            </w:r>
            <w:r>
              <w:rPr>
                <w:sz w:val="24"/>
              </w:rPr>
              <w:t>420</w:t>
            </w:r>
            <w:r>
              <w:rPr>
                <w:spacing w:val="-8"/>
                <w:sz w:val="24"/>
              </w:rPr>
              <w:t xml:space="preserve"> 亩，主要建设内容包括环湖路、游步道、湿地栈道、码头、桥梁等</w:t>
            </w:r>
            <w:r>
              <w:rPr>
                <w:sz w:val="24"/>
              </w:rPr>
              <w:t>） 3、</w:t>
            </w:r>
          </w:p>
          <w:p w14:paraId="40DC22EC">
            <w:pPr>
              <w:pStyle w:val="16"/>
              <w:spacing w:before="3" w:line="262" w:lineRule="exact"/>
              <w:ind w:left="117" w:leftChars="0" w:right="0" w:rightChars="0"/>
              <w:rPr>
                <w:sz w:val="24"/>
              </w:rPr>
            </w:pPr>
            <w:r>
              <w:rPr>
                <w:sz w:val="24"/>
              </w:rPr>
              <w:t>管理设施工程</w:t>
            </w:r>
          </w:p>
        </w:tc>
      </w:tr>
      <w:tr w14:paraId="0B7570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5F2B7AA">
            <w:pPr>
              <w:pStyle w:val="16"/>
              <w:spacing w:before="159"/>
              <w:ind w:left="281" w:leftChars="0" w:right="0" w:rightChars="0"/>
              <w:rPr>
                <w:sz w:val="24"/>
              </w:rPr>
            </w:pPr>
            <w:r>
              <w:rPr>
                <w:rFonts w:hint="eastAsia"/>
                <w:sz w:val="24"/>
                <w:lang w:val="en-US" w:eastAsia="zh-CN"/>
              </w:rPr>
              <w:t>51</w:t>
            </w:r>
          </w:p>
        </w:tc>
        <w:tc>
          <w:tcPr>
            <w:tcW w:w="3641" w:type="dxa"/>
            <w:tcBorders>
              <w:top w:val="single" w:color="000000" w:sz="6" w:space="0"/>
              <w:left w:val="double" w:color="000000" w:sz="0" w:space="0"/>
              <w:bottom w:val="single" w:color="000000" w:sz="6" w:space="0"/>
              <w:right w:val="single" w:color="000000" w:sz="6" w:space="0"/>
            </w:tcBorders>
            <w:vAlign w:val="top"/>
          </w:tcPr>
          <w:p w14:paraId="7A3F8355">
            <w:pPr>
              <w:pStyle w:val="16"/>
              <w:spacing w:before="63" w:line="242" w:lineRule="auto"/>
              <w:ind w:left="107" w:leftChars="0" w:right="151" w:rightChars="0"/>
              <w:rPr>
                <w:sz w:val="24"/>
              </w:rPr>
            </w:pPr>
            <w:r>
              <w:rPr>
                <w:sz w:val="24"/>
              </w:rPr>
              <w:t>凤栖湖采煤深陷区综合治理项目(二期)</w:t>
            </w:r>
          </w:p>
        </w:tc>
        <w:tc>
          <w:tcPr>
            <w:tcW w:w="8934" w:type="dxa"/>
            <w:tcBorders>
              <w:top w:val="single" w:color="000000" w:sz="6" w:space="0"/>
              <w:left w:val="single" w:color="000000" w:sz="6" w:space="0"/>
              <w:bottom w:val="single" w:color="000000" w:sz="6" w:space="0"/>
              <w:right w:val="single" w:color="000000" w:sz="6" w:space="0"/>
            </w:tcBorders>
            <w:vAlign w:val="top"/>
          </w:tcPr>
          <w:p w14:paraId="1F6840D0">
            <w:pPr>
              <w:pStyle w:val="16"/>
              <w:spacing w:before="63" w:line="242" w:lineRule="auto"/>
              <w:ind w:left="117" w:leftChars="0" w:right="18" w:rightChars="0"/>
              <w:rPr>
                <w:sz w:val="24"/>
              </w:rPr>
            </w:pPr>
            <w:r>
              <w:rPr>
                <w:sz w:val="24"/>
              </w:rPr>
              <w:t>项目位于刘桥镇凤栖湖，主要建设内容：1、生态恢复与保护；2、交通工程；3、公共服务设施建设工程；4、基础配套设施工程；5、土地征收</w:t>
            </w:r>
          </w:p>
        </w:tc>
      </w:tr>
      <w:tr w14:paraId="3A12597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64F8C32">
            <w:pPr>
              <w:pStyle w:val="16"/>
              <w:spacing w:before="94"/>
              <w:ind w:left="281" w:leftChars="0" w:right="0" w:rightChars="0"/>
              <w:rPr>
                <w:sz w:val="24"/>
              </w:rPr>
            </w:pPr>
            <w:r>
              <w:rPr>
                <w:rFonts w:hint="eastAsia"/>
                <w:sz w:val="24"/>
                <w:lang w:val="en-US" w:eastAsia="zh-CN"/>
              </w:rPr>
              <w:t>52</w:t>
            </w:r>
          </w:p>
        </w:tc>
        <w:tc>
          <w:tcPr>
            <w:tcW w:w="3641" w:type="dxa"/>
            <w:tcBorders>
              <w:top w:val="single" w:color="000000" w:sz="6" w:space="0"/>
              <w:left w:val="double" w:color="000000" w:sz="0" w:space="0"/>
              <w:bottom w:val="single" w:color="000000" w:sz="6" w:space="0"/>
              <w:right w:val="single" w:color="000000" w:sz="6" w:space="0"/>
            </w:tcBorders>
            <w:vAlign w:val="top"/>
          </w:tcPr>
          <w:p w14:paraId="644AB6C4">
            <w:pPr>
              <w:pStyle w:val="16"/>
              <w:spacing w:before="154"/>
              <w:ind w:left="107" w:leftChars="0" w:right="0" w:rightChars="0"/>
              <w:rPr>
                <w:sz w:val="24"/>
              </w:rPr>
            </w:pPr>
            <w:r>
              <w:rPr>
                <w:sz w:val="24"/>
              </w:rPr>
              <w:t>采煤沉陷区水域治理项目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A46BA3E">
            <w:pPr>
              <w:pStyle w:val="16"/>
              <w:spacing w:before="3"/>
              <w:ind w:left="117" w:right="-44"/>
              <w:rPr>
                <w:sz w:val="24"/>
              </w:rPr>
            </w:pPr>
            <w:r>
              <w:rPr>
                <w:spacing w:val="-12"/>
                <w:sz w:val="24"/>
              </w:rPr>
              <w:t xml:space="preserve">治理水面 </w:t>
            </w:r>
            <w:r>
              <w:rPr>
                <w:sz w:val="24"/>
              </w:rPr>
              <w:t>2500</w:t>
            </w:r>
            <w:r>
              <w:rPr>
                <w:spacing w:val="-17"/>
                <w:sz w:val="24"/>
              </w:rPr>
              <w:t xml:space="preserve"> 亩，周大庄村、后吕楼村、孟口村、小城村建设标准化精养塘及道路、</w:t>
            </w:r>
          </w:p>
          <w:p w14:paraId="41036949">
            <w:pPr>
              <w:pStyle w:val="16"/>
              <w:spacing w:before="4" w:line="279" w:lineRule="exact"/>
              <w:ind w:left="117" w:leftChars="0" w:right="0" w:rightChars="0"/>
              <w:rPr>
                <w:sz w:val="24"/>
              </w:rPr>
            </w:pPr>
            <w:r>
              <w:rPr>
                <w:sz w:val="24"/>
              </w:rPr>
              <w:t>绿化、供电线路</w:t>
            </w:r>
          </w:p>
        </w:tc>
      </w:tr>
      <w:tr w14:paraId="500FB1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2517A6B">
            <w:pPr>
              <w:pStyle w:val="16"/>
              <w:spacing w:before="99"/>
              <w:ind w:left="281" w:leftChars="0" w:right="0" w:rightChars="0"/>
              <w:rPr>
                <w:sz w:val="24"/>
              </w:rPr>
            </w:pPr>
            <w:r>
              <w:rPr>
                <w:rFonts w:hint="eastAsia"/>
                <w:sz w:val="24"/>
                <w:lang w:val="en-US" w:eastAsia="zh-CN"/>
              </w:rPr>
              <w:t>53</w:t>
            </w:r>
          </w:p>
        </w:tc>
        <w:tc>
          <w:tcPr>
            <w:tcW w:w="3641" w:type="dxa"/>
            <w:tcBorders>
              <w:top w:val="single" w:color="000000" w:sz="6" w:space="0"/>
              <w:left w:val="double" w:color="000000" w:sz="0" w:space="0"/>
              <w:bottom w:val="single" w:color="000000" w:sz="6" w:space="0"/>
              <w:right w:val="single" w:color="000000" w:sz="6" w:space="0"/>
            </w:tcBorders>
            <w:vAlign w:val="top"/>
          </w:tcPr>
          <w:p w14:paraId="40B91A59">
            <w:pPr>
              <w:pStyle w:val="16"/>
              <w:spacing w:before="3"/>
              <w:ind w:left="107"/>
              <w:rPr>
                <w:sz w:val="24"/>
              </w:rPr>
            </w:pPr>
            <w:r>
              <w:rPr>
                <w:sz w:val="24"/>
              </w:rPr>
              <w:t>铁佛镇采煤沉陷区综合治理生态</w:t>
            </w:r>
          </w:p>
          <w:p w14:paraId="54B2002E">
            <w:pPr>
              <w:pStyle w:val="16"/>
              <w:spacing w:before="4" w:line="290" w:lineRule="exact"/>
              <w:ind w:left="107" w:leftChars="0" w:right="0" w:rightChars="0"/>
              <w:rPr>
                <w:sz w:val="24"/>
              </w:rPr>
            </w:pPr>
            <w:r>
              <w:rPr>
                <w:sz w:val="24"/>
              </w:rPr>
              <w:t>修复及环境治理建设项目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4EA5E5B8">
            <w:pPr>
              <w:pStyle w:val="16"/>
              <w:spacing w:before="159"/>
              <w:ind w:left="117" w:leftChars="0" w:right="0" w:rightChars="0"/>
              <w:rPr>
                <w:sz w:val="24"/>
              </w:rPr>
            </w:pPr>
            <w:r>
              <w:rPr>
                <w:sz w:val="24"/>
              </w:rPr>
              <w:t>塌陷区综合整治 2000 亩</w:t>
            </w:r>
          </w:p>
        </w:tc>
      </w:tr>
      <w:tr w14:paraId="6407FE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E6B6D79">
            <w:pPr>
              <w:pStyle w:val="16"/>
              <w:spacing w:before="125"/>
              <w:ind w:left="281" w:leftChars="0" w:right="0" w:rightChars="0"/>
              <w:rPr>
                <w:rFonts w:hint="eastAsia"/>
                <w:sz w:val="24"/>
                <w:lang w:val="en-US" w:eastAsia="zh-CN"/>
              </w:rPr>
            </w:pPr>
            <w:r>
              <w:rPr>
                <w:rFonts w:hint="eastAsia"/>
                <w:sz w:val="24"/>
                <w:lang w:val="en-US" w:eastAsia="zh-CN"/>
              </w:rPr>
              <w:t>54</w:t>
            </w:r>
          </w:p>
        </w:tc>
        <w:tc>
          <w:tcPr>
            <w:tcW w:w="3641" w:type="dxa"/>
            <w:tcBorders>
              <w:top w:val="single" w:color="000000" w:sz="6" w:space="0"/>
              <w:left w:val="double" w:color="000000" w:sz="0" w:space="0"/>
              <w:bottom w:val="single" w:color="000000" w:sz="6" w:space="0"/>
              <w:right w:val="single" w:color="000000" w:sz="6" w:space="0"/>
            </w:tcBorders>
            <w:vAlign w:val="top"/>
          </w:tcPr>
          <w:p w14:paraId="46FEF538">
            <w:pPr>
              <w:pStyle w:val="16"/>
              <w:spacing w:before="29" w:line="242" w:lineRule="auto"/>
              <w:ind w:left="107" w:leftChars="0" w:right="151" w:rightChars="0"/>
              <w:rPr>
                <w:sz w:val="24"/>
              </w:rPr>
            </w:pPr>
            <w:r>
              <w:rPr>
                <w:sz w:val="24"/>
              </w:rPr>
              <w:t>五沟镇采煤沉陷区生态修复综合治理项目建设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4E16A116">
            <w:pPr>
              <w:pStyle w:val="16"/>
              <w:spacing w:before="29" w:line="242" w:lineRule="auto"/>
              <w:ind w:left="117" w:leftChars="0" w:right="77" w:rightChars="0"/>
              <w:rPr>
                <w:sz w:val="24"/>
              </w:rPr>
            </w:pPr>
            <w:r>
              <w:rPr>
                <w:spacing w:val="-10"/>
                <w:sz w:val="24"/>
              </w:rPr>
              <w:t xml:space="preserve">五沟镇境内界沟煤矿、五沟煤矿、童亭煤矿、袁店一井煤矿四座煤矿采煤沉陷区约 </w:t>
            </w:r>
            <w:r>
              <w:rPr>
                <w:spacing w:val="-16"/>
                <w:sz w:val="24"/>
              </w:rPr>
              <w:t xml:space="preserve">2 </w:t>
            </w:r>
            <w:r>
              <w:rPr>
                <w:sz w:val="24"/>
              </w:rPr>
              <w:t>万亩生态环境修复治理、绿化、休闲步道等</w:t>
            </w:r>
          </w:p>
        </w:tc>
      </w:tr>
      <w:tr w14:paraId="23B3B7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31901C1">
            <w:pPr>
              <w:pStyle w:val="16"/>
              <w:spacing w:before="100"/>
              <w:ind w:left="281" w:leftChars="0" w:right="0" w:rightChars="0"/>
              <w:rPr>
                <w:rFonts w:hint="eastAsia"/>
                <w:sz w:val="24"/>
                <w:lang w:val="en-US" w:eastAsia="zh-CN"/>
              </w:rPr>
            </w:pPr>
            <w:r>
              <w:rPr>
                <w:rFonts w:hint="eastAsia"/>
                <w:sz w:val="24"/>
                <w:lang w:val="en-US" w:eastAsia="zh-CN"/>
              </w:rPr>
              <w:t>55</w:t>
            </w:r>
          </w:p>
        </w:tc>
        <w:tc>
          <w:tcPr>
            <w:tcW w:w="3641" w:type="dxa"/>
            <w:tcBorders>
              <w:top w:val="single" w:color="000000" w:sz="6" w:space="0"/>
              <w:left w:val="double" w:color="000000" w:sz="0" w:space="0"/>
              <w:bottom w:val="single" w:color="000000" w:sz="6" w:space="0"/>
              <w:right w:val="single" w:color="000000" w:sz="6" w:space="0"/>
            </w:tcBorders>
            <w:vAlign w:val="top"/>
          </w:tcPr>
          <w:p w14:paraId="71C21D72">
            <w:pPr>
              <w:pStyle w:val="16"/>
              <w:spacing w:before="4"/>
              <w:ind w:left="107"/>
              <w:rPr>
                <w:sz w:val="24"/>
              </w:rPr>
            </w:pPr>
            <w:r>
              <w:rPr>
                <w:sz w:val="24"/>
              </w:rPr>
              <w:t>南坪镇采煤沉陷区综合治理土地</w:t>
            </w:r>
          </w:p>
          <w:p w14:paraId="55775786">
            <w:pPr>
              <w:pStyle w:val="16"/>
              <w:spacing w:before="4" w:line="291" w:lineRule="exact"/>
              <w:ind w:left="107" w:leftChars="0" w:right="0" w:rightChars="0"/>
              <w:rPr>
                <w:sz w:val="24"/>
              </w:rPr>
            </w:pPr>
            <w:r>
              <w:rPr>
                <w:sz w:val="24"/>
              </w:rPr>
              <w:t>复垦项目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F4A4E6E">
            <w:pPr>
              <w:pStyle w:val="16"/>
              <w:spacing w:before="160"/>
              <w:ind w:left="117" w:leftChars="0" w:right="0" w:rightChars="0"/>
              <w:rPr>
                <w:sz w:val="24"/>
              </w:rPr>
            </w:pPr>
            <w:r>
              <w:rPr>
                <w:sz w:val="24"/>
              </w:rPr>
              <w:t>沉陷区复垦治理 1500 亩。</w:t>
            </w:r>
          </w:p>
        </w:tc>
      </w:tr>
      <w:tr w14:paraId="756301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7BFBA4E">
            <w:pPr>
              <w:pStyle w:val="16"/>
              <w:spacing w:before="8"/>
              <w:ind w:left="281" w:leftChars="0" w:right="0" w:rightChars="0"/>
              <w:rPr>
                <w:rFonts w:hint="eastAsia"/>
                <w:sz w:val="24"/>
                <w:lang w:val="en-US" w:eastAsia="zh-CN"/>
              </w:rPr>
            </w:pPr>
            <w:r>
              <w:rPr>
                <w:rFonts w:hint="eastAsia"/>
                <w:sz w:val="24"/>
                <w:lang w:val="en-US" w:eastAsia="zh-CN"/>
              </w:rPr>
              <w:t>56</w:t>
            </w:r>
          </w:p>
        </w:tc>
        <w:tc>
          <w:tcPr>
            <w:tcW w:w="3641" w:type="dxa"/>
            <w:tcBorders>
              <w:top w:val="single" w:color="000000" w:sz="6" w:space="0"/>
              <w:left w:val="double" w:color="000000" w:sz="0" w:space="0"/>
              <w:bottom w:val="single" w:color="000000" w:sz="6" w:space="0"/>
              <w:right w:val="single" w:color="000000" w:sz="6" w:space="0"/>
            </w:tcBorders>
            <w:vAlign w:val="top"/>
          </w:tcPr>
          <w:p w14:paraId="4ECADFA7">
            <w:pPr>
              <w:pStyle w:val="16"/>
              <w:spacing w:before="68"/>
              <w:ind w:left="107" w:leftChars="0" w:right="0" w:rightChars="0"/>
              <w:rPr>
                <w:sz w:val="24"/>
              </w:rPr>
            </w:pPr>
            <w:r>
              <w:rPr>
                <w:sz w:val="24"/>
              </w:rPr>
              <w:t>孙疃镇采煤沉陷区水域治理项目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EBE631B">
            <w:pPr>
              <w:pStyle w:val="16"/>
              <w:spacing w:before="68"/>
              <w:ind w:left="117" w:leftChars="0" w:right="0" w:rightChars="0"/>
              <w:rPr>
                <w:sz w:val="24"/>
              </w:rPr>
            </w:pPr>
            <w:r>
              <w:rPr>
                <w:sz w:val="24"/>
              </w:rPr>
              <w:t>塌陷区综合整治约 3000 亩</w:t>
            </w:r>
          </w:p>
        </w:tc>
      </w:tr>
      <w:tr w14:paraId="775B5C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14F5845">
            <w:pPr>
              <w:pStyle w:val="16"/>
              <w:spacing w:before="94"/>
              <w:ind w:left="281" w:leftChars="0" w:right="0" w:rightChars="0"/>
              <w:rPr>
                <w:rFonts w:hint="eastAsia"/>
                <w:sz w:val="24"/>
                <w:lang w:val="en-US" w:eastAsia="zh-CN"/>
              </w:rPr>
            </w:pPr>
            <w:r>
              <w:rPr>
                <w:rFonts w:hint="eastAsia"/>
                <w:sz w:val="24"/>
                <w:lang w:val="en-US" w:eastAsia="zh-CN"/>
              </w:rPr>
              <w:t>57</w:t>
            </w:r>
          </w:p>
        </w:tc>
        <w:tc>
          <w:tcPr>
            <w:tcW w:w="3641" w:type="dxa"/>
            <w:tcBorders>
              <w:top w:val="single" w:color="000000" w:sz="6" w:space="0"/>
              <w:left w:val="double" w:color="000000" w:sz="0" w:space="0"/>
              <w:bottom w:val="single" w:color="000000" w:sz="6" w:space="0"/>
              <w:right w:val="single" w:color="000000" w:sz="6" w:space="0"/>
            </w:tcBorders>
            <w:vAlign w:val="top"/>
          </w:tcPr>
          <w:p w14:paraId="3DB9CBB1">
            <w:pPr>
              <w:pStyle w:val="16"/>
              <w:spacing w:before="3"/>
              <w:ind w:left="107"/>
              <w:rPr>
                <w:sz w:val="24"/>
              </w:rPr>
            </w:pPr>
            <w:r>
              <w:rPr>
                <w:sz w:val="24"/>
              </w:rPr>
              <w:t>四铺镇张圩村采煤沉陷区水域治</w:t>
            </w:r>
          </w:p>
          <w:p w14:paraId="50BFFFD3">
            <w:pPr>
              <w:pStyle w:val="16"/>
              <w:spacing w:before="4" w:line="279" w:lineRule="exact"/>
              <w:ind w:left="107" w:leftChars="0" w:right="0" w:rightChars="0"/>
              <w:rPr>
                <w:sz w:val="24"/>
              </w:rPr>
            </w:pPr>
            <w:r>
              <w:rPr>
                <w:sz w:val="24"/>
              </w:rPr>
              <w:t>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211275FB">
            <w:pPr>
              <w:pStyle w:val="16"/>
              <w:spacing w:before="154"/>
              <w:ind w:left="117" w:leftChars="0" w:right="0" w:rightChars="0"/>
              <w:rPr>
                <w:sz w:val="24"/>
              </w:rPr>
            </w:pPr>
            <w:r>
              <w:rPr>
                <w:sz w:val="24"/>
              </w:rPr>
              <w:t>塌陷区综合整治约 1000 亩</w:t>
            </w:r>
          </w:p>
        </w:tc>
      </w:tr>
      <w:tr w14:paraId="70F1A2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4F5BB71">
            <w:pPr>
              <w:pStyle w:val="16"/>
              <w:rPr>
                <w:rFonts w:ascii="Times New Roman"/>
                <w:sz w:val="24"/>
              </w:rPr>
            </w:pPr>
          </w:p>
          <w:p w14:paraId="575D3D2F">
            <w:pPr>
              <w:pStyle w:val="16"/>
              <w:rPr>
                <w:rFonts w:ascii="Times New Roman"/>
                <w:sz w:val="24"/>
              </w:rPr>
            </w:pPr>
          </w:p>
          <w:p w14:paraId="5197AFA1">
            <w:pPr>
              <w:pStyle w:val="16"/>
              <w:spacing w:before="192"/>
              <w:ind w:left="281" w:leftChars="0" w:right="0" w:rightChars="0"/>
              <w:rPr>
                <w:rFonts w:hint="eastAsia"/>
                <w:sz w:val="24"/>
                <w:lang w:val="en-US" w:eastAsia="zh-CN"/>
              </w:rPr>
            </w:pPr>
            <w:r>
              <w:rPr>
                <w:rFonts w:hint="eastAsia"/>
                <w:sz w:val="24"/>
                <w:lang w:val="en-US" w:eastAsia="zh-CN"/>
              </w:rPr>
              <w:t>58</w:t>
            </w:r>
          </w:p>
        </w:tc>
        <w:tc>
          <w:tcPr>
            <w:tcW w:w="3641" w:type="dxa"/>
            <w:tcBorders>
              <w:top w:val="single" w:color="000000" w:sz="6" w:space="0"/>
              <w:left w:val="double" w:color="000000" w:sz="0" w:space="0"/>
              <w:bottom w:val="single" w:color="000000" w:sz="6" w:space="0"/>
              <w:right w:val="single" w:color="000000" w:sz="6" w:space="0"/>
            </w:tcBorders>
            <w:vAlign w:val="top"/>
          </w:tcPr>
          <w:p w14:paraId="1E997BD7">
            <w:pPr>
              <w:pStyle w:val="16"/>
              <w:rPr>
                <w:rFonts w:ascii="Times New Roman"/>
                <w:sz w:val="24"/>
              </w:rPr>
            </w:pPr>
          </w:p>
          <w:p w14:paraId="629CC4D6">
            <w:pPr>
              <w:pStyle w:val="16"/>
              <w:spacing w:before="4"/>
              <w:rPr>
                <w:rFonts w:ascii="Times New Roman"/>
                <w:sz w:val="32"/>
              </w:rPr>
            </w:pPr>
          </w:p>
          <w:p w14:paraId="5002833E">
            <w:pPr>
              <w:pStyle w:val="16"/>
              <w:spacing w:line="242" w:lineRule="auto"/>
              <w:ind w:left="107" w:leftChars="0" w:right="151" w:rightChars="0"/>
              <w:rPr>
                <w:sz w:val="24"/>
              </w:rPr>
            </w:pPr>
            <w:r>
              <w:rPr>
                <w:sz w:val="24"/>
              </w:rPr>
              <w:t>濉溪县百善镇人居环境整治生态家园建设工程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1543AE6F">
            <w:pPr>
              <w:pStyle w:val="16"/>
              <w:spacing w:before="180" w:line="242" w:lineRule="auto"/>
              <w:ind w:left="117" w:right="-44"/>
              <w:rPr>
                <w:sz w:val="24"/>
              </w:rPr>
            </w:pPr>
            <w:r>
              <w:rPr>
                <w:spacing w:val="-2"/>
                <w:sz w:val="24"/>
              </w:rPr>
              <w:t xml:space="preserve">一，棚改及配套设施完善，包括叶刘湖，青卫，茶安村等预计投资 </w:t>
            </w:r>
            <w:r>
              <w:rPr>
                <w:sz w:val="24"/>
              </w:rPr>
              <w:t>1.6</w:t>
            </w:r>
            <w:r>
              <w:rPr>
                <w:spacing w:val="-10"/>
                <w:sz w:val="24"/>
              </w:rPr>
              <w:t xml:space="preserve"> 亿。二，濉</w:t>
            </w:r>
            <w:r>
              <w:rPr>
                <w:spacing w:val="-11"/>
                <w:sz w:val="24"/>
              </w:rPr>
              <w:t xml:space="preserve">溪县百善镇生态环境治理工程。一是河道治理包括苇菠，丁楼，马乡，鲁甸，茶安， </w:t>
            </w:r>
            <w:r>
              <w:rPr>
                <w:spacing w:val="-15"/>
                <w:sz w:val="24"/>
              </w:rPr>
              <w:t xml:space="preserve">黄新庄，前营等村，预计投资 </w:t>
            </w:r>
            <w:r>
              <w:rPr>
                <w:sz w:val="24"/>
              </w:rPr>
              <w:t>0.6</w:t>
            </w:r>
            <w:r>
              <w:rPr>
                <w:spacing w:val="-22"/>
                <w:sz w:val="24"/>
              </w:rPr>
              <w:t xml:space="preserve"> 亿，二是道路工程，包括 </w:t>
            </w:r>
            <w:r>
              <w:rPr>
                <w:sz w:val="24"/>
              </w:rPr>
              <w:t>22</w:t>
            </w:r>
            <w:r>
              <w:rPr>
                <w:spacing w:val="-14"/>
                <w:sz w:val="24"/>
              </w:rPr>
              <w:t xml:space="preserve"> 个村全覆盖约投资 </w:t>
            </w:r>
            <w:r>
              <w:rPr>
                <w:sz w:val="24"/>
              </w:rPr>
              <w:t>0.9</w:t>
            </w:r>
          </w:p>
          <w:p w14:paraId="1B12F104">
            <w:pPr>
              <w:pStyle w:val="16"/>
              <w:spacing w:before="4"/>
              <w:ind w:left="117"/>
              <w:rPr>
                <w:sz w:val="24"/>
              </w:rPr>
            </w:pPr>
            <w:r>
              <w:rPr>
                <w:spacing w:val="-4"/>
                <w:sz w:val="24"/>
              </w:rPr>
              <w:t xml:space="preserve">亿元，三是环境整治，土地治理，包括 </w:t>
            </w:r>
            <w:r>
              <w:rPr>
                <w:sz w:val="24"/>
              </w:rPr>
              <w:t>202.238.303</w:t>
            </w:r>
            <w:r>
              <w:rPr>
                <w:spacing w:val="-16"/>
                <w:sz w:val="24"/>
              </w:rPr>
              <w:t xml:space="preserve"> 沿线村约投资 </w:t>
            </w:r>
            <w:r>
              <w:rPr>
                <w:sz w:val="24"/>
              </w:rPr>
              <w:t>1.2</w:t>
            </w:r>
            <w:r>
              <w:rPr>
                <w:spacing w:val="-10"/>
                <w:sz w:val="24"/>
              </w:rPr>
              <w:t xml:space="preserve"> 亿元，总计</w:t>
            </w:r>
          </w:p>
          <w:p w14:paraId="6041F0F5">
            <w:pPr>
              <w:pStyle w:val="16"/>
              <w:spacing w:before="5"/>
              <w:ind w:left="117" w:leftChars="0" w:right="0" w:rightChars="0"/>
              <w:rPr>
                <w:sz w:val="24"/>
              </w:rPr>
            </w:pPr>
            <w:r>
              <w:rPr>
                <w:sz w:val="24"/>
              </w:rPr>
              <w:t>2.7 亿元。以上累计投资约 4.3 亿元</w:t>
            </w:r>
          </w:p>
        </w:tc>
      </w:tr>
      <w:tr w14:paraId="3FE45D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FF42F61">
            <w:pPr>
              <w:pStyle w:val="16"/>
              <w:rPr>
                <w:rFonts w:ascii="Times New Roman"/>
                <w:sz w:val="24"/>
              </w:rPr>
            </w:pPr>
          </w:p>
          <w:p w14:paraId="5E233E18">
            <w:pPr>
              <w:pStyle w:val="16"/>
              <w:spacing w:before="154"/>
              <w:ind w:left="281" w:leftChars="0" w:right="0" w:rightChars="0"/>
              <w:rPr>
                <w:rFonts w:hint="eastAsia"/>
                <w:sz w:val="24"/>
                <w:lang w:val="en-US" w:eastAsia="zh-CN"/>
              </w:rPr>
            </w:pPr>
            <w:r>
              <w:rPr>
                <w:rFonts w:hint="eastAsia"/>
                <w:sz w:val="24"/>
                <w:lang w:val="en-US" w:eastAsia="zh-CN"/>
              </w:rPr>
              <w:t>61</w:t>
            </w:r>
          </w:p>
        </w:tc>
        <w:tc>
          <w:tcPr>
            <w:tcW w:w="3641" w:type="dxa"/>
            <w:tcBorders>
              <w:top w:val="single" w:color="000000" w:sz="6" w:space="0"/>
              <w:left w:val="double" w:color="000000" w:sz="0" w:space="0"/>
              <w:bottom w:val="single" w:color="000000" w:sz="6" w:space="0"/>
              <w:right w:val="single" w:color="000000" w:sz="6" w:space="0"/>
            </w:tcBorders>
            <w:vAlign w:val="top"/>
          </w:tcPr>
          <w:p w14:paraId="021BE133">
            <w:pPr>
              <w:pStyle w:val="16"/>
              <w:rPr>
                <w:rFonts w:ascii="Times New Roman"/>
                <w:sz w:val="29"/>
              </w:rPr>
            </w:pPr>
          </w:p>
          <w:p w14:paraId="1FC82C29">
            <w:pPr>
              <w:pStyle w:val="16"/>
              <w:spacing w:line="242" w:lineRule="auto"/>
              <w:ind w:left="107" w:leftChars="0" w:right="151" w:rightChars="0"/>
              <w:rPr>
                <w:sz w:val="24"/>
              </w:rPr>
            </w:pPr>
            <w:r>
              <w:rPr>
                <w:sz w:val="24"/>
              </w:rPr>
              <w:t>濉溪县南坪镇采煤沉陷区澥河治理修复</w:t>
            </w:r>
          </w:p>
        </w:tc>
        <w:tc>
          <w:tcPr>
            <w:tcW w:w="8934" w:type="dxa"/>
            <w:tcBorders>
              <w:top w:val="single" w:color="000000" w:sz="6" w:space="0"/>
              <w:left w:val="single" w:color="000000" w:sz="6" w:space="0"/>
              <w:bottom w:val="single" w:color="000000" w:sz="6" w:space="0"/>
              <w:right w:val="single" w:color="000000" w:sz="6" w:space="0"/>
            </w:tcBorders>
            <w:vAlign w:val="top"/>
          </w:tcPr>
          <w:p w14:paraId="68A9BEF8">
            <w:pPr>
              <w:pStyle w:val="16"/>
              <w:spacing w:before="22" w:line="242" w:lineRule="auto"/>
              <w:ind w:left="117" w:right="77"/>
              <w:rPr>
                <w:sz w:val="24"/>
              </w:rPr>
            </w:pPr>
            <w:r>
              <w:rPr>
                <w:spacing w:val="-4"/>
                <w:sz w:val="24"/>
              </w:rPr>
              <w:t xml:space="preserve">为修复采煤沉陷区生态环境，拟安置 </w:t>
            </w:r>
            <w:r>
              <w:rPr>
                <w:sz w:val="24"/>
              </w:rPr>
              <w:t>535</w:t>
            </w:r>
            <w:r>
              <w:rPr>
                <w:spacing w:val="-30"/>
                <w:sz w:val="24"/>
              </w:rPr>
              <w:t xml:space="preserve"> 户</w:t>
            </w:r>
            <w:r>
              <w:rPr>
                <w:sz w:val="24"/>
              </w:rPr>
              <w:t>，1790</w:t>
            </w:r>
            <w:r>
              <w:rPr>
                <w:spacing w:val="-8"/>
                <w:sz w:val="24"/>
              </w:rPr>
              <w:t xml:space="preserve"> 人，在南坪镇老家村建设安置区</w:t>
            </w:r>
            <w:r>
              <w:rPr>
                <w:spacing w:val="-12"/>
                <w:sz w:val="24"/>
              </w:rPr>
              <w:t xml:space="preserve">道路、下水管网及绿化、亮化；主河道清淤治理 </w:t>
            </w:r>
            <w:r>
              <w:rPr>
                <w:sz w:val="24"/>
              </w:rPr>
              <w:t>4000</w:t>
            </w:r>
            <w:r>
              <w:rPr>
                <w:spacing w:val="-19"/>
                <w:sz w:val="24"/>
              </w:rPr>
              <w:t xml:space="preserve"> 米、河岸护坡 </w:t>
            </w:r>
            <w:r>
              <w:rPr>
                <w:sz w:val="24"/>
              </w:rPr>
              <w:t>4000</w:t>
            </w:r>
            <w:r>
              <w:rPr>
                <w:spacing w:val="-25"/>
                <w:sz w:val="24"/>
              </w:rPr>
              <w:t xml:space="preserve"> 米，桥梁 </w:t>
            </w:r>
            <w:r>
              <w:rPr>
                <w:spacing w:val="-14"/>
                <w:sz w:val="24"/>
              </w:rPr>
              <w:t>4</w:t>
            </w:r>
          </w:p>
          <w:p w14:paraId="44371776">
            <w:pPr>
              <w:pStyle w:val="16"/>
              <w:spacing w:before="3"/>
              <w:ind w:left="117"/>
              <w:rPr>
                <w:sz w:val="24"/>
              </w:rPr>
            </w:pPr>
            <w:r>
              <w:rPr>
                <w:spacing w:val="-12"/>
                <w:sz w:val="24"/>
              </w:rPr>
              <w:t xml:space="preserve">座，公厕 </w:t>
            </w:r>
            <w:r>
              <w:rPr>
                <w:sz w:val="24"/>
              </w:rPr>
              <w:t>4</w:t>
            </w:r>
            <w:r>
              <w:rPr>
                <w:spacing w:val="-12"/>
                <w:sz w:val="24"/>
              </w:rPr>
              <w:t xml:space="preserve"> 座，休闲广场，休闲步道 </w:t>
            </w:r>
            <w:r>
              <w:rPr>
                <w:sz w:val="24"/>
              </w:rPr>
              <w:t>4000</w:t>
            </w:r>
            <w:r>
              <w:rPr>
                <w:spacing w:val="-8"/>
                <w:sz w:val="24"/>
              </w:rPr>
              <w:t xml:space="preserve"> 米，下水道，河岸绿化，亮化工程等.项</w:t>
            </w:r>
          </w:p>
          <w:p w14:paraId="10D9820C">
            <w:pPr>
              <w:pStyle w:val="16"/>
              <w:spacing w:before="4" w:line="306" w:lineRule="exact"/>
              <w:ind w:left="117" w:leftChars="0" w:right="0" w:rightChars="0"/>
              <w:rPr>
                <w:sz w:val="24"/>
              </w:rPr>
            </w:pPr>
            <w:r>
              <w:rPr>
                <w:sz w:val="24"/>
              </w:rPr>
              <w:t>目建设地点南坪镇任集村</w:t>
            </w:r>
          </w:p>
        </w:tc>
      </w:tr>
      <w:tr w14:paraId="45B346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3FF80257">
            <w:pPr>
              <w:pStyle w:val="16"/>
              <w:rPr>
                <w:rFonts w:ascii="Times New Roman"/>
                <w:sz w:val="24"/>
              </w:rPr>
            </w:pPr>
          </w:p>
          <w:p w14:paraId="4AC72A3C">
            <w:pPr>
              <w:pStyle w:val="16"/>
              <w:rPr>
                <w:rFonts w:ascii="Times New Roman"/>
                <w:sz w:val="24"/>
              </w:rPr>
            </w:pPr>
          </w:p>
          <w:p w14:paraId="5F63FDE6">
            <w:pPr>
              <w:pStyle w:val="16"/>
              <w:rPr>
                <w:rFonts w:ascii="Times New Roman"/>
                <w:sz w:val="24"/>
              </w:rPr>
            </w:pPr>
          </w:p>
          <w:p w14:paraId="7700A3A6">
            <w:pPr>
              <w:pStyle w:val="16"/>
              <w:spacing w:before="5"/>
              <w:rPr>
                <w:rFonts w:ascii="Times New Roman"/>
                <w:sz w:val="21"/>
              </w:rPr>
            </w:pPr>
          </w:p>
          <w:p w14:paraId="20E1E2FB">
            <w:pPr>
              <w:pStyle w:val="16"/>
              <w:ind w:left="281" w:leftChars="0" w:right="0" w:rightChars="0"/>
              <w:rPr>
                <w:rFonts w:hint="eastAsia"/>
                <w:sz w:val="24"/>
                <w:lang w:val="en-US" w:eastAsia="zh-CN"/>
              </w:rPr>
            </w:pPr>
            <w:r>
              <w:rPr>
                <w:rFonts w:hint="eastAsia"/>
                <w:sz w:val="24"/>
                <w:lang w:val="en-US" w:eastAsia="zh-CN"/>
              </w:rPr>
              <w:t>62</w:t>
            </w:r>
          </w:p>
        </w:tc>
        <w:tc>
          <w:tcPr>
            <w:tcW w:w="3641" w:type="dxa"/>
            <w:tcBorders>
              <w:top w:val="single" w:color="000000" w:sz="6" w:space="0"/>
              <w:left w:val="double" w:color="000000" w:sz="0" w:space="0"/>
              <w:bottom w:val="single" w:color="000000" w:sz="6" w:space="0"/>
              <w:right w:val="single" w:color="000000" w:sz="6" w:space="0"/>
            </w:tcBorders>
            <w:vAlign w:val="top"/>
          </w:tcPr>
          <w:p w14:paraId="18E97059">
            <w:pPr>
              <w:pStyle w:val="16"/>
              <w:rPr>
                <w:rFonts w:ascii="Times New Roman"/>
                <w:sz w:val="24"/>
              </w:rPr>
            </w:pPr>
          </w:p>
          <w:p w14:paraId="5C36A61B">
            <w:pPr>
              <w:pStyle w:val="16"/>
              <w:rPr>
                <w:rFonts w:ascii="Times New Roman"/>
                <w:sz w:val="24"/>
              </w:rPr>
            </w:pPr>
          </w:p>
          <w:p w14:paraId="7B5EBC25">
            <w:pPr>
              <w:pStyle w:val="16"/>
              <w:spacing w:before="6"/>
              <w:rPr>
                <w:rFonts w:ascii="Times New Roman"/>
                <w:sz w:val="23"/>
              </w:rPr>
            </w:pPr>
          </w:p>
          <w:p w14:paraId="38389E9F">
            <w:pPr>
              <w:pStyle w:val="16"/>
              <w:spacing w:line="242" w:lineRule="auto"/>
              <w:ind w:left="107" w:leftChars="0" w:right="151" w:rightChars="0"/>
              <w:jc w:val="both"/>
              <w:rPr>
                <w:sz w:val="24"/>
              </w:rPr>
            </w:pPr>
            <w:r>
              <w:rPr>
                <w:sz w:val="24"/>
              </w:rPr>
              <w:t>濉溪县采煤沉陷区五沟小城镇应急避险搬迁安置基础设施配套完善项目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BC2D3AC">
            <w:pPr>
              <w:pStyle w:val="16"/>
              <w:spacing w:before="42" w:line="242" w:lineRule="auto"/>
              <w:ind w:left="117" w:right="-44"/>
              <w:rPr>
                <w:sz w:val="24"/>
              </w:rPr>
            </w:pPr>
            <w:r>
              <w:rPr>
                <w:spacing w:val="-9"/>
                <w:sz w:val="24"/>
              </w:rPr>
              <w:t>为修复采煤沉陷区生态环境，拟建设新镇区搬迁安置房搬迁安置房共计</w:t>
            </w:r>
            <w:r>
              <w:rPr>
                <w:sz w:val="24"/>
              </w:rPr>
              <w:t>90</w:t>
            </w:r>
            <w:r>
              <w:rPr>
                <w:spacing w:val="-17"/>
                <w:sz w:val="24"/>
              </w:rPr>
              <w:t xml:space="preserve"> 万平方米， </w:t>
            </w:r>
            <w:r>
              <w:rPr>
                <w:spacing w:val="-5"/>
                <w:sz w:val="24"/>
              </w:rPr>
              <w:t>包含五沟镇新区一期、二期、三期安置房建设；新镇区周边村庄</w:t>
            </w:r>
            <w:r>
              <w:rPr>
                <w:sz w:val="24"/>
              </w:rPr>
              <w:t>（</w:t>
            </w:r>
            <w:r>
              <w:rPr>
                <w:spacing w:val="-2"/>
                <w:sz w:val="24"/>
              </w:rPr>
              <w:t>南湖南村大于家、</w:t>
            </w:r>
            <w:r>
              <w:rPr>
                <w:sz w:val="24"/>
              </w:rPr>
              <w:t>小于家，藕池村前、中、后藕池村庄）搬迁安置；新镇区污水管网延伸完善、沟渠</w:t>
            </w:r>
            <w:r>
              <w:rPr>
                <w:spacing w:val="-5"/>
                <w:sz w:val="24"/>
              </w:rPr>
              <w:t>疏通</w:t>
            </w:r>
            <w:r>
              <w:rPr>
                <w:spacing w:val="-3"/>
                <w:sz w:val="24"/>
              </w:rPr>
              <w:t xml:space="preserve">（其中新镇区及周边搬迁村庄沟渠疏通长度共计约 </w:t>
            </w:r>
            <w:r>
              <w:rPr>
                <w:sz w:val="24"/>
              </w:rPr>
              <w:t>35</w:t>
            </w:r>
            <w:r>
              <w:rPr>
                <w:spacing w:val="-20"/>
                <w:sz w:val="24"/>
              </w:rPr>
              <w:t xml:space="preserve"> 公里</w:t>
            </w:r>
            <w:r>
              <w:rPr>
                <w:spacing w:val="-10"/>
                <w:sz w:val="24"/>
              </w:rPr>
              <w:t>）</w:t>
            </w:r>
            <w:r>
              <w:rPr>
                <w:spacing w:val="-5"/>
                <w:sz w:val="24"/>
              </w:rPr>
              <w:t>、生态修复</w:t>
            </w:r>
            <w:r>
              <w:rPr>
                <w:sz w:val="24"/>
              </w:rPr>
              <w:t>（新镇区及周边搬迁村庄胡沟、白尤沟等河岸植被恢复工程建设）；文化体育配套设施完</w:t>
            </w:r>
            <w:r>
              <w:rPr>
                <w:spacing w:val="-12"/>
                <w:sz w:val="24"/>
              </w:rPr>
              <w:t>善等；搬迁村庄道路修复改造</w:t>
            </w:r>
            <w:r>
              <w:rPr>
                <w:sz w:val="24"/>
              </w:rPr>
              <w:t>（</w:t>
            </w:r>
            <w:r>
              <w:rPr>
                <w:spacing w:val="-3"/>
                <w:sz w:val="24"/>
              </w:rPr>
              <w:t xml:space="preserve">其中新镇区至周边搬迁村庄主干道道路修复改造 </w:t>
            </w:r>
            <w:r>
              <w:rPr>
                <w:sz w:val="24"/>
              </w:rPr>
              <w:t>1.1</w:t>
            </w:r>
          </w:p>
          <w:p w14:paraId="2BA34967">
            <w:pPr>
              <w:pStyle w:val="16"/>
              <w:spacing w:before="9" w:line="242" w:lineRule="auto"/>
              <w:ind w:left="117" w:leftChars="0" w:right="77" w:rightChars="0"/>
              <w:rPr>
                <w:sz w:val="24"/>
              </w:rPr>
            </w:pPr>
            <w:r>
              <w:rPr>
                <w:spacing w:val="-7"/>
                <w:sz w:val="24"/>
              </w:rPr>
              <w:t xml:space="preserve">公里、搬迁村庄普通道路修复改造 </w:t>
            </w:r>
            <w:r>
              <w:rPr>
                <w:sz w:val="24"/>
              </w:rPr>
              <w:t>15</w:t>
            </w:r>
            <w:r>
              <w:rPr>
                <w:spacing w:val="-20"/>
                <w:sz w:val="24"/>
              </w:rPr>
              <w:t xml:space="preserve"> 公里</w:t>
            </w:r>
            <w:r>
              <w:rPr>
                <w:spacing w:val="-7"/>
                <w:sz w:val="24"/>
              </w:rPr>
              <w:t>）；其他绿化、亮化、给排水、供电、供</w:t>
            </w:r>
            <w:r>
              <w:rPr>
                <w:sz w:val="24"/>
              </w:rPr>
              <w:t>气工程等设施配套建设</w:t>
            </w:r>
          </w:p>
        </w:tc>
      </w:tr>
      <w:tr w14:paraId="18F9C4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755A109">
            <w:pPr>
              <w:pStyle w:val="16"/>
              <w:rPr>
                <w:rFonts w:ascii="Times New Roman"/>
                <w:sz w:val="24"/>
              </w:rPr>
            </w:pPr>
          </w:p>
          <w:p w14:paraId="6ACEDECB">
            <w:pPr>
              <w:pStyle w:val="16"/>
              <w:spacing w:before="183"/>
              <w:ind w:left="281" w:leftChars="0" w:right="0" w:rightChars="0"/>
              <w:rPr>
                <w:rFonts w:hint="eastAsia"/>
                <w:sz w:val="24"/>
                <w:lang w:val="en-US" w:eastAsia="zh-CN"/>
              </w:rPr>
            </w:pPr>
            <w:r>
              <w:rPr>
                <w:sz w:val="24"/>
              </w:rPr>
              <w:t>6</w:t>
            </w:r>
            <w:r>
              <w:rPr>
                <w:rFonts w:hint="eastAsia"/>
                <w:sz w:val="24"/>
                <w:lang w:val="en-US" w:eastAsia="zh-CN"/>
              </w:rPr>
              <w:t>3</w:t>
            </w:r>
          </w:p>
        </w:tc>
        <w:tc>
          <w:tcPr>
            <w:tcW w:w="3641" w:type="dxa"/>
            <w:tcBorders>
              <w:top w:val="single" w:color="000000" w:sz="6" w:space="0"/>
              <w:left w:val="double" w:color="000000" w:sz="0" w:space="0"/>
              <w:bottom w:val="single" w:color="000000" w:sz="6" w:space="0"/>
              <w:right w:val="single" w:color="000000" w:sz="6" w:space="0"/>
            </w:tcBorders>
            <w:vAlign w:val="top"/>
          </w:tcPr>
          <w:p w14:paraId="5FED89DD">
            <w:pPr>
              <w:pStyle w:val="16"/>
              <w:rPr>
                <w:rFonts w:ascii="Times New Roman"/>
                <w:sz w:val="24"/>
              </w:rPr>
            </w:pPr>
          </w:p>
          <w:p w14:paraId="76DE7718">
            <w:pPr>
              <w:pStyle w:val="16"/>
              <w:spacing w:before="1"/>
              <w:rPr>
                <w:rFonts w:ascii="Times New Roman"/>
                <w:sz w:val="21"/>
              </w:rPr>
            </w:pPr>
          </w:p>
          <w:p w14:paraId="001A69D9">
            <w:pPr>
              <w:pStyle w:val="16"/>
              <w:ind w:left="107" w:leftChars="0" w:right="0" w:rightChars="0"/>
              <w:rPr>
                <w:sz w:val="24"/>
              </w:rPr>
            </w:pPr>
            <w:r>
              <w:rPr>
                <w:sz w:val="24"/>
              </w:rPr>
              <w:t>刘桥镇采煤沉陷区综合治理项目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704CE0A">
            <w:pPr>
              <w:pStyle w:val="16"/>
              <w:spacing w:before="51" w:line="242" w:lineRule="auto"/>
              <w:ind w:left="117" w:leftChars="0" w:right="77" w:rightChars="0"/>
              <w:jc w:val="both"/>
              <w:rPr>
                <w:sz w:val="24"/>
              </w:rPr>
            </w:pPr>
            <w:r>
              <w:rPr>
                <w:spacing w:val="-12"/>
                <w:sz w:val="24"/>
              </w:rPr>
              <w:t xml:space="preserve">建设全长 </w:t>
            </w:r>
            <w:r>
              <w:rPr>
                <w:sz w:val="24"/>
              </w:rPr>
              <w:t>18.3</w:t>
            </w:r>
            <w:r>
              <w:rPr>
                <w:spacing w:val="-13"/>
                <w:sz w:val="24"/>
              </w:rPr>
              <w:t xml:space="preserve"> 公里污水管网工程，新建 </w:t>
            </w:r>
            <w:r>
              <w:rPr>
                <w:sz w:val="24"/>
              </w:rPr>
              <w:t>5</w:t>
            </w:r>
            <w:r>
              <w:rPr>
                <w:spacing w:val="-14"/>
                <w:sz w:val="24"/>
              </w:rPr>
              <w:t xml:space="preserve"> 公里道路</w:t>
            </w:r>
            <w:r>
              <w:rPr>
                <w:sz w:val="24"/>
              </w:rPr>
              <w:t>（</w:t>
            </w:r>
            <w:r>
              <w:rPr>
                <w:spacing w:val="-4"/>
                <w:sz w:val="24"/>
              </w:rPr>
              <w:t xml:space="preserve">恒源路北段、经一路北段、二矿铁路至黄庄工业园、前陈庄西濉永路至 </w:t>
            </w:r>
            <w:r>
              <w:rPr>
                <w:sz w:val="24"/>
              </w:rPr>
              <w:t>101</w:t>
            </w:r>
            <w:r>
              <w:rPr>
                <w:spacing w:val="-10"/>
                <w:sz w:val="24"/>
              </w:rPr>
              <w:t xml:space="preserve"> 省道等路段</w:t>
            </w:r>
            <w:r>
              <w:rPr>
                <w:sz w:val="24"/>
              </w:rPr>
              <w:t>），S101</w:t>
            </w:r>
            <w:r>
              <w:rPr>
                <w:spacing w:val="-8"/>
                <w:sz w:val="24"/>
              </w:rPr>
              <w:t xml:space="preserve"> 与濉永路交叉路</w:t>
            </w:r>
            <w:r>
              <w:rPr>
                <w:spacing w:val="-12"/>
                <w:sz w:val="24"/>
              </w:rPr>
              <w:t xml:space="preserve">西北侧建设失地农民创业厂房 </w:t>
            </w:r>
            <w:r>
              <w:rPr>
                <w:sz w:val="24"/>
              </w:rPr>
              <w:t>4</w:t>
            </w:r>
            <w:r>
              <w:rPr>
                <w:spacing w:val="-40"/>
                <w:sz w:val="24"/>
              </w:rPr>
              <w:t xml:space="preserve"> 栋 </w:t>
            </w:r>
            <w:r>
              <w:rPr>
                <w:sz w:val="24"/>
              </w:rPr>
              <w:t>3</w:t>
            </w:r>
            <w:r>
              <w:rPr>
                <w:spacing w:val="-40"/>
                <w:sz w:val="24"/>
              </w:rPr>
              <w:t xml:space="preserve"> 层 </w:t>
            </w:r>
            <w:r>
              <w:rPr>
                <w:sz w:val="24"/>
              </w:rPr>
              <w:t>10000</w:t>
            </w:r>
            <w:r>
              <w:rPr>
                <w:spacing w:val="-8"/>
                <w:sz w:val="24"/>
              </w:rPr>
              <w:t xml:space="preserve"> 平方米，及丁合沟、任李沟、直河、小漕沟、王颖沟、丁楼沟等清淤工程</w:t>
            </w:r>
          </w:p>
        </w:tc>
      </w:tr>
      <w:tr w14:paraId="5FF9A8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463CAA4">
            <w:pPr>
              <w:pStyle w:val="16"/>
              <w:rPr>
                <w:rFonts w:ascii="Times New Roman"/>
                <w:sz w:val="24"/>
              </w:rPr>
            </w:pPr>
          </w:p>
          <w:p w14:paraId="430E454C">
            <w:pPr>
              <w:pStyle w:val="16"/>
              <w:spacing w:before="195"/>
              <w:ind w:left="281" w:leftChars="0" w:right="0" w:rightChars="0"/>
              <w:rPr>
                <w:rFonts w:hint="eastAsia"/>
                <w:sz w:val="24"/>
                <w:lang w:val="en-US" w:eastAsia="zh-CN"/>
              </w:rPr>
            </w:pPr>
            <w:r>
              <w:rPr>
                <w:sz w:val="24"/>
              </w:rPr>
              <w:t>6</w:t>
            </w:r>
            <w:r>
              <w:rPr>
                <w:rFonts w:hint="eastAsia"/>
                <w:sz w:val="24"/>
                <w:lang w:val="en-US" w:eastAsia="zh-CN"/>
              </w:rPr>
              <w:t>4</w:t>
            </w:r>
          </w:p>
        </w:tc>
        <w:tc>
          <w:tcPr>
            <w:tcW w:w="3641" w:type="dxa"/>
            <w:tcBorders>
              <w:top w:val="single" w:color="000000" w:sz="6" w:space="0"/>
              <w:left w:val="double" w:color="000000" w:sz="0" w:space="0"/>
              <w:bottom w:val="single" w:color="000000" w:sz="6" w:space="0"/>
              <w:right w:val="single" w:color="000000" w:sz="6" w:space="0"/>
            </w:tcBorders>
            <w:vAlign w:val="top"/>
          </w:tcPr>
          <w:p w14:paraId="061E5D58">
            <w:pPr>
              <w:pStyle w:val="16"/>
              <w:spacing w:before="6"/>
              <w:rPr>
                <w:rFonts w:ascii="Times New Roman"/>
                <w:sz w:val="32"/>
              </w:rPr>
            </w:pPr>
          </w:p>
          <w:p w14:paraId="16DFF0BA">
            <w:pPr>
              <w:pStyle w:val="16"/>
              <w:spacing w:before="1" w:line="242" w:lineRule="auto"/>
              <w:ind w:left="107" w:leftChars="0" w:right="151" w:rightChars="0"/>
              <w:rPr>
                <w:sz w:val="24"/>
              </w:rPr>
            </w:pPr>
            <w:r>
              <w:rPr>
                <w:sz w:val="24"/>
              </w:rPr>
              <w:t>濉溪县临涣镇青东煤矿塌陷水面生态修复及开发项目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6D06F34D">
            <w:pPr>
              <w:pStyle w:val="16"/>
              <w:spacing w:before="62" w:line="242" w:lineRule="auto"/>
              <w:ind w:left="117" w:leftChars="0" w:right="34" w:rightChars="0"/>
              <w:rPr>
                <w:sz w:val="24"/>
              </w:rPr>
            </w:pPr>
            <w:r>
              <w:rPr>
                <w:spacing w:val="-10"/>
                <w:sz w:val="24"/>
              </w:rPr>
              <w:t xml:space="preserve">总计占地约 </w:t>
            </w:r>
            <w:r>
              <w:rPr>
                <w:sz w:val="24"/>
              </w:rPr>
              <w:t>1373</w:t>
            </w:r>
            <w:r>
              <w:rPr>
                <w:spacing w:val="-14"/>
                <w:sz w:val="24"/>
              </w:rPr>
              <w:t xml:space="preserve"> 亩，其中水面面积 </w:t>
            </w:r>
            <w:r>
              <w:rPr>
                <w:sz w:val="24"/>
              </w:rPr>
              <w:t>555</w:t>
            </w:r>
            <w:r>
              <w:rPr>
                <w:spacing w:val="-9"/>
                <w:sz w:val="24"/>
              </w:rPr>
              <w:t xml:space="preserve"> 亩，主要利用罗庄及李小庙采煤塌陷水面， </w:t>
            </w:r>
            <w:r>
              <w:rPr>
                <w:sz w:val="24"/>
              </w:rPr>
              <w:t>包含蓄水工程建设：内容主要为清淤、表土剥离、挖方、填方、排水等工程；环境景观综合治理工程：道路桥梁工程、驳岸工程、景观工程、绿化工程、给排水、供电工程，及温泉开发及配套</w:t>
            </w:r>
          </w:p>
        </w:tc>
      </w:tr>
      <w:tr w14:paraId="479B07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B78D989">
            <w:pPr>
              <w:pStyle w:val="16"/>
              <w:spacing w:before="102"/>
              <w:ind w:left="281" w:leftChars="0" w:right="0" w:rightChars="0"/>
              <w:rPr>
                <w:rFonts w:hint="eastAsia"/>
                <w:sz w:val="24"/>
                <w:lang w:val="en-US" w:eastAsia="zh-CN"/>
              </w:rPr>
            </w:pPr>
            <w:r>
              <w:rPr>
                <w:rFonts w:hint="eastAsia"/>
                <w:sz w:val="24"/>
                <w:lang w:val="en-US" w:eastAsia="zh-CN"/>
              </w:rPr>
              <w:t>65</w:t>
            </w:r>
          </w:p>
        </w:tc>
        <w:tc>
          <w:tcPr>
            <w:tcW w:w="3641" w:type="dxa"/>
            <w:tcBorders>
              <w:top w:val="single" w:color="000000" w:sz="6" w:space="0"/>
              <w:left w:val="double" w:color="000000" w:sz="0" w:space="0"/>
              <w:bottom w:val="single" w:color="000000" w:sz="6" w:space="0"/>
              <w:right w:val="single" w:color="000000" w:sz="6" w:space="0"/>
            </w:tcBorders>
            <w:vAlign w:val="top"/>
          </w:tcPr>
          <w:p w14:paraId="59AA9051">
            <w:pPr>
              <w:pStyle w:val="16"/>
              <w:spacing w:before="3" w:line="310" w:lineRule="atLeast"/>
              <w:ind w:left="107" w:leftChars="0" w:right="151" w:rightChars="0"/>
              <w:rPr>
                <w:sz w:val="24"/>
              </w:rPr>
            </w:pPr>
            <w:r>
              <w:rPr>
                <w:sz w:val="24"/>
              </w:rPr>
              <w:t>双堆集镇采煤沉陷区生态修复工程</w:t>
            </w:r>
          </w:p>
        </w:tc>
        <w:tc>
          <w:tcPr>
            <w:tcW w:w="8934" w:type="dxa"/>
            <w:tcBorders>
              <w:top w:val="single" w:color="000000" w:sz="6" w:space="0"/>
              <w:left w:val="single" w:color="000000" w:sz="6" w:space="0"/>
              <w:bottom w:val="single" w:color="000000" w:sz="6" w:space="0"/>
              <w:right w:val="single" w:color="000000" w:sz="6" w:space="0"/>
            </w:tcBorders>
            <w:vAlign w:val="top"/>
          </w:tcPr>
          <w:p w14:paraId="642C6955">
            <w:pPr>
              <w:pStyle w:val="16"/>
              <w:spacing w:before="162"/>
              <w:ind w:left="117" w:leftChars="0" w:right="0" w:rightChars="0"/>
              <w:rPr>
                <w:sz w:val="24"/>
              </w:rPr>
            </w:pPr>
            <w:r>
              <w:rPr>
                <w:sz w:val="24"/>
              </w:rPr>
              <w:t>部分邹庄矿、前营矿采煤沉陷区土地复垦及生态环境修复工程</w:t>
            </w:r>
          </w:p>
        </w:tc>
      </w:tr>
      <w:tr w14:paraId="35E8BC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7E28B87">
            <w:pPr>
              <w:pStyle w:val="16"/>
              <w:spacing w:before="4"/>
              <w:ind w:left="281" w:leftChars="0" w:right="0" w:rightChars="0"/>
              <w:rPr>
                <w:rFonts w:hint="eastAsia"/>
                <w:sz w:val="24"/>
                <w:lang w:val="en-US" w:eastAsia="zh-CN"/>
              </w:rPr>
            </w:pPr>
            <w:r>
              <w:rPr>
                <w:rFonts w:hint="eastAsia"/>
                <w:sz w:val="24"/>
                <w:lang w:val="en-US" w:eastAsia="zh-CN"/>
              </w:rPr>
              <w:t>66</w:t>
            </w:r>
          </w:p>
        </w:tc>
        <w:tc>
          <w:tcPr>
            <w:tcW w:w="3641" w:type="dxa"/>
            <w:tcBorders>
              <w:top w:val="single" w:color="000000" w:sz="6" w:space="0"/>
              <w:left w:val="double" w:color="000000" w:sz="0" w:space="0"/>
              <w:bottom w:val="single" w:color="000000" w:sz="6" w:space="0"/>
              <w:right w:val="single" w:color="000000" w:sz="6" w:space="0"/>
            </w:tcBorders>
            <w:vAlign w:val="top"/>
          </w:tcPr>
          <w:p w14:paraId="612BB077">
            <w:pPr>
              <w:pStyle w:val="16"/>
              <w:spacing w:before="40"/>
              <w:ind w:left="107" w:leftChars="0" w:right="0" w:rightChars="0"/>
              <w:rPr>
                <w:sz w:val="24"/>
              </w:rPr>
            </w:pPr>
            <w:r>
              <w:rPr>
                <w:sz w:val="24"/>
              </w:rPr>
              <w:t>百善镇采煤沉陷区环境综合治理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7D7DC8D1">
            <w:pPr>
              <w:pStyle w:val="16"/>
              <w:spacing w:before="40"/>
              <w:ind w:left="117" w:leftChars="0" w:right="0" w:rightChars="0"/>
              <w:rPr>
                <w:sz w:val="24"/>
              </w:rPr>
            </w:pPr>
            <w:r>
              <w:rPr>
                <w:sz w:val="24"/>
              </w:rPr>
              <w:t>百善镇丁楼村采煤沉陷区生态修复和环境整治等工程</w:t>
            </w:r>
          </w:p>
        </w:tc>
      </w:tr>
      <w:tr w14:paraId="418561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D7DFBEC">
            <w:pPr>
              <w:pStyle w:val="16"/>
              <w:spacing w:before="134"/>
              <w:ind w:left="281" w:leftChars="0" w:right="0" w:rightChars="0"/>
              <w:rPr>
                <w:rFonts w:hint="eastAsia"/>
                <w:sz w:val="24"/>
                <w:lang w:val="en-US" w:eastAsia="zh-CN"/>
              </w:rPr>
            </w:pPr>
            <w:r>
              <w:rPr>
                <w:rFonts w:hint="eastAsia"/>
                <w:sz w:val="24"/>
                <w:lang w:val="en-US" w:eastAsia="zh-CN"/>
              </w:rPr>
              <w:t>67</w:t>
            </w:r>
          </w:p>
        </w:tc>
        <w:tc>
          <w:tcPr>
            <w:tcW w:w="3641" w:type="dxa"/>
            <w:tcBorders>
              <w:top w:val="single" w:color="000000" w:sz="6" w:space="0"/>
              <w:left w:val="double" w:color="000000" w:sz="0" w:space="0"/>
              <w:bottom w:val="single" w:color="000000" w:sz="6" w:space="0"/>
              <w:right w:val="single" w:color="000000" w:sz="6" w:space="0"/>
            </w:tcBorders>
            <w:vAlign w:val="top"/>
          </w:tcPr>
          <w:p w14:paraId="3BE1CB9A">
            <w:pPr>
              <w:pStyle w:val="16"/>
              <w:spacing w:before="38" w:line="242" w:lineRule="auto"/>
              <w:ind w:left="107" w:leftChars="0" w:right="151" w:rightChars="0"/>
              <w:rPr>
                <w:sz w:val="24"/>
              </w:rPr>
            </w:pPr>
            <w:r>
              <w:rPr>
                <w:sz w:val="24"/>
              </w:rPr>
              <w:t>韩村镇采煤沉陷区环境综合治理项目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1674E7CC">
            <w:pPr>
              <w:pStyle w:val="16"/>
              <w:spacing w:before="38" w:line="242" w:lineRule="auto"/>
              <w:ind w:left="117" w:leftChars="0" w:right="-44" w:rightChars="0"/>
              <w:rPr>
                <w:sz w:val="24"/>
              </w:rPr>
            </w:pPr>
            <w:r>
              <w:rPr>
                <w:spacing w:val="-6"/>
                <w:sz w:val="24"/>
              </w:rPr>
              <w:t>建设地点韩村镇区，包括污水处理厂、镇区雨污分流、公园，绿化及周边生态农业、</w:t>
            </w:r>
            <w:r>
              <w:rPr>
                <w:sz w:val="24"/>
              </w:rPr>
              <w:t>环境治理等</w:t>
            </w:r>
          </w:p>
        </w:tc>
      </w:tr>
      <w:tr w14:paraId="7C496C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7264254">
            <w:pPr>
              <w:pStyle w:val="16"/>
              <w:spacing w:before="18"/>
              <w:ind w:left="281" w:leftChars="0" w:right="0" w:rightChars="0"/>
              <w:rPr>
                <w:rFonts w:hint="eastAsia"/>
                <w:sz w:val="24"/>
                <w:lang w:val="en-US" w:eastAsia="zh-CN"/>
              </w:rPr>
            </w:pPr>
            <w:r>
              <w:rPr>
                <w:rFonts w:hint="eastAsia"/>
                <w:sz w:val="24"/>
                <w:lang w:val="en-US" w:eastAsia="zh-CN"/>
              </w:rPr>
              <w:t>68</w:t>
            </w:r>
          </w:p>
        </w:tc>
        <w:tc>
          <w:tcPr>
            <w:tcW w:w="3641" w:type="dxa"/>
            <w:tcBorders>
              <w:top w:val="single" w:color="000000" w:sz="6" w:space="0"/>
              <w:left w:val="double" w:color="000000" w:sz="0" w:space="0"/>
              <w:bottom w:val="single" w:color="000000" w:sz="6" w:space="0"/>
              <w:right w:val="single" w:color="000000" w:sz="6" w:space="0"/>
            </w:tcBorders>
            <w:vAlign w:val="top"/>
          </w:tcPr>
          <w:p w14:paraId="34604A8D">
            <w:pPr>
              <w:pStyle w:val="16"/>
              <w:spacing w:before="78"/>
              <w:ind w:left="107" w:leftChars="0" w:right="0" w:rightChars="0"/>
              <w:rPr>
                <w:sz w:val="24"/>
              </w:rPr>
            </w:pPr>
            <w:r>
              <w:rPr>
                <w:sz w:val="24"/>
              </w:rPr>
              <w:t>临涣镇采煤沉陷区综合治理项目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B1BB0BE">
            <w:pPr>
              <w:pStyle w:val="16"/>
              <w:spacing w:before="78"/>
              <w:ind w:left="117" w:leftChars="0" w:right="0" w:rightChars="0"/>
              <w:rPr>
                <w:sz w:val="24"/>
              </w:rPr>
            </w:pPr>
            <w:r>
              <w:rPr>
                <w:sz w:val="24"/>
              </w:rPr>
              <w:t>临涣镇采煤塌陷区综合整治约 3156 亩</w:t>
            </w:r>
          </w:p>
        </w:tc>
      </w:tr>
      <w:tr w14:paraId="3073C0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E5FD1FE">
            <w:pPr>
              <w:pStyle w:val="16"/>
              <w:spacing w:before="35"/>
              <w:ind w:left="281" w:leftChars="0" w:right="0" w:rightChars="0"/>
              <w:rPr>
                <w:rFonts w:hint="eastAsia"/>
                <w:sz w:val="24"/>
                <w:lang w:val="en-US" w:eastAsia="zh-CN"/>
              </w:rPr>
            </w:pPr>
            <w:r>
              <w:rPr>
                <w:b/>
                <w:w w:val="99"/>
                <w:sz w:val="24"/>
              </w:rPr>
              <w:t>八</w:t>
            </w:r>
          </w:p>
        </w:tc>
        <w:tc>
          <w:tcPr>
            <w:tcW w:w="3641" w:type="dxa"/>
            <w:tcBorders>
              <w:top w:val="single" w:color="000000" w:sz="6" w:space="0"/>
              <w:left w:val="double" w:color="000000" w:sz="0" w:space="0"/>
              <w:bottom w:val="single" w:color="000000" w:sz="6" w:space="0"/>
              <w:right w:val="single" w:color="000000" w:sz="6" w:space="0"/>
            </w:tcBorders>
            <w:vAlign w:val="top"/>
          </w:tcPr>
          <w:p w14:paraId="41AAEC83">
            <w:pPr>
              <w:pStyle w:val="16"/>
              <w:spacing w:before="95"/>
              <w:ind w:left="107" w:leftChars="0" w:right="0" w:rightChars="0"/>
              <w:rPr>
                <w:sz w:val="24"/>
              </w:rPr>
            </w:pPr>
            <w:r>
              <w:rPr>
                <w:b/>
                <w:sz w:val="24"/>
              </w:rPr>
              <w:t>生态文化建设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1023F4E2">
            <w:pPr>
              <w:pStyle w:val="16"/>
              <w:ind w:left="0" w:leftChars="0" w:right="0" w:rightChars="0"/>
              <w:rPr>
                <w:sz w:val="24"/>
              </w:rPr>
            </w:pPr>
          </w:p>
        </w:tc>
      </w:tr>
      <w:tr w14:paraId="44B5A0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3A0D1BC">
            <w:pPr>
              <w:pStyle w:val="16"/>
              <w:spacing w:before="35"/>
              <w:ind w:left="281" w:leftChars="0" w:right="0" w:rightChars="0"/>
              <w:rPr>
                <w:rFonts w:hint="eastAsia"/>
                <w:sz w:val="24"/>
                <w:lang w:val="en-US" w:eastAsia="zh-CN"/>
              </w:rPr>
            </w:pPr>
            <w:r>
              <w:rPr>
                <w:rFonts w:hint="eastAsia"/>
                <w:sz w:val="24"/>
                <w:lang w:val="en-US" w:eastAsia="zh-CN"/>
              </w:rPr>
              <w:t>69</w:t>
            </w:r>
          </w:p>
        </w:tc>
        <w:tc>
          <w:tcPr>
            <w:tcW w:w="3641" w:type="dxa"/>
            <w:tcBorders>
              <w:top w:val="single" w:color="000000" w:sz="6" w:space="0"/>
              <w:left w:val="double" w:color="000000" w:sz="0" w:space="0"/>
              <w:bottom w:val="single" w:color="000000" w:sz="6" w:space="0"/>
              <w:right w:val="single" w:color="000000" w:sz="6" w:space="0"/>
            </w:tcBorders>
            <w:vAlign w:val="top"/>
          </w:tcPr>
          <w:p w14:paraId="70108BF3">
            <w:pPr>
              <w:pStyle w:val="16"/>
              <w:spacing w:before="95"/>
              <w:ind w:left="107" w:leftChars="0" w:right="0" w:rightChars="0"/>
              <w:rPr>
                <w:sz w:val="24"/>
              </w:rPr>
            </w:pPr>
            <w:r>
              <w:rPr>
                <w:sz w:val="24"/>
              </w:rPr>
              <w:t>大运河文化带</w:t>
            </w:r>
          </w:p>
        </w:tc>
        <w:tc>
          <w:tcPr>
            <w:tcW w:w="8934" w:type="dxa"/>
            <w:tcBorders>
              <w:top w:val="single" w:color="000000" w:sz="6" w:space="0"/>
              <w:left w:val="single" w:color="000000" w:sz="6" w:space="0"/>
              <w:bottom w:val="single" w:color="000000" w:sz="6" w:space="0"/>
              <w:right w:val="single" w:color="000000" w:sz="6" w:space="0"/>
            </w:tcBorders>
            <w:vAlign w:val="top"/>
          </w:tcPr>
          <w:p w14:paraId="13971808">
            <w:pPr>
              <w:pStyle w:val="16"/>
              <w:spacing w:before="95"/>
              <w:ind w:left="117" w:leftChars="0" w:right="0" w:rightChars="0"/>
              <w:rPr>
                <w:sz w:val="24"/>
              </w:rPr>
            </w:pPr>
            <w:r>
              <w:rPr>
                <w:sz w:val="24"/>
              </w:rPr>
              <w:t>柳孜千年古村复建，隋堤沟运河景观带新建，美好乡村提升，景区配套</w:t>
            </w:r>
          </w:p>
        </w:tc>
      </w:tr>
      <w:tr w14:paraId="096FE2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188FD1B">
            <w:pPr>
              <w:pStyle w:val="16"/>
              <w:rPr>
                <w:rFonts w:ascii="Times New Roman"/>
                <w:sz w:val="24"/>
              </w:rPr>
            </w:pPr>
          </w:p>
          <w:p w14:paraId="6A4892D3">
            <w:pPr>
              <w:pStyle w:val="16"/>
              <w:rPr>
                <w:rFonts w:ascii="Times New Roman"/>
                <w:sz w:val="24"/>
              </w:rPr>
            </w:pPr>
          </w:p>
          <w:p w14:paraId="375D6D3A">
            <w:pPr>
              <w:pStyle w:val="16"/>
              <w:spacing w:before="171"/>
              <w:ind w:left="281" w:leftChars="0" w:right="0" w:rightChars="0"/>
              <w:rPr>
                <w:rFonts w:hint="eastAsia"/>
                <w:sz w:val="24"/>
                <w:lang w:val="en-US" w:eastAsia="zh-CN"/>
              </w:rPr>
            </w:pPr>
            <w:r>
              <w:rPr>
                <w:rFonts w:hint="eastAsia"/>
                <w:sz w:val="24"/>
                <w:lang w:val="en-US" w:eastAsia="zh-CN"/>
              </w:rPr>
              <w:t>70</w:t>
            </w:r>
          </w:p>
        </w:tc>
        <w:tc>
          <w:tcPr>
            <w:tcW w:w="3641" w:type="dxa"/>
            <w:tcBorders>
              <w:top w:val="single" w:color="000000" w:sz="6" w:space="0"/>
              <w:left w:val="double" w:color="000000" w:sz="0" w:space="0"/>
              <w:bottom w:val="single" w:color="000000" w:sz="6" w:space="0"/>
              <w:right w:val="single" w:color="000000" w:sz="6" w:space="0"/>
            </w:tcBorders>
            <w:vAlign w:val="top"/>
          </w:tcPr>
          <w:p w14:paraId="51AA226B">
            <w:pPr>
              <w:pStyle w:val="16"/>
              <w:rPr>
                <w:rFonts w:ascii="Times New Roman"/>
                <w:sz w:val="24"/>
              </w:rPr>
            </w:pPr>
          </w:p>
          <w:p w14:paraId="4E83D613">
            <w:pPr>
              <w:pStyle w:val="16"/>
              <w:rPr>
                <w:rFonts w:ascii="Times New Roman"/>
                <w:sz w:val="24"/>
              </w:rPr>
            </w:pPr>
          </w:p>
          <w:p w14:paraId="6278BA48">
            <w:pPr>
              <w:pStyle w:val="16"/>
              <w:spacing w:before="1"/>
              <w:rPr>
                <w:rFonts w:ascii="Times New Roman"/>
                <w:sz w:val="20"/>
              </w:rPr>
            </w:pPr>
          </w:p>
          <w:p w14:paraId="24E04F5C">
            <w:pPr>
              <w:pStyle w:val="16"/>
              <w:ind w:left="107" w:leftChars="0" w:right="0" w:rightChars="0"/>
              <w:rPr>
                <w:sz w:val="24"/>
              </w:rPr>
            </w:pPr>
            <w:r>
              <w:rPr>
                <w:sz w:val="24"/>
              </w:rPr>
              <w:t>柳孜运河遗址环境综合治理项目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62A85E15">
            <w:pPr>
              <w:pStyle w:val="16"/>
              <w:spacing w:before="3"/>
              <w:ind w:left="117"/>
              <w:jc w:val="both"/>
              <w:rPr>
                <w:sz w:val="24"/>
              </w:rPr>
            </w:pPr>
            <w:r>
              <w:rPr>
                <w:spacing w:val="-12"/>
                <w:sz w:val="24"/>
              </w:rPr>
              <w:t xml:space="preserve">生态修复 </w:t>
            </w:r>
            <w:r>
              <w:rPr>
                <w:sz w:val="24"/>
              </w:rPr>
              <w:t>6400</w:t>
            </w:r>
            <w:r>
              <w:rPr>
                <w:spacing w:val="-15"/>
                <w:sz w:val="24"/>
              </w:rPr>
              <w:t xml:space="preserve"> 平方米</w:t>
            </w:r>
            <w:r>
              <w:rPr>
                <w:sz w:val="24"/>
              </w:rPr>
              <w:t>（包括绿地铺装、园林整治等），</w:t>
            </w:r>
            <w:r>
              <w:rPr>
                <w:spacing w:val="-7"/>
                <w:sz w:val="24"/>
              </w:rPr>
              <w:t xml:space="preserve">景区与外围连接路 </w:t>
            </w:r>
            <w:r>
              <w:rPr>
                <w:sz w:val="24"/>
              </w:rPr>
              <w:t>3600</w:t>
            </w:r>
            <w:r>
              <w:rPr>
                <w:spacing w:val="-30"/>
                <w:sz w:val="24"/>
              </w:rPr>
              <w:t xml:space="preserve"> 平</w:t>
            </w:r>
          </w:p>
          <w:p w14:paraId="2A10F010">
            <w:pPr>
              <w:pStyle w:val="16"/>
              <w:spacing w:before="2" w:line="310" w:lineRule="atLeast"/>
              <w:ind w:left="117" w:leftChars="0" w:right="77" w:rightChars="0"/>
              <w:jc w:val="both"/>
              <w:rPr>
                <w:sz w:val="24"/>
              </w:rPr>
            </w:pPr>
            <w:r>
              <w:rPr>
                <w:spacing w:val="-3"/>
                <w:sz w:val="24"/>
              </w:rPr>
              <w:t xml:space="preserve">方米，建设机房、设备间等配套设施用房建筑面积 </w:t>
            </w:r>
            <w:r>
              <w:rPr>
                <w:sz w:val="24"/>
              </w:rPr>
              <w:t>600</w:t>
            </w:r>
            <w:r>
              <w:rPr>
                <w:spacing w:val="-16"/>
                <w:sz w:val="24"/>
              </w:rPr>
              <w:t xml:space="preserve"> 平方米，建设 </w:t>
            </w:r>
            <w:r>
              <w:rPr>
                <w:sz w:val="24"/>
              </w:rPr>
              <w:t>200</w:t>
            </w:r>
            <w:r>
              <w:rPr>
                <w:spacing w:val="-12"/>
                <w:sz w:val="24"/>
              </w:rPr>
              <w:t xml:space="preserve"> 套标识标牌系统（包括文化展示牌、景观地带分区界柱、景点分布图、指示导向牌、路标指</w:t>
            </w:r>
            <w:r>
              <w:rPr>
                <w:spacing w:val="-6"/>
                <w:sz w:val="24"/>
              </w:rPr>
              <w:t>示牌、游览路线图</w:t>
            </w:r>
            <w:r>
              <w:rPr>
                <w:spacing w:val="-17"/>
                <w:sz w:val="24"/>
              </w:rPr>
              <w:t>）</w:t>
            </w:r>
            <w:r>
              <w:rPr>
                <w:spacing w:val="-12"/>
                <w:sz w:val="24"/>
              </w:rPr>
              <w:t>、</w:t>
            </w:r>
            <w:r>
              <w:rPr>
                <w:sz w:val="24"/>
              </w:rPr>
              <w:t>2</w:t>
            </w:r>
            <w:r>
              <w:rPr>
                <w:spacing w:val="-10"/>
                <w:sz w:val="24"/>
              </w:rPr>
              <w:t xml:space="preserve"> 套讲解导览系统</w:t>
            </w:r>
            <w:r>
              <w:rPr>
                <w:spacing w:val="-3"/>
                <w:sz w:val="24"/>
              </w:rPr>
              <w:t>（</w:t>
            </w:r>
            <w:r>
              <w:rPr>
                <w:spacing w:val="-2"/>
                <w:sz w:val="24"/>
              </w:rPr>
              <w:t>包括人工讲解系统、电子讲解系统</w:t>
            </w:r>
            <w:r>
              <w:rPr>
                <w:spacing w:val="-15"/>
                <w:sz w:val="24"/>
              </w:rPr>
              <w:t>）</w:t>
            </w:r>
            <w:r>
              <w:rPr>
                <w:spacing w:val="-14"/>
                <w:sz w:val="24"/>
              </w:rPr>
              <w:t>、参</w:t>
            </w:r>
            <w:r>
              <w:rPr>
                <w:spacing w:val="-15"/>
                <w:sz w:val="24"/>
              </w:rPr>
              <w:t xml:space="preserve">观步道 </w:t>
            </w:r>
            <w:r>
              <w:rPr>
                <w:sz w:val="24"/>
              </w:rPr>
              <w:t>1500</w:t>
            </w:r>
            <w:r>
              <w:rPr>
                <w:spacing w:val="-12"/>
                <w:sz w:val="24"/>
              </w:rPr>
              <w:t xml:space="preserve"> 米、供排水系统</w:t>
            </w:r>
            <w:r>
              <w:rPr>
                <w:sz w:val="24"/>
              </w:rPr>
              <w:t>（</w:t>
            </w:r>
            <w:r>
              <w:rPr>
                <w:spacing w:val="-1"/>
                <w:sz w:val="24"/>
              </w:rPr>
              <w:t>包括生态旅游厕所、雨污分流系统</w:t>
            </w:r>
            <w:r>
              <w:rPr>
                <w:spacing w:val="-8"/>
                <w:sz w:val="24"/>
              </w:rPr>
              <w:t>）</w:t>
            </w:r>
            <w:r>
              <w:rPr>
                <w:spacing w:val="-4"/>
                <w:sz w:val="24"/>
              </w:rPr>
              <w:t>、供电系统</w:t>
            </w:r>
            <w:r>
              <w:rPr>
                <w:sz w:val="24"/>
              </w:rPr>
              <w:t>（</w:t>
            </w:r>
            <w:r>
              <w:rPr>
                <w:spacing w:val="-12"/>
                <w:sz w:val="24"/>
              </w:rPr>
              <w:t>包</w:t>
            </w:r>
            <w:r>
              <w:rPr>
                <w:sz w:val="24"/>
              </w:rPr>
              <w:t>括电力系统改造）、40</w:t>
            </w:r>
            <w:r>
              <w:rPr>
                <w:spacing w:val="-8"/>
                <w:sz w:val="24"/>
              </w:rPr>
              <w:t xml:space="preserve"> 套安防监控系统，以及相关配套设施用房等</w:t>
            </w:r>
          </w:p>
        </w:tc>
      </w:tr>
      <w:tr w14:paraId="04F74F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6DAD5D5">
            <w:pPr>
              <w:pStyle w:val="16"/>
              <w:spacing w:before="173"/>
              <w:ind w:left="281" w:leftChars="0" w:right="0" w:rightChars="0"/>
              <w:rPr>
                <w:rFonts w:hint="eastAsia"/>
                <w:sz w:val="24"/>
                <w:lang w:val="en-US" w:eastAsia="zh-CN"/>
              </w:rPr>
            </w:pPr>
            <w:r>
              <w:rPr>
                <w:rFonts w:hint="eastAsia"/>
                <w:sz w:val="24"/>
                <w:lang w:val="en-US" w:eastAsia="zh-CN"/>
              </w:rPr>
              <w:t>71</w:t>
            </w:r>
          </w:p>
        </w:tc>
        <w:tc>
          <w:tcPr>
            <w:tcW w:w="3641" w:type="dxa"/>
            <w:tcBorders>
              <w:top w:val="single" w:color="000000" w:sz="6" w:space="0"/>
              <w:left w:val="double" w:color="000000" w:sz="0" w:space="0"/>
              <w:bottom w:val="single" w:color="000000" w:sz="6" w:space="0"/>
              <w:right w:val="single" w:color="000000" w:sz="6" w:space="0"/>
            </w:tcBorders>
            <w:vAlign w:val="top"/>
          </w:tcPr>
          <w:p w14:paraId="0C4F6501">
            <w:pPr>
              <w:pStyle w:val="16"/>
              <w:spacing w:before="3"/>
              <w:rPr>
                <w:rFonts w:ascii="Times New Roman"/>
                <w:sz w:val="20"/>
              </w:rPr>
            </w:pPr>
          </w:p>
          <w:p w14:paraId="4F55988E">
            <w:pPr>
              <w:pStyle w:val="16"/>
              <w:ind w:left="107" w:leftChars="0" w:right="0" w:rightChars="0"/>
              <w:rPr>
                <w:sz w:val="24"/>
              </w:rPr>
            </w:pPr>
            <w:r>
              <w:rPr>
                <w:sz w:val="24"/>
              </w:rPr>
              <w:t>四铺镇大运河生态文化项目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8F3CB8A">
            <w:pPr>
              <w:pStyle w:val="16"/>
              <w:spacing w:before="77" w:line="242" w:lineRule="auto"/>
              <w:ind w:left="117" w:leftChars="0" w:right="94" w:rightChars="0"/>
              <w:rPr>
                <w:sz w:val="24"/>
              </w:rPr>
            </w:pPr>
            <w:r>
              <w:rPr>
                <w:sz w:val="24"/>
              </w:rPr>
              <w:t>17.5</w:t>
            </w:r>
            <w:r>
              <w:rPr>
                <w:spacing w:val="-9"/>
                <w:sz w:val="24"/>
              </w:rPr>
              <w:t xml:space="preserve"> 千米的生态绿水休闲步行长廊及旅游景点建设；结合新庄菊花产业园建设园艺</w:t>
            </w:r>
            <w:r>
              <w:rPr>
                <w:sz w:val="24"/>
              </w:rPr>
              <w:t>产业、观光农业等设施建设；绿化及道路硬化等其他基础设施建设</w:t>
            </w:r>
          </w:p>
        </w:tc>
      </w:tr>
      <w:tr w14:paraId="4F04F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DAEBF33">
            <w:pPr>
              <w:pStyle w:val="16"/>
              <w:spacing w:before="2"/>
              <w:rPr>
                <w:rFonts w:ascii="Times New Roman"/>
                <w:sz w:val="22"/>
              </w:rPr>
            </w:pPr>
          </w:p>
          <w:p w14:paraId="0F756821">
            <w:pPr>
              <w:pStyle w:val="16"/>
              <w:ind w:left="281" w:leftChars="0" w:right="0" w:rightChars="0"/>
              <w:rPr>
                <w:rFonts w:hint="eastAsia"/>
                <w:sz w:val="24"/>
                <w:lang w:val="en-US" w:eastAsia="zh-CN"/>
              </w:rPr>
            </w:pPr>
            <w:r>
              <w:rPr>
                <w:rFonts w:hint="eastAsia"/>
                <w:sz w:val="24"/>
                <w:lang w:val="en-US" w:eastAsia="zh-CN"/>
              </w:rPr>
              <w:t>72</w:t>
            </w:r>
          </w:p>
        </w:tc>
        <w:tc>
          <w:tcPr>
            <w:tcW w:w="3641" w:type="dxa"/>
            <w:tcBorders>
              <w:top w:val="single" w:color="000000" w:sz="6" w:space="0"/>
              <w:left w:val="double" w:color="000000" w:sz="0" w:space="0"/>
              <w:bottom w:val="single" w:color="000000" w:sz="6" w:space="0"/>
              <w:right w:val="single" w:color="000000" w:sz="6" w:space="0"/>
            </w:tcBorders>
            <w:vAlign w:val="top"/>
          </w:tcPr>
          <w:p w14:paraId="07032A23">
            <w:pPr>
              <w:pStyle w:val="16"/>
              <w:spacing w:before="159" w:line="242" w:lineRule="auto"/>
              <w:ind w:left="107" w:leftChars="0" w:right="151" w:rightChars="0"/>
              <w:rPr>
                <w:sz w:val="24"/>
              </w:rPr>
            </w:pPr>
            <w:r>
              <w:rPr>
                <w:sz w:val="24"/>
              </w:rPr>
              <w:t>临涣古镇保护与展示及基础设施提升项目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D22C661">
            <w:pPr>
              <w:pStyle w:val="16"/>
              <w:spacing w:before="3" w:line="242" w:lineRule="auto"/>
              <w:ind w:left="117" w:right="154"/>
              <w:rPr>
                <w:sz w:val="24"/>
              </w:rPr>
            </w:pPr>
            <w:r>
              <w:rPr>
                <w:sz w:val="24"/>
              </w:rPr>
              <w:t>古镇道路及配套工程、古镇旅游基础设施及配套项目、临涣古城墙保护与环境提升项目、古镇四大名泉保护与利用项目、古镇研学游乐体验项目、古镇游客服务设施</w:t>
            </w:r>
          </w:p>
          <w:p w14:paraId="2C9F1C04">
            <w:pPr>
              <w:pStyle w:val="16"/>
              <w:spacing w:before="3" w:line="289" w:lineRule="exact"/>
              <w:ind w:left="117" w:leftChars="0" w:right="0" w:rightChars="0"/>
              <w:rPr>
                <w:sz w:val="24"/>
              </w:rPr>
            </w:pPr>
            <w:r>
              <w:rPr>
                <w:sz w:val="24"/>
              </w:rPr>
              <w:t>建设项目、古镇遗存保护与展示项目</w:t>
            </w:r>
          </w:p>
        </w:tc>
      </w:tr>
      <w:tr w14:paraId="52D68B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418C90A2">
            <w:pPr>
              <w:pStyle w:val="16"/>
              <w:rPr>
                <w:rFonts w:ascii="Times New Roman"/>
                <w:sz w:val="24"/>
              </w:rPr>
            </w:pPr>
          </w:p>
          <w:p w14:paraId="5E95FE62">
            <w:pPr>
              <w:pStyle w:val="16"/>
              <w:rPr>
                <w:rFonts w:ascii="Times New Roman"/>
                <w:sz w:val="24"/>
              </w:rPr>
            </w:pPr>
          </w:p>
          <w:p w14:paraId="5F9CF2EA">
            <w:pPr>
              <w:pStyle w:val="16"/>
              <w:spacing w:before="5"/>
              <w:rPr>
                <w:rFonts w:ascii="Times New Roman"/>
                <w:sz w:val="28"/>
              </w:rPr>
            </w:pPr>
          </w:p>
          <w:p w14:paraId="06BCC7E7">
            <w:pPr>
              <w:pStyle w:val="16"/>
              <w:ind w:left="281" w:leftChars="0" w:right="0" w:rightChars="0"/>
              <w:rPr>
                <w:rFonts w:hint="eastAsia"/>
                <w:sz w:val="24"/>
                <w:lang w:val="en-US" w:eastAsia="zh-CN"/>
              </w:rPr>
            </w:pPr>
            <w:r>
              <w:rPr>
                <w:rFonts w:hint="eastAsia"/>
                <w:sz w:val="24"/>
                <w:lang w:val="en-US" w:eastAsia="zh-CN"/>
              </w:rPr>
              <w:t>73</w:t>
            </w:r>
          </w:p>
        </w:tc>
        <w:tc>
          <w:tcPr>
            <w:tcW w:w="3641" w:type="dxa"/>
            <w:tcBorders>
              <w:top w:val="single" w:color="000000" w:sz="6" w:space="0"/>
              <w:left w:val="double" w:color="000000" w:sz="0" w:space="0"/>
              <w:bottom w:val="single" w:color="000000" w:sz="6" w:space="0"/>
              <w:right w:val="single" w:color="000000" w:sz="6" w:space="0"/>
            </w:tcBorders>
            <w:vAlign w:val="top"/>
          </w:tcPr>
          <w:p w14:paraId="065CBE9B">
            <w:pPr>
              <w:pStyle w:val="16"/>
              <w:rPr>
                <w:rFonts w:ascii="Times New Roman"/>
                <w:sz w:val="24"/>
              </w:rPr>
            </w:pPr>
          </w:p>
          <w:p w14:paraId="7BDEF653">
            <w:pPr>
              <w:pStyle w:val="16"/>
              <w:rPr>
                <w:rFonts w:ascii="Times New Roman"/>
                <w:sz w:val="24"/>
              </w:rPr>
            </w:pPr>
          </w:p>
          <w:p w14:paraId="4968B54C">
            <w:pPr>
              <w:pStyle w:val="16"/>
              <w:spacing w:before="1"/>
              <w:rPr>
                <w:rFonts w:ascii="Times New Roman"/>
                <w:sz w:val="20"/>
              </w:rPr>
            </w:pPr>
          </w:p>
          <w:p w14:paraId="52420A08">
            <w:pPr>
              <w:pStyle w:val="16"/>
              <w:spacing w:line="242" w:lineRule="auto"/>
              <w:ind w:left="107" w:leftChars="0" w:right="151" w:rightChars="0"/>
              <w:rPr>
                <w:sz w:val="24"/>
              </w:rPr>
            </w:pPr>
            <w:r>
              <w:rPr>
                <w:sz w:val="24"/>
              </w:rPr>
              <w:t>大运河国家文化公园——柳孜运河遗址区建设项目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0B2DAF9">
            <w:pPr>
              <w:pStyle w:val="16"/>
              <w:spacing w:before="3"/>
              <w:ind w:left="117"/>
              <w:rPr>
                <w:sz w:val="24"/>
              </w:rPr>
            </w:pPr>
            <w:r>
              <w:rPr>
                <w:sz w:val="24"/>
              </w:rPr>
              <w:t>2.5 平方公里。东西长约 2.5 公里，南北宽约 1 公里。</w:t>
            </w:r>
          </w:p>
          <w:p w14:paraId="5A733617">
            <w:pPr>
              <w:pStyle w:val="16"/>
              <w:spacing w:before="4" w:line="242" w:lineRule="auto"/>
              <w:ind w:left="117" w:right="77"/>
              <w:rPr>
                <w:sz w:val="24"/>
              </w:rPr>
            </w:pPr>
            <w:r>
              <w:rPr>
                <w:sz w:val="24"/>
              </w:rPr>
              <w:t>1</w:t>
            </w:r>
            <w:r>
              <w:rPr>
                <w:spacing w:val="-7"/>
                <w:sz w:val="24"/>
              </w:rPr>
              <w:t>、柳孜运河考古遗址现场展示提升项目。主要内容包括：通过景观设计手法，对柳</w:t>
            </w:r>
            <w:r>
              <w:rPr>
                <w:sz w:val="24"/>
              </w:rPr>
              <w:t>孜运河整体完善标识讲解系统等。</w:t>
            </w:r>
          </w:p>
          <w:p w14:paraId="26ED2A1A">
            <w:pPr>
              <w:pStyle w:val="16"/>
              <w:spacing w:before="3" w:line="242" w:lineRule="auto"/>
              <w:ind w:left="117" w:right="77"/>
              <w:rPr>
                <w:sz w:val="24"/>
              </w:rPr>
            </w:pPr>
            <w:r>
              <w:rPr>
                <w:sz w:val="24"/>
              </w:rPr>
              <w:t>2</w:t>
            </w:r>
            <w:r>
              <w:rPr>
                <w:spacing w:val="-7"/>
                <w:sz w:val="24"/>
              </w:rPr>
              <w:t>、柳孜运河遗址保护展示馆、柳孜运河遗址陈列馆、游客管理服务中心、考古研究</w:t>
            </w:r>
            <w:r>
              <w:rPr>
                <w:sz w:val="24"/>
              </w:rPr>
              <w:t>中心、遗址监测中心等保护展示与配套服务设施建设项目。</w:t>
            </w:r>
          </w:p>
          <w:p w14:paraId="72FDA8F2">
            <w:pPr>
              <w:pStyle w:val="16"/>
              <w:spacing w:before="3"/>
              <w:ind w:left="117"/>
              <w:rPr>
                <w:sz w:val="24"/>
              </w:rPr>
            </w:pPr>
            <w:r>
              <w:rPr>
                <w:sz w:val="24"/>
              </w:rPr>
              <w:t>3、遗产区及周边环境综合治理项目。主要内容包括文物风貌改善、周边环境整治、</w:t>
            </w:r>
          </w:p>
          <w:p w14:paraId="39BE231E">
            <w:pPr>
              <w:pStyle w:val="16"/>
              <w:spacing w:before="4" w:line="287" w:lineRule="exact"/>
              <w:ind w:left="117" w:leftChars="0" w:right="0" w:rightChars="0"/>
              <w:rPr>
                <w:sz w:val="24"/>
              </w:rPr>
            </w:pPr>
            <w:r>
              <w:rPr>
                <w:sz w:val="24"/>
              </w:rPr>
              <w:t>优化业态布局，完善旅游服务设施等。</w:t>
            </w:r>
          </w:p>
        </w:tc>
      </w:tr>
      <w:tr w14:paraId="0F4EA0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C4239CB">
            <w:pPr>
              <w:pStyle w:val="16"/>
              <w:ind w:left="0" w:leftChars="0" w:right="0" w:rightChars="0"/>
              <w:rPr>
                <w:rFonts w:hint="eastAsia"/>
                <w:sz w:val="24"/>
                <w:lang w:val="en-US" w:eastAsia="zh-CN"/>
              </w:rPr>
            </w:pPr>
          </w:p>
        </w:tc>
        <w:tc>
          <w:tcPr>
            <w:tcW w:w="3641" w:type="dxa"/>
            <w:tcBorders>
              <w:top w:val="single" w:color="000000" w:sz="6" w:space="0"/>
              <w:left w:val="double" w:color="000000" w:sz="0" w:space="0"/>
              <w:bottom w:val="single" w:color="000000" w:sz="6" w:space="0"/>
              <w:right w:val="single" w:color="000000" w:sz="6" w:space="0"/>
            </w:tcBorders>
            <w:vAlign w:val="top"/>
          </w:tcPr>
          <w:p w14:paraId="53F87AAF">
            <w:pPr>
              <w:pStyle w:val="16"/>
              <w:ind w:left="0" w:leftChars="0" w:right="0" w:rightChars="0"/>
              <w:rPr>
                <w:sz w:val="24"/>
              </w:rPr>
            </w:pPr>
          </w:p>
        </w:tc>
        <w:tc>
          <w:tcPr>
            <w:tcW w:w="8934" w:type="dxa"/>
            <w:tcBorders>
              <w:top w:val="single" w:color="000000" w:sz="6" w:space="0"/>
              <w:left w:val="single" w:color="000000" w:sz="6" w:space="0"/>
              <w:bottom w:val="single" w:color="000000" w:sz="6" w:space="0"/>
              <w:right w:val="single" w:color="000000" w:sz="6" w:space="0"/>
            </w:tcBorders>
            <w:vAlign w:val="top"/>
          </w:tcPr>
          <w:p w14:paraId="41C97DE5">
            <w:pPr>
              <w:pStyle w:val="16"/>
              <w:spacing w:line="291" w:lineRule="exact"/>
              <w:ind w:left="117"/>
              <w:rPr>
                <w:sz w:val="24"/>
              </w:rPr>
            </w:pPr>
            <w:r>
              <w:rPr>
                <w:sz w:val="24"/>
              </w:rPr>
              <w:t>4、保护所需的基础设施和基本接待设施。包括给排水设施、供电、安防监控管线建</w:t>
            </w:r>
          </w:p>
          <w:p w14:paraId="516C9A2B">
            <w:pPr>
              <w:pStyle w:val="16"/>
              <w:spacing w:before="4" w:line="289" w:lineRule="exact"/>
              <w:ind w:left="117" w:leftChars="0" w:right="0" w:rightChars="0"/>
              <w:rPr>
                <w:sz w:val="24"/>
              </w:rPr>
            </w:pPr>
            <w:r>
              <w:rPr>
                <w:sz w:val="24"/>
              </w:rPr>
              <w:t>设及改造、公厕、生态停车场、内部参观步行道等</w:t>
            </w:r>
          </w:p>
        </w:tc>
      </w:tr>
      <w:tr w14:paraId="700989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2E5F9E52">
            <w:pPr>
              <w:pStyle w:val="16"/>
              <w:spacing w:before="2"/>
              <w:ind w:left="281" w:leftChars="0" w:right="0" w:rightChars="0"/>
              <w:rPr>
                <w:rFonts w:hint="eastAsia"/>
                <w:sz w:val="24"/>
                <w:lang w:val="en-US" w:eastAsia="zh-CN"/>
              </w:rPr>
            </w:pPr>
            <w:r>
              <w:rPr>
                <w:b/>
                <w:w w:val="99"/>
                <w:sz w:val="24"/>
              </w:rPr>
              <w:t>九</w:t>
            </w:r>
          </w:p>
        </w:tc>
        <w:tc>
          <w:tcPr>
            <w:tcW w:w="3641" w:type="dxa"/>
            <w:tcBorders>
              <w:top w:val="single" w:color="000000" w:sz="6" w:space="0"/>
              <w:left w:val="double" w:color="000000" w:sz="0" w:space="0"/>
              <w:bottom w:val="single" w:color="000000" w:sz="6" w:space="0"/>
              <w:right w:val="single" w:color="000000" w:sz="6" w:space="0"/>
            </w:tcBorders>
            <w:vAlign w:val="top"/>
          </w:tcPr>
          <w:p w14:paraId="60061EDA">
            <w:pPr>
              <w:pStyle w:val="16"/>
              <w:spacing w:before="62"/>
              <w:ind w:left="107" w:leftChars="0" w:right="0" w:rightChars="0"/>
              <w:rPr>
                <w:sz w:val="24"/>
              </w:rPr>
            </w:pPr>
            <w:r>
              <w:rPr>
                <w:b/>
                <w:sz w:val="24"/>
              </w:rPr>
              <w:t>资源循环利用建设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39118F3F">
            <w:pPr>
              <w:pStyle w:val="16"/>
              <w:ind w:left="0" w:leftChars="0" w:right="0" w:rightChars="0"/>
              <w:rPr>
                <w:sz w:val="24"/>
              </w:rPr>
            </w:pPr>
          </w:p>
        </w:tc>
      </w:tr>
      <w:tr w14:paraId="36FB22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B864B87">
            <w:pPr>
              <w:pStyle w:val="16"/>
              <w:spacing w:before="1"/>
              <w:rPr>
                <w:rFonts w:ascii="Times New Roman"/>
                <w:sz w:val="22"/>
              </w:rPr>
            </w:pPr>
          </w:p>
          <w:p w14:paraId="6423F2BB">
            <w:pPr>
              <w:pStyle w:val="16"/>
              <w:ind w:left="281" w:leftChars="0" w:right="0" w:rightChars="0"/>
              <w:rPr>
                <w:rFonts w:hint="eastAsia"/>
                <w:sz w:val="24"/>
                <w:lang w:val="en-US" w:eastAsia="zh-CN"/>
              </w:rPr>
            </w:pPr>
            <w:r>
              <w:rPr>
                <w:rFonts w:hint="eastAsia"/>
                <w:sz w:val="24"/>
                <w:lang w:val="en-US" w:eastAsia="zh-CN"/>
              </w:rPr>
              <w:t>74</w:t>
            </w:r>
          </w:p>
        </w:tc>
        <w:tc>
          <w:tcPr>
            <w:tcW w:w="3641" w:type="dxa"/>
            <w:tcBorders>
              <w:top w:val="single" w:color="000000" w:sz="6" w:space="0"/>
              <w:left w:val="double" w:color="000000" w:sz="0" w:space="0"/>
              <w:bottom w:val="single" w:color="000000" w:sz="6" w:space="0"/>
              <w:right w:val="single" w:color="000000" w:sz="6" w:space="0"/>
            </w:tcBorders>
            <w:vAlign w:val="top"/>
          </w:tcPr>
          <w:p w14:paraId="559EC912">
            <w:pPr>
              <w:pStyle w:val="16"/>
              <w:spacing w:before="158" w:line="242" w:lineRule="auto"/>
              <w:ind w:left="107" w:leftChars="0" w:right="151" w:rightChars="0"/>
              <w:rPr>
                <w:sz w:val="24"/>
              </w:rPr>
            </w:pPr>
            <w:r>
              <w:rPr>
                <w:sz w:val="24"/>
              </w:rPr>
              <w:t>绿阳资源（淮北绿阳再生资源有限公司）</w:t>
            </w:r>
          </w:p>
        </w:tc>
        <w:tc>
          <w:tcPr>
            <w:tcW w:w="8934" w:type="dxa"/>
            <w:tcBorders>
              <w:top w:val="single" w:color="000000" w:sz="6" w:space="0"/>
              <w:left w:val="single" w:color="000000" w:sz="6" w:space="0"/>
              <w:bottom w:val="single" w:color="000000" w:sz="6" w:space="0"/>
              <w:right w:val="single" w:color="000000" w:sz="6" w:space="0"/>
            </w:tcBorders>
            <w:vAlign w:val="top"/>
          </w:tcPr>
          <w:p w14:paraId="4A1C32B9">
            <w:pPr>
              <w:pStyle w:val="16"/>
              <w:spacing w:before="2"/>
              <w:ind w:left="117"/>
              <w:rPr>
                <w:sz w:val="24"/>
              </w:rPr>
            </w:pPr>
            <w:r>
              <w:rPr>
                <w:spacing w:val="-8"/>
                <w:sz w:val="24"/>
              </w:rPr>
              <w:t xml:space="preserve">固定资产投资额 </w:t>
            </w:r>
            <w:r>
              <w:rPr>
                <w:sz w:val="24"/>
              </w:rPr>
              <w:t>6000</w:t>
            </w:r>
            <w:r>
              <w:rPr>
                <w:spacing w:val="-14"/>
                <w:sz w:val="24"/>
              </w:rPr>
              <w:t xml:space="preserve"> 万元，其中装修投资额 </w:t>
            </w:r>
            <w:r>
              <w:rPr>
                <w:sz w:val="24"/>
              </w:rPr>
              <w:t>1000</w:t>
            </w:r>
            <w:r>
              <w:rPr>
                <w:spacing w:val="-17"/>
                <w:sz w:val="24"/>
              </w:rPr>
              <w:t xml:space="preserve"> 万元，设备投资 </w:t>
            </w:r>
            <w:r>
              <w:rPr>
                <w:sz w:val="24"/>
              </w:rPr>
              <w:t>5000</w:t>
            </w:r>
            <w:r>
              <w:rPr>
                <w:spacing w:val="-14"/>
                <w:sz w:val="24"/>
              </w:rPr>
              <w:t xml:space="preserve"> 万元，流动</w:t>
            </w:r>
          </w:p>
          <w:p w14:paraId="0F525CB4">
            <w:pPr>
              <w:pStyle w:val="16"/>
              <w:spacing w:before="5"/>
              <w:ind w:left="117" w:right="-44"/>
              <w:rPr>
                <w:sz w:val="24"/>
              </w:rPr>
            </w:pPr>
            <w:r>
              <w:rPr>
                <w:spacing w:val="-20"/>
                <w:sz w:val="24"/>
              </w:rPr>
              <w:t xml:space="preserve">资金 </w:t>
            </w:r>
            <w:r>
              <w:rPr>
                <w:sz w:val="24"/>
              </w:rPr>
              <w:t>4000</w:t>
            </w:r>
            <w:r>
              <w:rPr>
                <w:spacing w:val="-20"/>
                <w:sz w:val="24"/>
              </w:rPr>
              <w:t xml:space="preserve"> 万元，建设周期 </w:t>
            </w:r>
            <w:r>
              <w:rPr>
                <w:sz w:val="24"/>
              </w:rPr>
              <w:t>6</w:t>
            </w:r>
            <w:r>
              <w:rPr>
                <w:spacing w:val="-15"/>
                <w:sz w:val="24"/>
              </w:rPr>
              <w:t xml:space="preserve"> 个月。固废资源智能化回收基地建设。</w:t>
            </w:r>
            <w:r>
              <w:rPr>
                <w:sz w:val="24"/>
              </w:rPr>
              <w:t>（浩丰实业院内</w:t>
            </w:r>
            <w:r>
              <w:rPr>
                <w:spacing w:val="-15"/>
                <w:sz w:val="24"/>
              </w:rPr>
              <w:t>）</w:t>
            </w:r>
          </w:p>
          <w:p w14:paraId="30B2A7A8">
            <w:pPr>
              <w:pStyle w:val="16"/>
              <w:spacing w:before="4" w:line="290" w:lineRule="exact"/>
              <w:ind w:left="117" w:leftChars="0" w:right="0" w:rightChars="0"/>
              <w:rPr>
                <w:sz w:val="24"/>
              </w:rPr>
            </w:pPr>
            <w:r>
              <w:rPr>
                <w:sz w:val="24"/>
              </w:rPr>
              <w:t>建成后实现销售收入 3 亿元，年上缴税收不少于 3000 万元</w:t>
            </w:r>
          </w:p>
        </w:tc>
      </w:tr>
      <w:tr w14:paraId="2F3656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9C4BD34">
            <w:pPr>
              <w:pStyle w:val="16"/>
              <w:rPr>
                <w:rFonts w:ascii="Times New Roman"/>
                <w:sz w:val="24"/>
              </w:rPr>
            </w:pPr>
          </w:p>
          <w:p w14:paraId="40F5CB8A">
            <w:pPr>
              <w:pStyle w:val="16"/>
              <w:rPr>
                <w:rFonts w:ascii="Times New Roman"/>
                <w:sz w:val="24"/>
              </w:rPr>
            </w:pPr>
          </w:p>
          <w:p w14:paraId="7B3ABCAE">
            <w:pPr>
              <w:pStyle w:val="16"/>
              <w:rPr>
                <w:rFonts w:ascii="Times New Roman"/>
                <w:sz w:val="24"/>
              </w:rPr>
            </w:pPr>
          </w:p>
          <w:p w14:paraId="10C5311F">
            <w:pPr>
              <w:pStyle w:val="16"/>
              <w:spacing w:before="206"/>
              <w:ind w:left="281" w:leftChars="0" w:right="0" w:rightChars="0"/>
              <w:rPr>
                <w:rFonts w:hint="eastAsia"/>
                <w:sz w:val="24"/>
                <w:lang w:val="en-US" w:eastAsia="zh-CN"/>
              </w:rPr>
            </w:pPr>
            <w:r>
              <w:rPr>
                <w:rFonts w:hint="eastAsia"/>
                <w:sz w:val="24"/>
                <w:lang w:val="en-US" w:eastAsia="zh-CN"/>
              </w:rPr>
              <w:t>75</w:t>
            </w:r>
          </w:p>
        </w:tc>
        <w:tc>
          <w:tcPr>
            <w:tcW w:w="3641" w:type="dxa"/>
            <w:tcBorders>
              <w:top w:val="single" w:color="000000" w:sz="6" w:space="0"/>
              <w:left w:val="double" w:color="000000" w:sz="0" w:space="0"/>
              <w:bottom w:val="single" w:color="000000" w:sz="6" w:space="0"/>
              <w:right w:val="single" w:color="000000" w:sz="6" w:space="0"/>
            </w:tcBorders>
            <w:vAlign w:val="top"/>
          </w:tcPr>
          <w:p w14:paraId="7B49EBD8">
            <w:pPr>
              <w:pStyle w:val="16"/>
              <w:rPr>
                <w:rFonts w:ascii="Times New Roman"/>
                <w:sz w:val="24"/>
              </w:rPr>
            </w:pPr>
          </w:p>
          <w:p w14:paraId="01B6D28D">
            <w:pPr>
              <w:pStyle w:val="16"/>
              <w:rPr>
                <w:rFonts w:ascii="Times New Roman"/>
                <w:sz w:val="24"/>
              </w:rPr>
            </w:pPr>
          </w:p>
          <w:p w14:paraId="104C9F24">
            <w:pPr>
              <w:pStyle w:val="16"/>
              <w:spacing w:before="6"/>
              <w:rPr>
                <w:rFonts w:ascii="Times New Roman"/>
                <w:sz w:val="33"/>
              </w:rPr>
            </w:pPr>
          </w:p>
          <w:p w14:paraId="128FF1B3">
            <w:pPr>
              <w:pStyle w:val="16"/>
              <w:spacing w:line="242" w:lineRule="auto"/>
              <w:ind w:left="107" w:leftChars="0" w:right="151" w:rightChars="0"/>
              <w:rPr>
                <w:sz w:val="24"/>
              </w:rPr>
            </w:pPr>
            <w:r>
              <w:rPr>
                <w:sz w:val="24"/>
              </w:rPr>
              <w:t>濉溪县韩村镇循环经济产业园建设项目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77D8A473">
            <w:pPr>
              <w:pStyle w:val="16"/>
              <w:spacing w:before="2" w:line="242" w:lineRule="auto"/>
              <w:ind w:left="117" w:right="-44"/>
              <w:rPr>
                <w:sz w:val="24"/>
              </w:rPr>
            </w:pPr>
            <w:r>
              <w:rPr>
                <w:spacing w:val="-6"/>
                <w:sz w:val="24"/>
              </w:rPr>
              <w:t xml:space="preserve">本项目总占地面积为 </w:t>
            </w:r>
            <w:r>
              <w:rPr>
                <w:sz w:val="24"/>
              </w:rPr>
              <w:t>900</w:t>
            </w:r>
            <w:r>
              <w:rPr>
                <w:spacing w:val="-38"/>
                <w:sz w:val="24"/>
              </w:rPr>
              <w:t xml:space="preserve"> 亩</w:t>
            </w:r>
            <w:r>
              <w:rPr>
                <w:sz w:val="24"/>
              </w:rPr>
              <w:t>（</w:t>
            </w:r>
            <w:r>
              <w:rPr>
                <w:spacing w:val="-30"/>
                <w:sz w:val="24"/>
              </w:rPr>
              <w:t xml:space="preserve">合 </w:t>
            </w:r>
            <w:r>
              <w:rPr>
                <w:sz w:val="24"/>
              </w:rPr>
              <w:t>60</w:t>
            </w:r>
            <w:r>
              <w:rPr>
                <w:spacing w:val="-12"/>
                <w:sz w:val="24"/>
              </w:rPr>
              <w:t xml:space="preserve"> 万平方米</w:t>
            </w:r>
            <w:r>
              <w:rPr>
                <w:spacing w:val="-15"/>
                <w:sz w:val="24"/>
              </w:rPr>
              <w:t>），</w:t>
            </w:r>
            <w:r>
              <w:rPr>
                <w:sz w:val="24"/>
              </w:rPr>
              <w:t xml:space="preserve">围绕园区已建成的濉溪县国光纸业有限责任公司及淮北永顺纸业有限公司两家造纸厂建设。本项目主要建设道路交通系统（包括道路、广场、公共停车场），公共绿地（包括公共绿地、景观小品）， </w:t>
            </w:r>
            <w:r>
              <w:rPr>
                <w:spacing w:val="-2"/>
                <w:sz w:val="24"/>
              </w:rPr>
              <w:t>给排水系统</w:t>
            </w:r>
            <w:r>
              <w:rPr>
                <w:sz w:val="24"/>
              </w:rPr>
              <w:t>（</w:t>
            </w:r>
            <w:r>
              <w:rPr>
                <w:spacing w:val="-3"/>
                <w:sz w:val="24"/>
              </w:rPr>
              <w:t>包括给水工程、污水系统、雨水系统</w:t>
            </w:r>
            <w:r>
              <w:rPr>
                <w:spacing w:val="-8"/>
                <w:sz w:val="24"/>
              </w:rPr>
              <w:t>），</w:t>
            </w:r>
            <w:r>
              <w:rPr>
                <w:spacing w:val="-2"/>
                <w:sz w:val="24"/>
              </w:rPr>
              <w:t>电气系统</w:t>
            </w:r>
            <w:r>
              <w:rPr>
                <w:sz w:val="24"/>
              </w:rPr>
              <w:t>（</w:t>
            </w:r>
            <w:r>
              <w:rPr>
                <w:spacing w:val="-2"/>
                <w:sz w:val="24"/>
              </w:rPr>
              <w:t>包括变配电系统、</w:t>
            </w:r>
            <w:r>
              <w:rPr>
                <w:spacing w:val="-4"/>
                <w:sz w:val="24"/>
              </w:rPr>
              <w:t>电气线路管网、电信光缆</w:t>
            </w:r>
            <w:r>
              <w:rPr>
                <w:spacing w:val="-21"/>
                <w:sz w:val="24"/>
              </w:rPr>
              <w:t>）</w:t>
            </w:r>
            <w:r>
              <w:rPr>
                <w:spacing w:val="-9"/>
                <w:sz w:val="24"/>
              </w:rPr>
              <w:t>，燃气工程</w:t>
            </w:r>
            <w:r>
              <w:rPr>
                <w:sz w:val="24"/>
              </w:rPr>
              <w:t>（</w:t>
            </w:r>
            <w:r>
              <w:rPr>
                <w:spacing w:val="-4"/>
                <w:sz w:val="24"/>
              </w:rPr>
              <w:t>包括调压站、燃气工程</w:t>
            </w:r>
            <w:r>
              <w:rPr>
                <w:spacing w:val="-20"/>
                <w:sz w:val="24"/>
              </w:rPr>
              <w:t>），</w:t>
            </w:r>
            <w:r>
              <w:rPr>
                <w:spacing w:val="-5"/>
                <w:sz w:val="24"/>
              </w:rPr>
              <w:t>卫设施工程</w:t>
            </w:r>
            <w:r>
              <w:rPr>
                <w:sz w:val="24"/>
              </w:rPr>
              <w:t>（包括垃圾转运站、公厕），土地征迁及平整（包括土地征用及拆迁补偿、土地平整及回填土方</w:t>
            </w:r>
            <w:r>
              <w:rPr>
                <w:spacing w:val="-12"/>
                <w:sz w:val="24"/>
              </w:rPr>
              <w:t>）</w:t>
            </w:r>
            <w:r>
              <w:rPr>
                <w:spacing w:val="-5"/>
                <w:sz w:val="24"/>
              </w:rPr>
              <w:t>等基础设施。通过配套完善的基础设施，进行土地整理，用于招商引资，</w:t>
            </w:r>
          </w:p>
          <w:p w14:paraId="33E8033C">
            <w:pPr>
              <w:pStyle w:val="16"/>
              <w:spacing w:before="10" w:line="290" w:lineRule="exact"/>
              <w:ind w:left="117" w:leftChars="0" w:right="0" w:rightChars="0"/>
              <w:rPr>
                <w:sz w:val="24"/>
              </w:rPr>
            </w:pPr>
            <w:r>
              <w:rPr>
                <w:sz w:val="24"/>
              </w:rPr>
              <w:t>吸引投资者进园，带动地方经济发展。</w:t>
            </w:r>
          </w:p>
        </w:tc>
      </w:tr>
      <w:tr w14:paraId="08B636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A237FAE">
            <w:pPr>
              <w:pStyle w:val="16"/>
              <w:spacing w:before="9"/>
              <w:rPr>
                <w:rFonts w:ascii="Times New Roman"/>
                <w:sz w:val="35"/>
              </w:rPr>
            </w:pPr>
          </w:p>
          <w:p w14:paraId="55A94BB3">
            <w:pPr>
              <w:pStyle w:val="16"/>
              <w:ind w:left="281" w:leftChars="0" w:right="0" w:rightChars="0"/>
              <w:rPr>
                <w:rFonts w:hint="eastAsia"/>
                <w:sz w:val="24"/>
                <w:lang w:val="en-US" w:eastAsia="zh-CN"/>
              </w:rPr>
            </w:pPr>
            <w:r>
              <w:rPr>
                <w:rFonts w:hint="eastAsia"/>
                <w:sz w:val="24"/>
                <w:lang w:val="en-US" w:eastAsia="zh-CN"/>
              </w:rPr>
              <w:t>76</w:t>
            </w:r>
          </w:p>
        </w:tc>
        <w:tc>
          <w:tcPr>
            <w:tcW w:w="3641" w:type="dxa"/>
            <w:tcBorders>
              <w:top w:val="single" w:color="000000" w:sz="6" w:space="0"/>
              <w:left w:val="double" w:color="000000" w:sz="0" w:space="0"/>
              <w:bottom w:val="single" w:color="000000" w:sz="6" w:space="0"/>
              <w:right w:val="single" w:color="000000" w:sz="6" w:space="0"/>
            </w:tcBorders>
            <w:vAlign w:val="top"/>
          </w:tcPr>
          <w:p w14:paraId="40F5343A">
            <w:pPr>
              <w:pStyle w:val="16"/>
              <w:spacing w:before="5"/>
              <w:rPr>
                <w:rFonts w:ascii="Times New Roman"/>
                <w:sz w:val="27"/>
              </w:rPr>
            </w:pPr>
          </w:p>
          <w:p w14:paraId="75312009">
            <w:pPr>
              <w:pStyle w:val="16"/>
              <w:spacing w:line="242" w:lineRule="auto"/>
              <w:ind w:left="107" w:leftChars="0" w:right="151" w:rightChars="0"/>
              <w:rPr>
                <w:sz w:val="24"/>
              </w:rPr>
            </w:pPr>
            <w:r>
              <w:rPr>
                <w:sz w:val="24"/>
              </w:rPr>
              <w:t>再生资源回收利用和新型建材项目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BC14E04">
            <w:pPr>
              <w:pStyle w:val="16"/>
              <w:spacing w:before="4" w:line="242" w:lineRule="auto"/>
              <w:ind w:left="117" w:right="-44"/>
              <w:rPr>
                <w:sz w:val="24"/>
              </w:rPr>
            </w:pPr>
            <w:r>
              <w:rPr>
                <w:sz w:val="24"/>
              </w:rPr>
              <w:t>建设建筑垃圾破碎生产线一条，路面砖及及墙体砖生产线一条，商品混凝土生产线</w:t>
            </w:r>
            <w:r>
              <w:rPr>
                <w:spacing w:val="-7"/>
                <w:sz w:val="24"/>
              </w:rPr>
              <w:t>一条，水稳生产线一条，并配套相关生产设备和配套建设给排水、环保等辅助设施。</w:t>
            </w:r>
            <w:r>
              <w:rPr>
                <w:spacing w:val="-4"/>
                <w:sz w:val="24"/>
              </w:rPr>
              <w:t xml:space="preserve">项目建成后可实现年破碎建筑垃圾量 </w:t>
            </w:r>
            <w:r>
              <w:rPr>
                <w:sz w:val="24"/>
              </w:rPr>
              <w:t>60</w:t>
            </w:r>
            <w:r>
              <w:rPr>
                <w:spacing w:val="-14"/>
                <w:sz w:val="24"/>
              </w:rPr>
              <w:t xml:space="preserve"> 万吨，年产路面砖 </w:t>
            </w:r>
            <w:r>
              <w:rPr>
                <w:sz w:val="24"/>
              </w:rPr>
              <w:t>6000</w:t>
            </w:r>
            <w:r>
              <w:rPr>
                <w:spacing w:val="-8"/>
                <w:sz w:val="24"/>
              </w:rPr>
              <w:t xml:space="preserve"> 万平方米，墙体砖</w:t>
            </w:r>
          </w:p>
          <w:p w14:paraId="1583316F">
            <w:pPr>
              <w:pStyle w:val="16"/>
              <w:spacing w:before="4" w:line="288" w:lineRule="exact"/>
              <w:ind w:left="117" w:leftChars="0" w:right="0" w:rightChars="0"/>
              <w:rPr>
                <w:sz w:val="24"/>
              </w:rPr>
            </w:pPr>
            <w:r>
              <w:rPr>
                <w:sz w:val="24"/>
              </w:rPr>
              <w:t>30000 立方米，商品混凝土 30 万吨，水稳 10 万吨的生产能力。</w:t>
            </w:r>
          </w:p>
        </w:tc>
      </w:tr>
      <w:tr w14:paraId="58C61F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94A0169">
            <w:pPr>
              <w:pStyle w:val="16"/>
              <w:spacing w:before="99"/>
              <w:ind w:left="281" w:leftChars="0" w:right="0" w:rightChars="0"/>
              <w:rPr>
                <w:rFonts w:hint="eastAsia"/>
                <w:sz w:val="24"/>
                <w:lang w:val="en-US" w:eastAsia="zh-CN"/>
              </w:rPr>
            </w:pPr>
            <w:r>
              <w:rPr>
                <w:rFonts w:hint="eastAsia"/>
                <w:sz w:val="24"/>
                <w:lang w:val="en-US" w:eastAsia="zh-CN"/>
              </w:rPr>
              <w:t>77</w:t>
            </w:r>
          </w:p>
        </w:tc>
        <w:tc>
          <w:tcPr>
            <w:tcW w:w="3641" w:type="dxa"/>
            <w:tcBorders>
              <w:top w:val="single" w:color="000000" w:sz="6" w:space="0"/>
              <w:left w:val="double" w:color="000000" w:sz="0" w:space="0"/>
              <w:bottom w:val="single" w:color="000000" w:sz="6" w:space="0"/>
              <w:right w:val="single" w:color="000000" w:sz="6" w:space="0"/>
            </w:tcBorders>
            <w:vAlign w:val="top"/>
          </w:tcPr>
          <w:p w14:paraId="04343233">
            <w:pPr>
              <w:pStyle w:val="16"/>
              <w:spacing w:before="3"/>
              <w:ind w:left="107"/>
              <w:rPr>
                <w:sz w:val="24"/>
              </w:rPr>
            </w:pPr>
            <w:r>
              <w:rPr>
                <w:sz w:val="24"/>
              </w:rPr>
              <w:t>再生资源回收利用免烧空心砖项</w:t>
            </w:r>
          </w:p>
          <w:p w14:paraId="58C5272B">
            <w:pPr>
              <w:pStyle w:val="16"/>
              <w:spacing w:before="5" w:line="288" w:lineRule="exact"/>
              <w:ind w:left="107" w:leftChars="0" w:right="0" w:rightChars="0"/>
              <w:rPr>
                <w:sz w:val="24"/>
              </w:rPr>
            </w:pPr>
            <w:r>
              <w:rPr>
                <w:sz w:val="24"/>
              </w:rPr>
              <w:t>目</w:t>
            </w:r>
          </w:p>
        </w:tc>
        <w:tc>
          <w:tcPr>
            <w:tcW w:w="8934" w:type="dxa"/>
            <w:tcBorders>
              <w:top w:val="single" w:color="000000" w:sz="6" w:space="0"/>
              <w:left w:val="single" w:color="000000" w:sz="6" w:space="0"/>
              <w:bottom w:val="single" w:color="000000" w:sz="6" w:space="0"/>
              <w:right w:val="single" w:color="000000" w:sz="6" w:space="0"/>
            </w:tcBorders>
            <w:vAlign w:val="top"/>
          </w:tcPr>
          <w:p w14:paraId="1B1E92F1">
            <w:pPr>
              <w:pStyle w:val="16"/>
              <w:spacing w:before="159"/>
              <w:ind w:left="117" w:leftChars="0" w:right="0" w:rightChars="0"/>
              <w:rPr>
                <w:sz w:val="24"/>
              </w:rPr>
            </w:pPr>
            <w:r>
              <w:rPr>
                <w:sz w:val="24"/>
              </w:rPr>
              <w:t>生产符合环保要求的再生资源回收利用免烧空心砖</w:t>
            </w:r>
          </w:p>
        </w:tc>
      </w:tr>
      <w:tr w14:paraId="60B5F4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1841E569">
            <w:pPr>
              <w:pStyle w:val="16"/>
              <w:spacing w:before="2"/>
              <w:rPr>
                <w:rFonts w:ascii="Times New Roman"/>
                <w:sz w:val="22"/>
              </w:rPr>
            </w:pPr>
          </w:p>
          <w:p w14:paraId="7EB5421E">
            <w:pPr>
              <w:pStyle w:val="16"/>
              <w:ind w:left="281" w:leftChars="0" w:right="0" w:rightChars="0"/>
              <w:rPr>
                <w:rFonts w:hint="eastAsia"/>
                <w:sz w:val="24"/>
                <w:lang w:val="en-US" w:eastAsia="zh-CN"/>
              </w:rPr>
            </w:pPr>
            <w:r>
              <w:rPr>
                <w:rFonts w:hint="eastAsia"/>
                <w:sz w:val="24"/>
                <w:lang w:val="en-US" w:eastAsia="zh-CN"/>
              </w:rPr>
              <w:t>78</w:t>
            </w:r>
          </w:p>
        </w:tc>
        <w:tc>
          <w:tcPr>
            <w:tcW w:w="3641" w:type="dxa"/>
            <w:tcBorders>
              <w:top w:val="single" w:color="000000" w:sz="6" w:space="0"/>
              <w:left w:val="double" w:color="000000" w:sz="0" w:space="0"/>
              <w:bottom w:val="single" w:color="000000" w:sz="6" w:space="0"/>
              <w:right w:val="single" w:color="000000" w:sz="6" w:space="0"/>
            </w:tcBorders>
            <w:vAlign w:val="top"/>
          </w:tcPr>
          <w:p w14:paraId="14F60505">
            <w:pPr>
              <w:pStyle w:val="16"/>
              <w:spacing w:before="159" w:line="242" w:lineRule="auto"/>
              <w:ind w:left="107" w:leftChars="0" w:right="142" w:rightChars="0"/>
              <w:rPr>
                <w:sz w:val="24"/>
              </w:rPr>
            </w:pPr>
            <w:r>
              <w:rPr>
                <w:sz w:val="24"/>
              </w:rPr>
              <w:t>20 万吨/年废旧锂电池清洁回收及再生铅循环综合利用项目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37C855B7">
            <w:pPr>
              <w:pStyle w:val="16"/>
              <w:spacing w:before="3" w:line="242" w:lineRule="auto"/>
              <w:ind w:left="117" w:right="-44"/>
              <w:rPr>
                <w:sz w:val="24"/>
              </w:rPr>
            </w:pPr>
            <w:r>
              <w:rPr>
                <w:spacing w:val="-12"/>
                <w:sz w:val="24"/>
              </w:rPr>
              <w:t xml:space="preserve">建设周期 </w:t>
            </w:r>
            <w:r>
              <w:rPr>
                <w:sz w:val="24"/>
              </w:rPr>
              <w:t>2021-2024</w:t>
            </w:r>
            <w:r>
              <w:rPr>
                <w:spacing w:val="-13"/>
                <w:sz w:val="24"/>
              </w:rPr>
              <w:t xml:space="preserve">。建设内容：项目占地面积约 </w:t>
            </w:r>
            <w:r>
              <w:rPr>
                <w:sz w:val="24"/>
              </w:rPr>
              <w:t>400</w:t>
            </w:r>
            <w:r>
              <w:rPr>
                <w:spacing w:val="-18"/>
                <w:sz w:val="24"/>
              </w:rPr>
              <w:t xml:space="preserve"> 亩，总建筑面积约 </w:t>
            </w:r>
            <w:r>
              <w:rPr>
                <w:sz w:val="24"/>
              </w:rPr>
              <w:t>28</w:t>
            </w:r>
            <w:r>
              <w:rPr>
                <w:spacing w:val="-15"/>
                <w:sz w:val="24"/>
              </w:rPr>
              <w:t xml:space="preserve"> 万平米， </w:t>
            </w:r>
            <w:r>
              <w:rPr>
                <w:sz w:val="24"/>
              </w:rPr>
              <w:t>建设标准化厂房、仓储物流配送、技术研发、综合服务、环境保护及其他公共辅助</w:t>
            </w:r>
          </w:p>
          <w:p w14:paraId="61AA1BDD">
            <w:pPr>
              <w:pStyle w:val="16"/>
              <w:spacing w:before="3" w:line="289" w:lineRule="exact"/>
              <w:ind w:left="117" w:leftChars="0" w:right="0" w:rightChars="0"/>
              <w:rPr>
                <w:sz w:val="24"/>
              </w:rPr>
            </w:pPr>
            <w:r>
              <w:rPr>
                <w:sz w:val="24"/>
              </w:rPr>
              <w:t>工程设施，配套建设道路、供电、给排水管网、绿化亮化等附属设施</w:t>
            </w:r>
          </w:p>
        </w:tc>
      </w:tr>
      <w:tr w14:paraId="3497E1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D35E35A">
            <w:pPr>
              <w:pStyle w:val="16"/>
              <w:spacing w:before="2"/>
              <w:ind w:left="281" w:leftChars="0" w:right="0" w:rightChars="0"/>
              <w:rPr>
                <w:rFonts w:hint="eastAsia"/>
                <w:sz w:val="24"/>
                <w:lang w:val="en-US" w:eastAsia="zh-CN"/>
              </w:rPr>
            </w:pPr>
            <w:r>
              <w:rPr>
                <w:b/>
                <w:w w:val="99"/>
                <w:sz w:val="24"/>
              </w:rPr>
              <w:t>十</w:t>
            </w:r>
          </w:p>
        </w:tc>
        <w:tc>
          <w:tcPr>
            <w:tcW w:w="3641" w:type="dxa"/>
            <w:tcBorders>
              <w:top w:val="single" w:color="000000" w:sz="6" w:space="0"/>
              <w:left w:val="double" w:color="000000" w:sz="0" w:space="0"/>
              <w:bottom w:val="single" w:color="000000" w:sz="6" w:space="0"/>
              <w:right w:val="single" w:color="000000" w:sz="6" w:space="0"/>
            </w:tcBorders>
            <w:vAlign w:val="top"/>
          </w:tcPr>
          <w:p w14:paraId="4AEA7F04">
            <w:pPr>
              <w:pStyle w:val="16"/>
              <w:spacing w:before="62"/>
              <w:ind w:left="107" w:leftChars="0" w:right="0" w:rightChars="0"/>
              <w:rPr>
                <w:sz w:val="24"/>
              </w:rPr>
            </w:pPr>
            <w:r>
              <w:rPr>
                <w:b/>
                <w:sz w:val="24"/>
              </w:rPr>
              <w:t>农村农业现代化建设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46F26594">
            <w:pPr>
              <w:pStyle w:val="16"/>
              <w:ind w:left="0" w:leftChars="0" w:right="0" w:rightChars="0"/>
              <w:rPr>
                <w:sz w:val="24"/>
              </w:rPr>
            </w:pPr>
          </w:p>
        </w:tc>
      </w:tr>
      <w:tr w14:paraId="3A5FC7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554F0D74">
            <w:pPr>
              <w:pStyle w:val="16"/>
              <w:spacing w:before="2"/>
              <w:ind w:left="281" w:leftChars="0" w:right="0" w:rightChars="0"/>
              <w:rPr>
                <w:rFonts w:hint="eastAsia"/>
                <w:sz w:val="24"/>
                <w:lang w:val="en-US" w:eastAsia="zh-CN"/>
              </w:rPr>
            </w:pPr>
            <w:r>
              <w:rPr>
                <w:rFonts w:hint="eastAsia"/>
                <w:sz w:val="24"/>
                <w:lang w:val="en-US" w:eastAsia="zh-CN"/>
              </w:rPr>
              <w:t>79</w:t>
            </w:r>
          </w:p>
        </w:tc>
        <w:tc>
          <w:tcPr>
            <w:tcW w:w="3641" w:type="dxa"/>
            <w:tcBorders>
              <w:top w:val="single" w:color="000000" w:sz="6" w:space="0"/>
              <w:left w:val="double" w:color="000000" w:sz="0" w:space="0"/>
              <w:bottom w:val="single" w:color="000000" w:sz="6" w:space="0"/>
              <w:right w:val="single" w:color="000000" w:sz="6" w:space="0"/>
            </w:tcBorders>
            <w:vAlign w:val="top"/>
          </w:tcPr>
          <w:p w14:paraId="09E24E40">
            <w:pPr>
              <w:pStyle w:val="16"/>
              <w:spacing w:before="62"/>
              <w:ind w:left="107" w:leftChars="0" w:right="0" w:rightChars="0"/>
              <w:rPr>
                <w:sz w:val="24"/>
              </w:rPr>
            </w:pPr>
            <w:r>
              <w:rPr>
                <w:sz w:val="24"/>
              </w:rPr>
              <w:t>农村人居环境整治工程项目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572193C5">
            <w:pPr>
              <w:pStyle w:val="16"/>
              <w:spacing w:before="62"/>
              <w:ind w:left="117" w:leftChars="0" w:right="0" w:rightChars="0"/>
              <w:rPr>
                <w:sz w:val="24"/>
              </w:rPr>
            </w:pPr>
            <w:r>
              <w:rPr>
                <w:sz w:val="24"/>
              </w:rPr>
              <w:t>全镇 26 个村环境整治，建设垃圾分类处理设施设备</w:t>
            </w:r>
          </w:p>
        </w:tc>
      </w:tr>
      <w:tr w14:paraId="42B3A6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6A18EAB8">
            <w:pPr>
              <w:pStyle w:val="16"/>
              <w:rPr>
                <w:rFonts w:ascii="Times New Roman"/>
                <w:sz w:val="24"/>
              </w:rPr>
            </w:pPr>
          </w:p>
          <w:p w14:paraId="07C166E2">
            <w:pPr>
              <w:pStyle w:val="16"/>
              <w:rPr>
                <w:rFonts w:ascii="Times New Roman"/>
                <w:sz w:val="24"/>
              </w:rPr>
            </w:pPr>
          </w:p>
          <w:p w14:paraId="18280F2B">
            <w:pPr>
              <w:pStyle w:val="16"/>
              <w:rPr>
                <w:rFonts w:ascii="Times New Roman"/>
                <w:sz w:val="24"/>
              </w:rPr>
            </w:pPr>
          </w:p>
          <w:p w14:paraId="5470AEB4">
            <w:pPr>
              <w:pStyle w:val="16"/>
              <w:spacing w:before="6"/>
              <w:rPr>
                <w:rFonts w:ascii="Times New Roman"/>
                <w:sz w:val="31"/>
              </w:rPr>
            </w:pPr>
          </w:p>
          <w:p w14:paraId="3305C6AB">
            <w:pPr>
              <w:pStyle w:val="16"/>
              <w:ind w:left="281" w:leftChars="0" w:right="0" w:rightChars="0"/>
              <w:rPr>
                <w:rFonts w:hint="eastAsia"/>
                <w:sz w:val="24"/>
                <w:lang w:val="en-US" w:eastAsia="zh-CN"/>
              </w:rPr>
            </w:pPr>
            <w:r>
              <w:rPr>
                <w:rFonts w:hint="eastAsia"/>
                <w:sz w:val="24"/>
                <w:lang w:val="en-US" w:eastAsia="zh-CN"/>
              </w:rPr>
              <w:t>80</w:t>
            </w:r>
          </w:p>
        </w:tc>
        <w:tc>
          <w:tcPr>
            <w:tcW w:w="3641" w:type="dxa"/>
            <w:tcBorders>
              <w:top w:val="single" w:color="000000" w:sz="6" w:space="0"/>
              <w:left w:val="double" w:color="000000" w:sz="0" w:space="0"/>
              <w:bottom w:val="single" w:color="000000" w:sz="6" w:space="0"/>
              <w:right w:val="single" w:color="000000" w:sz="6" w:space="0"/>
            </w:tcBorders>
            <w:vAlign w:val="top"/>
          </w:tcPr>
          <w:p w14:paraId="688C13BD">
            <w:pPr>
              <w:pStyle w:val="16"/>
              <w:rPr>
                <w:rFonts w:ascii="Times New Roman"/>
                <w:sz w:val="24"/>
              </w:rPr>
            </w:pPr>
          </w:p>
          <w:p w14:paraId="4168286A">
            <w:pPr>
              <w:pStyle w:val="16"/>
              <w:rPr>
                <w:rFonts w:ascii="Times New Roman"/>
                <w:sz w:val="24"/>
              </w:rPr>
            </w:pPr>
          </w:p>
          <w:p w14:paraId="5EA556FC">
            <w:pPr>
              <w:pStyle w:val="16"/>
              <w:rPr>
                <w:rFonts w:ascii="Times New Roman"/>
                <w:sz w:val="24"/>
              </w:rPr>
            </w:pPr>
          </w:p>
          <w:p w14:paraId="1A3C3889">
            <w:pPr>
              <w:pStyle w:val="16"/>
              <w:spacing w:before="2"/>
              <w:rPr>
                <w:rFonts w:ascii="Times New Roman"/>
                <w:sz w:val="23"/>
              </w:rPr>
            </w:pPr>
          </w:p>
          <w:p w14:paraId="3DFC8ED0">
            <w:pPr>
              <w:pStyle w:val="16"/>
              <w:spacing w:line="242" w:lineRule="auto"/>
              <w:ind w:left="107" w:leftChars="0" w:right="151" w:rightChars="0"/>
              <w:rPr>
                <w:sz w:val="24"/>
              </w:rPr>
            </w:pPr>
            <w:r>
              <w:rPr>
                <w:sz w:val="24"/>
              </w:rPr>
              <w:t>濉溪县南坪镇农业产业化升级改造项目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6E72C7C2">
            <w:pPr>
              <w:pStyle w:val="16"/>
              <w:spacing w:before="2"/>
              <w:ind w:left="117"/>
              <w:rPr>
                <w:sz w:val="24"/>
              </w:rPr>
            </w:pPr>
            <w:r>
              <w:rPr>
                <w:spacing w:val="-7"/>
                <w:sz w:val="24"/>
              </w:rPr>
              <w:t xml:space="preserve">扩建节能温室大棚 </w:t>
            </w:r>
            <w:r>
              <w:rPr>
                <w:sz w:val="24"/>
              </w:rPr>
              <w:t>50</w:t>
            </w:r>
            <w:r>
              <w:rPr>
                <w:spacing w:val="-17"/>
                <w:sz w:val="24"/>
              </w:rPr>
              <w:t xml:space="preserve"> 栋，黑木耳大棚 </w:t>
            </w:r>
            <w:r>
              <w:rPr>
                <w:sz w:val="24"/>
              </w:rPr>
              <w:t>100</w:t>
            </w:r>
            <w:r>
              <w:rPr>
                <w:spacing w:val="-11"/>
                <w:sz w:val="24"/>
              </w:rPr>
              <w:t xml:space="preserve"> 栋，配套采摘接待设施、道路硬化、下水</w:t>
            </w:r>
          </w:p>
          <w:p w14:paraId="525A0375">
            <w:pPr>
              <w:pStyle w:val="16"/>
              <w:spacing w:before="5"/>
              <w:ind w:left="117"/>
              <w:rPr>
                <w:sz w:val="24"/>
              </w:rPr>
            </w:pPr>
            <w:r>
              <w:rPr>
                <w:spacing w:val="-13"/>
                <w:sz w:val="24"/>
              </w:rPr>
              <w:t xml:space="preserve">管网等；提升 </w:t>
            </w:r>
            <w:r>
              <w:rPr>
                <w:sz w:val="24"/>
              </w:rPr>
              <w:t>3</w:t>
            </w:r>
            <w:r>
              <w:rPr>
                <w:spacing w:val="-14"/>
                <w:sz w:val="24"/>
              </w:rPr>
              <w:t xml:space="preserve"> 条主干道路、清淤疏浚 </w:t>
            </w:r>
            <w:r>
              <w:rPr>
                <w:sz w:val="24"/>
              </w:rPr>
              <w:t>2</w:t>
            </w:r>
            <w:r>
              <w:rPr>
                <w:spacing w:val="-12"/>
                <w:sz w:val="24"/>
              </w:rPr>
              <w:t xml:space="preserve"> 条大沟、新建一座水闸、</w:t>
            </w:r>
            <w:r>
              <w:rPr>
                <w:sz w:val="24"/>
              </w:rPr>
              <w:t>2</w:t>
            </w:r>
            <w:r>
              <w:rPr>
                <w:spacing w:val="-8"/>
                <w:sz w:val="24"/>
              </w:rPr>
              <w:t xml:space="preserve"> 座桥梁及配套绿</w:t>
            </w:r>
          </w:p>
          <w:p w14:paraId="0E36C69E">
            <w:pPr>
              <w:pStyle w:val="16"/>
              <w:spacing w:before="4"/>
              <w:ind w:left="117"/>
              <w:rPr>
                <w:sz w:val="24"/>
              </w:rPr>
            </w:pPr>
            <w:r>
              <w:rPr>
                <w:spacing w:val="-9"/>
                <w:sz w:val="24"/>
              </w:rPr>
              <w:t xml:space="preserve">化；建设覆盖 </w:t>
            </w:r>
            <w:r>
              <w:rPr>
                <w:sz w:val="24"/>
              </w:rPr>
              <w:t>1500</w:t>
            </w:r>
            <w:r>
              <w:rPr>
                <w:spacing w:val="-11"/>
                <w:sz w:val="24"/>
              </w:rPr>
              <w:t xml:space="preserve"> 亩农田节水灌溉管网及配套泵房；建设 </w:t>
            </w:r>
            <w:r>
              <w:rPr>
                <w:sz w:val="24"/>
              </w:rPr>
              <w:t>1000</w:t>
            </w:r>
            <w:r>
              <w:rPr>
                <w:spacing w:val="-8"/>
                <w:sz w:val="24"/>
              </w:rPr>
              <w:t xml:space="preserve"> 户沼气入户管网及</w:t>
            </w:r>
          </w:p>
          <w:p w14:paraId="020358C9">
            <w:pPr>
              <w:pStyle w:val="16"/>
              <w:spacing w:before="5"/>
              <w:ind w:left="117"/>
              <w:rPr>
                <w:sz w:val="24"/>
              </w:rPr>
            </w:pPr>
            <w:r>
              <w:rPr>
                <w:spacing w:val="-11"/>
                <w:sz w:val="24"/>
              </w:rPr>
              <w:t xml:space="preserve">灶具、脱硫设备等、辐射 </w:t>
            </w:r>
            <w:r>
              <w:rPr>
                <w:sz w:val="24"/>
              </w:rPr>
              <w:t>1000</w:t>
            </w:r>
            <w:r>
              <w:rPr>
                <w:spacing w:val="-9"/>
                <w:sz w:val="24"/>
              </w:rPr>
              <w:t xml:space="preserve"> 亩农田沼液管网及农业物联网监控系统；建设辐射整</w:t>
            </w:r>
          </w:p>
          <w:p w14:paraId="63E92271">
            <w:pPr>
              <w:pStyle w:val="16"/>
              <w:spacing w:before="4"/>
              <w:ind w:left="117"/>
              <w:rPr>
                <w:sz w:val="24"/>
              </w:rPr>
            </w:pPr>
            <w:r>
              <w:rPr>
                <w:spacing w:val="-6"/>
                <w:sz w:val="24"/>
              </w:rPr>
              <w:t xml:space="preserve">个园区食用菌及豆制品生产加工余热供应管网；建设占地 </w:t>
            </w:r>
            <w:r>
              <w:rPr>
                <w:sz w:val="24"/>
              </w:rPr>
              <w:t>50</w:t>
            </w:r>
            <w:r>
              <w:rPr>
                <w:spacing w:val="-8"/>
                <w:sz w:val="24"/>
              </w:rPr>
              <w:t xml:space="preserve"> 亩标准化仓储加工中心</w:t>
            </w:r>
          </w:p>
          <w:p w14:paraId="5182929A">
            <w:pPr>
              <w:pStyle w:val="16"/>
              <w:spacing w:before="5"/>
              <w:ind w:left="117"/>
              <w:rPr>
                <w:sz w:val="24"/>
              </w:rPr>
            </w:pPr>
            <w:r>
              <w:rPr>
                <w:sz w:val="24"/>
              </w:rPr>
              <w:t>及冷链物流配套；建设占地 200 亩的秸秆收储加工场及配套消防、加工设备；提升</w:t>
            </w:r>
          </w:p>
          <w:p w14:paraId="1DC77187">
            <w:pPr>
              <w:pStyle w:val="16"/>
              <w:spacing w:before="4"/>
              <w:ind w:left="117"/>
              <w:rPr>
                <w:sz w:val="24"/>
              </w:rPr>
            </w:pPr>
            <w:r>
              <w:rPr>
                <w:spacing w:val="-20"/>
                <w:sz w:val="24"/>
              </w:rPr>
              <w:t xml:space="preserve">改造 </w:t>
            </w:r>
            <w:r>
              <w:rPr>
                <w:sz w:val="24"/>
              </w:rPr>
              <w:t>3</w:t>
            </w:r>
            <w:r>
              <w:rPr>
                <w:spacing w:val="-17"/>
                <w:sz w:val="24"/>
              </w:rPr>
              <w:t xml:space="preserve"> 个自然庄，打造 </w:t>
            </w:r>
            <w:r>
              <w:rPr>
                <w:sz w:val="24"/>
              </w:rPr>
              <w:t>3</w:t>
            </w:r>
            <w:r>
              <w:rPr>
                <w:spacing w:val="-16"/>
                <w:sz w:val="24"/>
              </w:rPr>
              <w:t xml:space="preserve"> 处“旅游+文化”的文化游、“旅游+产业”的采摘游、“旅</w:t>
            </w:r>
          </w:p>
          <w:p w14:paraId="18F2634E">
            <w:pPr>
              <w:pStyle w:val="16"/>
              <w:spacing w:before="5"/>
              <w:ind w:left="117"/>
              <w:rPr>
                <w:sz w:val="24"/>
              </w:rPr>
            </w:pPr>
            <w:r>
              <w:rPr>
                <w:sz w:val="24"/>
              </w:rPr>
              <w:t>游+生态”的观光游等乡村旅游绿色景区；建设建筑面积 1500 ㎡公共服务中心；建</w:t>
            </w:r>
          </w:p>
          <w:p w14:paraId="055ED060">
            <w:pPr>
              <w:pStyle w:val="16"/>
              <w:spacing w:before="4" w:line="290" w:lineRule="exact"/>
              <w:ind w:left="117" w:leftChars="0" w:right="0" w:rightChars="0"/>
              <w:rPr>
                <w:sz w:val="24"/>
              </w:rPr>
            </w:pPr>
            <w:r>
              <w:rPr>
                <w:sz w:val="24"/>
              </w:rPr>
              <w:t>设占地 20 亩的民俗文化广场</w:t>
            </w:r>
          </w:p>
        </w:tc>
      </w:tr>
      <w:tr w14:paraId="0D64F9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2A20DC8">
            <w:pPr>
              <w:pStyle w:val="16"/>
              <w:spacing w:before="1"/>
              <w:rPr>
                <w:rFonts w:ascii="Times New Roman"/>
                <w:sz w:val="22"/>
              </w:rPr>
            </w:pPr>
          </w:p>
          <w:p w14:paraId="0CB96682">
            <w:pPr>
              <w:pStyle w:val="16"/>
              <w:ind w:left="281" w:leftChars="0" w:right="0" w:rightChars="0"/>
              <w:rPr>
                <w:rFonts w:hint="eastAsia"/>
                <w:sz w:val="24"/>
                <w:lang w:val="en-US" w:eastAsia="zh-CN"/>
              </w:rPr>
            </w:pPr>
            <w:r>
              <w:rPr>
                <w:sz w:val="24"/>
              </w:rPr>
              <w:t>8</w:t>
            </w:r>
            <w:r>
              <w:rPr>
                <w:rFonts w:hint="eastAsia"/>
                <w:sz w:val="24"/>
                <w:lang w:val="en-US" w:eastAsia="zh-CN"/>
              </w:rPr>
              <w:t>1</w:t>
            </w:r>
          </w:p>
        </w:tc>
        <w:tc>
          <w:tcPr>
            <w:tcW w:w="3641" w:type="dxa"/>
            <w:tcBorders>
              <w:top w:val="single" w:color="000000" w:sz="6" w:space="0"/>
              <w:left w:val="double" w:color="000000" w:sz="0" w:space="0"/>
              <w:bottom w:val="single" w:color="000000" w:sz="6" w:space="0"/>
              <w:right w:val="single" w:color="000000" w:sz="6" w:space="0"/>
            </w:tcBorders>
            <w:vAlign w:val="top"/>
          </w:tcPr>
          <w:p w14:paraId="53B79972">
            <w:pPr>
              <w:pStyle w:val="16"/>
              <w:spacing w:before="3"/>
              <w:rPr>
                <w:rFonts w:ascii="Times New Roman"/>
                <w:sz w:val="27"/>
              </w:rPr>
            </w:pPr>
          </w:p>
          <w:p w14:paraId="47E844EF">
            <w:pPr>
              <w:pStyle w:val="16"/>
              <w:ind w:left="107" w:leftChars="0" w:right="0" w:rightChars="0"/>
              <w:rPr>
                <w:sz w:val="24"/>
              </w:rPr>
            </w:pPr>
            <w:r>
              <w:rPr>
                <w:sz w:val="24"/>
              </w:rPr>
              <w:t>韩村镇全镇域环境治理</w:t>
            </w:r>
          </w:p>
        </w:tc>
        <w:tc>
          <w:tcPr>
            <w:tcW w:w="8934" w:type="dxa"/>
            <w:tcBorders>
              <w:top w:val="single" w:color="000000" w:sz="6" w:space="0"/>
              <w:left w:val="single" w:color="000000" w:sz="6" w:space="0"/>
              <w:bottom w:val="single" w:color="000000" w:sz="6" w:space="0"/>
              <w:right w:val="single" w:color="000000" w:sz="6" w:space="0"/>
            </w:tcBorders>
            <w:vAlign w:val="top"/>
          </w:tcPr>
          <w:p w14:paraId="36312E70">
            <w:pPr>
              <w:pStyle w:val="16"/>
              <w:spacing w:before="2" w:line="242" w:lineRule="auto"/>
              <w:ind w:left="117" w:right="154"/>
              <w:rPr>
                <w:sz w:val="24"/>
              </w:rPr>
            </w:pPr>
            <w:r>
              <w:rPr>
                <w:sz w:val="24"/>
              </w:rPr>
              <w:t>淮海村、祁集村、桃园村、双沟村、和谐村重点提升人居环境、道路硬化、污水管网建造。通过上级资金补助与本级自筹意将淮海村打造成宜居宜游村庄、祁集村和</w:t>
            </w:r>
          </w:p>
          <w:p w14:paraId="76107B41">
            <w:pPr>
              <w:pStyle w:val="16"/>
              <w:spacing w:before="3" w:line="290" w:lineRule="exact"/>
              <w:ind w:left="117" w:leftChars="0" w:right="0" w:rightChars="0"/>
              <w:rPr>
                <w:sz w:val="24"/>
              </w:rPr>
            </w:pPr>
            <w:r>
              <w:rPr>
                <w:sz w:val="24"/>
              </w:rPr>
              <w:t>谐村打造为宜居宜业村庄、双沟村、桃园村打造为宜居村庄</w:t>
            </w:r>
          </w:p>
        </w:tc>
      </w:tr>
      <w:tr w14:paraId="068524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D1C1D2F">
            <w:pPr>
              <w:pStyle w:val="16"/>
              <w:spacing w:before="4"/>
              <w:ind w:left="281" w:leftChars="0" w:right="0" w:rightChars="0"/>
              <w:rPr>
                <w:rFonts w:hint="eastAsia"/>
                <w:sz w:val="24"/>
                <w:lang w:val="en-US" w:eastAsia="zh-CN"/>
              </w:rPr>
            </w:pPr>
            <w:r>
              <w:rPr>
                <w:sz w:val="24"/>
              </w:rPr>
              <w:t>8</w:t>
            </w:r>
            <w:r>
              <w:rPr>
                <w:rFonts w:hint="eastAsia"/>
                <w:sz w:val="24"/>
                <w:lang w:val="en-US" w:eastAsia="zh-CN"/>
              </w:rPr>
              <w:t>2</w:t>
            </w:r>
          </w:p>
        </w:tc>
        <w:tc>
          <w:tcPr>
            <w:tcW w:w="3641" w:type="dxa"/>
            <w:tcBorders>
              <w:top w:val="single" w:color="000000" w:sz="6" w:space="0"/>
              <w:left w:val="double" w:color="000000" w:sz="0" w:space="0"/>
              <w:bottom w:val="single" w:color="000000" w:sz="6" w:space="0"/>
              <w:right w:val="single" w:color="000000" w:sz="6" w:space="0"/>
            </w:tcBorders>
            <w:vAlign w:val="top"/>
          </w:tcPr>
          <w:p w14:paraId="6EEED071">
            <w:pPr>
              <w:pStyle w:val="16"/>
              <w:spacing w:before="64"/>
              <w:ind w:left="107" w:leftChars="0" w:right="0" w:rightChars="0"/>
              <w:rPr>
                <w:sz w:val="24"/>
              </w:rPr>
            </w:pPr>
            <w:r>
              <w:rPr>
                <w:sz w:val="24"/>
              </w:rPr>
              <w:t>沱河滨河风光带及林果基地建设</w:t>
            </w:r>
          </w:p>
        </w:tc>
        <w:tc>
          <w:tcPr>
            <w:tcW w:w="8934" w:type="dxa"/>
            <w:tcBorders>
              <w:top w:val="single" w:color="000000" w:sz="6" w:space="0"/>
              <w:left w:val="single" w:color="000000" w:sz="6" w:space="0"/>
              <w:bottom w:val="single" w:color="000000" w:sz="6" w:space="0"/>
              <w:right w:val="single" w:color="000000" w:sz="6" w:space="0"/>
            </w:tcBorders>
            <w:vAlign w:val="top"/>
          </w:tcPr>
          <w:p w14:paraId="6E95ECAD">
            <w:pPr>
              <w:pStyle w:val="16"/>
              <w:spacing w:before="64"/>
              <w:ind w:left="117" w:leftChars="0" w:right="0" w:rightChars="0"/>
              <w:rPr>
                <w:sz w:val="24"/>
              </w:rPr>
            </w:pPr>
            <w:r>
              <w:rPr>
                <w:sz w:val="24"/>
              </w:rPr>
              <w:t>风景林、果园建设；滨河风景带建设、水资源保护项目建设等</w:t>
            </w:r>
          </w:p>
        </w:tc>
      </w:tr>
      <w:tr w14:paraId="58BD48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084611B9">
            <w:pPr>
              <w:pStyle w:val="16"/>
              <w:spacing w:before="3"/>
              <w:ind w:left="281" w:leftChars="0" w:right="0" w:rightChars="0"/>
              <w:rPr>
                <w:rFonts w:hint="eastAsia"/>
                <w:sz w:val="24"/>
                <w:lang w:val="en-US" w:eastAsia="zh-CN"/>
              </w:rPr>
            </w:pPr>
            <w:r>
              <w:rPr>
                <w:rFonts w:hint="eastAsia"/>
                <w:sz w:val="24"/>
                <w:lang w:val="en-US" w:eastAsia="zh-CN"/>
              </w:rPr>
              <w:t>83</w:t>
            </w:r>
          </w:p>
        </w:tc>
        <w:tc>
          <w:tcPr>
            <w:tcW w:w="3641" w:type="dxa"/>
            <w:tcBorders>
              <w:top w:val="single" w:color="000000" w:sz="6" w:space="0"/>
              <w:left w:val="double" w:color="000000" w:sz="0" w:space="0"/>
              <w:bottom w:val="single" w:color="000000" w:sz="6" w:space="0"/>
              <w:right w:val="single" w:color="000000" w:sz="6" w:space="0"/>
            </w:tcBorders>
            <w:vAlign w:val="top"/>
          </w:tcPr>
          <w:p w14:paraId="727BAB5B">
            <w:pPr>
              <w:pStyle w:val="16"/>
              <w:spacing w:before="63"/>
              <w:ind w:left="107" w:leftChars="0" w:right="0" w:rightChars="0"/>
              <w:rPr>
                <w:sz w:val="24"/>
              </w:rPr>
            </w:pPr>
            <w:r>
              <w:rPr>
                <w:sz w:val="24"/>
              </w:rPr>
              <w:t>连片治理 （彭楼片）</w:t>
            </w:r>
          </w:p>
        </w:tc>
        <w:tc>
          <w:tcPr>
            <w:tcW w:w="8934" w:type="dxa"/>
            <w:tcBorders>
              <w:top w:val="single" w:color="000000" w:sz="6" w:space="0"/>
              <w:left w:val="single" w:color="000000" w:sz="6" w:space="0"/>
              <w:bottom w:val="single" w:color="000000" w:sz="6" w:space="0"/>
              <w:right w:val="single" w:color="000000" w:sz="6" w:space="0"/>
            </w:tcBorders>
            <w:vAlign w:val="top"/>
          </w:tcPr>
          <w:p w14:paraId="53F42E60">
            <w:pPr>
              <w:pStyle w:val="16"/>
              <w:spacing w:before="63"/>
              <w:ind w:left="117" w:leftChars="0" w:right="0" w:rightChars="0"/>
              <w:rPr>
                <w:sz w:val="24"/>
              </w:rPr>
            </w:pPr>
            <w:r>
              <w:rPr>
                <w:sz w:val="24"/>
              </w:rPr>
              <w:t>包括：火神灌溉区、彭楼灌溉区、关帝灌溉区、王堰灌溉区近 2 万亩灌溉区</w:t>
            </w:r>
          </w:p>
        </w:tc>
      </w:tr>
      <w:tr w14:paraId="293435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805" w:type="dxa"/>
            <w:tcBorders>
              <w:top w:val="single" w:color="000000" w:sz="6" w:space="0"/>
              <w:bottom w:val="single" w:color="000000" w:sz="6" w:space="0"/>
              <w:right w:val="double" w:color="000000" w:sz="0" w:space="0"/>
            </w:tcBorders>
            <w:vAlign w:val="top"/>
          </w:tcPr>
          <w:p w14:paraId="72A29BF3">
            <w:pPr>
              <w:pStyle w:val="16"/>
              <w:rPr>
                <w:rFonts w:ascii="Times New Roman"/>
                <w:sz w:val="24"/>
              </w:rPr>
            </w:pPr>
          </w:p>
          <w:p w14:paraId="248A7305">
            <w:pPr>
              <w:pStyle w:val="16"/>
              <w:spacing w:before="3"/>
              <w:rPr>
                <w:rFonts w:ascii="Times New Roman"/>
                <w:sz w:val="25"/>
              </w:rPr>
            </w:pPr>
          </w:p>
          <w:p w14:paraId="1D44E29C">
            <w:pPr>
              <w:pStyle w:val="16"/>
              <w:ind w:left="281" w:leftChars="0" w:right="0" w:rightChars="0"/>
              <w:rPr>
                <w:rFonts w:hint="eastAsia"/>
                <w:sz w:val="24"/>
                <w:lang w:val="en-US" w:eastAsia="zh-CN"/>
              </w:rPr>
            </w:pPr>
            <w:r>
              <w:rPr>
                <w:rFonts w:hint="eastAsia"/>
                <w:sz w:val="24"/>
                <w:lang w:val="en-US" w:eastAsia="zh-CN"/>
              </w:rPr>
              <w:t>84</w:t>
            </w:r>
          </w:p>
        </w:tc>
        <w:tc>
          <w:tcPr>
            <w:tcW w:w="3641" w:type="dxa"/>
            <w:tcBorders>
              <w:top w:val="single" w:color="000000" w:sz="6" w:space="0"/>
              <w:left w:val="double" w:color="000000" w:sz="0" w:space="0"/>
              <w:bottom w:val="single" w:color="000000" w:sz="6" w:space="0"/>
              <w:right w:val="single" w:color="000000" w:sz="6" w:space="0"/>
            </w:tcBorders>
            <w:vAlign w:val="top"/>
          </w:tcPr>
          <w:p w14:paraId="75CCA693">
            <w:pPr>
              <w:pStyle w:val="16"/>
              <w:rPr>
                <w:rFonts w:ascii="Times New Roman"/>
                <w:sz w:val="24"/>
              </w:rPr>
            </w:pPr>
          </w:p>
          <w:p w14:paraId="7E053992">
            <w:pPr>
              <w:pStyle w:val="16"/>
              <w:spacing w:before="195" w:line="242" w:lineRule="auto"/>
              <w:ind w:left="107" w:leftChars="0" w:right="151" w:rightChars="0"/>
              <w:rPr>
                <w:sz w:val="24"/>
              </w:rPr>
            </w:pPr>
            <w:r>
              <w:rPr>
                <w:sz w:val="24"/>
              </w:rPr>
              <w:t>濉溪县乡村振兴--高标准农田建设项目</w:t>
            </w:r>
          </w:p>
        </w:tc>
        <w:tc>
          <w:tcPr>
            <w:tcW w:w="8934" w:type="dxa"/>
            <w:tcBorders>
              <w:top w:val="single" w:color="000000" w:sz="6" w:space="0"/>
              <w:left w:val="single" w:color="000000" w:sz="6" w:space="0"/>
              <w:bottom w:val="single" w:color="000000" w:sz="6" w:space="0"/>
              <w:right w:val="single" w:color="000000" w:sz="6" w:space="0"/>
            </w:tcBorders>
            <w:vAlign w:val="top"/>
          </w:tcPr>
          <w:p w14:paraId="0F7A79D9">
            <w:pPr>
              <w:pStyle w:val="16"/>
              <w:spacing w:before="3" w:line="242" w:lineRule="auto"/>
              <w:ind w:left="117" w:right="-44"/>
              <w:rPr>
                <w:sz w:val="24"/>
              </w:rPr>
            </w:pPr>
            <w:r>
              <w:rPr>
                <w:spacing w:val="-7"/>
                <w:sz w:val="24"/>
              </w:rPr>
              <w:t xml:space="preserve">本项目拟对濉溪县 </w:t>
            </w:r>
            <w:r>
              <w:rPr>
                <w:sz w:val="24"/>
              </w:rPr>
              <w:t>11</w:t>
            </w:r>
            <w:r>
              <w:rPr>
                <w:spacing w:val="-30"/>
                <w:sz w:val="24"/>
              </w:rPr>
              <w:t xml:space="preserve"> 乡镇 </w:t>
            </w:r>
            <w:r>
              <w:rPr>
                <w:sz w:val="24"/>
              </w:rPr>
              <w:t>2020</w:t>
            </w:r>
            <w:r>
              <w:rPr>
                <w:spacing w:val="-30"/>
                <w:sz w:val="24"/>
              </w:rPr>
              <w:t xml:space="preserve"> 年</w:t>
            </w:r>
            <w:r>
              <w:rPr>
                <w:sz w:val="24"/>
              </w:rPr>
              <w:t>-2023</w:t>
            </w:r>
            <w:r>
              <w:rPr>
                <w:spacing w:val="-16"/>
                <w:sz w:val="24"/>
              </w:rPr>
              <w:t xml:space="preserve"> 年计划实施的 </w:t>
            </w:r>
            <w:r>
              <w:rPr>
                <w:sz w:val="24"/>
              </w:rPr>
              <w:t>20000</w:t>
            </w:r>
            <w:r>
              <w:rPr>
                <w:spacing w:val="-8"/>
                <w:sz w:val="24"/>
              </w:rPr>
              <w:t xml:space="preserve"> 亩土地进行综合整治， </w:t>
            </w:r>
            <w:r>
              <w:rPr>
                <w:spacing w:val="-11"/>
                <w:sz w:val="24"/>
              </w:rPr>
              <w:t>项目主要分为：高标准农田及田间道路建设工程、老旧村庄搬迁、工矿废弃地治理、</w:t>
            </w:r>
            <w:r>
              <w:rPr>
                <w:spacing w:val="-4"/>
                <w:sz w:val="24"/>
              </w:rPr>
              <w:t xml:space="preserve">农业产业示范园等项目，总投资 </w:t>
            </w:r>
            <w:r>
              <w:rPr>
                <w:sz w:val="24"/>
              </w:rPr>
              <w:t>10</w:t>
            </w:r>
            <w:r>
              <w:rPr>
                <w:spacing w:val="-16"/>
                <w:sz w:val="24"/>
              </w:rPr>
              <w:t xml:space="preserve"> 亿元。拟发行 </w:t>
            </w:r>
            <w:r>
              <w:rPr>
                <w:sz w:val="24"/>
              </w:rPr>
              <w:t>15</w:t>
            </w:r>
            <w:r>
              <w:rPr>
                <w:spacing w:val="-14"/>
                <w:sz w:val="24"/>
              </w:rPr>
              <w:t xml:space="preserve"> 年期政府专项债 </w:t>
            </w:r>
            <w:r>
              <w:rPr>
                <w:sz w:val="24"/>
              </w:rPr>
              <w:t>8</w:t>
            </w:r>
            <w:r>
              <w:rPr>
                <w:spacing w:val="-10"/>
                <w:sz w:val="24"/>
              </w:rPr>
              <w:t xml:space="preserve"> 亿元。项目主要收益来自于新增耕地指标出让收入、农产品销售收入、高标准农田出租收入、</w:t>
            </w:r>
          </w:p>
          <w:p w14:paraId="096F6D99">
            <w:pPr>
              <w:pStyle w:val="16"/>
              <w:spacing w:before="6" w:line="288" w:lineRule="exact"/>
              <w:ind w:left="117" w:leftChars="0" w:right="0" w:rightChars="0"/>
              <w:rPr>
                <w:sz w:val="24"/>
              </w:rPr>
            </w:pPr>
            <w:r>
              <w:rPr>
                <w:sz w:val="24"/>
              </w:rPr>
              <w:t>广告位租赁收入</w:t>
            </w:r>
          </w:p>
        </w:tc>
      </w:tr>
    </w:tbl>
    <w:p w14:paraId="4731ECA4"/>
    <w:sectPr>
      <w:headerReference r:id="rId13" w:type="default"/>
      <w:footerReference r:id="rId14" w:type="default"/>
      <w:pgSz w:w="16840" w:h="11910" w:orient="landscape"/>
      <w:pgMar w:top="1200" w:right="1600" w:bottom="1360" w:left="1600" w:header="878" w:footer="11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E64F">
    <w:pPr>
      <w:pStyle w:val="6"/>
      <w:spacing w:line="14" w:lineRule="auto"/>
      <w:rPr>
        <w:sz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213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5213B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97DB2">
    <w:pPr>
      <w:pStyle w:val="6"/>
      <w:spacing w:line="14" w:lineRule="auto"/>
      <w:rPr>
        <w:sz w:val="20"/>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52E91">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B052E91">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97DA1">
    <w:pPr>
      <w:pStyle w:val="6"/>
      <w:spacing w:line="14" w:lineRule="auto"/>
      <w:rPr>
        <w:sz w:val="20"/>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D1F16">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2AD1F16">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582A">
    <w:pPr>
      <w:pStyle w:val="6"/>
      <w:spacing w:line="14" w:lineRule="auto"/>
      <w:rPr>
        <w:sz w:val="20"/>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4A82">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B0D4A82">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E9DF">
    <w:pPr>
      <w:pStyle w:val="6"/>
      <w:spacing w:line="14" w:lineRule="auto"/>
      <w:rPr>
        <w:sz w:val="20"/>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4C5D2">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D04C5D2">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3862">
    <w:pPr>
      <w:pStyle w:val="6"/>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9D346">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F39D346">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450BA">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93AAF">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5093AAF">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2990">
    <w:pPr>
      <w:pStyle w:val="6"/>
      <w:spacing w:line="14" w:lineRule="auto"/>
      <w:rPr>
        <w:sz w:val="20"/>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751FC">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4C751FC">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1662">
    <w:pPr>
      <w:pStyle w:val="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6669">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720"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622" w:hanging="702"/>
      </w:pPr>
      <w:rPr>
        <w:rFonts w:hint="default"/>
        <w:lang w:val="zh-CN" w:eastAsia="zh-CN" w:bidi="zh-CN"/>
      </w:rPr>
    </w:lvl>
    <w:lvl w:ilvl="2" w:tentative="0">
      <w:start w:val="0"/>
      <w:numFmt w:val="bullet"/>
      <w:lvlText w:val="•"/>
      <w:lvlJc w:val="left"/>
      <w:pPr>
        <w:ind w:left="2525" w:hanging="702"/>
      </w:pPr>
      <w:rPr>
        <w:rFonts w:hint="default"/>
        <w:lang w:val="zh-CN" w:eastAsia="zh-CN" w:bidi="zh-CN"/>
      </w:rPr>
    </w:lvl>
    <w:lvl w:ilvl="3" w:tentative="0">
      <w:start w:val="0"/>
      <w:numFmt w:val="bullet"/>
      <w:lvlText w:val="•"/>
      <w:lvlJc w:val="left"/>
      <w:pPr>
        <w:ind w:left="3427" w:hanging="702"/>
      </w:pPr>
      <w:rPr>
        <w:rFonts w:hint="default"/>
        <w:lang w:val="zh-CN" w:eastAsia="zh-CN" w:bidi="zh-CN"/>
      </w:rPr>
    </w:lvl>
    <w:lvl w:ilvl="4" w:tentative="0">
      <w:start w:val="0"/>
      <w:numFmt w:val="bullet"/>
      <w:lvlText w:val="•"/>
      <w:lvlJc w:val="left"/>
      <w:pPr>
        <w:ind w:left="4330" w:hanging="702"/>
      </w:pPr>
      <w:rPr>
        <w:rFonts w:hint="default"/>
        <w:lang w:val="zh-CN" w:eastAsia="zh-CN" w:bidi="zh-CN"/>
      </w:rPr>
    </w:lvl>
    <w:lvl w:ilvl="5" w:tentative="0">
      <w:start w:val="0"/>
      <w:numFmt w:val="bullet"/>
      <w:lvlText w:val="•"/>
      <w:lvlJc w:val="left"/>
      <w:pPr>
        <w:ind w:left="5233" w:hanging="702"/>
      </w:pPr>
      <w:rPr>
        <w:rFonts w:hint="default"/>
        <w:lang w:val="zh-CN" w:eastAsia="zh-CN" w:bidi="zh-CN"/>
      </w:rPr>
    </w:lvl>
    <w:lvl w:ilvl="6" w:tentative="0">
      <w:start w:val="0"/>
      <w:numFmt w:val="bullet"/>
      <w:lvlText w:val="•"/>
      <w:lvlJc w:val="left"/>
      <w:pPr>
        <w:ind w:left="6135" w:hanging="702"/>
      </w:pPr>
      <w:rPr>
        <w:rFonts w:hint="default"/>
        <w:lang w:val="zh-CN" w:eastAsia="zh-CN" w:bidi="zh-CN"/>
      </w:rPr>
    </w:lvl>
    <w:lvl w:ilvl="7" w:tentative="0">
      <w:start w:val="0"/>
      <w:numFmt w:val="bullet"/>
      <w:lvlText w:val="•"/>
      <w:lvlJc w:val="left"/>
      <w:pPr>
        <w:ind w:left="7038" w:hanging="702"/>
      </w:pPr>
      <w:rPr>
        <w:rFonts w:hint="default"/>
        <w:lang w:val="zh-CN" w:eastAsia="zh-CN" w:bidi="zh-CN"/>
      </w:rPr>
    </w:lvl>
    <w:lvl w:ilvl="8" w:tentative="0">
      <w:start w:val="0"/>
      <w:numFmt w:val="bullet"/>
      <w:lvlText w:val="•"/>
      <w:lvlJc w:val="left"/>
      <w:pPr>
        <w:ind w:left="7940" w:hanging="702"/>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98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756" w:hanging="702"/>
      </w:pPr>
      <w:rPr>
        <w:rFonts w:hint="default"/>
        <w:lang w:val="zh-CN" w:eastAsia="zh-CN" w:bidi="zh-CN"/>
      </w:rPr>
    </w:lvl>
    <w:lvl w:ilvl="2" w:tentative="0">
      <w:start w:val="0"/>
      <w:numFmt w:val="bullet"/>
      <w:lvlText w:val="•"/>
      <w:lvlJc w:val="left"/>
      <w:pPr>
        <w:ind w:left="3533" w:hanging="702"/>
      </w:pPr>
      <w:rPr>
        <w:rFonts w:hint="default"/>
        <w:lang w:val="zh-CN" w:eastAsia="zh-CN" w:bidi="zh-CN"/>
      </w:rPr>
    </w:lvl>
    <w:lvl w:ilvl="3" w:tentative="0">
      <w:start w:val="0"/>
      <w:numFmt w:val="bullet"/>
      <w:lvlText w:val="•"/>
      <w:lvlJc w:val="left"/>
      <w:pPr>
        <w:ind w:left="4309" w:hanging="702"/>
      </w:pPr>
      <w:rPr>
        <w:rFonts w:hint="default"/>
        <w:lang w:val="zh-CN" w:eastAsia="zh-CN" w:bidi="zh-CN"/>
      </w:rPr>
    </w:lvl>
    <w:lvl w:ilvl="4" w:tentative="0">
      <w:start w:val="0"/>
      <w:numFmt w:val="bullet"/>
      <w:lvlText w:val="•"/>
      <w:lvlJc w:val="left"/>
      <w:pPr>
        <w:ind w:left="5086" w:hanging="702"/>
      </w:pPr>
      <w:rPr>
        <w:rFonts w:hint="default"/>
        <w:lang w:val="zh-CN" w:eastAsia="zh-CN" w:bidi="zh-CN"/>
      </w:rPr>
    </w:lvl>
    <w:lvl w:ilvl="5" w:tentative="0">
      <w:start w:val="0"/>
      <w:numFmt w:val="bullet"/>
      <w:lvlText w:val="•"/>
      <w:lvlJc w:val="left"/>
      <w:pPr>
        <w:ind w:left="5863" w:hanging="702"/>
      </w:pPr>
      <w:rPr>
        <w:rFonts w:hint="default"/>
        <w:lang w:val="zh-CN" w:eastAsia="zh-CN" w:bidi="zh-CN"/>
      </w:rPr>
    </w:lvl>
    <w:lvl w:ilvl="6" w:tentative="0">
      <w:start w:val="0"/>
      <w:numFmt w:val="bullet"/>
      <w:lvlText w:val="•"/>
      <w:lvlJc w:val="left"/>
      <w:pPr>
        <w:ind w:left="6639" w:hanging="702"/>
      </w:pPr>
      <w:rPr>
        <w:rFonts w:hint="default"/>
        <w:lang w:val="zh-CN" w:eastAsia="zh-CN" w:bidi="zh-CN"/>
      </w:rPr>
    </w:lvl>
    <w:lvl w:ilvl="7" w:tentative="0">
      <w:start w:val="0"/>
      <w:numFmt w:val="bullet"/>
      <w:lvlText w:val="•"/>
      <w:lvlJc w:val="left"/>
      <w:pPr>
        <w:ind w:left="7416" w:hanging="702"/>
      </w:pPr>
      <w:rPr>
        <w:rFonts w:hint="default"/>
        <w:lang w:val="zh-CN" w:eastAsia="zh-CN" w:bidi="zh-CN"/>
      </w:rPr>
    </w:lvl>
    <w:lvl w:ilvl="8" w:tentative="0">
      <w:start w:val="0"/>
      <w:numFmt w:val="bullet"/>
      <w:lvlText w:val="•"/>
      <w:lvlJc w:val="left"/>
      <w:pPr>
        <w:ind w:left="8192" w:hanging="70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readOnly" w:enforcement="1" w:cryptProviderType="rsaFull" w:cryptAlgorithmClass="hash" w:cryptAlgorithmType="typeAny" w:cryptAlgorithmSid="4" w:cryptSpinCount="0" w:hash="C7DrBV8wxr+e4HWtcN9zIROyxKg=" w:salt="LmYdfPEzCODselguKdSt8g=="/>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TllZjM1NDMwMmY5YWY0ZjAwZjdhMTQ1MDAyODEifQ=="/>
  </w:docVars>
  <w:rsids>
    <w:rsidRoot w:val="00000000"/>
    <w:rsid w:val="00C279E1"/>
    <w:rsid w:val="01093F7D"/>
    <w:rsid w:val="017E11CF"/>
    <w:rsid w:val="02005B8D"/>
    <w:rsid w:val="02D84C0B"/>
    <w:rsid w:val="02E01C47"/>
    <w:rsid w:val="035000AB"/>
    <w:rsid w:val="03E94B2B"/>
    <w:rsid w:val="04DA103E"/>
    <w:rsid w:val="04EF6E4D"/>
    <w:rsid w:val="05320689"/>
    <w:rsid w:val="055F2BCB"/>
    <w:rsid w:val="05736AA4"/>
    <w:rsid w:val="05EF03F3"/>
    <w:rsid w:val="05F70AA6"/>
    <w:rsid w:val="06113898"/>
    <w:rsid w:val="066E1617"/>
    <w:rsid w:val="06A25465"/>
    <w:rsid w:val="06A92108"/>
    <w:rsid w:val="06BC6195"/>
    <w:rsid w:val="07632E46"/>
    <w:rsid w:val="083112AF"/>
    <w:rsid w:val="0869175B"/>
    <w:rsid w:val="09166DEF"/>
    <w:rsid w:val="0920049D"/>
    <w:rsid w:val="0952109C"/>
    <w:rsid w:val="098826F0"/>
    <w:rsid w:val="09BF643E"/>
    <w:rsid w:val="09CA3AA2"/>
    <w:rsid w:val="09CC47F7"/>
    <w:rsid w:val="0A115D4C"/>
    <w:rsid w:val="0A2902E1"/>
    <w:rsid w:val="0AB17A25"/>
    <w:rsid w:val="0AB80DB3"/>
    <w:rsid w:val="0B644522"/>
    <w:rsid w:val="0BD55995"/>
    <w:rsid w:val="0BDC4F75"/>
    <w:rsid w:val="0C2A0948"/>
    <w:rsid w:val="0CA918E9"/>
    <w:rsid w:val="0D244E26"/>
    <w:rsid w:val="0D256A9A"/>
    <w:rsid w:val="0D934BD1"/>
    <w:rsid w:val="0DB22432"/>
    <w:rsid w:val="0DB26E3D"/>
    <w:rsid w:val="0DDC300B"/>
    <w:rsid w:val="0DEF2F83"/>
    <w:rsid w:val="0E552DBD"/>
    <w:rsid w:val="0ED7133D"/>
    <w:rsid w:val="0F296723"/>
    <w:rsid w:val="0F326317"/>
    <w:rsid w:val="0FA91612"/>
    <w:rsid w:val="0FFA3C1C"/>
    <w:rsid w:val="10250BC1"/>
    <w:rsid w:val="1092654A"/>
    <w:rsid w:val="10A5002C"/>
    <w:rsid w:val="10FA2DD1"/>
    <w:rsid w:val="110E0B80"/>
    <w:rsid w:val="11B83D8F"/>
    <w:rsid w:val="11E44B84"/>
    <w:rsid w:val="125A6BF4"/>
    <w:rsid w:val="128F5F1A"/>
    <w:rsid w:val="132266DF"/>
    <w:rsid w:val="13B3480E"/>
    <w:rsid w:val="13CD17FF"/>
    <w:rsid w:val="14935A78"/>
    <w:rsid w:val="1534372C"/>
    <w:rsid w:val="1535693B"/>
    <w:rsid w:val="15F34352"/>
    <w:rsid w:val="160F7CF5"/>
    <w:rsid w:val="16314110"/>
    <w:rsid w:val="16CB5C81"/>
    <w:rsid w:val="170741AF"/>
    <w:rsid w:val="172E71CD"/>
    <w:rsid w:val="174165D4"/>
    <w:rsid w:val="17620A24"/>
    <w:rsid w:val="177A1DCF"/>
    <w:rsid w:val="18890233"/>
    <w:rsid w:val="18AB2C3E"/>
    <w:rsid w:val="18DF1DBE"/>
    <w:rsid w:val="18FA6C07"/>
    <w:rsid w:val="193D1A67"/>
    <w:rsid w:val="1A000105"/>
    <w:rsid w:val="1A0A7151"/>
    <w:rsid w:val="1A231FC1"/>
    <w:rsid w:val="1B373F76"/>
    <w:rsid w:val="1B7444D0"/>
    <w:rsid w:val="1C3F4FF5"/>
    <w:rsid w:val="1C7A59F3"/>
    <w:rsid w:val="1C8925AF"/>
    <w:rsid w:val="1DF223D6"/>
    <w:rsid w:val="1E5170FD"/>
    <w:rsid w:val="1E7E3C6A"/>
    <w:rsid w:val="1ED146E2"/>
    <w:rsid w:val="1FDD26D2"/>
    <w:rsid w:val="201D7704"/>
    <w:rsid w:val="20250841"/>
    <w:rsid w:val="20947C82"/>
    <w:rsid w:val="20D02EA3"/>
    <w:rsid w:val="2169414B"/>
    <w:rsid w:val="217A2E0F"/>
    <w:rsid w:val="22E5250A"/>
    <w:rsid w:val="22FF6FB7"/>
    <w:rsid w:val="23046E34"/>
    <w:rsid w:val="23384D2F"/>
    <w:rsid w:val="233A7F95"/>
    <w:rsid w:val="23461CFF"/>
    <w:rsid w:val="237E06C1"/>
    <w:rsid w:val="23CE1DE6"/>
    <w:rsid w:val="23F1166F"/>
    <w:rsid w:val="24505B55"/>
    <w:rsid w:val="25336AFF"/>
    <w:rsid w:val="255F65A3"/>
    <w:rsid w:val="2580476C"/>
    <w:rsid w:val="258403C0"/>
    <w:rsid w:val="259D2809"/>
    <w:rsid w:val="269E2E9E"/>
    <w:rsid w:val="26BE379D"/>
    <w:rsid w:val="27040A31"/>
    <w:rsid w:val="2725245C"/>
    <w:rsid w:val="274F2F39"/>
    <w:rsid w:val="275F60A7"/>
    <w:rsid w:val="27616AF6"/>
    <w:rsid w:val="27934396"/>
    <w:rsid w:val="279B3ADF"/>
    <w:rsid w:val="27A62207"/>
    <w:rsid w:val="282149C5"/>
    <w:rsid w:val="285D2B42"/>
    <w:rsid w:val="299A67A7"/>
    <w:rsid w:val="29D05CC2"/>
    <w:rsid w:val="2A48273F"/>
    <w:rsid w:val="2A4B5348"/>
    <w:rsid w:val="2A4D50F7"/>
    <w:rsid w:val="2AB84812"/>
    <w:rsid w:val="2ABB6255"/>
    <w:rsid w:val="2BFC7F66"/>
    <w:rsid w:val="2C2B0C3A"/>
    <w:rsid w:val="2C712816"/>
    <w:rsid w:val="2C8715B0"/>
    <w:rsid w:val="2D940DB4"/>
    <w:rsid w:val="2D99461C"/>
    <w:rsid w:val="2D996041"/>
    <w:rsid w:val="2DDD18E5"/>
    <w:rsid w:val="2E402CEA"/>
    <w:rsid w:val="2E945BD3"/>
    <w:rsid w:val="2EAB3ED0"/>
    <w:rsid w:val="2F126434"/>
    <w:rsid w:val="2F314D99"/>
    <w:rsid w:val="2F837332"/>
    <w:rsid w:val="2FBC19C0"/>
    <w:rsid w:val="2FDC4360"/>
    <w:rsid w:val="306D731C"/>
    <w:rsid w:val="306E477E"/>
    <w:rsid w:val="30982EC0"/>
    <w:rsid w:val="30D243F2"/>
    <w:rsid w:val="32C63385"/>
    <w:rsid w:val="32D305D1"/>
    <w:rsid w:val="32FE0237"/>
    <w:rsid w:val="33360D90"/>
    <w:rsid w:val="336C7D25"/>
    <w:rsid w:val="337A0A4C"/>
    <w:rsid w:val="345117AD"/>
    <w:rsid w:val="346A6D13"/>
    <w:rsid w:val="356D6ABA"/>
    <w:rsid w:val="35A63D7A"/>
    <w:rsid w:val="35F42D38"/>
    <w:rsid w:val="35F84869"/>
    <w:rsid w:val="36174C78"/>
    <w:rsid w:val="36270A9E"/>
    <w:rsid w:val="37075B49"/>
    <w:rsid w:val="373C3BA7"/>
    <w:rsid w:val="374970B3"/>
    <w:rsid w:val="37531CE0"/>
    <w:rsid w:val="37771C18"/>
    <w:rsid w:val="37860176"/>
    <w:rsid w:val="37A147F9"/>
    <w:rsid w:val="37EF7C5B"/>
    <w:rsid w:val="38211DDE"/>
    <w:rsid w:val="38344AC1"/>
    <w:rsid w:val="39762C15"/>
    <w:rsid w:val="39F57912"/>
    <w:rsid w:val="39F74718"/>
    <w:rsid w:val="3A593DF9"/>
    <w:rsid w:val="3A8F1281"/>
    <w:rsid w:val="3B2C087E"/>
    <w:rsid w:val="3B9D177C"/>
    <w:rsid w:val="3BA0301A"/>
    <w:rsid w:val="3CBF4F2E"/>
    <w:rsid w:val="3CC16D0A"/>
    <w:rsid w:val="3D2C1326"/>
    <w:rsid w:val="3E566547"/>
    <w:rsid w:val="3E833C64"/>
    <w:rsid w:val="3EF17923"/>
    <w:rsid w:val="3F454604"/>
    <w:rsid w:val="3FDE5735"/>
    <w:rsid w:val="40196700"/>
    <w:rsid w:val="401C2A08"/>
    <w:rsid w:val="40E51BFB"/>
    <w:rsid w:val="41874A60"/>
    <w:rsid w:val="41BE739E"/>
    <w:rsid w:val="41E447B4"/>
    <w:rsid w:val="41F66AB4"/>
    <w:rsid w:val="420936C7"/>
    <w:rsid w:val="42213701"/>
    <w:rsid w:val="42913241"/>
    <w:rsid w:val="434A2EF4"/>
    <w:rsid w:val="445D2C4C"/>
    <w:rsid w:val="44EE3048"/>
    <w:rsid w:val="45C311F6"/>
    <w:rsid w:val="45F440B0"/>
    <w:rsid w:val="460074D7"/>
    <w:rsid w:val="4622744D"/>
    <w:rsid w:val="47172CAE"/>
    <w:rsid w:val="471E1E95"/>
    <w:rsid w:val="47434CC7"/>
    <w:rsid w:val="48934475"/>
    <w:rsid w:val="48DD765B"/>
    <w:rsid w:val="490C2B50"/>
    <w:rsid w:val="49746212"/>
    <w:rsid w:val="49AF7E48"/>
    <w:rsid w:val="4A007AA5"/>
    <w:rsid w:val="4ADC1AE4"/>
    <w:rsid w:val="4AFF615C"/>
    <w:rsid w:val="4B3A2B43"/>
    <w:rsid w:val="4BDA4326"/>
    <w:rsid w:val="4D115C09"/>
    <w:rsid w:val="4D4759EB"/>
    <w:rsid w:val="4D9943CF"/>
    <w:rsid w:val="4DE374C2"/>
    <w:rsid w:val="4FA71E03"/>
    <w:rsid w:val="4FFC0352"/>
    <w:rsid w:val="507C1E50"/>
    <w:rsid w:val="50F6575E"/>
    <w:rsid w:val="510C4F82"/>
    <w:rsid w:val="510E0CFA"/>
    <w:rsid w:val="51A72608"/>
    <w:rsid w:val="51C1097C"/>
    <w:rsid w:val="51E6698C"/>
    <w:rsid w:val="520C4646"/>
    <w:rsid w:val="521869DA"/>
    <w:rsid w:val="525A1357"/>
    <w:rsid w:val="52CA29FF"/>
    <w:rsid w:val="5302488E"/>
    <w:rsid w:val="53231A85"/>
    <w:rsid w:val="533C4987"/>
    <w:rsid w:val="5394125E"/>
    <w:rsid w:val="53C161BA"/>
    <w:rsid w:val="53F266B1"/>
    <w:rsid w:val="54221594"/>
    <w:rsid w:val="545000DE"/>
    <w:rsid w:val="54725A15"/>
    <w:rsid w:val="548A223D"/>
    <w:rsid w:val="5595410D"/>
    <w:rsid w:val="559601F8"/>
    <w:rsid w:val="55F61D5C"/>
    <w:rsid w:val="562C04F2"/>
    <w:rsid w:val="56521689"/>
    <w:rsid w:val="569577C7"/>
    <w:rsid w:val="57BC73ED"/>
    <w:rsid w:val="57D60097"/>
    <w:rsid w:val="57E84079"/>
    <w:rsid w:val="581764B6"/>
    <w:rsid w:val="585C67EF"/>
    <w:rsid w:val="58C85A59"/>
    <w:rsid w:val="59C238D0"/>
    <w:rsid w:val="5A2C0E3D"/>
    <w:rsid w:val="5AFF77E5"/>
    <w:rsid w:val="5C9522CF"/>
    <w:rsid w:val="5D3D64C3"/>
    <w:rsid w:val="5D6B74D4"/>
    <w:rsid w:val="5E115985"/>
    <w:rsid w:val="5E1179B6"/>
    <w:rsid w:val="5E213D3F"/>
    <w:rsid w:val="5E7F7645"/>
    <w:rsid w:val="5ED30E8D"/>
    <w:rsid w:val="5F0E0117"/>
    <w:rsid w:val="60571EB4"/>
    <w:rsid w:val="6076506E"/>
    <w:rsid w:val="609B00D0"/>
    <w:rsid w:val="60DD2497"/>
    <w:rsid w:val="612E2BB0"/>
    <w:rsid w:val="614F7957"/>
    <w:rsid w:val="618F3421"/>
    <w:rsid w:val="61BE5E24"/>
    <w:rsid w:val="61C32C01"/>
    <w:rsid w:val="61F8244A"/>
    <w:rsid w:val="62053CDF"/>
    <w:rsid w:val="62175534"/>
    <w:rsid w:val="62975F54"/>
    <w:rsid w:val="62F31AFE"/>
    <w:rsid w:val="635C3B47"/>
    <w:rsid w:val="63B6622E"/>
    <w:rsid w:val="63F27B94"/>
    <w:rsid w:val="63F73EC8"/>
    <w:rsid w:val="64011E50"/>
    <w:rsid w:val="64496CCB"/>
    <w:rsid w:val="644D7933"/>
    <w:rsid w:val="647E7AED"/>
    <w:rsid w:val="648A0433"/>
    <w:rsid w:val="64990483"/>
    <w:rsid w:val="64F97173"/>
    <w:rsid w:val="64FB2EEB"/>
    <w:rsid w:val="651714DF"/>
    <w:rsid w:val="653D1756"/>
    <w:rsid w:val="655D2457"/>
    <w:rsid w:val="657B5DD8"/>
    <w:rsid w:val="659A7D3E"/>
    <w:rsid w:val="65BA2850"/>
    <w:rsid w:val="665E7BD6"/>
    <w:rsid w:val="66E13D2B"/>
    <w:rsid w:val="67132B0C"/>
    <w:rsid w:val="675A3D95"/>
    <w:rsid w:val="67B209F7"/>
    <w:rsid w:val="67B57CC9"/>
    <w:rsid w:val="67CC1BBF"/>
    <w:rsid w:val="68E85E7D"/>
    <w:rsid w:val="68ED41D3"/>
    <w:rsid w:val="69EA352F"/>
    <w:rsid w:val="6B362ECF"/>
    <w:rsid w:val="6B9B5EBB"/>
    <w:rsid w:val="6BB73A0A"/>
    <w:rsid w:val="6BBD1251"/>
    <w:rsid w:val="6C07486C"/>
    <w:rsid w:val="6C3118E9"/>
    <w:rsid w:val="6C355C98"/>
    <w:rsid w:val="6C5F6456"/>
    <w:rsid w:val="6D5910F7"/>
    <w:rsid w:val="6E7004A6"/>
    <w:rsid w:val="6ECE4CE3"/>
    <w:rsid w:val="6EE44711"/>
    <w:rsid w:val="6EEE3AC1"/>
    <w:rsid w:val="6EF44E77"/>
    <w:rsid w:val="6F2A48C5"/>
    <w:rsid w:val="6F593630"/>
    <w:rsid w:val="6F7044D6"/>
    <w:rsid w:val="6FD71BC4"/>
    <w:rsid w:val="6FDC3913"/>
    <w:rsid w:val="70383246"/>
    <w:rsid w:val="70882E14"/>
    <w:rsid w:val="70AC775D"/>
    <w:rsid w:val="70E03949"/>
    <w:rsid w:val="71091FF0"/>
    <w:rsid w:val="711C47E2"/>
    <w:rsid w:val="719747B4"/>
    <w:rsid w:val="719A31FD"/>
    <w:rsid w:val="724D0AFE"/>
    <w:rsid w:val="72843A03"/>
    <w:rsid w:val="72B85073"/>
    <w:rsid w:val="73137F9A"/>
    <w:rsid w:val="737F3CE9"/>
    <w:rsid w:val="738D1AFA"/>
    <w:rsid w:val="73ED2599"/>
    <w:rsid w:val="741B2C62"/>
    <w:rsid w:val="751C37AC"/>
    <w:rsid w:val="752377C3"/>
    <w:rsid w:val="75330480"/>
    <w:rsid w:val="753C0A3B"/>
    <w:rsid w:val="759C6025"/>
    <w:rsid w:val="75D307FB"/>
    <w:rsid w:val="76487F5B"/>
    <w:rsid w:val="767849AA"/>
    <w:rsid w:val="769B452E"/>
    <w:rsid w:val="76D77202"/>
    <w:rsid w:val="76DA5C50"/>
    <w:rsid w:val="76F2172E"/>
    <w:rsid w:val="7752732D"/>
    <w:rsid w:val="77737259"/>
    <w:rsid w:val="77A25449"/>
    <w:rsid w:val="78E90790"/>
    <w:rsid w:val="79C3609E"/>
    <w:rsid w:val="7A3B22B0"/>
    <w:rsid w:val="7A510EEE"/>
    <w:rsid w:val="7A523F5D"/>
    <w:rsid w:val="7AAC4F5C"/>
    <w:rsid w:val="7AF77C93"/>
    <w:rsid w:val="7B3665D4"/>
    <w:rsid w:val="7B852F3C"/>
    <w:rsid w:val="7C057373"/>
    <w:rsid w:val="7C0B5CB2"/>
    <w:rsid w:val="7C684EB3"/>
    <w:rsid w:val="7CC55E61"/>
    <w:rsid w:val="7CCD2078"/>
    <w:rsid w:val="7D33540D"/>
    <w:rsid w:val="7D926E29"/>
    <w:rsid w:val="7DB06938"/>
    <w:rsid w:val="7DC17525"/>
    <w:rsid w:val="7E064983"/>
    <w:rsid w:val="7E8145B5"/>
    <w:rsid w:val="7EAB552B"/>
    <w:rsid w:val="7F9D3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18"/>
      <w:ind w:right="24"/>
      <w:jc w:val="center"/>
      <w:outlineLvl w:val="1"/>
    </w:pPr>
    <w:rPr>
      <w:rFonts w:ascii="仿宋" w:hAnsi="仿宋" w:eastAsia="仿宋" w:cs="仿宋"/>
      <w:b/>
      <w:bCs/>
      <w:sz w:val="32"/>
      <w:szCs w:val="32"/>
      <w:lang w:val="zh-CN" w:eastAsia="zh-CN" w:bidi="zh-CN"/>
    </w:rPr>
  </w:style>
  <w:style w:type="paragraph" w:styleId="4">
    <w:name w:val="heading 2"/>
    <w:basedOn w:val="1"/>
    <w:next w:val="1"/>
    <w:qFormat/>
    <w:uiPriority w:val="1"/>
    <w:pPr>
      <w:spacing w:before="246"/>
      <w:outlineLvl w:val="2"/>
    </w:pPr>
    <w:rPr>
      <w:rFonts w:ascii="仿宋" w:hAnsi="仿宋" w:eastAsia="仿宋" w:cs="仿宋"/>
      <w:b/>
      <w:bCs/>
      <w:sz w:val="30"/>
      <w:szCs w:val="30"/>
      <w:lang w:val="zh-CN" w:eastAsia="zh-CN" w:bidi="zh-CN"/>
    </w:rPr>
  </w:style>
  <w:style w:type="paragraph" w:styleId="5">
    <w:name w:val="heading 3"/>
    <w:basedOn w:val="1"/>
    <w:next w:val="1"/>
    <w:qFormat/>
    <w:uiPriority w:val="1"/>
    <w:pPr>
      <w:ind w:left="720"/>
      <w:outlineLvl w:val="3"/>
    </w:pPr>
    <w:rPr>
      <w:rFonts w:ascii="仿宋" w:hAnsi="仿宋" w:eastAsia="仿宋" w:cs="仿宋"/>
      <w:b/>
      <w:bCs/>
      <w:sz w:val="28"/>
      <w:szCs w:val="28"/>
      <w:lang w:val="zh-CN" w:eastAsia="zh-CN" w:bidi="zh-CN"/>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6">
    <w:name w:val="Body Text"/>
    <w:basedOn w:val="1"/>
    <w:qFormat/>
    <w:uiPriority w:val="1"/>
    <w:rPr>
      <w:rFonts w:ascii="仿宋" w:hAnsi="仿宋" w:eastAsia="仿宋" w:cs="仿宋"/>
      <w:sz w:val="28"/>
      <w:szCs w:val="28"/>
      <w:lang w:val="zh-CN" w:eastAsia="zh-CN" w:bidi="zh-CN"/>
    </w:rPr>
  </w:style>
  <w:style w:type="paragraph" w:styleId="7">
    <w:name w:val="toc 3"/>
    <w:basedOn w:val="1"/>
    <w:next w:val="1"/>
    <w:qFormat/>
    <w:uiPriority w:val="1"/>
    <w:pPr>
      <w:spacing w:before="265"/>
      <w:ind w:left="1840"/>
    </w:pPr>
    <w:rPr>
      <w:rFonts w:ascii="仿宋" w:hAnsi="仿宋" w:eastAsia="仿宋" w:cs="仿宋"/>
      <w:sz w:val="28"/>
      <w:szCs w:val="28"/>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265"/>
      <w:ind w:right="721"/>
      <w:jc w:val="right"/>
    </w:pPr>
    <w:rPr>
      <w:rFonts w:ascii="仿宋" w:hAnsi="仿宋" w:eastAsia="仿宋" w:cs="仿宋"/>
      <w:sz w:val="28"/>
      <w:szCs w:val="28"/>
      <w:lang w:val="zh-CN" w:eastAsia="zh-CN" w:bidi="zh-CN"/>
    </w:rPr>
  </w:style>
  <w:style w:type="paragraph" w:styleId="11">
    <w:name w:val="toc 2"/>
    <w:basedOn w:val="1"/>
    <w:next w:val="1"/>
    <w:qFormat/>
    <w:uiPriority w:val="1"/>
    <w:pPr>
      <w:spacing w:before="265"/>
      <w:ind w:left="1279"/>
    </w:pPr>
    <w:rPr>
      <w:rFonts w:ascii="仿宋" w:hAnsi="仿宋" w:eastAsia="仿宋" w:cs="仿宋"/>
      <w:sz w:val="28"/>
      <w:szCs w:val="28"/>
      <w:lang w:val="zh-CN" w:eastAsia="zh-CN" w:bidi="zh-CN"/>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20" w:right="719" w:firstLine="559"/>
    </w:pPr>
    <w:rPr>
      <w:rFonts w:ascii="仿宋" w:hAnsi="仿宋" w:eastAsia="仿宋" w:cs="仿宋"/>
      <w:lang w:val="zh-CN" w:eastAsia="zh-CN" w:bidi="zh-CN"/>
    </w:rPr>
  </w:style>
  <w:style w:type="paragraph" w:customStyle="1" w:styleId="1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163</Words>
  <Characters>182</Characters>
  <TotalTime>1</TotalTime>
  <ScaleCrop>false</ScaleCrop>
  <LinksUpToDate>false</LinksUpToDate>
  <CharactersWithSpaces>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2022-08-09T02:28:00Z</dcterms:created>
  <dc:creator>Administrator</dc:creator>
  <cp:lastModifiedBy>一念之间</cp:lastModifiedBy>
  <dcterms:modified xsi:type="dcterms:W3CDTF">2025-09-28T02:50:30Z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2052-12.1.0.22529</vt:lpwstr>
  </property>
  <property fmtid="{D5CDD505-2E9C-101B-9397-08002B2CF9AE}" pid="6" name="ICV">
    <vt:lpwstr>ACA78D01EF04467BA48A044A5430C3AD</vt:lpwstr>
  </property>
  <property fmtid="{D5CDD505-2E9C-101B-9397-08002B2CF9AE}" pid="7" name="KSOTemplateDocerSaveRecord">
    <vt:lpwstr>eyJoZGlkIjoiZDc0YTllZjM1NDMwMmY5YWY0ZjAwZjdhMTQ1MDAyODEiLCJ1c2VySWQiOiIyNzA3NDkyNjIifQ==</vt:lpwstr>
  </property>
</Properties>
</file>