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濉溪县审计局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9.67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9.67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9.67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5.64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58.43</w:t>
      </w:r>
      <w:r>
        <w:rPr>
          <w:rFonts w:hint="eastAsia" w:ascii="仿宋_GB2312" w:hAnsi="仿宋"/>
          <w:szCs w:val="32"/>
        </w:rPr>
        <w:t>%，决算数小于预算数的主要原因是严格</w:t>
      </w:r>
      <w:r>
        <w:rPr>
          <w:rFonts w:hint="eastAsia" w:ascii="仿宋_GB2312" w:hAnsi="仿宋"/>
          <w:szCs w:val="32"/>
          <w:lang w:eastAsia="zh-CN"/>
        </w:rPr>
        <w:t>落实</w:t>
      </w:r>
      <w:r>
        <w:rPr>
          <w:rFonts w:hint="eastAsia" w:ascii="仿宋_GB2312" w:hAnsi="仿宋"/>
          <w:szCs w:val="32"/>
        </w:rPr>
        <w:t>中央八项规定，招商引资减少，节省公务招待开支。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5.64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</w:t>
      </w:r>
      <w:r>
        <w:rPr>
          <w:rFonts w:hint="eastAsia" w:ascii="仿宋_GB2312" w:hAnsi="仿宋"/>
          <w:szCs w:val="32"/>
          <w:lang w:eastAsia="zh-CN"/>
        </w:rPr>
        <w:t>一致</w:t>
      </w:r>
      <w:r>
        <w:rPr>
          <w:rFonts w:hint="eastAsia" w:ascii="仿宋_GB2312" w:hAnsi="仿宋"/>
          <w:szCs w:val="32"/>
        </w:rPr>
        <w:t>。2020年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</w:t>
      </w:r>
      <w:r>
        <w:rPr>
          <w:rFonts w:hint="eastAsia" w:ascii="仿宋_GB2312" w:hAnsi="仿宋"/>
          <w:szCs w:val="32"/>
          <w:lang w:val="en-US" w:eastAsia="zh-CN"/>
        </w:rPr>
        <w:t>县</w:t>
      </w:r>
      <w:r>
        <w:rPr>
          <w:rFonts w:hint="eastAsia" w:ascii="仿宋_GB2312" w:hAnsi="仿宋"/>
          <w:szCs w:val="32"/>
        </w:rPr>
        <w:t>外办批准的因公临时出国（境）计划，按照规定标准安排。经费使用严格相关规定执行。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5.64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4.03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41.68</w:t>
      </w:r>
      <w:r>
        <w:rPr>
          <w:rFonts w:hint="eastAsia" w:ascii="仿宋_GB2312" w:hAnsi="仿宋"/>
          <w:szCs w:val="32"/>
        </w:rPr>
        <w:t>%，下降的原因是严格遵守中央八项规定，招商引资减少，节省公务招待开支。2020年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28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292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人次）。主要是用于主要用于招商引资、外地单位业务指导等公务招待支出。经费使用严格贯彻中央八项规定要求，严格执行《党政机关厉行节约反对浪费条例》、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  <w:bookmarkStart w:id="0" w:name="_GoBack"/>
      <w:bookmarkEnd w:id="0"/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</w:t>
      </w:r>
      <w:r>
        <w:rPr>
          <w:rFonts w:hint="eastAsia" w:ascii="仿宋_GB2312" w:hAnsi="仿宋"/>
          <w:szCs w:val="32"/>
          <w:lang w:eastAsia="zh-CN"/>
        </w:rPr>
        <w:t>一致。</w:t>
      </w:r>
      <w:r>
        <w:rPr>
          <w:rFonts w:hint="eastAsia" w:ascii="仿宋_GB2312" w:hAnsi="仿宋"/>
          <w:szCs w:val="32"/>
        </w:rPr>
        <w:t>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</w:t>
      </w:r>
      <w:r>
        <w:rPr>
          <w:rFonts w:hint="eastAsia" w:ascii="仿宋_GB2312" w:hAnsi="仿宋"/>
          <w:szCs w:val="32"/>
          <w:lang w:eastAsia="zh-CN"/>
        </w:rPr>
        <w:t>一致，</w:t>
      </w:r>
      <w:r>
        <w:rPr>
          <w:rFonts w:hint="eastAsia" w:ascii="仿宋_GB2312" w:hAnsi="仿宋"/>
          <w:szCs w:val="32"/>
        </w:rPr>
        <w:t>2020年没有安排公务用车购置费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</w:t>
      </w:r>
      <w:r>
        <w:rPr>
          <w:rFonts w:hint="eastAsia" w:ascii="仿宋_GB2312" w:hAnsi="仿宋"/>
          <w:szCs w:val="32"/>
          <w:lang w:eastAsia="zh-CN"/>
        </w:rPr>
        <w:t>一致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财政监督检查、政策调研等。截至2020年12月31日，濉溪县审计局机关及所属单位开支财政拨款的公务用车保有量无，车辆已移交至机关事务管理局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5MmYzZmJkY2FmNDg1M2EyMWU4NDg3NGNiNzExOTk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2D3A36AD"/>
    <w:rsid w:val="3D456052"/>
    <w:rsid w:val="54E85258"/>
    <w:rsid w:val="5661375E"/>
    <w:rsid w:val="73D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994</Characters>
  <Lines>8</Lines>
  <Paragraphs>2</Paragraphs>
  <TotalTime>44</TotalTime>
  <ScaleCrop>false</ScaleCrop>
  <LinksUpToDate>false</LinksUpToDate>
  <CharactersWithSpaces>1060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2023-02-13T02:20:47Z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28B8E64F91B44B868C8CED2999816EE8</vt:lpwstr>
  </property>
</Properties>
</file>